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仿宋_GB2312" w:hAnsi="仿宋" w:eastAsia="仿宋_GB2312" w:cs="Times New Roman"/>
          <w:b w:val="0"/>
          <w:bCs w:val="0"/>
          <w:sz w:val="32"/>
          <w:szCs w:val="32"/>
        </w:rPr>
      </w:pPr>
      <w:bookmarkStart w:id="0" w:name="_GoBack"/>
      <w:bookmarkEnd w:id="0"/>
      <w:r>
        <w:rPr>
          <w:rFonts w:hint="eastAsia" w:ascii="楷体_GB2312" w:hAnsi="仿宋" w:eastAsia="楷体_GB2312" w:cs="楷体_GB2312"/>
          <w:b w:val="0"/>
          <w:bCs w:val="0"/>
          <w:sz w:val="32"/>
          <w:szCs w:val="32"/>
        </w:rPr>
        <w:t>附件</w:t>
      </w:r>
      <w:r>
        <w:rPr>
          <w:rFonts w:hint="eastAsia" w:ascii="楷体_GB2312" w:hAnsi="仿宋" w:eastAsia="楷体_GB2312" w:cs="楷体_GB2312"/>
          <w:b w:val="0"/>
          <w:bCs w:val="0"/>
          <w:sz w:val="32"/>
          <w:szCs w:val="32"/>
          <w:lang w:eastAsia="zh-CN"/>
        </w:rPr>
        <w:t>：</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outlineLvl w:val="2"/>
        <w:rPr>
          <w:rFonts w:hint="eastAsia" w:ascii="黑体" w:hAnsi="黑体" w:eastAsia="黑体" w:cs="黑体"/>
        </w:rPr>
      </w:pPr>
      <w:r>
        <w:rPr>
          <w:rFonts w:hint="eastAsia" w:ascii="黑体" w:hAnsi="黑体" w:eastAsia="黑体" w:cs="黑体"/>
          <w:lang w:val="en-US" w:eastAsia="zh-CN"/>
        </w:rPr>
        <w:t>景德镇市退役军人事务局2021</w:t>
      </w:r>
      <w:r>
        <w:rPr>
          <w:rFonts w:hint="eastAsia" w:ascii="黑体" w:hAnsi="黑体" w:eastAsia="黑体" w:cs="黑体"/>
        </w:rPr>
        <w:t>年部门预算</w:t>
      </w: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景德镇市退役军人事务局</w:t>
      </w:r>
      <w:r>
        <w:rPr>
          <w:rFonts w:hint="eastAsia" w:ascii="黑体" w:hAnsi="宋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仿宋_GB2312"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default" w:ascii="仿宋_GB2312" w:eastAsia="仿宋_GB2312" w:cs="Times New Roman"/>
          <w:sz w:val="32"/>
          <w:szCs w:val="32"/>
          <w:lang w:val="en-US" w:eastAsia="zh-CN"/>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val="en-US" w:eastAsia="zh-CN"/>
        </w:rPr>
        <w:t>部门机构设置情况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景德镇市退役军人事务局2021</w:t>
      </w:r>
      <w:r>
        <w:rPr>
          <w:rFonts w:hint="eastAsia" w:ascii="黑体" w:hAnsi="宋体" w:eastAsia="黑体" w:cs="黑体"/>
          <w:sz w:val="32"/>
          <w:szCs w:val="32"/>
        </w:rPr>
        <w:t>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ascii="仿宋_GB2312" w:hAnsi="宋体" w:eastAsia="仿宋_GB2312" w:cs="仿宋_GB2312"/>
          <w:sz w:val="32"/>
          <w:szCs w:val="32"/>
        </w:rPr>
        <w:t xml:space="preserve"> </w:t>
      </w:r>
      <w:r>
        <w:rPr>
          <w:rFonts w:hint="eastAsia" w:ascii="仿宋" w:hAnsi="仿宋" w:eastAsia="仿宋" w:cs="仿宋"/>
          <w:i w:val="0"/>
          <w:iCs w:val="0"/>
          <w:caps w:val="0"/>
          <w:color w:val="333333"/>
          <w:spacing w:val="0"/>
          <w:sz w:val="32"/>
          <w:szCs w:val="32"/>
          <w:shd w:val="clear" w:fill="FFFFFF"/>
        </w:rPr>
        <w:t> </w:t>
      </w:r>
      <w:r>
        <w:rPr>
          <w:rFonts w:hint="default" w:ascii="仿宋_GB2312" w:hAnsi="微软雅黑" w:eastAsia="仿宋_GB2312" w:cs="仿宋_GB2312"/>
          <w:i w:val="0"/>
          <w:caps w:val="0"/>
          <w:color w:val="000000"/>
          <w:spacing w:val="0"/>
          <w:kern w:val="0"/>
          <w:sz w:val="32"/>
          <w:szCs w:val="32"/>
          <w:shd w:val="clear" w:fill="FFFFFF"/>
          <w:lang w:val="en-US" w:eastAsia="zh-CN" w:bidi="ar"/>
        </w:rPr>
        <w:t>一、20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景德镇市退役军人事务局2021</w:t>
      </w:r>
      <w:r>
        <w:rPr>
          <w:rFonts w:hint="eastAsia" w:ascii="黑体" w:hAnsi="宋体" w:eastAsia="黑体" w:cs="黑体"/>
          <w:sz w:val="32"/>
          <w:szCs w:val="32"/>
        </w:rPr>
        <w:t>年部门预算表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keepNext w:val="0"/>
        <w:keepLines w:val="0"/>
        <w:pageBreakBefore w:val="0"/>
        <w:widowControl w:val="0"/>
        <w:kinsoku/>
        <w:wordWrap/>
        <w:overflowPunct/>
        <w:topLinePunct w:val="0"/>
        <w:autoSpaceDE/>
        <w:autoSpaceDN/>
        <w:bidi w:val="0"/>
        <w:adjustRightInd/>
        <w:snapToGrid/>
        <w:spacing w:line="660" w:lineRule="exact"/>
        <w:ind w:firstLine="1280" w:firstLineChars="400"/>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lang w:val="en-US" w:eastAsia="zh-CN"/>
        </w:rPr>
        <w:t>景德镇市退役军人事务局</w:t>
      </w:r>
      <w:r>
        <w:rPr>
          <w:rFonts w:hint="eastAsia" w:ascii="黑体" w:hAnsi="宋体" w:eastAsia="黑体" w:cs="黑体"/>
          <w:sz w:val="32"/>
          <w:szCs w:val="32"/>
        </w:rPr>
        <w:t>概况</w:t>
      </w:r>
    </w:p>
    <w:p>
      <w:pPr>
        <w:keepNext w:val="0"/>
        <w:keepLines w:val="0"/>
        <w:pageBreakBefore w:val="0"/>
        <w:kinsoku/>
        <w:wordWrap/>
        <w:overflowPunct/>
        <w:topLinePunct w:val="0"/>
        <w:autoSpaceDE/>
        <w:autoSpaceDN/>
        <w:bidi w:val="0"/>
        <w:adjustRightInd/>
        <w:snapToGrid/>
        <w:spacing w:line="240" w:lineRule="auto"/>
        <w:ind w:firstLine="630" w:firstLineChars="196"/>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景德镇市退役军人事务局是市政府工作部门，主要职责是：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(一)拟订全市退役军人思想政治、管理保障和安置优抚等工作地方性法规规章和政策并组织实施，褒扬彰显退役军人为党、国家和人民牺牲奉献的精神风范和价值导向。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(二)负责全市军队转业干部、复员干部、离休退休干部、退役士兵和无军籍退休退职职工的移交安置工作和自主择业、就业退役军人服务管理等有关工作。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 xml:space="preserve">(三)组织指导全市退役军人教育培训工作，协调扶持退役军人和随军随调家属就业创业。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b w:val="0"/>
          <w:bCs w:val="0"/>
          <w:sz w:val="32"/>
          <w:szCs w:val="32"/>
          <w:lang w:val="en-US" w:eastAsia="zh-CN"/>
        </w:rPr>
        <w:t>(四)会同有关部门拟定全市退役军人特殊保障政策并组织落实。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(五)组织协调落实军队移交我市符合条件的离休退休干部住房补贴和无军籍退休退职职工住房维修、房租补贴发放等服务保障工作，以及退役军人医疗保障、社会保险等待遇保障工作。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六)组织指导全市伤病残退役军人服务管理和抚恤工作，会同有关部门拟订有关退役军人医疗、疗养、养老等机构的规划政策并指导实施。承担不适宜继续服役的伤病残军人相关工作。组织指导军供服务保障工作。</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(七)组织指导全市拥军优属工作。负责现役军人、退役军人、军队文职人员和军属优待、抚恤等工作，落实国民党抗战老兵等有关人员优待政策。</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(八)负责烈士及退役军人荣誉奖励、军人公墓管理维护</w:t>
      </w:r>
      <w:r>
        <w:rPr>
          <w:rFonts w:hint="eastAsia" w:ascii="仿宋_GB2312" w:hAnsi="宋体" w:eastAsia="仿宋_GB2312" w:cs="仿宋_GB2312"/>
          <w:b w:val="0"/>
          <w:bCs w:val="0"/>
          <w:sz w:val="32"/>
          <w:szCs w:val="32"/>
          <w:lang w:val="en-US" w:eastAsia="zh-CN"/>
        </w:rPr>
        <w:t>、</w:t>
      </w:r>
      <w:r>
        <w:rPr>
          <w:rFonts w:hint="default" w:ascii="仿宋_GB2312" w:hAnsi="宋体" w:eastAsia="仿宋_GB2312" w:cs="仿宋_GB2312"/>
          <w:b w:val="0"/>
          <w:bCs w:val="0"/>
          <w:sz w:val="32"/>
          <w:szCs w:val="32"/>
          <w:lang w:val="en-US" w:eastAsia="zh-CN"/>
        </w:rPr>
        <w:t>纪念活动等工作，依法承担英雄烈士保护相关工作，审核拟列入市级烈士纪念设施名录，按规定总结表彰和宣扬退役军人、退役军人工作单位和个人先进典型事迹。</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(九)指导并监督检查退役军人相关法律法规和政策措施的落实，组织开展退役军人权益维护和有关人员的帮扶援助工作。指导督促所属单位进行安全管理。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(十)在征求市委组织、机构编制等部门意见基础上，牵头提出全市计划分配军队转业干部、符合条件的退役士兵的安置计划。</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w:t>
      </w:r>
      <w:r>
        <w:rPr>
          <w:rFonts w:hint="eastAsia" w:ascii="仿宋_GB2312" w:hAnsi="宋体" w:eastAsia="仿宋_GB2312" w:cs="仿宋_GB2312"/>
          <w:b w:val="0"/>
          <w:bCs w:val="0"/>
          <w:sz w:val="32"/>
          <w:szCs w:val="32"/>
          <w:lang w:val="en-US" w:eastAsia="zh-CN"/>
        </w:rPr>
        <w:t>十一</w:t>
      </w:r>
      <w:r>
        <w:rPr>
          <w:rFonts w:hint="default" w:ascii="仿宋_GB2312" w:hAnsi="宋体" w:eastAsia="仿宋_GB2312" w:cs="仿宋_GB2312"/>
          <w:b w:val="0"/>
          <w:bCs w:val="0"/>
          <w:sz w:val="32"/>
          <w:szCs w:val="32"/>
          <w:lang w:val="en-US" w:eastAsia="zh-CN"/>
        </w:rPr>
        <w:t>)完成市委、市政府交办的其他任务。</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宋体" w:eastAsia="仿宋_GB2312" w:cs="仿宋_GB2312"/>
          <w:b w:val="0"/>
          <w:bCs w:val="0"/>
          <w:sz w:val="32"/>
          <w:szCs w:val="32"/>
          <w:lang w:val="en-US" w:eastAsia="zh-CN"/>
        </w:rPr>
      </w:pPr>
      <w:r>
        <w:rPr>
          <w:rFonts w:hint="default" w:ascii="仿宋_GB2312" w:hAnsi="宋体" w:eastAsia="仿宋_GB2312" w:cs="仿宋_GB2312"/>
          <w:b w:val="0"/>
          <w:bCs w:val="0"/>
          <w:sz w:val="32"/>
          <w:szCs w:val="32"/>
          <w:lang w:val="en-US" w:eastAsia="zh-CN"/>
        </w:rPr>
        <w:t>(</w:t>
      </w:r>
      <w:r>
        <w:rPr>
          <w:rFonts w:hint="eastAsia" w:ascii="仿宋_GB2312" w:hAnsi="宋体" w:eastAsia="仿宋_GB2312" w:cs="仿宋_GB2312"/>
          <w:b w:val="0"/>
          <w:bCs w:val="0"/>
          <w:sz w:val="32"/>
          <w:szCs w:val="32"/>
          <w:lang w:val="en-US" w:eastAsia="zh-CN"/>
        </w:rPr>
        <w:t>十二</w:t>
      </w:r>
      <w:r>
        <w:rPr>
          <w:rFonts w:hint="default" w:ascii="仿宋_GB2312" w:hAnsi="宋体" w:eastAsia="仿宋_GB2312" w:cs="仿宋_GB2312"/>
          <w:b w:val="0"/>
          <w:bCs w:val="0"/>
          <w:sz w:val="32"/>
          <w:szCs w:val="32"/>
          <w:lang w:val="en-US" w:eastAsia="zh-CN"/>
        </w:rPr>
        <w:t>)职能转变。市退役军人事务局应加强全市退役军人</w:t>
      </w:r>
      <w:r>
        <w:rPr>
          <w:rFonts w:hint="eastAsia" w:ascii="仿宋_GB2312" w:hAnsi="宋体" w:eastAsia="仿宋_GB2312" w:cs="仿宋_GB2312"/>
          <w:b w:val="0"/>
          <w:bCs w:val="0"/>
          <w:sz w:val="32"/>
          <w:szCs w:val="32"/>
          <w:lang w:val="en-US" w:eastAsia="zh-CN"/>
        </w:rPr>
        <w:t>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keepNext w:val="0"/>
        <w:keepLines w:val="0"/>
        <w:pageBreakBefore w:val="0"/>
        <w:kinsoku/>
        <w:wordWrap/>
        <w:overflowPunct/>
        <w:topLinePunct w:val="0"/>
        <w:autoSpaceDE/>
        <w:autoSpaceDN/>
        <w:bidi w:val="0"/>
        <w:adjustRightInd/>
        <w:snapToGrid/>
        <w:spacing w:line="240" w:lineRule="auto"/>
        <w:ind w:firstLine="630" w:firstLineChars="196"/>
        <w:textAlignment w:val="auto"/>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二、部门基本情况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sz w:val="32"/>
          <w:szCs w:val="32"/>
        </w:rPr>
      </w:pPr>
      <w:r>
        <w:rPr>
          <w:rFonts w:hint="eastAsia" w:ascii="仿宋_GB2312" w:hAnsi="仿宋_GB2312" w:eastAsia="仿宋_GB2312" w:cs="仿宋_GB2312"/>
          <w:sz w:val="32"/>
          <w:szCs w:val="32"/>
          <w:lang w:val="en-US" w:eastAsia="zh-CN"/>
        </w:rPr>
        <w:t>景德镇市退役军人事务局</w:t>
      </w:r>
      <w:r>
        <w:rPr>
          <w:rFonts w:hint="eastAsia" w:ascii="仿宋_GB2312" w:hAnsi="仿宋_GB2312" w:eastAsia="仿宋_GB2312" w:cs="仿宋_GB2312"/>
          <w:sz w:val="32"/>
          <w:szCs w:val="32"/>
        </w:rPr>
        <w:t>共有预算单位</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包括局</w:t>
      </w:r>
      <w:r>
        <w:rPr>
          <w:rFonts w:hint="eastAsia" w:ascii="仿宋_GB2312" w:hAnsi="仿宋_GB2312" w:eastAsia="仿宋_GB2312" w:cs="仿宋_GB2312"/>
          <w:sz w:val="32"/>
          <w:szCs w:val="32"/>
        </w:rPr>
        <w:t>本级和</w:t>
      </w:r>
      <w:r>
        <w:rPr>
          <w:rFonts w:hint="eastAsia" w:ascii="仿宋_GB2312" w:hAnsi="仿宋_GB2312" w:eastAsia="仿宋_GB2312" w:cs="仿宋_GB2312"/>
          <w:sz w:val="32"/>
          <w:szCs w:val="32"/>
          <w:lang w:val="en-US" w:eastAsia="zh-CN"/>
        </w:rPr>
        <w:t>所属二级预算单位</w:t>
      </w:r>
      <w:r>
        <w:rPr>
          <w:rFonts w:hint="eastAsia" w:ascii="仿宋_GB2312" w:hAnsi="仿宋_GB2312" w:eastAsia="仿宋_GB2312" w:cs="仿宋_GB2312"/>
          <w:sz w:val="32"/>
          <w:szCs w:val="32"/>
        </w:rPr>
        <w:t>。编制数为</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其中行政编制14人、参照公务员管理事业编制8人、全额补助事业编制</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实有人数</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其中在职</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包括行政</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人、参照公务员管理5人、全额补助</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退休20人。</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宋体" w:eastAsia="黑体" w:cs="Times New Roman"/>
          <w:sz w:val="32"/>
          <w:szCs w:val="32"/>
        </w:rPr>
      </w:pPr>
      <w:r>
        <w:rPr>
          <w:rFonts w:hint="eastAsia" w:ascii="黑体" w:hAnsi="宋体" w:eastAsia="黑体" w:cs="黑体"/>
          <w:sz w:val="32"/>
          <w:szCs w:val="32"/>
        </w:rPr>
        <w:t>第二部分</w:t>
      </w:r>
      <w:r>
        <w:rPr>
          <w:rFonts w:hint="eastAsia" w:ascii="黑体" w:hAnsi="宋体" w:eastAsia="黑体" w:cs="黑体"/>
          <w:sz w:val="32"/>
          <w:szCs w:val="32"/>
          <w:lang w:val="en-US" w:eastAsia="zh-CN"/>
        </w:rPr>
        <w:t xml:space="preserve">  景德镇市退役军人事务局2021年</w:t>
      </w:r>
      <w:r>
        <w:rPr>
          <w:rFonts w:hint="eastAsia" w:ascii="黑体" w:hAnsi="宋体" w:eastAsia="黑体" w:cs="黑体"/>
          <w:sz w:val="32"/>
          <w:szCs w:val="32"/>
        </w:rPr>
        <w:t>部门预算情况说明</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一、</w:t>
      </w:r>
      <w:r>
        <w:rPr>
          <w:rFonts w:hint="eastAsia" w:ascii="仿宋_GB2312" w:hAnsi="宋体" w:eastAsia="仿宋_GB2312" w:cs="仿宋_GB2312"/>
          <w:b/>
          <w:bCs/>
          <w:sz w:val="32"/>
          <w:szCs w:val="32"/>
          <w:lang w:val="en-US" w:eastAsia="zh-CN"/>
        </w:rPr>
        <w:t>2021年</w:t>
      </w:r>
      <w:r>
        <w:rPr>
          <w:rFonts w:hint="eastAsia" w:ascii="仿宋_GB2312" w:hAnsi="宋体" w:eastAsia="仿宋_GB2312" w:cs="仿宋_GB2312"/>
          <w:b/>
          <w:bCs/>
          <w:sz w:val="32"/>
          <w:szCs w:val="32"/>
        </w:rPr>
        <w:t>部门预算收支情况说明</w:t>
      </w:r>
    </w:p>
    <w:p>
      <w:pPr>
        <w:keepNext w:val="0"/>
        <w:keepLines w:val="0"/>
        <w:pageBreakBefore w:val="0"/>
        <w:kinsoku/>
        <w:wordWrap/>
        <w:overflowPunct/>
        <w:topLinePunct w:val="0"/>
        <w:autoSpaceDE/>
        <w:autoSpaceDN/>
        <w:bidi w:val="0"/>
        <w:adjustRightInd/>
        <w:snapToGrid/>
        <w:spacing w:line="240" w:lineRule="auto"/>
        <w:ind w:firstLine="482" w:firstLineChars="15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景德镇市退役军人事务局</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收入预算总额</w:t>
      </w:r>
      <w:r>
        <w:rPr>
          <w:rFonts w:hint="eastAsia" w:ascii="仿宋_GB2312" w:hAnsi="仿宋_GB2312" w:eastAsia="仿宋_GB2312" w:cs="仿宋_GB2312"/>
          <w:sz w:val="32"/>
          <w:szCs w:val="32"/>
          <w:lang w:val="en-US" w:eastAsia="zh-CN"/>
        </w:rPr>
        <w:t>1060.18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与上年预算增加53.29万元，原因是新增一个所属二级预算单位。其中：</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当年公共财政拨款收入</w:t>
      </w:r>
      <w:r>
        <w:rPr>
          <w:rFonts w:hint="eastAsia" w:ascii="仿宋_GB2312" w:hAnsi="仿宋_GB2312" w:eastAsia="仿宋_GB2312" w:cs="仿宋_GB2312"/>
          <w:sz w:val="32"/>
          <w:szCs w:val="32"/>
          <w:lang w:val="en-US" w:eastAsia="zh-CN"/>
        </w:rPr>
        <w:t>1060.18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占收入预算总额的</w:t>
      </w:r>
      <w:r>
        <w:rPr>
          <w:rFonts w:hint="eastAsia" w:ascii="仿宋_GB2312" w:hAnsi="仿宋_GB2312" w:eastAsia="仿宋_GB2312" w:cs="仿宋_GB2312"/>
          <w:sz w:val="32"/>
          <w:szCs w:val="32"/>
          <w:lang w:val="en-US" w:eastAsia="zh-CN"/>
        </w:rPr>
        <w:t>100%；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2、无</w:t>
      </w:r>
      <w:r>
        <w:rPr>
          <w:rFonts w:hint="eastAsia" w:ascii="仿宋_GB2312" w:hAnsi="仿宋_GB2312" w:eastAsia="仿宋_GB2312" w:cs="仿宋_GB2312"/>
          <w:sz w:val="32"/>
          <w:szCs w:val="32"/>
        </w:rPr>
        <w:t>上年结转</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482" w:firstLineChars="15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b w:val="0"/>
          <w:bCs w:val="0"/>
          <w:sz w:val="32"/>
          <w:szCs w:val="32"/>
          <w:lang w:val="en-US" w:eastAsia="zh-CN"/>
        </w:rPr>
        <w:t>景德镇市退役军人事务局</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支出预算总额</w:t>
      </w:r>
      <w:r>
        <w:rPr>
          <w:rFonts w:hint="eastAsia" w:ascii="仿宋_GB2312" w:hAnsi="仿宋_GB2312" w:eastAsia="仿宋_GB2312" w:cs="仿宋_GB2312"/>
          <w:sz w:val="32"/>
          <w:szCs w:val="32"/>
          <w:lang w:val="en-US" w:eastAsia="zh-CN"/>
        </w:rPr>
        <w:t>1060.18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与上年预算增加53.29万元，原因是新增一个所属二级预算单位。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按支出项目类别划分:基本支出</w:t>
      </w:r>
      <w:r>
        <w:rPr>
          <w:rFonts w:hint="eastAsia" w:ascii="仿宋_GB2312" w:hAnsi="仿宋_GB2312" w:eastAsia="仿宋_GB2312" w:cs="仿宋_GB2312"/>
          <w:sz w:val="32"/>
          <w:szCs w:val="32"/>
          <w:lang w:val="en-US" w:eastAsia="zh-CN"/>
        </w:rPr>
        <w:t>680.18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占支出预算总额的</w:t>
      </w:r>
      <w:r>
        <w:rPr>
          <w:rFonts w:hint="eastAsia" w:ascii="仿宋_GB2312" w:hAnsi="仿宋_GB2312" w:eastAsia="仿宋_GB2312" w:cs="仿宋_GB2312"/>
          <w:sz w:val="32"/>
          <w:szCs w:val="32"/>
          <w:lang w:val="en-US" w:eastAsia="zh-CN"/>
        </w:rPr>
        <w:t>64.16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551.78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126.6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对个人和家庭的补助支出1.8万元；项目支出380万元，占支出总额的35.84%。</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按支出功能项目科目划分：社会保障和就业支出975.69万元，占支出预算总额的92.03%；卫生健康支出37.47万元，占支出预算总额的3.53%；住房保障支出47.02万元，占支出预算总额的4.44%。</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s="Times New Roman"/>
          <w:sz w:val="32"/>
          <w:szCs w:val="32"/>
        </w:rPr>
      </w:pPr>
      <w:r>
        <w:rPr>
          <w:rFonts w:hint="eastAsia" w:ascii="仿宋_GB2312" w:hAnsi="仿宋_GB2312" w:eastAsia="仿宋_GB2312" w:cs="仿宋_GB2312"/>
          <w:sz w:val="32"/>
          <w:szCs w:val="32"/>
          <w:lang w:val="en-US" w:eastAsia="zh-CN"/>
        </w:rPr>
        <w:t>按支出经济分类划分：</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551.78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占支出预算总额的52.05%；</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126.6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占支出预算总额的11.94%；对个人和家庭的补助支出1.8万元，占支出预算总额的0.17%；项目支出380万元，占支出总额的35.84%。</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b/>
          <w:color w:val="000000"/>
          <w:sz w:val="32"/>
          <w:szCs w:val="32"/>
        </w:rPr>
      </w:pPr>
      <w:r>
        <w:rPr>
          <w:rFonts w:hint="eastAsia" w:ascii="仿宋_GB2312" w:hAnsi="宋体" w:eastAsia="仿宋_GB2312" w:cs="仿宋_GB2312"/>
          <w:b/>
          <w:bCs/>
          <w:sz w:val="32"/>
          <w:szCs w:val="32"/>
        </w:rPr>
        <w:t>（三）</w:t>
      </w:r>
      <w:r>
        <w:rPr>
          <w:rFonts w:hint="eastAsia" w:ascii="仿宋_GB2312" w:eastAsia="仿宋_GB2312"/>
          <w:b/>
          <w:color w:val="000000"/>
          <w:sz w:val="32"/>
          <w:szCs w:val="32"/>
        </w:rPr>
        <w:t>财政拨款支出情况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景德镇市退役军人事务局</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公共财政拨款支出预算为</w:t>
      </w:r>
      <w:r>
        <w:rPr>
          <w:rFonts w:hint="eastAsia" w:ascii="仿宋_GB2312" w:hAnsi="仿宋_GB2312" w:eastAsia="仿宋_GB2312" w:cs="仿宋_GB2312"/>
          <w:sz w:val="32"/>
          <w:szCs w:val="32"/>
          <w:lang w:val="en-US" w:eastAsia="zh-CN"/>
        </w:rPr>
        <w:t>1060.18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上年预算增加53.29万元，原因是新增一个所属二级预算单位。具体支出情况是：社会保障和就业支出975.69万元，占支出预算总额的92.03%；卫生健康支出37.47万元，占支出预算总额的3.53%；住房保障支出47.02万元，占支出预算总额的4.44%。</w:t>
      </w:r>
    </w:p>
    <w:p>
      <w:pPr>
        <w:keepNext w:val="0"/>
        <w:keepLines w:val="0"/>
        <w:pageBreakBefore w:val="0"/>
        <w:numPr>
          <w:ilvl w:val="0"/>
          <w:numId w:val="2"/>
        </w:numPr>
        <w:kinsoku/>
        <w:wordWrap/>
        <w:overflowPunct/>
        <w:topLinePunct w:val="0"/>
        <w:autoSpaceDE/>
        <w:autoSpaceDN/>
        <w:bidi w:val="0"/>
        <w:adjustRightInd/>
        <w:snapToGrid/>
        <w:spacing w:line="240" w:lineRule="auto"/>
        <w:ind w:left="54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keepNext w:val="0"/>
        <w:keepLines w:val="0"/>
        <w:pageBreakBefore w:val="0"/>
        <w:tabs>
          <w:tab w:val="left" w:pos="1162"/>
        </w:tabs>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政府采购预算为43.9万元，其中：部门集中采购货物43.9万元，与上年预算减少0.05万元，原因是物价浮动的预估差额。2021年政府购买服务预算5万元，比上年预算增加5万元，原因是临时工作人员通过政府购买服务聘用。</w:t>
      </w:r>
    </w:p>
    <w:p>
      <w:pPr>
        <w:keepNext w:val="0"/>
        <w:keepLines w:val="0"/>
        <w:pageBreakBefore w:val="0"/>
        <w:tabs>
          <w:tab w:val="left" w:pos="1162"/>
        </w:tabs>
        <w:kinsoku/>
        <w:wordWrap/>
        <w:overflowPunct/>
        <w:topLinePunct w:val="0"/>
        <w:autoSpaceDE/>
        <w:autoSpaceDN/>
        <w:bidi w:val="0"/>
        <w:adjustRightInd/>
        <w:snapToGrid/>
        <w:spacing w:line="240" w:lineRule="auto"/>
        <w:ind w:firstLine="643" w:firstLineChars="200"/>
        <w:textAlignment w:val="auto"/>
        <w:rPr>
          <w:rFonts w:ascii="仿宋_GB2312" w:eastAsia="仿宋_GB2312" w:cs="Times New Roman"/>
          <w:b/>
          <w:bCs/>
          <w:sz w:val="32"/>
          <w:szCs w:val="32"/>
        </w:rPr>
      </w:pPr>
      <w:r>
        <w:rPr>
          <w:rFonts w:hint="eastAsia" w:ascii="仿宋_GB2312" w:hAnsi="宋体" w:eastAsia="仿宋_GB2312" w:cs="仿宋_GB2312"/>
          <w:b/>
          <w:bCs/>
          <w:sz w:val="32"/>
          <w:szCs w:val="32"/>
        </w:rPr>
        <w:t>（五）政府基金收支情况</w:t>
      </w:r>
    </w:p>
    <w:p>
      <w:pPr>
        <w:keepNext w:val="0"/>
        <w:keepLines w:val="0"/>
        <w:pageBreakBefore w:val="0"/>
        <w:numPr>
          <w:ilvl w:val="0"/>
          <w:numId w:val="0"/>
        </w:numPr>
        <w:tabs>
          <w:tab w:val="left" w:pos="1162"/>
        </w:tabs>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rPr>
        <w:t>无政府基金收支预算</w:t>
      </w:r>
      <w:r>
        <w:rPr>
          <w:rFonts w:hint="eastAsia" w:ascii="仿宋_GB2312" w:hAnsi="宋体" w:eastAsia="仿宋_GB2312" w:cs="仿宋_GB2312"/>
          <w:color w:val="auto"/>
          <w:sz w:val="32"/>
          <w:szCs w:val="32"/>
          <w:lang w:eastAsia="zh-CN"/>
        </w:rPr>
        <w:t>。</w:t>
      </w:r>
    </w:p>
    <w:p>
      <w:pPr>
        <w:keepNext w:val="0"/>
        <w:keepLines w:val="0"/>
        <w:pageBreakBefore w:val="0"/>
        <w:numPr>
          <w:ilvl w:val="0"/>
          <w:numId w:val="0"/>
        </w:numPr>
        <w:tabs>
          <w:tab w:val="left" w:pos="1162"/>
        </w:tabs>
        <w:kinsoku/>
        <w:wordWrap/>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lang w:val="en-US" w:eastAsia="zh-CN"/>
        </w:rPr>
        <w:t>（六）机关运行经费等重要事项的说明</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val="en-US" w:eastAsia="zh-CN"/>
        </w:rPr>
        <w:t>景德镇市退役军人事务局</w:t>
      </w:r>
      <w:r>
        <w:rPr>
          <w:rFonts w:hint="eastAsia" w:ascii="仿宋_GB2312" w:hAnsi="宋体" w:eastAsia="仿宋_GB2312" w:cs="仿宋_GB2312"/>
          <w:color w:val="auto"/>
          <w:sz w:val="32"/>
          <w:szCs w:val="32"/>
          <w:lang w:val="en-US" w:eastAsia="zh-CN"/>
        </w:rPr>
        <w:t>机关运行经费预算126.6万元，</w:t>
      </w:r>
      <w:r>
        <w:rPr>
          <w:rFonts w:hint="eastAsia" w:ascii="仿宋_GB2312" w:hAnsi="仿宋_GB2312" w:eastAsia="仿宋_GB2312" w:cs="仿宋_GB2312"/>
          <w:sz w:val="32"/>
          <w:szCs w:val="32"/>
          <w:lang w:val="en-US" w:eastAsia="zh-CN"/>
        </w:rPr>
        <w:t>与上年预算数相比增加82.65万元，原因是新增一个所属二级预算单位。</w:t>
      </w:r>
    </w:p>
    <w:p>
      <w:pPr>
        <w:numPr>
          <w:ilvl w:val="0"/>
          <w:numId w:val="0"/>
        </w:numPr>
        <w:ind w:firstLine="643" w:firstLineChars="200"/>
        <w:jc w:val="left"/>
        <w:rPr>
          <w:rFonts w:hint="eastAsia" w:ascii="仿宋" w:hAnsi="仿宋" w:eastAsia="仿宋"/>
          <w:b/>
          <w:bCs/>
          <w:kern w:val="0"/>
          <w:sz w:val="32"/>
          <w:szCs w:val="32"/>
          <w:lang w:val="en-US" w:eastAsia="zh-CN"/>
        </w:rPr>
      </w:pPr>
      <w:r>
        <w:rPr>
          <w:rFonts w:hint="eastAsia" w:ascii="仿宋" w:hAnsi="仿宋" w:eastAsia="仿宋"/>
          <w:b/>
          <w:bCs/>
          <w:kern w:val="0"/>
          <w:sz w:val="32"/>
          <w:szCs w:val="32"/>
          <w:lang w:val="en-US" w:eastAsia="zh-CN"/>
        </w:rPr>
        <w:t>（七）国有资产占用情况说明</w:t>
      </w:r>
    </w:p>
    <w:p>
      <w:pPr>
        <w:ind w:firstLine="630"/>
        <w:jc w:val="left"/>
        <w:rPr>
          <w:rFonts w:hint="eastAsia" w:ascii="仿宋_GB2312" w:hAnsi="宋体" w:eastAsia="仿宋_GB2312" w:cs="仿宋_GB2312"/>
          <w:color w:val="auto"/>
          <w:sz w:val="32"/>
          <w:szCs w:val="32"/>
          <w:lang w:eastAsia="zh-CN"/>
        </w:rPr>
      </w:pPr>
      <w:r>
        <w:rPr>
          <w:rFonts w:hint="eastAsia" w:ascii="仿宋" w:hAnsi="仿宋" w:eastAsia="仿宋"/>
          <w:kern w:val="0"/>
          <w:sz w:val="30"/>
          <w:szCs w:val="30"/>
        </w:rPr>
        <w:t>20</w:t>
      </w:r>
      <w:r>
        <w:rPr>
          <w:rFonts w:hint="eastAsia" w:ascii="仿宋" w:hAnsi="仿宋" w:eastAsia="仿宋"/>
          <w:kern w:val="0"/>
          <w:sz w:val="30"/>
          <w:szCs w:val="30"/>
          <w:lang w:val="en-US" w:eastAsia="zh-CN"/>
        </w:rPr>
        <w:t>21</w:t>
      </w:r>
      <w:r>
        <w:rPr>
          <w:rFonts w:hint="eastAsia" w:ascii="仿宋" w:hAnsi="仿宋" w:eastAsia="仿宋"/>
          <w:kern w:val="0"/>
          <w:sz w:val="30"/>
          <w:szCs w:val="30"/>
        </w:rPr>
        <w:t xml:space="preserve">年本部门共有车辆 </w:t>
      </w:r>
      <w:r>
        <w:rPr>
          <w:rFonts w:hint="eastAsia" w:ascii="仿宋_GB2312" w:hAnsi="宋体" w:eastAsia="仿宋_GB2312" w:cs="仿宋_GB2312"/>
          <w:sz w:val="32"/>
          <w:szCs w:val="32"/>
          <w:lang w:val="en-US" w:eastAsia="zh-CN"/>
        </w:rPr>
        <w:t xml:space="preserve">2 </w:t>
      </w:r>
      <w:r>
        <w:rPr>
          <w:rFonts w:hint="eastAsia" w:ascii="仿宋" w:hAnsi="仿宋" w:eastAsia="仿宋"/>
          <w:kern w:val="0"/>
          <w:sz w:val="30"/>
          <w:szCs w:val="30"/>
        </w:rPr>
        <w:t>辆；单位价值50万元以上通用设备台</w:t>
      </w:r>
      <w:r>
        <w:rPr>
          <w:rFonts w:hint="eastAsia" w:ascii="仿宋_GB2312" w:hAnsi="宋体" w:eastAsia="仿宋_GB2312" w:cs="仿宋_GB2312"/>
          <w:sz w:val="32"/>
          <w:szCs w:val="32"/>
          <w:lang w:val="en-US" w:eastAsia="zh-CN"/>
        </w:rPr>
        <w:t xml:space="preserve">0 </w:t>
      </w:r>
      <w:r>
        <w:rPr>
          <w:rFonts w:hint="eastAsia" w:ascii="仿宋" w:hAnsi="仿宋" w:eastAsia="仿宋"/>
          <w:kern w:val="0"/>
          <w:sz w:val="30"/>
          <w:szCs w:val="30"/>
        </w:rPr>
        <w:t>（套）；单位价值100万元以上专用设备台</w:t>
      </w:r>
      <w:r>
        <w:rPr>
          <w:rFonts w:hint="eastAsia" w:ascii="仿宋_GB2312" w:hAnsi="宋体" w:eastAsia="仿宋_GB2312" w:cs="仿宋_GB2312"/>
          <w:sz w:val="32"/>
          <w:szCs w:val="32"/>
          <w:lang w:val="en-US" w:eastAsia="zh-CN"/>
        </w:rPr>
        <w:t xml:space="preserve">0 </w:t>
      </w:r>
      <w:r>
        <w:rPr>
          <w:rFonts w:hint="eastAsia" w:ascii="仿宋" w:hAnsi="仿宋" w:eastAsia="仿宋"/>
          <w:kern w:val="0"/>
          <w:sz w:val="30"/>
          <w:szCs w:val="30"/>
        </w:rPr>
        <w:t>（套）。</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八</w:t>
      </w:r>
      <w:r>
        <w:rPr>
          <w:rFonts w:hint="eastAsia" w:ascii="仿宋_GB2312" w:hAnsi="宋体" w:eastAsia="仿宋_GB2312" w:cs="仿宋_GB2312"/>
          <w:b/>
          <w:bCs/>
          <w:sz w:val="32"/>
          <w:szCs w:val="32"/>
        </w:rPr>
        <w:t>）</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pStyle w:val="2"/>
        <w:numPr>
          <w:ilvl w:val="0"/>
          <w:numId w:val="0"/>
        </w:numPr>
        <w:rPr>
          <w:rFonts w:hint="default"/>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2021年部门整体绩效目标1：退役士兵安置工作完成；部门整体绩效目标2：完成特殊时点（春节、八一等）走访慰问工作；部门整体绩效目标3：日常信访维稳工作开展。部门预算共计1060.18万元，其中人员经费551.78万元，公用经费128.4万元，项目经费380万元。</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val="en-US" w:eastAsia="zh-CN"/>
        </w:rPr>
        <w:t>1</w:t>
      </w:r>
      <w:r>
        <w:rPr>
          <w:rFonts w:hint="eastAsia" w:ascii="仿宋_GB2312" w:hAnsi="宋体" w:eastAsia="仿宋_GB2312" w:cs="仿宋_GB2312"/>
          <w:b/>
          <w:bCs/>
          <w:sz w:val="32"/>
          <w:szCs w:val="32"/>
        </w:rPr>
        <w:t>）</w:t>
      </w:r>
      <w:r>
        <w:rPr>
          <w:rFonts w:hint="eastAsia" w:ascii="仿宋_GB2312" w:eastAsia="仿宋_GB2312"/>
          <w:b/>
          <w:bCs/>
          <w:color w:val="000000"/>
          <w:sz w:val="32"/>
          <w:szCs w:val="30"/>
        </w:rPr>
        <w:t>一级</w:t>
      </w:r>
      <w:r>
        <w:rPr>
          <w:rFonts w:hint="eastAsia" w:ascii="仿宋_GB2312" w:eastAsia="仿宋_GB2312"/>
          <w:b/>
          <w:color w:val="000000"/>
          <w:sz w:val="32"/>
          <w:szCs w:val="30"/>
        </w:rPr>
        <w:t>项目绩效目标设置情况</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2021年实行绩效目标管理的一级项目1个，涉及资金380万元，其中：二级项目2个（部门预算中100万元以上的，且进行了绩效评审的项目2个 ，涉及资金380万元），涉及资金380万元。  </w:t>
      </w:r>
    </w:p>
    <w:p>
      <w:pPr>
        <w:widowControl/>
        <w:spacing w:line="600" w:lineRule="exact"/>
        <w:ind w:firstLine="643" w:firstLineChars="200"/>
        <w:jc w:val="left"/>
        <w:rPr>
          <w:rFonts w:ascii="仿宋_GB2312" w:eastAsia="仿宋_GB2312"/>
          <w:b/>
          <w:color w:val="000000"/>
          <w:sz w:val="32"/>
          <w:szCs w:val="30"/>
        </w:rPr>
      </w:pPr>
      <w:r>
        <w:rPr>
          <w:rFonts w:hint="eastAsia" w:ascii="仿宋_GB2312" w:eastAsia="仿宋_GB2312"/>
          <w:b/>
          <w:color w:val="000000"/>
          <w:sz w:val="32"/>
          <w:szCs w:val="30"/>
        </w:rPr>
        <w:t>（</w:t>
      </w:r>
      <w:r>
        <w:rPr>
          <w:rFonts w:hint="eastAsia" w:ascii="仿宋_GB2312" w:eastAsia="仿宋_GB2312"/>
          <w:b/>
          <w:color w:val="000000"/>
          <w:sz w:val="32"/>
          <w:szCs w:val="30"/>
          <w:lang w:val="en-US" w:eastAsia="zh-CN"/>
        </w:rPr>
        <w:t>2</w:t>
      </w:r>
      <w:r>
        <w:rPr>
          <w:rFonts w:hint="eastAsia" w:ascii="仿宋_GB2312" w:eastAsia="仿宋_GB2312"/>
          <w:b/>
          <w:color w:val="000000"/>
          <w:sz w:val="32"/>
          <w:szCs w:val="30"/>
        </w:rPr>
        <w:t>）</w:t>
      </w:r>
      <w:r>
        <w:rPr>
          <w:rFonts w:hint="eastAsia" w:ascii="仿宋_GB2312" w:eastAsia="仿宋_GB2312"/>
          <w:b/>
          <w:color w:val="000000"/>
          <w:sz w:val="32"/>
          <w:szCs w:val="30"/>
          <w:lang w:val="en-US" w:eastAsia="zh-CN"/>
        </w:rPr>
        <w:t>景德镇市退役军人事务局</w:t>
      </w:r>
      <w:r>
        <w:rPr>
          <w:rFonts w:hint="eastAsia" w:ascii="仿宋_GB2312" w:eastAsia="仿宋_GB2312"/>
          <w:b/>
          <w:color w:val="000000"/>
          <w:sz w:val="32"/>
          <w:szCs w:val="30"/>
        </w:rPr>
        <w:t>一级项目中各二级项目情况说明（部门本级）</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1.退役士兵安置经费二级项目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述：根据《江西省人民政府办公厅关于做好自主就业退役士兵一次性经济补助工作的通知》（赣府厅字〔2013〕7号）和《景德镇市市本级城镇退役士兵安置暂行办法》的有关规定，当年退役士兵接收安置总数确定应发放经济补助的人数，对在部队选择自主就业的退役士兵补助标准4500元/年；对在部队未选择自主就业的退役士兵，办理自谋职业发放标准为义务期20000元，每超期服役一年补助3000元执行。</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2）立项依据：《江西省人民政府办公厅关于做好自主就业退役士兵一次性经济补助工作的通知》（赣府厅字〔2013〕7号）</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3）实施主体：景德镇市退役军人事务局</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4）实施方案：根据有关规定，合理合规发放补助</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5）实施周期：1年</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6）年度预算安排：280万元</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7）绩效目标和指标：目标1：自主就业退役士兵应收尽收率100%；目标2：自谋职业退役士兵应收尽收率100%；目标3：自主就业退役士兵补助发放合规率100%；目标4：自谋职业退役士兵补助发放合规率100%。</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2.春节及“八一”走访慰问专项经费二级项目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1）项目概述：用于市委市政府领导春节及“八一”走访慰问部队及市委市政府领导走访慰问老战士和部分重点优抚对象经费。</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2）立项依据：实际工作需要</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3）实施主体：景德镇市退役军人事务局</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4）实施方案：根据有关规定，特殊时间节点进行走访慰问。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5）实施周期：1年</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6）年度预算安排：100万元</w:t>
      </w:r>
    </w:p>
    <w:p>
      <w:pPr>
        <w:keepNext w:val="0"/>
        <w:keepLines w:val="0"/>
        <w:pageBreakBefore w:val="0"/>
        <w:tabs>
          <w:tab w:val="left" w:pos="1113"/>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7）绩效目标和指标：目标1：完成走访慰问部队；目标2：完成走访慰问烈士遗属、抗日战争战士等对象。</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lang w:eastAsia="zh-CN"/>
        </w:rPr>
        <w:t>二、</w:t>
      </w:r>
      <w:r>
        <w:rPr>
          <w:rFonts w:hint="eastAsia" w:ascii="仿宋_GB2312" w:hAnsi="宋体" w:eastAsia="仿宋_GB2312" w:cs="仿宋_GB2312"/>
          <w:b/>
          <w:bCs/>
          <w:sz w:val="32"/>
          <w:szCs w:val="32"/>
        </w:rPr>
        <w:t>2021年“三公”经费预算</w:t>
      </w:r>
      <w:r>
        <w:rPr>
          <w:rFonts w:hint="eastAsia" w:ascii="仿宋_GB2312" w:hAnsi="宋体" w:eastAsia="仿宋_GB2312" w:cs="仿宋_GB2312"/>
          <w:b/>
          <w:bCs/>
          <w:sz w:val="32"/>
          <w:szCs w:val="32"/>
          <w:lang w:eastAsia="zh-CN"/>
        </w:rPr>
        <w:t>增减变化原因</w:t>
      </w:r>
      <w:r>
        <w:rPr>
          <w:rFonts w:hint="eastAsia" w:ascii="仿宋_GB2312" w:hAnsi="宋体" w:eastAsia="仿宋_GB2312" w:cs="仿宋_GB2312"/>
          <w:b/>
          <w:bCs/>
          <w:sz w:val="32"/>
          <w:szCs w:val="32"/>
        </w:rPr>
        <w:t>情况说明</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2021年景德镇市退役军人事务局“三公”经费年初预算安排9.88万元。其中：公务接待费4.7万元，与上年比较增加0.5万元，原因是下属单位新增该项经费预算。公务用车运行维护费5.18万元，与上年比较无增减变动。</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eastAsia="zh-CN"/>
        </w:rPr>
        <w:t>景德镇市退役军人事务局</w:t>
      </w:r>
      <w:r>
        <w:rPr>
          <w:rFonts w:hint="eastAsia" w:ascii="黑体" w:hAnsi="宋体" w:eastAsia="黑体" w:cs="黑体"/>
          <w:sz w:val="32"/>
          <w:szCs w:val="32"/>
          <w:lang w:val="en-US" w:eastAsia="zh-CN"/>
        </w:rPr>
        <w:t>2021年</w:t>
      </w:r>
      <w:r>
        <w:rPr>
          <w:rFonts w:hint="eastAsia" w:ascii="黑体" w:hAnsi="宋体" w:eastAsia="黑体" w:cs="黑体"/>
          <w:sz w:val="32"/>
          <w:szCs w:val="32"/>
        </w:rPr>
        <w:t>部门预算表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黑体" w:hAnsi="宋体" w:eastAsia="黑体" w:cs="黑体"/>
          <w:sz w:val="32"/>
          <w:szCs w:val="32"/>
          <w:lang w:eastAsia="zh-CN"/>
        </w:rPr>
      </w:pPr>
      <w:r>
        <w:rPr>
          <w:rFonts w:hint="eastAsia" w:ascii="黑体" w:hAnsi="宋体" w:eastAsia="黑体" w:cs="黑体"/>
          <w:sz w:val="32"/>
          <w:szCs w:val="32"/>
          <w:lang w:eastAsia="zh-CN"/>
        </w:rPr>
        <w:drawing>
          <wp:inline distT="0" distB="0" distL="114300" distR="114300">
            <wp:extent cx="5264785" cy="2741295"/>
            <wp:effectExtent l="0" t="0" r="12065" b="1905"/>
            <wp:docPr id="1" name="图片 1" descr="1624436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4436067(1)"/>
                    <pic:cNvPicPr>
                      <a:picLocks noChangeAspect="1"/>
                    </pic:cNvPicPr>
                  </pic:nvPicPr>
                  <pic:blipFill>
                    <a:blip r:embed="rId5"/>
                    <a:stretch>
                      <a:fillRect/>
                    </a:stretch>
                  </pic:blipFill>
                  <pic:spPr>
                    <a:xfrm>
                      <a:off x="0" y="0"/>
                      <a:ext cx="5264785" cy="2741295"/>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71770" cy="3745865"/>
            <wp:effectExtent l="0" t="0" r="5080" b="6985"/>
            <wp:docPr id="2" name="图片 2" descr="1624436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4436099(1)"/>
                    <pic:cNvPicPr>
                      <a:picLocks noChangeAspect="1"/>
                    </pic:cNvPicPr>
                  </pic:nvPicPr>
                  <pic:blipFill>
                    <a:blip r:embed="rId6"/>
                    <a:stretch>
                      <a:fillRect/>
                    </a:stretch>
                  </pic:blipFill>
                  <pic:spPr>
                    <a:xfrm>
                      <a:off x="0" y="0"/>
                      <a:ext cx="5271770" cy="3745865"/>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69230" cy="3268345"/>
            <wp:effectExtent l="0" t="0" r="7620" b="8255"/>
            <wp:docPr id="14" name="图片 14" descr="1623916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23916673(1)"/>
                    <pic:cNvPicPr>
                      <a:picLocks noChangeAspect="1"/>
                    </pic:cNvPicPr>
                  </pic:nvPicPr>
                  <pic:blipFill>
                    <a:blip r:embed="rId7"/>
                    <a:stretch>
                      <a:fillRect/>
                    </a:stretch>
                  </pic:blipFill>
                  <pic:spPr>
                    <a:xfrm>
                      <a:off x="0" y="0"/>
                      <a:ext cx="5269230" cy="3268345"/>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71135" cy="2154555"/>
            <wp:effectExtent l="0" t="0" r="5715" b="17145"/>
            <wp:docPr id="3" name="图片 3" descr="1624436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4436126(1)"/>
                    <pic:cNvPicPr>
                      <a:picLocks noChangeAspect="1"/>
                    </pic:cNvPicPr>
                  </pic:nvPicPr>
                  <pic:blipFill>
                    <a:blip r:embed="rId8"/>
                    <a:stretch>
                      <a:fillRect/>
                    </a:stretch>
                  </pic:blipFill>
                  <pic:spPr>
                    <a:xfrm>
                      <a:off x="0" y="0"/>
                      <a:ext cx="5271135" cy="2154555"/>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69865" cy="3756660"/>
            <wp:effectExtent l="0" t="0" r="6985" b="15240"/>
            <wp:docPr id="16" name="图片 16" descr="16239167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23916722(1)"/>
                    <pic:cNvPicPr>
                      <a:picLocks noChangeAspect="1"/>
                    </pic:cNvPicPr>
                  </pic:nvPicPr>
                  <pic:blipFill>
                    <a:blip r:embed="rId9"/>
                    <a:stretch>
                      <a:fillRect/>
                    </a:stretch>
                  </pic:blipFill>
                  <pic:spPr>
                    <a:xfrm>
                      <a:off x="0" y="0"/>
                      <a:ext cx="5269865" cy="3756660"/>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65420" cy="4885055"/>
            <wp:effectExtent l="0" t="0" r="11430" b="10795"/>
            <wp:docPr id="17" name="图片 17" descr="1623916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23916768(1)"/>
                    <pic:cNvPicPr>
                      <a:picLocks noChangeAspect="1"/>
                    </pic:cNvPicPr>
                  </pic:nvPicPr>
                  <pic:blipFill>
                    <a:blip r:embed="rId10"/>
                    <a:stretch>
                      <a:fillRect/>
                    </a:stretch>
                  </pic:blipFill>
                  <pic:spPr>
                    <a:xfrm>
                      <a:off x="0" y="0"/>
                      <a:ext cx="5265420" cy="4885055"/>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73675" cy="995680"/>
            <wp:effectExtent l="0" t="0" r="3175" b="13970"/>
            <wp:docPr id="18" name="图片 18" descr="1623916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23916786(1)"/>
                    <pic:cNvPicPr>
                      <a:picLocks noChangeAspect="1"/>
                    </pic:cNvPicPr>
                  </pic:nvPicPr>
                  <pic:blipFill>
                    <a:blip r:embed="rId11"/>
                    <a:stretch>
                      <a:fillRect/>
                    </a:stretch>
                  </pic:blipFill>
                  <pic:spPr>
                    <a:xfrm>
                      <a:off x="0" y="0"/>
                      <a:ext cx="5273675" cy="995680"/>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70500" cy="1285240"/>
            <wp:effectExtent l="0" t="0" r="6350" b="10160"/>
            <wp:docPr id="19" name="图片 19" descr="1623916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23916801(1)"/>
                    <pic:cNvPicPr>
                      <a:picLocks noChangeAspect="1"/>
                    </pic:cNvPicPr>
                  </pic:nvPicPr>
                  <pic:blipFill>
                    <a:blip r:embed="rId12"/>
                    <a:stretch>
                      <a:fillRect/>
                    </a:stretch>
                  </pic:blipFill>
                  <pic:spPr>
                    <a:xfrm>
                      <a:off x="0" y="0"/>
                      <a:ext cx="5270500" cy="1285240"/>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69865" cy="8402955"/>
            <wp:effectExtent l="0" t="0" r="6985" b="17145"/>
            <wp:docPr id="20" name="图片 20" descr="1623916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23916827(1)"/>
                    <pic:cNvPicPr>
                      <a:picLocks noChangeAspect="1"/>
                    </pic:cNvPicPr>
                  </pic:nvPicPr>
                  <pic:blipFill>
                    <a:blip r:embed="rId13"/>
                    <a:stretch>
                      <a:fillRect/>
                    </a:stretch>
                  </pic:blipFill>
                  <pic:spPr>
                    <a:xfrm>
                      <a:off x="0" y="0"/>
                      <a:ext cx="5269865" cy="8402955"/>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081905" cy="8860790"/>
            <wp:effectExtent l="0" t="0" r="4445" b="16510"/>
            <wp:docPr id="21" name="图片 21" descr="1623916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623916846(1)"/>
                    <pic:cNvPicPr>
                      <a:picLocks noChangeAspect="1"/>
                    </pic:cNvPicPr>
                  </pic:nvPicPr>
                  <pic:blipFill>
                    <a:blip r:embed="rId14"/>
                    <a:stretch>
                      <a:fillRect/>
                    </a:stretch>
                  </pic:blipFill>
                  <pic:spPr>
                    <a:xfrm>
                      <a:off x="0" y="0"/>
                      <a:ext cx="5081905" cy="8860790"/>
                    </a:xfrm>
                    <a:prstGeom prst="rect">
                      <a:avLst/>
                    </a:prstGeom>
                  </pic:spPr>
                </pic:pic>
              </a:graphicData>
            </a:graphic>
          </wp:inline>
        </w:drawing>
      </w:r>
      <w:r>
        <w:rPr>
          <w:rFonts w:hint="eastAsia" w:ascii="黑体" w:hAnsi="宋体" w:eastAsia="黑体" w:cs="黑体"/>
          <w:sz w:val="32"/>
          <w:szCs w:val="32"/>
          <w:lang w:eastAsia="zh-CN"/>
        </w:rPr>
        <w:drawing>
          <wp:inline distT="0" distB="0" distL="114300" distR="114300">
            <wp:extent cx="5269230" cy="7686040"/>
            <wp:effectExtent l="0" t="0" r="7620" b="10160"/>
            <wp:docPr id="22" name="图片 22" descr="1623916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23916863(1)"/>
                    <pic:cNvPicPr>
                      <a:picLocks noChangeAspect="1"/>
                    </pic:cNvPicPr>
                  </pic:nvPicPr>
                  <pic:blipFill>
                    <a:blip r:embed="rId15"/>
                    <a:stretch>
                      <a:fillRect/>
                    </a:stretch>
                  </pic:blipFill>
                  <pic:spPr>
                    <a:xfrm>
                      <a:off x="0" y="0"/>
                      <a:ext cx="5269230" cy="7686040"/>
                    </a:xfrm>
                    <a:prstGeom prst="rect">
                      <a:avLst/>
                    </a:prstGeom>
                  </pic:spPr>
                </pic:pic>
              </a:graphicData>
            </a:graphic>
          </wp:inline>
        </w:drawing>
      </w:r>
    </w:p>
    <w:p>
      <w:pPr>
        <w:pStyle w:val="2"/>
        <w:rPr>
          <w:rFonts w:hint="eastAsia" w:ascii="黑体" w:hAnsi="宋体" w:eastAsia="黑体" w:cs="黑体"/>
          <w:sz w:val="32"/>
          <w:szCs w:val="32"/>
          <w:lang w:eastAsia="zh-CN"/>
        </w:rPr>
      </w:pPr>
    </w:p>
    <w:p>
      <w:pPr>
        <w:pStyle w:val="2"/>
        <w:rPr>
          <w:rFonts w:hint="eastAsia" w:ascii="黑体" w:hAnsi="宋体" w:eastAsia="黑体" w:cs="黑体"/>
          <w:sz w:val="32"/>
          <w:szCs w:val="32"/>
          <w:lang w:eastAsia="zh-CN"/>
        </w:rPr>
      </w:pPr>
    </w:p>
    <w:p>
      <w:pPr>
        <w:pStyle w:val="2"/>
        <w:rPr>
          <w:rFonts w:hint="eastAsia" w:ascii="黑体" w:hAnsi="宋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（七）用事业基金弥补收支差额：填列事业单位用事业基金弥补2021年收支差额的数额。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（八）上年结转和结余：填列2020年全部结转和结余的资金数，包括当年结转结余资金和历年滚存结转结余资金。</w:t>
      </w:r>
    </w:p>
    <w:p>
      <w:pPr>
        <w:keepNext w:val="0"/>
        <w:keepLines w:val="0"/>
        <w:pageBreakBefore w:val="0"/>
        <w:widowControl/>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b/>
          <w:bCs/>
          <w:color w:val="000000"/>
          <w:sz w:val="32"/>
          <w:szCs w:val="32"/>
        </w:rPr>
      </w:pPr>
      <w:r>
        <w:rPr>
          <w:rFonts w:hint="eastAsia" w:ascii="仿宋_GB2312" w:eastAsia="仿宋_GB2312"/>
          <w:b/>
          <w:bCs/>
          <w:color w:val="000000"/>
          <w:sz w:val="32"/>
          <w:szCs w:val="32"/>
        </w:rPr>
        <w:t>二、支出科目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一</w:t>
      </w:r>
      <w:r>
        <w:rPr>
          <w:rFonts w:hint="eastAsia" w:ascii="仿宋" w:hAnsi="仿宋" w:eastAsia="仿宋" w:cs="仿宋"/>
          <w:color w:val="000000"/>
          <w:kern w:val="0"/>
          <w:sz w:val="32"/>
          <w:szCs w:val="32"/>
          <w:lang w:eastAsia="zh-CN"/>
        </w:rPr>
        <w:t>）社会保障和就业支出（类）民政管理事务（款）其他民政管理事务支出（项）：反应</w:t>
      </w:r>
      <w:r>
        <w:rPr>
          <w:rFonts w:hint="eastAsia" w:ascii="仿宋" w:hAnsi="仿宋" w:eastAsia="仿宋" w:cs="仿宋"/>
          <w:color w:val="000000"/>
          <w:kern w:val="0"/>
          <w:sz w:val="32"/>
          <w:szCs w:val="32"/>
          <w:lang w:val="en-US" w:eastAsia="zh-CN"/>
        </w:rPr>
        <w:t>民政部门</w:t>
      </w:r>
      <w:r>
        <w:rPr>
          <w:rFonts w:hint="eastAsia" w:ascii="仿宋" w:hAnsi="仿宋" w:eastAsia="仿宋" w:cs="仿宋"/>
          <w:color w:val="000000"/>
          <w:kern w:val="0"/>
          <w:sz w:val="32"/>
          <w:szCs w:val="32"/>
          <w:lang w:eastAsia="zh-CN"/>
        </w:rPr>
        <w:t>接待来访、法制建设、政策宣传方面的支出以及开展优抚安置、救灾减灾、社会救助、社会福利、社会事务、信息化建设等</w:t>
      </w:r>
      <w:r>
        <w:rPr>
          <w:rFonts w:hint="eastAsia" w:ascii="仿宋" w:hAnsi="仿宋" w:eastAsia="仿宋" w:cs="仿宋"/>
          <w:color w:val="000000"/>
          <w:kern w:val="0"/>
          <w:sz w:val="32"/>
          <w:szCs w:val="32"/>
          <w:lang w:val="en-US" w:eastAsia="zh-CN"/>
        </w:rPr>
        <w:t>方面</w:t>
      </w:r>
      <w:r>
        <w:rPr>
          <w:rFonts w:hint="eastAsia" w:ascii="仿宋" w:hAnsi="仿宋" w:eastAsia="仿宋" w:cs="仿宋"/>
          <w:color w:val="000000"/>
          <w:kern w:val="0"/>
          <w:sz w:val="32"/>
          <w:szCs w:val="32"/>
          <w:lang w:eastAsia="zh-CN"/>
        </w:rPr>
        <w:t>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二</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行政事业单位养老支出</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行政单位离退休</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反映行政单位（包括实行公务员管理的事业单位）开支的离退休经费。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行政事业单位养老支出</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事业单位离退休</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反映事业单位开支的离退休经费。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（四）</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行政事业单位养老支出</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机关事业单位基本养老保险缴费支出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反映机关事业单位实施养老保险制度由单位缴纳的基本养老保险费支出。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（五）</w:t>
      </w:r>
      <w:r>
        <w:rPr>
          <w:rFonts w:hint="eastAsia" w:ascii="仿宋" w:hAnsi="仿宋" w:eastAsia="仿宋" w:cs="仿宋"/>
          <w:color w:val="000000"/>
          <w:kern w:val="0"/>
          <w:sz w:val="32"/>
          <w:szCs w:val="32"/>
          <w:lang w:eastAsia="zh-CN"/>
        </w:rPr>
        <w:t>社会保障和就业支出（类）抚恤（款）</w:t>
      </w:r>
      <w:r>
        <w:rPr>
          <w:rFonts w:hint="eastAsia" w:ascii="仿宋" w:hAnsi="仿宋" w:eastAsia="仿宋" w:cs="仿宋"/>
          <w:color w:val="000000"/>
          <w:kern w:val="0"/>
          <w:sz w:val="32"/>
          <w:szCs w:val="32"/>
          <w:lang w:val="en-US" w:eastAsia="zh-CN"/>
        </w:rPr>
        <w:t>其他优抚支出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反映春节及八一走访慰问项目支出。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（六）</w:t>
      </w:r>
      <w:r>
        <w:rPr>
          <w:rFonts w:hint="eastAsia" w:ascii="仿宋" w:hAnsi="仿宋" w:eastAsia="仿宋" w:cs="仿宋"/>
          <w:color w:val="000000"/>
          <w:kern w:val="0"/>
          <w:sz w:val="32"/>
          <w:szCs w:val="32"/>
          <w:lang w:eastAsia="zh-CN"/>
        </w:rPr>
        <w:t xml:space="preserve">社会保障和就业支出（类）退役安置（款） </w:t>
      </w:r>
      <w:r>
        <w:rPr>
          <w:rFonts w:hint="eastAsia" w:ascii="仿宋" w:hAnsi="仿宋" w:eastAsia="仿宋" w:cs="仿宋"/>
          <w:color w:val="000000"/>
          <w:kern w:val="0"/>
          <w:sz w:val="32"/>
          <w:szCs w:val="32"/>
          <w:lang w:val="en-US" w:eastAsia="zh-CN"/>
        </w:rPr>
        <w:t>退役士兵安置</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对符合条件的退役士兵、转业士官的安置支出。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（七）</w:t>
      </w:r>
      <w:r>
        <w:rPr>
          <w:rFonts w:hint="eastAsia" w:ascii="仿宋" w:hAnsi="仿宋" w:eastAsia="仿宋" w:cs="仿宋"/>
          <w:color w:val="000000"/>
          <w:kern w:val="0"/>
          <w:sz w:val="32"/>
          <w:szCs w:val="32"/>
          <w:lang w:eastAsia="zh-CN"/>
        </w:rPr>
        <w:t>社会保障和就业支出（类）退役安置（款） 军队移交政府离退休干部管理机构（项）：反应民政部门管理的军休所的人员经费、公用经费以及管理机构用法建设经费等支出。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八</w:t>
      </w:r>
      <w:r>
        <w:rPr>
          <w:rFonts w:hint="eastAsia" w:ascii="仿宋" w:hAnsi="仿宋" w:eastAsia="仿宋" w:cs="仿宋"/>
          <w:color w:val="000000"/>
          <w:kern w:val="0"/>
          <w:sz w:val="32"/>
          <w:szCs w:val="32"/>
          <w:lang w:eastAsia="zh-CN"/>
        </w:rPr>
        <w:t>）社会保障和就业支出（类）退役安置（款） 军队</w:t>
      </w:r>
      <w:r>
        <w:rPr>
          <w:rFonts w:hint="eastAsia" w:ascii="仿宋" w:hAnsi="仿宋" w:eastAsia="仿宋" w:cs="仿宋"/>
          <w:color w:val="000000"/>
          <w:kern w:val="0"/>
          <w:sz w:val="32"/>
          <w:szCs w:val="32"/>
          <w:lang w:val="en-US" w:eastAsia="zh-CN"/>
        </w:rPr>
        <w:t>转业干部安置</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反映军转干部安置、人员经费、自主择业退役金等方面的支出。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（九）</w:t>
      </w:r>
      <w:r>
        <w:rPr>
          <w:rFonts w:hint="eastAsia" w:ascii="仿宋" w:hAnsi="仿宋" w:eastAsia="仿宋" w:cs="仿宋"/>
          <w:color w:val="000000"/>
          <w:kern w:val="0"/>
          <w:sz w:val="32"/>
          <w:szCs w:val="32"/>
          <w:lang w:eastAsia="zh-CN"/>
        </w:rPr>
        <w:t xml:space="preserve">社会保障和就业支出（类）退役安置（款） </w:t>
      </w:r>
      <w:r>
        <w:rPr>
          <w:rFonts w:hint="eastAsia" w:ascii="仿宋" w:hAnsi="仿宋" w:eastAsia="仿宋" w:cs="仿宋"/>
          <w:color w:val="000000"/>
          <w:kern w:val="0"/>
          <w:sz w:val="32"/>
          <w:szCs w:val="32"/>
          <w:lang w:val="en-US" w:eastAsia="zh-CN"/>
        </w:rPr>
        <w:t>其他退役安置支出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反映上述项目以外的用于退役安置方面的支出。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退役军人管理事务</w:t>
      </w:r>
      <w:r>
        <w:rPr>
          <w:rFonts w:hint="eastAsia" w:ascii="仿宋" w:hAnsi="仿宋" w:eastAsia="仿宋" w:cs="仿宋"/>
          <w:color w:val="000000"/>
          <w:kern w:val="0"/>
          <w:sz w:val="32"/>
          <w:szCs w:val="32"/>
          <w:lang w:eastAsia="zh-CN"/>
        </w:rPr>
        <w:t xml:space="preserve">（款） </w:t>
      </w:r>
      <w:r>
        <w:rPr>
          <w:rFonts w:hint="eastAsia" w:ascii="仿宋" w:hAnsi="仿宋" w:eastAsia="仿宋" w:cs="仿宋"/>
          <w:color w:val="000000"/>
          <w:kern w:val="0"/>
          <w:sz w:val="32"/>
          <w:szCs w:val="32"/>
          <w:lang w:val="en-US" w:eastAsia="zh-CN"/>
        </w:rPr>
        <w:t>行政运行</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反映行政单位的基本支出。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十一</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退役军人管理事务</w:t>
      </w:r>
      <w:r>
        <w:rPr>
          <w:rFonts w:hint="eastAsia" w:ascii="仿宋" w:hAnsi="仿宋" w:eastAsia="仿宋" w:cs="仿宋"/>
          <w:color w:val="000000"/>
          <w:kern w:val="0"/>
          <w:sz w:val="32"/>
          <w:szCs w:val="32"/>
          <w:lang w:eastAsia="zh-CN"/>
        </w:rPr>
        <w:t xml:space="preserve">（款） </w:t>
      </w:r>
      <w:r>
        <w:rPr>
          <w:rFonts w:hint="eastAsia" w:ascii="仿宋" w:hAnsi="仿宋" w:eastAsia="仿宋" w:cs="仿宋"/>
          <w:color w:val="000000"/>
          <w:kern w:val="0"/>
          <w:sz w:val="32"/>
          <w:szCs w:val="32"/>
          <w:lang w:val="en-US" w:eastAsia="zh-CN"/>
        </w:rPr>
        <w:t>拥军优属</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反映拥军优属活动的支出。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十二</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退役军人管理事务</w:t>
      </w:r>
      <w:r>
        <w:rPr>
          <w:rFonts w:hint="eastAsia" w:ascii="仿宋" w:hAnsi="仿宋" w:eastAsia="仿宋" w:cs="仿宋"/>
          <w:color w:val="000000"/>
          <w:kern w:val="0"/>
          <w:sz w:val="32"/>
          <w:szCs w:val="32"/>
          <w:lang w:eastAsia="zh-CN"/>
        </w:rPr>
        <w:t xml:space="preserve">（款） </w:t>
      </w:r>
      <w:r>
        <w:rPr>
          <w:rFonts w:hint="eastAsia" w:ascii="仿宋" w:hAnsi="仿宋" w:eastAsia="仿宋" w:cs="仿宋"/>
          <w:color w:val="000000"/>
          <w:kern w:val="0"/>
          <w:sz w:val="32"/>
          <w:szCs w:val="32"/>
          <w:lang w:val="en-US" w:eastAsia="zh-CN"/>
        </w:rPr>
        <w:t>部队供应</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反映军供站等用于保障军队运输和饮食供应的支出。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十三）</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退役军人管理事务</w:t>
      </w:r>
      <w:r>
        <w:rPr>
          <w:rFonts w:hint="eastAsia" w:ascii="仿宋" w:hAnsi="仿宋" w:eastAsia="仿宋" w:cs="仿宋"/>
          <w:color w:val="000000"/>
          <w:kern w:val="0"/>
          <w:sz w:val="32"/>
          <w:szCs w:val="32"/>
          <w:lang w:eastAsia="zh-CN"/>
        </w:rPr>
        <w:t xml:space="preserve">（款） </w:t>
      </w:r>
      <w:r>
        <w:rPr>
          <w:rFonts w:hint="eastAsia" w:ascii="仿宋" w:hAnsi="仿宋" w:eastAsia="仿宋" w:cs="仿宋"/>
          <w:color w:val="000000"/>
          <w:kern w:val="0"/>
          <w:sz w:val="32"/>
          <w:szCs w:val="32"/>
          <w:lang w:val="en-US" w:eastAsia="zh-CN"/>
        </w:rPr>
        <w:t>其他退役军人事务管理支出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反映除上述项目以外的其他用于退役军人事务管理方面的支出。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十四）</w:t>
      </w:r>
      <w:r>
        <w:rPr>
          <w:rFonts w:hint="eastAsia" w:ascii="仿宋" w:hAnsi="仿宋" w:eastAsia="仿宋" w:cs="仿宋"/>
          <w:color w:val="000000"/>
          <w:kern w:val="0"/>
          <w:sz w:val="32"/>
          <w:szCs w:val="32"/>
          <w:lang w:eastAsia="zh-CN"/>
        </w:rPr>
        <w:t>社会保障和就业支出（类）</w:t>
      </w:r>
      <w:r>
        <w:rPr>
          <w:rFonts w:hint="eastAsia" w:ascii="仿宋" w:hAnsi="仿宋" w:eastAsia="仿宋" w:cs="仿宋"/>
          <w:color w:val="000000"/>
          <w:kern w:val="0"/>
          <w:sz w:val="32"/>
          <w:szCs w:val="32"/>
          <w:lang w:val="en-US" w:eastAsia="zh-CN"/>
        </w:rPr>
        <w:t>其他社会保障和就业支出</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其他社会保障和就业支出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反映其他用于其他社会保障和就业支出方面的支出。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（十五）卫生健康支出</w:t>
      </w:r>
      <w:r>
        <w:rPr>
          <w:rFonts w:hint="eastAsia" w:ascii="仿宋" w:hAnsi="仿宋" w:eastAsia="仿宋" w:cs="仿宋"/>
          <w:color w:val="000000"/>
          <w:kern w:val="0"/>
          <w:sz w:val="32"/>
          <w:szCs w:val="32"/>
          <w:lang w:eastAsia="zh-CN"/>
        </w:rPr>
        <w:t>（类）</w:t>
      </w:r>
      <w:r>
        <w:rPr>
          <w:rFonts w:hint="eastAsia" w:ascii="仿宋" w:hAnsi="仿宋" w:eastAsia="仿宋" w:cs="仿宋"/>
          <w:color w:val="000000"/>
          <w:kern w:val="0"/>
          <w:sz w:val="32"/>
          <w:szCs w:val="32"/>
          <w:lang w:val="en-US" w:eastAsia="zh-CN"/>
        </w:rPr>
        <w:t>行政事业单位医疗</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行政单位医疗</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反映财政部门安排的行政单位（包括实行公务员管理的事业单位）基本医疗保险缴费经费。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（十六）卫生健康支出</w:t>
      </w:r>
      <w:r>
        <w:rPr>
          <w:rFonts w:hint="eastAsia" w:ascii="仿宋" w:hAnsi="仿宋" w:eastAsia="仿宋" w:cs="仿宋"/>
          <w:color w:val="000000"/>
          <w:kern w:val="0"/>
          <w:sz w:val="32"/>
          <w:szCs w:val="32"/>
          <w:lang w:eastAsia="zh-CN"/>
        </w:rPr>
        <w:t>（类）</w:t>
      </w:r>
      <w:r>
        <w:rPr>
          <w:rFonts w:hint="eastAsia" w:ascii="仿宋" w:hAnsi="仿宋" w:eastAsia="仿宋" w:cs="仿宋"/>
          <w:color w:val="000000"/>
          <w:kern w:val="0"/>
          <w:sz w:val="32"/>
          <w:szCs w:val="32"/>
          <w:lang w:val="en-US" w:eastAsia="zh-CN"/>
        </w:rPr>
        <w:t>行政事业单位医疗</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事业单位医疗</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反映财政部门安排的事业单位基本医疗保险缴费经费。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（十七）卫生健康支出</w:t>
      </w:r>
      <w:r>
        <w:rPr>
          <w:rFonts w:hint="eastAsia" w:ascii="仿宋" w:hAnsi="仿宋" w:eastAsia="仿宋" w:cs="仿宋"/>
          <w:color w:val="000000"/>
          <w:kern w:val="0"/>
          <w:sz w:val="32"/>
          <w:szCs w:val="32"/>
          <w:lang w:eastAsia="zh-CN"/>
        </w:rPr>
        <w:t>（类）</w:t>
      </w:r>
      <w:r>
        <w:rPr>
          <w:rFonts w:hint="eastAsia" w:ascii="仿宋" w:hAnsi="仿宋" w:eastAsia="仿宋" w:cs="仿宋"/>
          <w:color w:val="000000"/>
          <w:kern w:val="0"/>
          <w:sz w:val="32"/>
          <w:szCs w:val="32"/>
          <w:lang w:val="en-US" w:eastAsia="zh-CN"/>
        </w:rPr>
        <w:t>行政事业单位医疗</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公务员医疗补助</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反映财政部门安排的公务员医疗补助经费。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（十八）卫生健康支出</w:t>
      </w:r>
      <w:r>
        <w:rPr>
          <w:rFonts w:hint="eastAsia" w:ascii="仿宋" w:hAnsi="仿宋" w:eastAsia="仿宋" w:cs="仿宋"/>
          <w:color w:val="000000"/>
          <w:kern w:val="0"/>
          <w:sz w:val="32"/>
          <w:szCs w:val="32"/>
          <w:lang w:eastAsia="zh-CN"/>
        </w:rPr>
        <w:t>（类）</w:t>
      </w:r>
      <w:r>
        <w:rPr>
          <w:rFonts w:hint="eastAsia" w:ascii="仿宋" w:hAnsi="仿宋" w:eastAsia="仿宋" w:cs="仿宋"/>
          <w:color w:val="000000"/>
          <w:kern w:val="0"/>
          <w:sz w:val="32"/>
          <w:szCs w:val="32"/>
          <w:lang w:val="en-US" w:eastAsia="zh-CN"/>
        </w:rPr>
        <w:t>行政事业单位医疗</w:t>
      </w:r>
      <w:r>
        <w:rPr>
          <w:rFonts w:hint="eastAsia" w:ascii="仿宋" w:hAnsi="仿宋" w:eastAsia="仿宋" w:cs="仿宋"/>
          <w:color w:val="000000"/>
          <w:kern w:val="0"/>
          <w:sz w:val="32"/>
          <w:szCs w:val="32"/>
          <w:lang w:eastAsia="zh-CN"/>
        </w:rPr>
        <w:t>（款）</w:t>
      </w:r>
      <w:r>
        <w:rPr>
          <w:rFonts w:hint="eastAsia" w:ascii="仿宋" w:hAnsi="仿宋" w:eastAsia="仿宋" w:cs="仿宋"/>
          <w:color w:val="000000"/>
          <w:kern w:val="0"/>
          <w:sz w:val="32"/>
          <w:szCs w:val="32"/>
          <w:lang w:val="en-US" w:eastAsia="zh-CN"/>
        </w:rPr>
        <w:t>其他行政事业单位医疗支出</w:t>
      </w:r>
      <w:r>
        <w:rPr>
          <w:rFonts w:hint="eastAsia" w:ascii="仿宋" w:hAnsi="仿宋" w:eastAsia="仿宋" w:cs="仿宋"/>
          <w:color w:val="000000"/>
          <w:kern w:val="0"/>
          <w:sz w:val="32"/>
          <w:szCs w:val="32"/>
          <w:lang w:eastAsia="zh-CN"/>
        </w:rPr>
        <w:t>（项）：</w:t>
      </w:r>
      <w:r>
        <w:rPr>
          <w:rFonts w:hint="eastAsia" w:ascii="仿宋" w:hAnsi="仿宋" w:eastAsia="仿宋" w:cs="仿宋"/>
          <w:color w:val="000000"/>
          <w:kern w:val="0"/>
          <w:sz w:val="32"/>
          <w:szCs w:val="32"/>
          <w:lang w:val="en-US" w:eastAsia="zh-CN"/>
        </w:rPr>
        <w:t>反映除上述项目以外的其他用于行政事业单位医疗方面的支出。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十九</w:t>
      </w:r>
      <w:r>
        <w:rPr>
          <w:rFonts w:hint="eastAsia" w:ascii="仿宋" w:hAnsi="仿宋" w:eastAsia="仿宋" w:cs="仿宋"/>
          <w:color w:val="000000"/>
          <w:kern w:val="0"/>
          <w:sz w:val="32"/>
          <w:szCs w:val="32"/>
          <w:lang w:eastAsia="zh-CN"/>
        </w:rPr>
        <w:t>）住房保障支出（类） 住房改革支出（款）住房公积金（项）：住房公积金的支出。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二十</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二十一</w:t>
      </w:r>
      <w:r>
        <w:rPr>
          <w:rFonts w:hint="eastAsia" w:ascii="仿宋" w:hAnsi="仿宋" w:eastAsia="仿宋" w:cs="仿宋"/>
          <w:color w:val="000000"/>
          <w:kern w:val="0"/>
          <w:sz w:val="32"/>
          <w:szCs w:val="32"/>
          <w:lang w:eastAsia="zh-CN"/>
        </w:rPr>
        <w:t>）</w:t>
      </w:r>
      <w:r>
        <w:rPr>
          <w:rFonts w:hint="default" w:ascii="仿宋" w:hAnsi="仿宋" w:eastAsia="仿宋" w:cs="仿宋"/>
          <w:color w:val="000000"/>
          <w:kern w:val="0"/>
          <w:sz w:val="32"/>
          <w:szCs w:val="32"/>
          <w:lang w:val="en-US" w:eastAsia="zh-CN"/>
        </w:rPr>
        <w:t>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E788E"/>
    <w:multiLevelType w:val="singleLevel"/>
    <w:tmpl w:val="B7FE788E"/>
    <w:lvl w:ilvl="0" w:tentative="0">
      <w:start w:val="1"/>
      <w:numFmt w:val="decimal"/>
      <w:suff w:val="nothing"/>
      <w:lvlText w:val="%1、"/>
      <w:lvlJc w:val="left"/>
    </w:lvl>
  </w:abstractNum>
  <w:abstractNum w:abstractNumId="1">
    <w:nsid w:val="59A778CA"/>
    <w:multiLevelType w:val="singleLevel"/>
    <w:tmpl w:val="59A778CA"/>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OWFjNGFmMDFjYjY3OTU5YTc5MGYxZmU2Y2M4ZTQifQ=="/>
  </w:docVars>
  <w:rsids>
    <w:rsidRoot w:val="19076E1D"/>
    <w:rsid w:val="000429DB"/>
    <w:rsid w:val="00066060"/>
    <w:rsid w:val="008110CC"/>
    <w:rsid w:val="00C04C9A"/>
    <w:rsid w:val="00CB427A"/>
    <w:rsid w:val="00F500B9"/>
    <w:rsid w:val="01992CBB"/>
    <w:rsid w:val="022502CD"/>
    <w:rsid w:val="0500762B"/>
    <w:rsid w:val="05EB1609"/>
    <w:rsid w:val="05F445DA"/>
    <w:rsid w:val="07F45BAB"/>
    <w:rsid w:val="08EE0B31"/>
    <w:rsid w:val="0A326819"/>
    <w:rsid w:val="0CBF216E"/>
    <w:rsid w:val="0FCB58D0"/>
    <w:rsid w:val="11427CB1"/>
    <w:rsid w:val="139E3D52"/>
    <w:rsid w:val="162B4B72"/>
    <w:rsid w:val="18AC060B"/>
    <w:rsid w:val="19076E1D"/>
    <w:rsid w:val="19544016"/>
    <w:rsid w:val="1EBD751D"/>
    <w:rsid w:val="1F117155"/>
    <w:rsid w:val="204B45CE"/>
    <w:rsid w:val="25705B71"/>
    <w:rsid w:val="26DB388D"/>
    <w:rsid w:val="2D4F2EA5"/>
    <w:rsid w:val="2DBB222D"/>
    <w:rsid w:val="2E211491"/>
    <w:rsid w:val="31D40AAE"/>
    <w:rsid w:val="34BB62BC"/>
    <w:rsid w:val="3AD730F4"/>
    <w:rsid w:val="3B253CE5"/>
    <w:rsid w:val="3BD871B8"/>
    <w:rsid w:val="3CF55A87"/>
    <w:rsid w:val="429A727D"/>
    <w:rsid w:val="446A2622"/>
    <w:rsid w:val="4C0B7195"/>
    <w:rsid w:val="4D3B293C"/>
    <w:rsid w:val="503F1F86"/>
    <w:rsid w:val="51B40312"/>
    <w:rsid w:val="57CC144D"/>
    <w:rsid w:val="582B0E09"/>
    <w:rsid w:val="5A180EE8"/>
    <w:rsid w:val="5E380771"/>
    <w:rsid w:val="5E70036E"/>
    <w:rsid w:val="5F412AB4"/>
    <w:rsid w:val="61F32950"/>
    <w:rsid w:val="62B20F12"/>
    <w:rsid w:val="641E7445"/>
    <w:rsid w:val="644E0915"/>
    <w:rsid w:val="679A4C3E"/>
    <w:rsid w:val="703456C4"/>
    <w:rsid w:val="71452C49"/>
    <w:rsid w:val="726B0AB8"/>
    <w:rsid w:val="73224148"/>
    <w:rsid w:val="776E35B0"/>
    <w:rsid w:val="78DB6F37"/>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9"/>
    <w:qFormat/>
    <w:uiPriority w:val="99"/>
    <w:pPr>
      <w:keepNext/>
      <w:keepLines/>
      <w:spacing w:line="416" w:lineRule="auto"/>
      <w:outlineLvl w:val="1"/>
    </w:pPr>
    <w:rPr>
      <w:rFonts w:ascii="Arial" w:hAnsi="Arial" w:eastAsia="黑体" w:cs="Arial"/>
      <w:b/>
      <w:bCs/>
      <w:sz w:val="32"/>
      <w:szCs w:val="32"/>
    </w:rPr>
  </w:style>
  <w:style w:type="paragraph" w:styleId="4">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footer"/>
    <w:basedOn w:val="1"/>
    <w:link w:val="10"/>
    <w:qFormat/>
    <w:uiPriority w:val="99"/>
    <w:pPr>
      <w:tabs>
        <w:tab w:val="center" w:pos="4153"/>
        <w:tab w:val="right" w:pos="8306"/>
      </w:tabs>
      <w:snapToGrid w:val="0"/>
      <w:jc w:val="left"/>
    </w:pPr>
    <w:rPr>
      <w:sz w:val="18"/>
      <w:szCs w:val="18"/>
    </w:rPr>
  </w:style>
  <w:style w:type="character" w:styleId="8">
    <w:name w:val="page number"/>
    <w:basedOn w:val="7"/>
    <w:qFormat/>
    <w:uiPriority w:val="99"/>
  </w:style>
  <w:style w:type="character" w:customStyle="1" w:styleId="9">
    <w:name w:val="Heading 2 Char"/>
    <w:basedOn w:val="7"/>
    <w:link w:val="3"/>
    <w:semiHidden/>
    <w:qFormat/>
    <w:uiPriority w:val="9"/>
    <w:rPr>
      <w:rFonts w:asciiTheme="majorHAnsi" w:hAnsiTheme="majorHAnsi" w:eastAsiaTheme="majorEastAsia" w:cstheme="majorBidi"/>
      <w:b/>
      <w:bCs/>
      <w:sz w:val="32"/>
      <w:szCs w:val="32"/>
    </w:rPr>
  </w:style>
  <w:style w:type="character" w:customStyle="1" w:styleId="10">
    <w:name w:val="Footer Char"/>
    <w:basedOn w:val="7"/>
    <w:link w:val="5"/>
    <w:semiHidden/>
    <w:qFormat/>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20</Pages>
  <Words>5104</Words>
  <Characters>5415</Characters>
  <Lines>0</Lines>
  <Paragraphs>0</Paragraphs>
  <TotalTime>3</TotalTime>
  <ScaleCrop>false</ScaleCrop>
  <LinksUpToDate>false</LinksUpToDate>
  <CharactersWithSpaces>5520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遥望那万丈光芒</cp:lastModifiedBy>
  <dcterms:modified xsi:type="dcterms:W3CDTF">2022-10-27T08:40:38Z</dcterms:modified>
  <dc:title>附件2：2018年市级部门预算说明和预算公开表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9AB511462B16475DA1DC28742F969627</vt:lpwstr>
  </property>
</Properties>
</file>