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5C53EC">
      <w:pPr>
        <w:spacing w:line="860" w:lineRule="exact"/>
        <w:rPr>
          <w:rFonts w:ascii="仿宋_GB2312" w:hAnsi="仿宋" w:eastAsia="仿宋_GB2312" w:cs="Times New Roman"/>
          <w:sz w:val="32"/>
          <w:szCs w:val="32"/>
        </w:rPr>
      </w:pPr>
      <w:r>
        <w:rPr>
          <w:rFonts w:hint="eastAsia" w:ascii="楷体_GB2312" w:hAnsi="仿宋" w:eastAsia="楷体_GB2312" w:cs="楷体_GB2312"/>
          <w:sz w:val="32"/>
          <w:szCs w:val="32"/>
        </w:rPr>
        <w:t>附件：</w:t>
      </w:r>
    </w:p>
    <w:p w14:paraId="13270D2B">
      <w:pPr>
        <w:pStyle w:val="3"/>
        <w:spacing w:before="0" w:after="0" w:line="240" w:lineRule="auto"/>
        <w:jc w:val="center"/>
        <w:rPr>
          <w:rFonts w:ascii="黑体" w:hAnsi="黑体" w:eastAsia="黑体" w:cs="黑体"/>
          <w:sz w:val="36"/>
          <w:szCs w:val="22"/>
        </w:rPr>
      </w:pPr>
      <w:r>
        <w:rPr>
          <w:rFonts w:hint="eastAsia" w:ascii="黑体" w:hAnsi="黑体" w:eastAsia="黑体" w:cs="黑体"/>
          <w:sz w:val="36"/>
          <w:szCs w:val="22"/>
        </w:rPr>
        <w:t>景德镇市</w:t>
      </w:r>
      <w:r>
        <w:rPr>
          <w:rFonts w:hint="eastAsia" w:ascii="黑体" w:hAnsi="黑体" w:eastAsia="黑体" w:cs="黑体"/>
          <w:sz w:val="36"/>
          <w:szCs w:val="22"/>
          <w:lang w:eastAsia="zh-CN"/>
        </w:rPr>
        <w:t>农业农村局</w:t>
      </w:r>
      <w:r>
        <w:rPr>
          <w:rFonts w:hint="eastAsia" w:ascii="黑体" w:hAnsi="黑体" w:eastAsia="黑体" w:cs="黑体"/>
          <w:sz w:val="36"/>
          <w:szCs w:val="22"/>
        </w:rPr>
        <w:t>2021年部门预算</w:t>
      </w:r>
    </w:p>
    <w:p w14:paraId="14990A9F">
      <w:pPr>
        <w:spacing w:before="240"/>
        <w:jc w:val="center"/>
        <w:rPr>
          <w:rFonts w:hint="eastAsia" w:ascii="黑体" w:hAnsi="黑体" w:eastAsia="黑体" w:cs="黑体"/>
          <w:b/>
          <w:kern w:val="2"/>
          <w:sz w:val="36"/>
          <w:szCs w:val="22"/>
          <w:lang w:val="en-US" w:eastAsia="zh-CN" w:bidi="ar-SA"/>
        </w:rPr>
      </w:pPr>
      <w:r>
        <w:rPr>
          <w:rFonts w:hint="eastAsia" w:ascii="黑体" w:hAnsi="黑体" w:eastAsia="黑体" w:cs="黑体"/>
          <w:b/>
          <w:kern w:val="2"/>
          <w:sz w:val="36"/>
          <w:szCs w:val="22"/>
          <w:lang w:val="en-US" w:eastAsia="zh-CN" w:bidi="ar-SA"/>
        </w:rPr>
        <w:t>目   录</w:t>
      </w:r>
    </w:p>
    <w:p w14:paraId="4FEF90B4">
      <w:pPr>
        <w:ind w:firstLine="640" w:firstLineChars="200"/>
        <w:rPr>
          <w:rFonts w:ascii="黑体" w:eastAsia="黑体" w:cs="Times New Roman"/>
          <w:sz w:val="32"/>
          <w:szCs w:val="32"/>
        </w:rPr>
      </w:pPr>
      <w:r>
        <w:rPr>
          <w:rFonts w:hint="eastAsia" w:ascii="黑体" w:hAnsi="宋体" w:eastAsia="黑体" w:cs="黑体"/>
          <w:sz w:val="32"/>
          <w:szCs w:val="32"/>
        </w:rPr>
        <w:t>第一部分</w:t>
      </w:r>
      <w:r>
        <w:rPr>
          <w:rFonts w:ascii="黑体" w:hAnsi="宋体" w:eastAsia="黑体" w:cs="黑体"/>
          <w:sz w:val="32"/>
          <w:szCs w:val="32"/>
        </w:rPr>
        <w:t xml:space="preserve"> </w:t>
      </w:r>
      <w:r>
        <w:rPr>
          <w:rFonts w:hint="eastAsia" w:ascii="黑体" w:hAnsi="宋体" w:eastAsia="黑体" w:cs="黑体"/>
          <w:sz w:val="32"/>
          <w:szCs w:val="32"/>
        </w:rPr>
        <w:t>景德镇市</w:t>
      </w:r>
      <w:r>
        <w:rPr>
          <w:rFonts w:hint="eastAsia" w:ascii="黑体" w:hAnsi="宋体" w:eastAsia="黑体" w:cs="黑体"/>
          <w:sz w:val="32"/>
          <w:szCs w:val="32"/>
          <w:lang w:eastAsia="zh-CN"/>
        </w:rPr>
        <w:t>农业农村</w:t>
      </w:r>
      <w:r>
        <w:rPr>
          <w:rFonts w:hint="eastAsia" w:ascii="黑体" w:hAnsi="宋体" w:eastAsia="黑体" w:cs="黑体"/>
          <w:sz w:val="32"/>
          <w:szCs w:val="32"/>
        </w:rPr>
        <w:t>局概况</w:t>
      </w:r>
    </w:p>
    <w:p w14:paraId="69DFFB52">
      <w:pPr>
        <w:ind w:firstLine="640" w:firstLineChars="200"/>
        <w:rPr>
          <w:rFonts w:hint="eastAsia" w:ascii="仿宋_GB2312" w:hAnsi="宋体" w:eastAsia="仿宋_GB2312" w:cs="仿宋_GB2312"/>
          <w:sz w:val="32"/>
          <w:szCs w:val="32"/>
        </w:rPr>
      </w:pPr>
      <w:r>
        <w:rPr>
          <w:rFonts w:hint="eastAsia" w:ascii="仿宋" w:hAnsi="仿宋" w:eastAsia="仿宋" w:cs="仿宋"/>
          <w:i w:val="0"/>
          <w:iCs w:val="0"/>
          <w:caps w:val="0"/>
          <w:color w:val="333333"/>
          <w:spacing w:val="0"/>
          <w:sz w:val="32"/>
          <w:szCs w:val="32"/>
          <w:shd w:val="clear" w:fill="FFFFFF"/>
        </w:rPr>
        <w:t>    </w:t>
      </w:r>
      <w:r>
        <w:rPr>
          <w:rFonts w:hint="eastAsia" w:ascii="仿宋_GB2312" w:hAnsi="宋体" w:eastAsia="仿宋_GB2312" w:cs="仿宋_GB2312"/>
          <w:sz w:val="32"/>
          <w:szCs w:val="32"/>
        </w:rPr>
        <w:t>一、部门主要职</w:t>
      </w:r>
      <w:bookmarkStart w:id="0" w:name="_GoBack"/>
      <w:bookmarkEnd w:id="0"/>
      <w:r>
        <w:rPr>
          <w:rFonts w:hint="eastAsia" w:ascii="仿宋_GB2312" w:hAnsi="宋体" w:eastAsia="仿宋_GB2312" w:cs="仿宋_GB2312"/>
          <w:sz w:val="32"/>
          <w:szCs w:val="32"/>
        </w:rPr>
        <w:t>责</w:t>
      </w:r>
    </w:p>
    <w:p w14:paraId="050CDCF9">
      <w:pPr>
        <w:ind w:firstLine="640" w:firstLineChars="200"/>
        <w:rPr>
          <w:rFonts w:hint="eastAsia" w:ascii="仿宋_GB2312" w:hAnsi="宋体" w:eastAsia="仿宋_GB2312" w:cs="仿宋_GB2312"/>
          <w:sz w:val="32"/>
          <w:szCs w:val="32"/>
        </w:rPr>
      </w:pPr>
      <w:r>
        <w:rPr>
          <w:rFonts w:hint="eastAsia" w:ascii="仿宋_GB2312" w:hAnsi="宋体" w:eastAsia="仿宋_GB2312" w:cs="仿宋_GB2312"/>
          <w:sz w:val="32"/>
          <w:szCs w:val="32"/>
        </w:rPr>
        <w:t> </w:t>
      </w:r>
      <w:r>
        <w:rPr>
          <w:rFonts w:hint="eastAsia" w:ascii="仿宋_GB2312" w:hAnsi="宋体" w:eastAsia="仿宋_GB2312" w:cs="仿宋_GB2312"/>
          <w:sz w:val="32"/>
          <w:szCs w:val="32"/>
          <w:lang w:val="en-US" w:eastAsia="zh-CN"/>
        </w:rPr>
        <w:t xml:space="preserve">   </w:t>
      </w:r>
      <w:r>
        <w:rPr>
          <w:rFonts w:hint="eastAsia" w:ascii="仿宋_GB2312" w:hAnsi="宋体" w:eastAsia="仿宋_GB2312" w:cs="仿宋_GB2312"/>
          <w:sz w:val="32"/>
          <w:szCs w:val="32"/>
        </w:rPr>
        <w:t>二、</w:t>
      </w:r>
      <w:r>
        <w:rPr>
          <w:rFonts w:hint="eastAsia" w:ascii="仿宋_GB2312" w:hAnsi="宋体" w:eastAsia="仿宋_GB2312" w:cs="仿宋_GB2312"/>
          <w:sz w:val="32"/>
          <w:szCs w:val="32"/>
          <w:lang w:eastAsia="zh-CN"/>
        </w:rPr>
        <w:t>部门</w:t>
      </w:r>
      <w:r>
        <w:rPr>
          <w:rFonts w:hint="eastAsia" w:ascii="仿宋_GB2312" w:hAnsi="宋体" w:eastAsia="仿宋_GB2312" w:cs="仿宋_GB2312"/>
          <w:sz w:val="32"/>
          <w:szCs w:val="32"/>
          <w:lang w:val="en-US" w:eastAsia="zh-CN"/>
        </w:rPr>
        <w:t>机构设置情况</w:t>
      </w:r>
    </w:p>
    <w:p w14:paraId="455E2D3B">
      <w:pPr>
        <w:ind w:firstLine="640" w:firstLineChars="200"/>
        <w:rPr>
          <w:rFonts w:ascii="黑体" w:hAnsi="宋体" w:eastAsia="黑体" w:cs="Times New Roman"/>
          <w:sz w:val="32"/>
          <w:szCs w:val="32"/>
        </w:rPr>
      </w:pPr>
      <w:r>
        <w:rPr>
          <w:rFonts w:hint="eastAsia" w:ascii="黑体" w:hAnsi="宋体" w:eastAsia="黑体" w:cs="黑体"/>
          <w:sz w:val="32"/>
          <w:szCs w:val="32"/>
        </w:rPr>
        <w:t>第二部分</w:t>
      </w:r>
      <w:r>
        <w:rPr>
          <w:rFonts w:ascii="黑体" w:hAnsi="宋体" w:eastAsia="黑体" w:cs="黑体"/>
          <w:sz w:val="32"/>
          <w:szCs w:val="32"/>
        </w:rPr>
        <w:t xml:space="preserve"> </w:t>
      </w:r>
      <w:r>
        <w:rPr>
          <w:rFonts w:hint="eastAsia" w:ascii="黑体" w:hAnsi="宋体" w:eastAsia="黑体" w:cs="黑体"/>
          <w:sz w:val="32"/>
          <w:szCs w:val="32"/>
        </w:rPr>
        <w:t>景德镇市</w:t>
      </w:r>
      <w:r>
        <w:rPr>
          <w:rFonts w:hint="eastAsia" w:ascii="黑体" w:hAnsi="宋体" w:eastAsia="黑体" w:cs="黑体"/>
          <w:sz w:val="32"/>
          <w:szCs w:val="32"/>
          <w:lang w:eastAsia="zh-CN"/>
        </w:rPr>
        <w:t>农业农村</w:t>
      </w:r>
      <w:r>
        <w:rPr>
          <w:rFonts w:hint="eastAsia" w:ascii="黑体" w:hAnsi="宋体" w:eastAsia="黑体" w:cs="黑体"/>
          <w:sz w:val="32"/>
          <w:szCs w:val="32"/>
        </w:rPr>
        <w:t>局2021年部门预算情况说明</w:t>
      </w:r>
    </w:p>
    <w:p w14:paraId="216728B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960"/>
        <w:jc w:val="left"/>
        <w:rPr>
          <w:rFonts w:hint="default" w:ascii="仿宋_GB2312" w:hAnsi="微软雅黑" w:eastAsia="仿宋_GB2312" w:cs="仿宋_GB2312"/>
          <w:i w:val="0"/>
          <w:caps w:val="0"/>
          <w:color w:val="000000"/>
          <w:spacing w:val="0"/>
          <w:kern w:val="0"/>
          <w:sz w:val="32"/>
          <w:szCs w:val="32"/>
          <w:shd w:val="clear" w:fill="FFFFFF"/>
          <w:lang w:val="en-US" w:eastAsia="zh-CN" w:bidi="ar"/>
        </w:rPr>
      </w:pPr>
      <w:r>
        <w:rPr>
          <w:rFonts w:ascii="仿宋_GB2312" w:hAnsi="宋体" w:eastAsia="仿宋_GB2312" w:cs="仿宋_GB2312"/>
          <w:sz w:val="32"/>
          <w:szCs w:val="32"/>
        </w:rPr>
        <w:t xml:space="preserve"> </w:t>
      </w:r>
      <w:r>
        <w:rPr>
          <w:rFonts w:hint="eastAsia" w:ascii="仿宋_GB2312" w:hAnsi="宋体" w:eastAsia="仿宋_GB2312" w:cs="仿宋_GB2312"/>
          <w:sz w:val="32"/>
          <w:szCs w:val="32"/>
          <w:lang w:val="en-US" w:eastAsia="zh-CN"/>
        </w:rPr>
        <w:t xml:space="preserve"> </w:t>
      </w:r>
      <w:r>
        <w:rPr>
          <w:rFonts w:hint="default" w:ascii="仿宋_GB2312" w:hAnsi="微软雅黑" w:eastAsia="仿宋_GB2312" w:cs="仿宋_GB2312"/>
          <w:i w:val="0"/>
          <w:caps w:val="0"/>
          <w:color w:val="000000"/>
          <w:spacing w:val="0"/>
          <w:kern w:val="0"/>
          <w:sz w:val="32"/>
          <w:szCs w:val="32"/>
          <w:shd w:val="clear" w:fill="FFFFFF"/>
          <w:lang w:val="en-US" w:eastAsia="zh-CN" w:bidi="ar"/>
        </w:rPr>
        <w:t>一、20</w:t>
      </w:r>
      <w:r>
        <w:rPr>
          <w:rFonts w:hint="eastAsia" w:ascii="仿宋_GB2312" w:hAnsi="微软雅黑" w:eastAsia="仿宋_GB2312" w:cs="仿宋_GB2312"/>
          <w:i w:val="0"/>
          <w:caps w:val="0"/>
          <w:color w:val="000000"/>
          <w:spacing w:val="0"/>
          <w:kern w:val="0"/>
          <w:sz w:val="32"/>
          <w:szCs w:val="32"/>
          <w:shd w:val="clear" w:fill="FFFFFF"/>
          <w:lang w:val="en-US" w:eastAsia="zh-CN" w:bidi="ar"/>
        </w:rPr>
        <w:t>21</w:t>
      </w:r>
      <w:r>
        <w:rPr>
          <w:rFonts w:hint="default" w:ascii="仿宋_GB2312" w:hAnsi="微软雅黑" w:eastAsia="仿宋_GB2312" w:cs="仿宋_GB2312"/>
          <w:i w:val="0"/>
          <w:caps w:val="0"/>
          <w:color w:val="000000"/>
          <w:spacing w:val="0"/>
          <w:kern w:val="0"/>
          <w:sz w:val="32"/>
          <w:szCs w:val="32"/>
          <w:shd w:val="clear" w:fill="FFFFFF"/>
          <w:lang w:val="en-US" w:eastAsia="zh-CN" w:bidi="ar"/>
        </w:rPr>
        <w:t>年部门预算收支情况说明</w:t>
      </w:r>
    </w:p>
    <w:p w14:paraId="40731B8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960"/>
        <w:jc w:val="left"/>
        <w:rPr>
          <w:rFonts w:hint="eastAsia" w:ascii="仿宋_GB2312" w:hAnsi="微软雅黑" w:eastAsia="仿宋_GB2312" w:cs="仿宋_GB2312"/>
          <w:i w:val="0"/>
          <w:caps w:val="0"/>
          <w:color w:val="000000"/>
          <w:spacing w:val="0"/>
          <w:kern w:val="0"/>
          <w:sz w:val="32"/>
          <w:szCs w:val="32"/>
          <w:shd w:val="clear" w:fill="FFFFFF"/>
          <w:lang w:val="en-US" w:eastAsia="zh-CN" w:bidi="ar"/>
        </w:rPr>
      </w:pPr>
      <w:r>
        <w:rPr>
          <w:rFonts w:hint="eastAsia" w:ascii="仿宋_GB2312" w:hAnsi="微软雅黑" w:eastAsia="仿宋_GB2312" w:cs="仿宋_GB2312"/>
          <w:i w:val="0"/>
          <w:caps w:val="0"/>
          <w:color w:val="000000"/>
          <w:spacing w:val="0"/>
          <w:kern w:val="0"/>
          <w:sz w:val="32"/>
          <w:szCs w:val="32"/>
          <w:shd w:val="clear" w:fill="FFFFFF"/>
          <w:lang w:val="en-US" w:eastAsia="zh-CN" w:bidi="ar"/>
        </w:rPr>
        <w:t xml:space="preserve">   1、预算收入情况说明</w:t>
      </w:r>
    </w:p>
    <w:p w14:paraId="7332079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960"/>
        <w:jc w:val="left"/>
        <w:rPr>
          <w:rFonts w:hint="eastAsia" w:ascii="仿宋_GB2312" w:hAnsi="微软雅黑" w:eastAsia="仿宋_GB2312" w:cs="仿宋_GB2312"/>
          <w:i w:val="0"/>
          <w:caps w:val="0"/>
          <w:color w:val="000000"/>
          <w:spacing w:val="0"/>
          <w:kern w:val="0"/>
          <w:sz w:val="32"/>
          <w:szCs w:val="32"/>
          <w:shd w:val="clear" w:fill="FFFFFF"/>
          <w:lang w:val="en-US" w:eastAsia="zh-CN" w:bidi="ar"/>
        </w:rPr>
      </w:pPr>
      <w:r>
        <w:rPr>
          <w:rFonts w:hint="eastAsia" w:ascii="仿宋_GB2312" w:hAnsi="微软雅黑" w:eastAsia="仿宋_GB2312" w:cs="仿宋_GB2312"/>
          <w:i w:val="0"/>
          <w:caps w:val="0"/>
          <w:color w:val="000000"/>
          <w:spacing w:val="0"/>
          <w:kern w:val="0"/>
          <w:sz w:val="32"/>
          <w:szCs w:val="32"/>
          <w:shd w:val="clear" w:fill="FFFFFF"/>
          <w:lang w:val="en-US" w:eastAsia="zh-CN" w:bidi="ar"/>
        </w:rPr>
        <w:t xml:space="preserve">   2、预算支出情况说明</w:t>
      </w:r>
    </w:p>
    <w:p w14:paraId="03DF53D6">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960" w:leftChars="0" w:right="0" w:rightChars="0"/>
        <w:jc w:val="left"/>
        <w:rPr>
          <w:rFonts w:hint="eastAsia" w:ascii="仿宋_GB2312" w:hAnsi="微软雅黑" w:eastAsia="仿宋_GB2312" w:cs="仿宋_GB2312"/>
          <w:i w:val="0"/>
          <w:caps w:val="0"/>
          <w:color w:val="000000"/>
          <w:spacing w:val="0"/>
          <w:kern w:val="0"/>
          <w:sz w:val="32"/>
          <w:szCs w:val="32"/>
          <w:shd w:val="clear" w:fill="FFFFFF"/>
          <w:lang w:val="en-US" w:eastAsia="zh-CN" w:bidi="ar"/>
        </w:rPr>
      </w:pPr>
      <w:r>
        <w:rPr>
          <w:rFonts w:hint="eastAsia" w:ascii="仿宋_GB2312" w:hAnsi="微软雅黑" w:eastAsia="仿宋_GB2312" w:cs="仿宋_GB2312"/>
          <w:i w:val="0"/>
          <w:caps w:val="0"/>
          <w:color w:val="000000"/>
          <w:spacing w:val="0"/>
          <w:kern w:val="0"/>
          <w:sz w:val="32"/>
          <w:szCs w:val="32"/>
          <w:shd w:val="clear" w:fill="FFFFFF"/>
          <w:lang w:val="en-US" w:eastAsia="zh-CN" w:bidi="ar"/>
        </w:rPr>
        <w:t xml:space="preserve">   3、经费拨款情况说明</w:t>
      </w:r>
    </w:p>
    <w:p w14:paraId="76D2D7B2">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jc w:val="left"/>
        <w:rPr>
          <w:rFonts w:hint="eastAsia" w:ascii="仿宋_GB2312" w:hAnsi="微软雅黑" w:eastAsia="仿宋_GB2312" w:cs="仿宋_GB2312"/>
          <w:i w:val="0"/>
          <w:caps w:val="0"/>
          <w:color w:val="000000"/>
          <w:spacing w:val="0"/>
          <w:kern w:val="0"/>
          <w:sz w:val="32"/>
          <w:szCs w:val="32"/>
          <w:shd w:val="clear" w:fill="FFFFFF"/>
          <w:lang w:val="en-US" w:eastAsia="zh-CN" w:bidi="ar"/>
        </w:rPr>
      </w:pPr>
      <w:r>
        <w:rPr>
          <w:rFonts w:hint="eastAsia" w:ascii="仿宋_GB2312" w:hAnsi="微软雅黑" w:eastAsia="仿宋_GB2312" w:cs="仿宋_GB2312"/>
          <w:i w:val="0"/>
          <w:caps w:val="0"/>
          <w:color w:val="000000"/>
          <w:spacing w:val="0"/>
          <w:kern w:val="0"/>
          <w:sz w:val="32"/>
          <w:szCs w:val="32"/>
          <w:shd w:val="clear" w:fill="FFFFFF"/>
          <w:lang w:val="en-US" w:eastAsia="zh-CN" w:bidi="ar"/>
        </w:rPr>
        <w:t xml:space="preserve">         4、政府性基金收支情况说明</w:t>
      </w:r>
    </w:p>
    <w:p w14:paraId="61E7D90F">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jc w:val="left"/>
        <w:rPr>
          <w:rFonts w:hint="eastAsia" w:ascii="仿宋_GB2312" w:hAnsi="微软雅黑" w:eastAsia="仿宋_GB2312" w:cs="仿宋_GB2312"/>
          <w:i w:val="0"/>
          <w:caps w:val="0"/>
          <w:color w:val="000000"/>
          <w:spacing w:val="0"/>
          <w:kern w:val="0"/>
          <w:sz w:val="32"/>
          <w:szCs w:val="32"/>
          <w:shd w:val="clear" w:fill="FFFFFF"/>
          <w:lang w:val="en-US" w:eastAsia="zh-CN" w:bidi="ar"/>
        </w:rPr>
      </w:pPr>
      <w:r>
        <w:rPr>
          <w:rFonts w:hint="eastAsia" w:ascii="仿宋_GB2312" w:hAnsi="微软雅黑" w:eastAsia="仿宋_GB2312" w:cs="仿宋_GB2312"/>
          <w:i w:val="0"/>
          <w:caps w:val="0"/>
          <w:color w:val="000000"/>
          <w:spacing w:val="0"/>
          <w:kern w:val="0"/>
          <w:sz w:val="32"/>
          <w:szCs w:val="32"/>
          <w:shd w:val="clear" w:fill="FFFFFF"/>
          <w:lang w:val="en-US" w:eastAsia="zh-CN" w:bidi="ar"/>
        </w:rPr>
        <w:t xml:space="preserve">         5、机关运行经费情况说明</w:t>
      </w:r>
    </w:p>
    <w:p w14:paraId="0EEE7684">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960" w:leftChars="0" w:right="0" w:rightChars="0"/>
        <w:jc w:val="left"/>
        <w:rPr>
          <w:rFonts w:hint="eastAsia" w:ascii="仿宋_GB2312" w:hAnsi="微软雅黑" w:eastAsia="仿宋_GB2312" w:cs="仿宋_GB2312"/>
          <w:i w:val="0"/>
          <w:caps w:val="0"/>
          <w:color w:val="000000"/>
          <w:spacing w:val="0"/>
          <w:kern w:val="0"/>
          <w:sz w:val="32"/>
          <w:szCs w:val="32"/>
          <w:shd w:val="clear" w:fill="FFFFFF"/>
          <w:lang w:val="en-US" w:eastAsia="zh-CN" w:bidi="ar"/>
        </w:rPr>
      </w:pPr>
      <w:r>
        <w:rPr>
          <w:rFonts w:hint="eastAsia" w:ascii="仿宋_GB2312" w:hAnsi="微软雅黑" w:eastAsia="仿宋_GB2312" w:cs="仿宋_GB2312"/>
          <w:i w:val="0"/>
          <w:caps w:val="0"/>
          <w:color w:val="000000"/>
          <w:spacing w:val="0"/>
          <w:kern w:val="0"/>
          <w:sz w:val="32"/>
          <w:szCs w:val="32"/>
          <w:shd w:val="clear" w:fill="FFFFFF"/>
          <w:lang w:val="en-US" w:eastAsia="zh-CN" w:bidi="ar"/>
        </w:rPr>
        <w:t xml:space="preserve">   6、政府采购安排情况说明</w:t>
      </w:r>
    </w:p>
    <w:p w14:paraId="7AE9F0BF">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firstLine="1280" w:firstLineChars="400"/>
        <w:jc w:val="left"/>
        <w:rPr>
          <w:rFonts w:hint="default" w:ascii="仿宋_GB2312" w:hAnsi="微软雅黑" w:eastAsia="仿宋_GB2312" w:cs="仿宋_GB2312"/>
          <w:i w:val="0"/>
          <w:caps w:val="0"/>
          <w:color w:val="000000"/>
          <w:spacing w:val="0"/>
          <w:kern w:val="0"/>
          <w:sz w:val="32"/>
          <w:szCs w:val="32"/>
          <w:shd w:val="clear" w:fill="FFFFFF"/>
          <w:lang w:val="en-US" w:eastAsia="zh-CN" w:bidi="ar"/>
        </w:rPr>
      </w:pPr>
      <w:r>
        <w:rPr>
          <w:rFonts w:hint="eastAsia" w:ascii="仿宋_GB2312" w:hAnsi="微软雅黑" w:eastAsia="仿宋_GB2312" w:cs="仿宋_GB2312"/>
          <w:i w:val="0"/>
          <w:caps w:val="0"/>
          <w:color w:val="000000"/>
          <w:spacing w:val="0"/>
          <w:kern w:val="0"/>
          <w:sz w:val="32"/>
          <w:szCs w:val="32"/>
          <w:shd w:val="clear" w:fill="FFFFFF"/>
          <w:lang w:val="en-US" w:eastAsia="zh-CN" w:bidi="ar"/>
        </w:rPr>
        <w:t xml:space="preserve"> 7、</w:t>
      </w:r>
      <w:r>
        <w:rPr>
          <w:rFonts w:hint="default" w:ascii="仿宋_GB2312" w:hAnsi="微软雅黑" w:eastAsia="仿宋_GB2312" w:cs="仿宋_GB2312"/>
          <w:i w:val="0"/>
          <w:caps w:val="0"/>
          <w:color w:val="000000"/>
          <w:spacing w:val="0"/>
          <w:kern w:val="0"/>
          <w:sz w:val="32"/>
          <w:szCs w:val="32"/>
          <w:shd w:val="clear" w:fill="FFFFFF"/>
          <w:lang w:val="en-US" w:eastAsia="zh-CN" w:bidi="ar"/>
        </w:rPr>
        <w:t>国有资产占用情况说明</w:t>
      </w:r>
    </w:p>
    <w:p w14:paraId="24A1CCEA">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firstLine="1280" w:firstLineChars="400"/>
        <w:jc w:val="left"/>
        <w:rPr>
          <w:rFonts w:hint="default" w:ascii="仿宋_GB2312" w:hAnsi="微软雅黑" w:eastAsia="仿宋_GB2312" w:cs="仿宋_GB2312"/>
          <w:i w:val="0"/>
          <w:caps w:val="0"/>
          <w:color w:val="000000"/>
          <w:spacing w:val="0"/>
          <w:kern w:val="0"/>
          <w:sz w:val="32"/>
          <w:szCs w:val="32"/>
          <w:shd w:val="clear" w:fill="FFFFFF"/>
          <w:lang w:val="en-US" w:eastAsia="zh-CN" w:bidi="ar"/>
        </w:rPr>
      </w:pPr>
      <w:r>
        <w:rPr>
          <w:rFonts w:hint="eastAsia" w:ascii="仿宋_GB2312" w:hAnsi="微软雅黑" w:eastAsia="仿宋_GB2312" w:cs="仿宋_GB2312"/>
          <w:i w:val="0"/>
          <w:caps w:val="0"/>
          <w:color w:val="000000"/>
          <w:spacing w:val="0"/>
          <w:kern w:val="0"/>
          <w:sz w:val="32"/>
          <w:szCs w:val="32"/>
          <w:shd w:val="clear" w:fill="FFFFFF"/>
          <w:lang w:val="en-US" w:eastAsia="zh-CN" w:bidi="ar"/>
        </w:rPr>
        <w:t xml:space="preserve"> 8、</w:t>
      </w:r>
      <w:r>
        <w:rPr>
          <w:rFonts w:hint="default" w:ascii="仿宋_GB2312" w:hAnsi="微软雅黑" w:eastAsia="仿宋_GB2312" w:cs="仿宋_GB2312"/>
          <w:i w:val="0"/>
          <w:caps w:val="0"/>
          <w:color w:val="000000"/>
          <w:spacing w:val="0"/>
          <w:kern w:val="0"/>
          <w:sz w:val="32"/>
          <w:szCs w:val="32"/>
          <w:shd w:val="clear" w:fill="FFFFFF"/>
          <w:lang w:val="en-US" w:eastAsia="zh-CN" w:bidi="ar"/>
        </w:rPr>
        <w:t>预算绩效情况说明</w:t>
      </w:r>
    </w:p>
    <w:p w14:paraId="712C8C4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1280" w:firstLineChars="400"/>
        <w:jc w:val="left"/>
        <w:rPr>
          <w:rFonts w:ascii="仿宋_GB2312" w:eastAsia="仿宋_GB2312" w:cs="Times New Roman"/>
          <w:sz w:val="32"/>
          <w:szCs w:val="32"/>
        </w:rPr>
      </w:pPr>
      <w:r>
        <w:rPr>
          <w:rFonts w:hint="default" w:ascii="仿宋_GB2312" w:hAnsi="微软雅黑" w:eastAsia="仿宋_GB2312" w:cs="仿宋_GB2312"/>
          <w:i w:val="0"/>
          <w:caps w:val="0"/>
          <w:color w:val="000000"/>
          <w:spacing w:val="0"/>
          <w:kern w:val="0"/>
          <w:sz w:val="32"/>
          <w:szCs w:val="32"/>
          <w:shd w:val="clear" w:fill="FFFFFF"/>
          <w:lang w:val="en-US" w:eastAsia="zh-CN" w:bidi="ar"/>
        </w:rPr>
        <w:t>二、20</w:t>
      </w:r>
      <w:r>
        <w:rPr>
          <w:rFonts w:hint="eastAsia" w:ascii="仿宋_GB2312" w:hAnsi="微软雅黑" w:eastAsia="仿宋_GB2312" w:cs="仿宋_GB2312"/>
          <w:i w:val="0"/>
          <w:caps w:val="0"/>
          <w:color w:val="000000"/>
          <w:spacing w:val="0"/>
          <w:kern w:val="0"/>
          <w:sz w:val="32"/>
          <w:szCs w:val="32"/>
          <w:shd w:val="clear" w:fill="FFFFFF"/>
          <w:lang w:val="en-US" w:eastAsia="zh-CN" w:bidi="ar"/>
        </w:rPr>
        <w:t>21</w:t>
      </w:r>
      <w:r>
        <w:rPr>
          <w:rFonts w:hint="default" w:ascii="仿宋_GB2312" w:hAnsi="微软雅黑" w:eastAsia="仿宋_GB2312" w:cs="仿宋_GB2312"/>
          <w:i w:val="0"/>
          <w:caps w:val="0"/>
          <w:color w:val="000000"/>
          <w:spacing w:val="0"/>
          <w:kern w:val="0"/>
          <w:sz w:val="32"/>
          <w:szCs w:val="32"/>
          <w:shd w:val="clear" w:fill="FFFFFF"/>
          <w:lang w:val="en-US" w:eastAsia="zh-CN" w:bidi="ar"/>
        </w:rPr>
        <w:t>年</w:t>
      </w:r>
      <w:r>
        <w:rPr>
          <w:rFonts w:hint="eastAsia" w:ascii="仿宋_GB2312" w:hAnsi="微软雅黑" w:eastAsia="仿宋_GB2312" w:cs="仿宋_GB2312"/>
          <w:i w:val="0"/>
          <w:caps w:val="0"/>
          <w:color w:val="000000"/>
          <w:spacing w:val="0"/>
          <w:kern w:val="0"/>
          <w:sz w:val="32"/>
          <w:szCs w:val="32"/>
          <w:shd w:val="clear" w:fill="FFFFFF"/>
          <w:lang w:val="en-US" w:eastAsia="zh-CN" w:bidi="ar"/>
        </w:rPr>
        <w:t>“</w:t>
      </w:r>
      <w:r>
        <w:rPr>
          <w:rFonts w:hint="default" w:ascii="仿宋_GB2312" w:hAnsi="微软雅黑" w:eastAsia="仿宋_GB2312" w:cs="仿宋_GB2312"/>
          <w:i w:val="0"/>
          <w:caps w:val="0"/>
          <w:color w:val="000000"/>
          <w:spacing w:val="0"/>
          <w:kern w:val="0"/>
          <w:sz w:val="32"/>
          <w:szCs w:val="32"/>
          <w:shd w:val="clear" w:fill="FFFFFF"/>
          <w:lang w:val="en-US" w:eastAsia="zh-CN" w:bidi="ar"/>
        </w:rPr>
        <w:t>三公</w:t>
      </w:r>
      <w:r>
        <w:rPr>
          <w:rFonts w:hint="eastAsia" w:ascii="仿宋_GB2312" w:hAnsi="微软雅黑" w:eastAsia="仿宋_GB2312" w:cs="仿宋_GB2312"/>
          <w:i w:val="0"/>
          <w:caps w:val="0"/>
          <w:color w:val="000000"/>
          <w:spacing w:val="0"/>
          <w:kern w:val="0"/>
          <w:sz w:val="32"/>
          <w:szCs w:val="32"/>
          <w:shd w:val="clear" w:fill="FFFFFF"/>
          <w:lang w:val="en-US" w:eastAsia="zh-CN" w:bidi="ar"/>
        </w:rPr>
        <w:t>”</w:t>
      </w:r>
      <w:r>
        <w:rPr>
          <w:rFonts w:hint="default" w:ascii="仿宋_GB2312" w:hAnsi="微软雅黑" w:eastAsia="仿宋_GB2312" w:cs="仿宋_GB2312"/>
          <w:i w:val="0"/>
          <w:caps w:val="0"/>
          <w:color w:val="000000"/>
          <w:spacing w:val="0"/>
          <w:kern w:val="0"/>
          <w:sz w:val="32"/>
          <w:szCs w:val="32"/>
          <w:shd w:val="clear" w:fill="FFFFFF"/>
          <w:lang w:val="en-US" w:eastAsia="zh-CN" w:bidi="ar"/>
        </w:rPr>
        <w:t>经费增减变化原因等说明</w:t>
      </w:r>
    </w:p>
    <w:p w14:paraId="0FD26850">
      <w:pPr>
        <w:ind w:firstLine="640" w:firstLineChars="200"/>
        <w:rPr>
          <w:rFonts w:ascii="黑体" w:hAnsi="宋体" w:eastAsia="黑体" w:cs="Times New Roman"/>
          <w:sz w:val="32"/>
          <w:szCs w:val="32"/>
        </w:rPr>
      </w:pPr>
      <w:r>
        <w:rPr>
          <w:rFonts w:hint="eastAsia" w:ascii="黑体" w:hAnsi="宋体" w:eastAsia="黑体" w:cs="黑体"/>
          <w:sz w:val="32"/>
          <w:szCs w:val="32"/>
        </w:rPr>
        <w:t>第三部分</w:t>
      </w:r>
      <w:r>
        <w:rPr>
          <w:rFonts w:ascii="黑体" w:hAnsi="宋体" w:eastAsia="黑体" w:cs="黑体"/>
          <w:sz w:val="32"/>
          <w:szCs w:val="32"/>
        </w:rPr>
        <w:t xml:space="preserve"> </w:t>
      </w:r>
      <w:r>
        <w:rPr>
          <w:rFonts w:hint="eastAsia" w:ascii="黑体" w:hAnsi="宋体" w:eastAsia="黑体" w:cs="黑体"/>
          <w:sz w:val="32"/>
          <w:szCs w:val="32"/>
          <w:lang w:eastAsia="zh-CN"/>
        </w:rPr>
        <w:t>景德镇市农业农村</w:t>
      </w:r>
      <w:r>
        <w:rPr>
          <w:rFonts w:hint="eastAsia" w:ascii="黑体" w:hAnsi="宋体" w:eastAsia="黑体" w:cs="黑体"/>
          <w:sz w:val="32"/>
          <w:szCs w:val="32"/>
        </w:rPr>
        <w:t>局2021年部门预算表</w:t>
      </w:r>
    </w:p>
    <w:p w14:paraId="235123F2">
      <w:pPr>
        <w:ind w:firstLine="1280" w:firstLineChars="400"/>
        <w:rPr>
          <w:rFonts w:ascii="仿宋_GB2312" w:hAnsi="宋体" w:eastAsia="仿宋_GB2312" w:cs="仿宋_GB2312"/>
          <w:sz w:val="32"/>
          <w:szCs w:val="32"/>
        </w:rPr>
      </w:pPr>
      <w:r>
        <w:rPr>
          <w:rFonts w:hint="eastAsia" w:ascii="仿宋_GB2312" w:hAnsi="宋体" w:eastAsia="仿宋_GB2312" w:cs="仿宋_GB2312"/>
          <w:sz w:val="32"/>
          <w:szCs w:val="32"/>
        </w:rPr>
        <w:t>一、《收支预算总表》</w:t>
      </w:r>
    </w:p>
    <w:p w14:paraId="30DFD1E1">
      <w:pPr>
        <w:ind w:firstLine="1280" w:firstLineChars="400"/>
        <w:rPr>
          <w:rFonts w:ascii="仿宋_GB2312" w:hAnsi="宋体" w:eastAsia="仿宋_GB2312" w:cs="仿宋_GB2312"/>
          <w:sz w:val="32"/>
          <w:szCs w:val="32"/>
        </w:rPr>
      </w:pPr>
      <w:r>
        <w:rPr>
          <w:rFonts w:hint="eastAsia" w:ascii="仿宋_GB2312" w:hAnsi="宋体" w:eastAsia="仿宋_GB2312" w:cs="仿宋_GB2312"/>
          <w:sz w:val="32"/>
          <w:szCs w:val="32"/>
        </w:rPr>
        <w:t>二、《部门收入总表》</w:t>
      </w:r>
    </w:p>
    <w:p w14:paraId="39E5C60B">
      <w:pPr>
        <w:ind w:firstLine="1280" w:firstLineChars="400"/>
        <w:rPr>
          <w:rFonts w:ascii="仿宋_GB2312" w:hAnsi="宋体" w:eastAsia="仿宋_GB2312" w:cs="仿宋_GB2312"/>
          <w:sz w:val="32"/>
          <w:szCs w:val="32"/>
        </w:rPr>
      </w:pPr>
      <w:r>
        <w:rPr>
          <w:rFonts w:hint="eastAsia" w:ascii="仿宋_GB2312" w:hAnsi="宋体" w:eastAsia="仿宋_GB2312" w:cs="仿宋_GB2312"/>
          <w:sz w:val="32"/>
          <w:szCs w:val="32"/>
        </w:rPr>
        <w:t>三、《部门支出总表》</w:t>
      </w:r>
    </w:p>
    <w:p w14:paraId="5933A5F3">
      <w:pPr>
        <w:ind w:firstLine="1280" w:firstLineChars="400"/>
        <w:rPr>
          <w:rFonts w:ascii="仿宋_GB2312" w:hAnsi="宋体" w:eastAsia="仿宋_GB2312" w:cs="仿宋_GB2312"/>
          <w:sz w:val="32"/>
          <w:szCs w:val="32"/>
        </w:rPr>
      </w:pPr>
      <w:r>
        <w:rPr>
          <w:rFonts w:hint="eastAsia" w:ascii="仿宋_GB2312" w:hAnsi="宋体" w:eastAsia="仿宋_GB2312" w:cs="仿宋_GB2312"/>
          <w:sz w:val="32"/>
          <w:szCs w:val="32"/>
        </w:rPr>
        <w:t>四、《财政拨款收支总表》</w:t>
      </w:r>
    </w:p>
    <w:p w14:paraId="1D10F1E1">
      <w:pPr>
        <w:ind w:firstLine="1280" w:firstLineChars="400"/>
        <w:rPr>
          <w:rFonts w:ascii="仿宋_GB2312" w:hAnsi="宋体" w:eastAsia="仿宋_GB2312" w:cs="仿宋_GB2312"/>
          <w:sz w:val="32"/>
          <w:szCs w:val="32"/>
        </w:rPr>
      </w:pPr>
      <w:r>
        <w:rPr>
          <w:rFonts w:hint="eastAsia" w:ascii="仿宋_GB2312" w:hAnsi="宋体" w:eastAsia="仿宋_GB2312" w:cs="仿宋_GB2312"/>
          <w:sz w:val="32"/>
          <w:szCs w:val="32"/>
        </w:rPr>
        <w:t>五、《一般公共预算支出表》</w:t>
      </w:r>
    </w:p>
    <w:p w14:paraId="07D12FFD">
      <w:pPr>
        <w:ind w:firstLine="1280" w:firstLineChars="400"/>
        <w:rPr>
          <w:rFonts w:ascii="仿宋_GB2312" w:hAnsi="宋体" w:eastAsia="仿宋_GB2312" w:cs="仿宋_GB2312"/>
          <w:sz w:val="32"/>
          <w:szCs w:val="32"/>
        </w:rPr>
      </w:pPr>
      <w:r>
        <w:rPr>
          <w:rFonts w:hint="eastAsia" w:ascii="仿宋_GB2312" w:hAnsi="宋体" w:eastAsia="仿宋_GB2312" w:cs="仿宋_GB2312"/>
          <w:sz w:val="32"/>
          <w:szCs w:val="32"/>
        </w:rPr>
        <w:t>六、《一般公共预算基本支出表》</w:t>
      </w:r>
    </w:p>
    <w:p w14:paraId="54569138">
      <w:pPr>
        <w:ind w:firstLine="1280" w:firstLineChars="400"/>
        <w:rPr>
          <w:rFonts w:ascii="仿宋_GB2312" w:hAnsi="宋体" w:eastAsia="仿宋_GB2312" w:cs="仿宋_GB2312"/>
          <w:sz w:val="32"/>
          <w:szCs w:val="32"/>
        </w:rPr>
      </w:pPr>
      <w:r>
        <w:rPr>
          <w:rFonts w:hint="eastAsia" w:ascii="仿宋_GB2312" w:hAnsi="宋体" w:eastAsia="仿宋_GB2312" w:cs="仿宋_GB2312"/>
          <w:sz w:val="32"/>
          <w:szCs w:val="32"/>
        </w:rPr>
        <w:t>七、《一般公共预算“三公”经费支出表》</w:t>
      </w:r>
    </w:p>
    <w:p w14:paraId="5D966B6E">
      <w:pPr>
        <w:ind w:firstLine="1280" w:firstLineChars="400"/>
        <w:rPr>
          <w:rFonts w:ascii="仿宋_GB2312" w:hAnsi="宋体" w:eastAsia="仿宋_GB2312" w:cs="仿宋_GB2312"/>
          <w:sz w:val="32"/>
          <w:szCs w:val="32"/>
        </w:rPr>
      </w:pPr>
      <w:r>
        <w:rPr>
          <w:rFonts w:hint="eastAsia" w:ascii="仿宋_GB2312" w:hAnsi="宋体" w:eastAsia="仿宋_GB2312" w:cs="仿宋_GB2312"/>
          <w:sz w:val="32"/>
          <w:szCs w:val="32"/>
        </w:rPr>
        <w:t>八、《政府性基金预算支出表》</w:t>
      </w:r>
    </w:p>
    <w:p w14:paraId="13AD6843">
      <w:pPr>
        <w:ind w:firstLine="1280" w:firstLineChars="400"/>
        <w:rPr>
          <w:rFonts w:hint="eastAsia" w:ascii="仿宋_GB2312" w:hAnsi="宋体" w:eastAsia="仿宋_GB2312" w:cs="仿宋_GB2312"/>
          <w:sz w:val="32"/>
          <w:szCs w:val="32"/>
        </w:rPr>
      </w:pPr>
      <w:r>
        <w:rPr>
          <w:rFonts w:hint="eastAsia" w:ascii="仿宋_GB2312" w:hAnsi="宋体" w:eastAsia="仿宋_GB2312" w:cs="仿宋_GB2312"/>
          <w:sz w:val="32"/>
          <w:szCs w:val="32"/>
        </w:rPr>
        <w:t>九、《</w:t>
      </w:r>
      <w:r>
        <w:rPr>
          <w:rFonts w:hint="eastAsia" w:ascii="仿宋_GB2312" w:hAnsi="宋体" w:eastAsia="仿宋_GB2312" w:cs="仿宋_GB2312"/>
          <w:sz w:val="32"/>
          <w:szCs w:val="32"/>
          <w:lang w:eastAsia="zh-CN"/>
        </w:rPr>
        <w:t>部门整体</w:t>
      </w:r>
      <w:r>
        <w:rPr>
          <w:rFonts w:hint="eastAsia" w:ascii="仿宋_GB2312" w:hAnsi="宋体" w:eastAsia="仿宋_GB2312" w:cs="仿宋_GB2312"/>
          <w:sz w:val="32"/>
          <w:szCs w:val="32"/>
        </w:rPr>
        <w:t>绩效目标表》</w:t>
      </w:r>
    </w:p>
    <w:p w14:paraId="51FECFCC">
      <w:pPr>
        <w:ind w:firstLine="1280" w:firstLineChars="400"/>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十、《</w:t>
      </w:r>
      <w:r>
        <w:rPr>
          <w:rFonts w:hint="eastAsia" w:ascii="仿宋_GB2312" w:hAnsi="宋体" w:eastAsia="仿宋_GB2312" w:cs="仿宋_GB2312"/>
          <w:sz w:val="32"/>
          <w:szCs w:val="32"/>
        </w:rPr>
        <w:t>一级项目绩效目标表》</w:t>
      </w:r>
    </w:p>
    <w:p w14:paraId="306C5125">
      <w:pPr>
        <w:rPr>
          <w:rFonts w:ascii="仿宋_GB2312" w:eastAsia="仿宋_GB2312" w:cs="Times New Roman"/>
          <w:b/>
          <w:bCs/>
          <w:sz w:val="32"/>
          <w:szCs w:val="32"/>
        </w:rPr>
      </w:pPr>
      <w:r>
        <w:rPr>
          <w:rFonts w:ascii="仿宋_GB2312" w:hAnsi="宋体" w:eastAsia="仿宋_GB2312" w:cs="仿宋_GB2312"/>
          <w:sz w:val="32"/>
          <w:szCs w:val="32"/>
        </w:rPr>
        <w:t xml:space="preserve">   </w:t>
      </w:r>
      <w:r>
        <w:rPr>
          <w:rFonts w:hint="eastAsia" w:ascii="仿宋_GB2312" w:hAnsi="宋体" w:eastAsia="仿宋_GB2312" w:cs="仿宋_GB2312"/>
          <w:sz w:val="32"/>
          <w:szCs w:val="32"/>
          <w:lang w:val="en-US" w:eastAsia="zh-CN"/>
        </w:rPr>
        <w:t xml:space="preserve"> </w:t>
      </w:r>
      <w:r>
        <w:rPr>
          <w:rFonts w:hint="eastAsia" w:ascii="黑体" w:hAnsi="宋体" w:eastAsia="黑体" w:cs="黑体"/>
          <w:sz w:val="32"/>
          <w:szCs w:val="32"/>
        </w:rPr>
        <w:t>第四部分</w:t>
      </w:r>
      <w:r>
        <w:rPr>
          <w:rFonts w:ascii="黑体" w:hAnsi="宋体" w:eastAsia="黑体" w:cs="黑体"/>
          <w:sz w:val="32"/>
          <w:szCs w:val="32"/>
        </w:rPr>
        <w:t xml:space="preserve"> </w:t>
      </w:r>
      <w:r>
        <w:rPr>
          <w:rFonts w:hint="eastAsia" w:ascii="黑体" w:hAnsi="宋体" w:eastAsia="黑体" w:cs="黑体"/>
          <w:sz w:val="32"/>
          <w:szCs w:val="32"/>
        </w:rPr>
        <w:t>名词解释</w:t>
      </w:r>
    </w:p>
    <w:p w14:paraId="508C51C5">
      <w:pPr>
        <w:rPr>
          <w:rFonts w:ascii="黑体" w:hAnsi="宋体" w:eastAsia="黑体" w:cs="Times New Roman"/>
          <w:sz w:val="32"/>
          <w:szCs w:val="32"/>
        </w:rPr>
      </w:pPr>
      <w:r>
        <w:rPr>
          <w:rFonts w:hint="eastAsia" w:ascii="黑体" w:hAnsi="宋体" w:eastAsia="黑体" w:cs="黑体"/>
          <w:sz w:val="32"/>
          <w:szCs w:val="32"/>
        </w:rPr>
        <w:t>第一部分</w:t>
      </w:r>
      <w:r>
        <w:rPr>
          <w:rFonts w:ascii="黑体" w:hAnsi="宋体" w:eastAsia="黑体" w:cs="黑体"/>
          <w:sz w:val="32"/>
          <w:szCs w:val="32"/>
        </w:rPr>
        <w:t xml:space="preserve">  </w:t>
      </w:r>
      <w:r>
        <w:rPr>
          <w:rFonts w:hint="eastAsia" w:ascii="黑体" w:hAnsi="宋体" w:eastAsia="黑体" w:cs="黑体"/>
          <w:sz w:val="32"/>
          <w:szCs w:val="32"/>
        </w:rPr>
        <w:t>景德镇市</w:t>
      </w:r>
      <w:r>
        <w:rPr>
          <w:rFonts w:hint="eastAsia" w:ascii="黑体" w:hAnsi="宋体" w:eastAsia="黑体" w:cs="黑体"/>
          <w:sz w:val="32"/>
          <w:szCs w:val="32"/>
          <w:lang w:eastAsia="zh-CN"/>
        </w:rPr>
        <w:t>农业农村</w:t>
      </w:r>
      <w:r>
        <w:rPr>
          <w:rFonts w:hint="eastAsia" w:ascii="黑体" w:hAnsi="宋体" w:eastAsia="黑体" w:cs="黑体"/>
          <w:sz w:val="32"/>
          <w:szCs w:val="32"/>
        </w:rPr>
        <w:t>局概况</w:t>
      </w:r>
    </w:p>
    <w:p w14:paraId="34149235">
      <w:pPr>
        <w:pageBreakBefore w:val="0"/>
        <w:kinsoku/>
        <w:wordWrap/>
        <w:overflowPunct/>
        <w:topLinePunct w:val="0"/>
        <w:autoSpaceDE/>
        <w:autoSpaceDN/>
        <w:bidi w:val="0"/>
        <w:adjustRightInd/>
        <w:spacing w:line="560" w:lineRule="exact"/>
        <w:ind w:firstLine="600"/>
        <w:textAlignment w:val="auto"/>
        <w:rPr>
          <w:rFonts w:hint="eastAsia" w:ascii="仿宋_GB2312" w:hAnsi="宋体" w:eastAsia="仿宋_GB2312" w:cs="仿宋_GB2312"/>
          <w:b/>
          <w:bCs/>
          <w:sz w:val="32"/>
          <w:szCs w:val="32"/>
          <w:highlight w:val="none"/>
          <w:lang w:val="en-US" w:eastAsia="zh-CN"/>
        </w:rPr>
      </w:pPr>
      <w:r>
        <w:rPr>
          <w:rFonts w:hint="eastAsia" w:ascii="仿宋_GB2312" w:hAnsi="宋体" w:eastAsia="仿宋_GB2312" w:cs="仿宋_GB2312"/>
          <w:b/>
          <w:bCs/>
          <w:sz w:val="32"/>
          <w:szCs w:val="32"/>
          <w:highlight w:val="none"/>
          <w:lang w:val="en-US" w:eastAsia="zh-CN"/>
        </w:rPr>
        <w:t>一、部门主要职责</w:t>
      </w:r>
    </w:p>
    <w:p w14:paraId="2100B86F">
      <w:pPr>
        <w:pageBreakBefore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1．主要职能。</w:t>
      </w:r>
    </w:p>
    <w:p w14:paraId="0AE8C7D1">
      <w:pPr>
        <w:pageBreakBefore w:val="0"/>
        <w:kinsoku/>
        <w:wordWrap/>
        <w:overflowPunct/>
        <w:topLinePunct w:val="0"/>
        <w:autoSpaceDE/>
        <w:autoSpaceDN/>
        <w:bidi w:val="0"/>
        <w:adjustRightInd/>
        <w:spacing w:line="560" w:lineRule="exact"/>
        <w:ind w:firstLine="600"/>
        <w:textAlignment w:val="auto"/>
        <w:rPr>
          <w:rFonts w:hint="eastAsia" w:ascii="仿宋_GB2312" w:hAnsi="宋体" w:eastAsia="仿宋_GB2312" w:cs="仿宋_GB2312"/>
          <w:sz w:val="32"/>
          <w:szCs w:val="32"/>
          <w:highlight w:val="none"/>
          <w:lang w:val="en-US" w:eastAsia="zh-CN"/>
        </w:rPr>
      </w:pPr>
      <w:r>
        <w:rPr>
          <w:rFonts w:hint="eastAsia" w:ascii="仿宋_GB2312" w:hAnsi="宋体" w:eastAsia="仿宋_GB2312" w:cs="仿宋_GB2312"/>
          <w:sz w:val="32"/>
          <w:szCs w:val="32"/>
          <w:highlight w:val="none"/>
          <w:lang w:val="en-US" w:eastAsia="zh-CN"/>
        </w:rPr>
        <w:t>景德镇市农业农村局贯彻落实党中央、省委、市委关于“三农”工作的方针政策和决策部署，在履行职责过程中坚持和加强党对“三农”工作的集中统一领导。主要职责是：</w:t>
      </w:r>
    </w:p>
    <w:p w14:paraId="0180A5A0">
      <w:pPr>
        <w:pageBreakBefore w:val="0"/>
        <w:kinsoku/>
        <w:wordWrap/>
        <w:overflowPunct/>
        <w:topLinePunct w:val="0"/>
        <w:autoSpaceDE/>
        <w:autoSpaceDN/>
        <w:bidi w:val="0"/>
        <w:adjustRightInd/>
        <w:spacing w:line="560" w:lineRule="exact"/>
        <w:ind w:firstLine="600"/>
        <w:textAlignment w:val="auto"/>
        <w:rPr>
          <w:rFonts w:hint="eastAsia" w:ascii="仿宋_GB2312" w:hAnsi="宋体" w:eastAsia="仿宋_GB2312" w:cs="仿宋_GB2312"/>
          <w:sz w:val="32"/>
          <w:szCs w:val="32"/>
          <w:highlight w:val="none"/>
          <w:lang w:val="en-US" w:eastAsia="zh-CN"/>
        </w:rPr>
      </w:pPr>
      <w:r>
        <w:rPr>
          <w:rFonts w:hint="eastAsia" w:ascii="仿宋_GB2312" w:hAnsi="宋体" w:eastAsia="仿宋_GB2312" w:cs="仿宋_GB2312"/>
          <w:sz w:val="32"/>
          <w:szCs w:val="32"/>
          <w:highlight w:val="none"/>
          <w:lang w:val="en-US" w:eastAsia="zh-CN"/>
        </w:rPr>
        <w:t>(一)统筹研究和组织实施全市“三农”工作的发展战略、中长期规划、重大政策。组织起草农业农村有关规范性文件，参与涉农相关政策制定。指导农业综合行政执法。</w:t>
      </w:r>
    </w:p>
    <w:p w14:paraId="5A46BC04">
      <w:pPr>
        <w:pageBreakBefore w:val="0"/>
        <w:kinsoku/>
        <w:wordWrap/>
        <w:overflowPunct/>
        <w:topLinePunct w:val="0"/>
        <w:autoSpaceDE/>
        <w:autoSpaceDN/>
        <w:bidi w:val="0"/>
        <w:adjustRightInd/>
        <w:spacing w:line="560" w:lineRule="exact"/>
        <w:ind w:firstLine="600"/>
        <w:textAlignment w:val="auto"/>
        <w:rPr>
          <w:rFonts w:hint="eastAsia" w:ascii="仿宋_GB2312" w:hAnsi="宋体" w:eastAsia="仿宋_GB2312" w:cs="仿宋_GB2312"/>
          <w:sz w:val="32"/>
          <w:szCs w:val="32"/>
          <w:highlight w:val="none"/>
          <w:lang w:val="en-US" w:eastAsia="zh-CN"/>
        </w:rPr>
      </w:pPr>
      <w:r>
        <w:rPr>
          <w:rFonts w:hint="eastAsia" w:ascii="仿宋_GB2312" w:hAnsi="宋体" w:eastAsia="仿宋_GB2312" w:cs="仿宋_GB2312"/>
          <w:sz w:val="32"/>
          <w:szCs w:val="32"/>
          <w:highlight w:val="none"/>
          <w:lang w:val="en-US" w:eastAsia="zh-CN"/>
        </w:rPr>
        <w:t>(二)统筹推动发展全市农村社会事业、农村公共服务、农村文化、农村基础设施和乡村治理。牵头组织改善农村人居环境，组织实施新农村建设。指导农村精神文明和优秀农耕文化建设。</w:t>
      </w:r>
    </w:p>
    <w:p w14:paraId="12227902">
      <w:pPr>
        <w:pageBreakBefore w:val="0"/>
        <w:kinsoku/>
        <w:wordWrap/>
        <w:overflowPunct/>
        <w:topLinePunct w:val="0"/>
        <w:autoSpaceDE/>
        <w:autoSpaceDN/>
        <w:bidi w:val="0"/>
        <w:adjustRightInd/>
        <w:spacing w:line="560" w:lineRule="exact"/>
        <w:ind w:firstLine="600"/>
        <w:textAlignment w:val="auto"/>
        <w:rPr>
          <w:rFonts w:hint="eastAsia" w:ascii="仿宋_GB2312" w:hAnsi="宋体" w:eastAsia="仿宋_GB2312" w:cs="仿宋_GB2312"/>
          <w:sz w:val="32"/>
          <w:szCs w:val="32"/>
          <w:highlight w:val="none"/>
          <w:lang w:val="en-US" w:eastAsia="zh-CN"/>
        </w:rPr>
      </w:pPr>
      <w:r>
        <w:rPr>
          <w:rFonts w:hint="eastAsia" w:ascii="仿宋_GB2312" w:hAnsi="宋体" w:eastAsia="仿宋_GB2312" w:cs="仿宋_GB2312"/>
          <w:sz w:val="32"/>
          <w:szCs w:val="32"/>
          <w:highlight w:val="none"/>
          <w:lang w:val="en-US" w:eastAsia="zh-CN"/>
        </w:rPr>
        <w:t>(三)拟订深化全市农村经济体制改革和巩固完善农村基本经营制度的政策。负责农民承包地、农村宅基地改革和管理有关工作,指导农村土地承包、耕地使用权流转和承包纠纷仲裁工作。负责农村集体产权制度改革,指导农村集体经济组织发展和集体资产管理工作，监督减轻农民负担和村民筹资筹劳管理工作。指导农民合作经济组织、农业社会化服务体系、新型农业经营主体建设与发展。</w:t>
      </w:r>
    </w:p>
    <w:p w14:paraId="2E13C62F">
      <w:pPr>
        <w:pageBreakBefore w:val="0"/>
        <w:kinsoku/>
        <w:wordWrap/>
        <w:overflowPunct/>
        <w:topLinePunct w:val="0"/>
        <w:autoSpaceDE/>
        <w:autoSpaceDN/>
        <w:bidi w:val="0"/>
        <w:adjustRightInd/>
        <w:spacing w:line="560" w:lineRule="exact"/>
        <w:ind w:firstLine="600"/>
        <w:textAlignment w:val="auto"/>
        <w:rPr>
          <w:rFonts w:hint="eastAsia" w:ascii="仿宋_GB2312" w:hAnsi="宋体" w:eastAsia="仿宋_GB2312" w:cs="仿宋_GB2312"/>
          <w:sz w:val="32"/>
          <w:szCs w:val="32"/>
          <w:highlight w:val="none"/>
          <w:lang w:val="en-US" w:eastAsia="zh-CN"/>
        </w:rPr>
      </w:pPr>
      <w:r>
        <w:rPr>
          <w:rFonts w:hint="eastAsia" w:ascii="仿宋_GB2312" w:hAnsi="宋体" w:eastAsia="仿宋_GB2312" w:cs="仿宋_GB2312"/>
          <w:sz w:val="32"/>
          <w:szCs w:val="32"/>
          <w:highlight w:val="none"/>
          <w:lang w:val="en-US" w:eastAsia="zh-CN"/>
        </w:rPr>
        <w:t>(四)指导全市乡村特色产业、农产品加工业、休闲农业和乡镇企业发展工作，促进农村一二三产业融合发展。提出促进大宗农产品流通的建议,培育、保护农业品牌，组织农业产业化龙头企业监测和评定工作。发布全市农业农村经济信息,监测分析农业农村经济运行。承担全市农业统计和农业农村信息化有关工作。</w:t>
      </w:r>
    </w:p>
    <w:p w14:paraId="5659EABC">
      <w:pPr>
        <w:pageBreakBefore w:val="0"/>
        <w:kinsoku/>
        <w:wordWrap/>
        <w:overflowPunct/>
        <w:topLinePunct w:val="0"/>
        <w:autoSpaceDE/>
        <w:autoSpaceDN/>
        <w:bidi w:val="0"/>
        <w:adjustRightInd/>
        <w:spacing w:line="560" w:lineRule="exact"/>
        <w:ind w:firstLine="600"/>
        <w:textAlignment w:val="auto"/>
        <w:rPr>
          <w:rFonts w:hint="eastAsia" w:ascii="仿宋_GB2312" w:hAnsi="宋体" w:eastAsia="仿宋_GB2312" w:cs="仿宋_GB2312"/>
          <w:sz w:val="32"/>
          <w:szCs w:val="32"/>
          <w:highlight w:val="none"/>
          <w:lang w:val="en-US" w:eastAsia="zh-CN"/>
        </w:rPr>
      </w:pPr>
      <w:r>
        <w:rPr>
          <w:rFonts w:hint="eastAsia" w:ascii="仿宋_GB2312" w:hAnsi="宋体" w:eastAsia="仿宋_GB2312" w:cs="仿宋_GB2312"/>
          <w:sz w:val="32"/>
          <w:szCs w:val="32"/>
          <w:highlight w:val="none"/>
          <w:lang w:val="en-US" w:eastAsia="zh-CN"/>
        </w:rPr>
        <w:t>(五)负责全市种植业、畜牧业、渔业、农垦、农业机械化等农业各产业的监督管理。指导粮食等农产品生产，组织协调“菜篮子”工作，引导产业结构调整和产品品质的改善。组织构建现代农业产业体系、生产体系、经营体系,指导农业标准化生产。</w:t>
      </w:r>
    </w:p>
    <w:p w14:paraId="09DAAAE3">
      <w:pPr>
        <w:pageBreakBefore w:val="0"/>
        <w:kinsoku/>
        <w:wordWrap/>
        <w:overflowPunct/>
        <w:topLinePunct w:val="0"/>
        <w:autoSpaceDE/>
        <w:autoSpaceDN/>
        <w:bidi w:val="0"/>
        <w:adjustRightInd/>
        <w:spacing w:line="560" w:lineRule="exact"/>
        <w:ind w:firstLine="600"/>
        <w:textAlignment w:val="auto"/>
        <w:rPr>
          <w:rFonts w:hint="eastAsia" w:ascii="仿宋_GB2312" w:hAnsi="宋体" w:eastAsia="仿宋_GB2312" w:cs="仿宋_GB2312"/>
          <w:sz w:val="32"/>
          <w:szCs w:val="32"/>
          <w:highlight w:val="none"/>
          <w:lang w:val="en-US" w:eastAsia="zh-CN"/>
        </w:rPr>
      </w:pPr>
      <w:r>
        <w:rPr>
          <w:rFonts w:hint="eastAsia" w:ascii="仿宋_GB2312" w:hAnsi="宋体" w:eastAsia="仿宋_GB2312" w:cs="仿宋_GB2312"/>
          <w:sz w:val="32"/>
          <w:szCs w:val="32"/>
          <w:highlight w:val="none"/>
          <w:lang w:val="en-US" w:eastAsia="zh-CN"/>
        </w:rPr>
        <w:t>(六)负责全市农产品质量安全监督管理。组织开展农产品质量安全监测、追溯、风险评估。参与制定农产品质量安全标准并会同有关部门组织实施。组织农产品质量安全的重大事故调查处理和突发事件的应对工作。指导全市农业检验检测体系建设。</w:t>
      </w:r>
    </w:p>
    <w:p w14:paraId="26D943E2">
      <w:pPr>
        <w:pageBreakBefore w:val="0"/>
        <w:kinsoku/>
        <w:wordWrap/>
        <w:overflowPunct/>
        <w:topLinePunct w:val="0"/>
        <w:autoSpaceDE/>
        <w:autoSpaceDN/>
        <w:bidi w:val="0"/>
        <w:adjustRightInd/>
        <w:spacing w:line="560" w:lineRule="exact"/>
        <w:ind w:firstLine="600"/>
        <w:textAlignment w:val="auto"/>
        <w:rPr>
          <w:rFonts w:hint="eastAsia" w:ascii="仿宋_GB2312" w:hAnsi="宋体" w:eastAsia="仿宋_GB2312" w:cs="仿宋_GB2312"/>
          <w:sz w:val="32"/>
          <w:szCs w:val="32"/>
          <w:highlight w:val="none"/>
          <w:lang w:val="en-US" w:eastAsia="zh-CN"/>
        </w:rPr>
      </w:pPr>
      <w:r>
        <w:rPr>
          <w:rFonts w:hint="eastAsia" w:ascii="仿宋_GB2312" w:hAnsi="宋体" w:eastAsia="仿宋_GB2312" w:cs="仿宋_GB2312"/>
          <w:sz w:val="32"/>
          <w:szCs w:val="32"/>
          <w:highlight w:val="none"/>
          <w:lang w:val="en-US" w:eastAsia="zh-CN"/>
        </w:rPr>
        <w:t>(七)组织全市农业资源区划工作。指导农用地、渔业水域以及农业生物物种资源的保护与管理,负责水生野生动植物保护、耕地及永久基本农田质量保护工作。指导设施农业、生态循环农业、节水农业发展以及农村可再生能源综合开发利用、农业生物质产业发展。负责农田整治项目、农田水利建设项目的管理。</w:t>
      </w:r>
    </w:p>
    <w:p w14:paraId="68A640B7">
      <w:pPr>
        <w:pageBreakBefore w:val="0"/>
        <w:kinsoku/>
        <w:wordWrap/>
        <w:overflowPunct/>
        <w:topLinePunct w:val="0"/>
        <w:autoSpaceDE/>
        <w:autoSpaceDN/>
        <w:bidi w:val="0"/>
        <w:adjustRightInd/>
        <w:spacing w:line="560" w:lineRule="exact"/>
        <w:ind w:firstLine="600"/>
        <w:textAlignment w:val="auto"/>
        <w:rPr>
          <w:rFonts w:hint="eastAsia" w:ascii="仿宋_GB2312" w:hAnsi="宋体" w:eastAsia="仿宋_GB2312" w:cs="仿宋_GB2312"/>
          <w:sz w:val="32"/>
          <w:szCs w:val="32"/>
          <w:highlight w:val="none"/>
          <w:lang w:val="en-US" w:eastAsia="zh-CN"/>
        </w:rPr>
      </w:pPr>
      <w:r>
        <w:rPr>
          <w:rFonts w:hint="eastAsia" w:ascii="仿宋_GB2312" w:hAnsi="宋体" w:eastAsia="仿宋_GB2312" w:cs="仿宋_GB2312"/>
          <w:sz w:val="32"/>
          <w:szCs w:val="32"/>
          <w:highlight w:val="none"/>
          <w:lang w:val="en-US" w:eastAsia="zh-CN"/>
        </w:rPr>
        <w:t>(八)负责全市有关农业生产资料和农业投入品的监督组织全市农业生产资料市场体系建设,执行有关农业生产资料标准并监督实施。组织兽医医政、兽药药政药检工作,负责执业兽医和畜禽屠宰行业管理。</w:t>
      </w:r>
    </w:p>
    <w:p w14:paraId="07FBC5B6">
      <w:pPr>
        <w:pageBreakBefore w:val="0"/>
        <w:kinsoku/>
        <w:wordWrap/>
        <w:overflowPunct/>
        <w:topLinePunct w:val="0"/>
        <w:autoSpaceDE/>
        <w:autoSpaceDN/>
        <w:bidi w:val="0"/>
        <w:adjustRightInd/>
        <w:spacing w:line="560" w:lineRule="exact"/>
        <w:ind w:firstLine="600"/>
        <w:textAlignment w:val="auto"/>
        <w:rPr>
          <w:rFonts w:hint="eastAsia" w:ascii="仿宋_GB2312" w:hAnsi="宋体" w:eastAsia="仿宋_GB2312" w:cs="仿宋_GB2312"/>
          <w:sz w:val="32"/>
          <w:szCs w:val="32"/>
          <w:highlight w:val="none"/>
          <w:lang w:val="en-US" w:eastAsia="zh-CN"/>
        </w:rPr>
      </w:pPr>
      <w:r>
        <w:rPr>
          <w:rFonts w:hint="eastAsia" w:ascii="仿宋_GB2312" w:hAnsi="宋体" w:eastAsia="仿宋_GB2312" w:cs="仿宋_GB2312"/>
          <w:sz w:val="32"/>
          <w:szCs w:val="32"/>
          <w:highlight w:val="none"/>
          <w:lang w:val="en-US" w:eastAsia="zh-CN"/>
        </w:rPr>
        <w:t>(九)负责全市农业防灾减灾、农作物重大病虫害防治工作。监测、报告、发布农业灾情，组织农业救灾物资储备和调拨，提出生产救灾资金安排建议，指导紧急救灾和灾后生产恢复。指导全市动植物防疫检疫体系建设,组织、监督市内动植物防疫检疫工作,发布疫情并组织扑灭。</w:t>
      </w:r>
    </w:p>
    <w:p w14:paraId="64DD8E90">
      <w:pPr>
        <w:pageBreakBefore w:val="0"/>
        <w:kinsoku/>
        <w:wordWrap/>
        <w:overflowPunct/>
        <w:topLinePunct w:val="0"/>
        <w:autoSpaceDE/>
        <w:autoSpaceDN/>
        <w:bidi w:val="0"/>
        <w:adjustRightInd/>
        <w:spacing w:line="560" w:lineRule="exact"/>
        <w:ind w:firstLine="600"/>
        <w:textAlignment w:val="auto"/>
        <w:rPr>
          <w:rFonts w:hint="eastAsia" w:ascii="仿宋_GB2312" w:hAnsi="宋体" w:eastAsia="仿宋_GB2312" w:cs="仿宋_GB2312"/>
          <w:sz w:val="32"/>
          <w:szCs w:val="32"/>
          <w:highlight w:val="none"/>
          <w:lang w:val="en-US" w:eastAsia="zh-CN"/>
        </w:rPr>
      </w:pPr>
      <w:r>
        <w:rPr>
          <w:rFonts w:hint="eastAsia" w:ascii="仿宋_GB2312" w:hAnsi="宋体" w:eastAsia="仿宋_GB2312" w:cs="仿宋_GB2312"/>
          <w:sz w:val="32"/>
          <w:szCs w:val="32"/>
          <w:highlight w:val="none"/>
          <w:lang w:val="en-US" w:eastAsia="zh-CN"/>
        </w:rPr>
        <w:t>(十)负责农业投资管理。提出农业投融资体制机制改革建议。编制市级投资安排的农业投资项目建设规划,提出农业投资规模和方向、扶持农业农村发展财政项目的建议,按市政府规定权限审批农业投资项目,负责农业投资项目资金安排和监督管理，组织国家农业综合项目的审查、论证、实施、验收。</w:t>
      </w:r>
    </w:p>
    <w:p w14:paraId="4B6B81CE">
      <w:pPr>
        <w:pageBreakBefore w:val="0"/>
        <w:kinsoku/>
        <w:wordWrap/>
        <w:overflowPunct/>
        <w:topLinePunct w:val="0"/>
        <w:autoSpaceDE/>
        <w:autoSpaceDN/>
        <w:bidi w:val="0"/>
        <w:adjustRightInd/>
        <w:spacing w:line="560" w:lineRule="exact"/>
        <w:ind w:firstLine="600"/>
        <w:textAlignment w:val="auto"/>
        <w:rPr>
          <w:rFonts w:hint="eastAsia" w:ascii="仿宋_GB2312" w:hAnsi="宋体" w:eastAsia="仿宋_GB2312" w:cs="仿宋_GB2312"/>
          <w:sz w:val="32"/>
          <w:szCs w:val="32"/>
          <w:highlight w:val="none"/>
          <w:lang w:val="en-US" w:eastAsia="zh-CN"/>
        </w:rPr>
      </w:pPr>
      <w:r>
        <w:rPr>
          <w:rFonts w:hint="eastAsia" w:ascii="仿宋_GB2312" w:hAnsi="宋体" w:eastAsia="仿宋_GB2312" w:cs="仿宋_GB2312"/>
          <w:sz w:val="32"/>
          <w:szCs w:val="32"/>
          <w:highlight w:val="none"/>
          <w:lang w:val="en-US" w:eastAsia="zh-CN"/>
        </w:rPr>
        <w:t>(十一)推动全市农业科技体制改革和农业科技创新体系建设。指导全市农业产业技术体系和农技推广体系建设,组织开展农业领城的高新技术和应用技术研究、科技成果转化和技术推广,负责全市农业转基因生物安全监督管理和农业植物新品种保护。</w:t>
      </w:r>
    </w:p>
    <w:p w14:paraId="4298E4D6">
      <w:pPr>
        <w:pageBreakBefore w:val="0"/>
        <w:kinsoku/>
        <w:wordWrap/>
        <w:overflowPunct/>
        <w:topLinePunct w:val="0"/>
        <w:autoSpaceDE/>
        <w:autoSpaceDN/>
        <w:bidi w:val="0"/>
        <w:adjustRightInd/>
        <w:spacing w:line="560" w:lineRule="exact"/>
        <w:ind w:firstLine="600"/>
        <w:textAlignment w:val="auto"/>
        <w:rPr>
          <w:rFonts w:hint="eastAsia" w:ascii="仿宋_GB2312" w:hAnsi="宋体" w:eastAsia="仿宋_GB2312" w:cs="仿宋_GB2312"/>
          <w:sz w:val="32"/>
          <w:szCs w:val="32"/>
          <w:highlight w:val="none"/>
          <w:lang w:val="en-US" w:eastAsia="zh-CN"/>
        </w:rPr>
      </w:pPr>
      <w:r>
        <w:rPr>
          <w:rFonts w:hint="eastAsia" w:ascii="仿宋_GB2312" w:hAnsi="宋体" w:eastAsia="仿宋_GB2312" w:cs="仿宋_GB2312"/>
          <w:sz w:val="32"/>
          <w:szCs w:val="32"/>
          <w:highlight w:val="none"/>
          <w:lang w:val="en-US" w:eastAsia="zh-CN"/>
        </w:rPr>
        <w:t>(十二)负责农业领域生态环境保护和节能减排工作。牵头负责农业污染源头减量和废弃物资源化利用。牵头统筹协调推进农村人居环境整治。指导农业清洁生产。指导全市农产品产地环境管理，牵头管理全市外出物种。负责肥料监督管理。</w:t>
      </w:r>
    </w:p>
    <w:p w14:paraId="5BFFF4B0">
      <w:pPr>
        <w:pageBreakBefore w:val="0"/>
        <w:kinsoku/>
        <w:wordWrap/>
        <w:overflowPunct/>
        <w:topLinePunct w:val="0"/>
        <w:autoSpaceDE/>
        <w:autoSpaceDN/>
        <w:bidi w:val="0"/>
        <w:adjustRightInd/>
        <w:spacing w:line="560" w:lineRule="exact"/>
        <w:ind w:firstLine="600"/>
        <w:textAlignment w:val="auto"/>
        <w:rPr>
          <w:rFonts w:hint="eastAsia" w:ascii="仿宋_GB2312" w:hAnsi="宋体" w:eastAsia="仿宋_GB2312" w:cs="仿宋_GB2312"/>
          <w:sz w:val="32"/>
          <w:szCs w:val="32"/>
          <w:highlight w:val="none"/>
          <w:lang w:val="en-US" w:eastAsia="zh-CN"/>
        </w:rPr>
      </w:pPr>
      <w:r>
        <w:rPr>
          <w:rFonts w:hint="eastAsia" w:ascii="仿宋_GB2312" w:hAnsi="宋体" w:eastAsia="仿宋_GB2312" w:cs="仿宋_GB2312"/>
          <w:sz w:val="32"/>
          <w:szCs w:val="32"/>
          <w:highlight w:val="none"/>
          <w:lang w:val="en-US" w:eastAsia="zh-CN"/>
        </w:rPr>
        <w:t>(十三)统筹推进全市农业农村人才工作。拟订全市农业农村人才队伍建设规划并组织实施,指导农业教育和农业职业技能开发,指导新型职业农民培育、农业科技人才培养和农村实用人才培训工作。</w:t>
      </w:r>
    </w:p>
    <w:p w14:paraId="154F1308">
      <w:pPr>
        <w:pageBreakBefore w:val="0"/>
        <w:kinsoku/>
        <w:wordWrap/>
        <w:overflowPunct/>
        <w:topLinePunct w:val="0"/>
        <w:autoSpaceDE/>
        <w:autoSpaceDN/>
        <w:bidi w:val="0"/>
        <w:adjustRightInd/>
        <w:spacing w:line="560" w:lineRule="exact"/>
        <w:ind w:firstLine="600"/>
        <w:textAlignment w:val="auto"/>
        <w:rPr>
          <w:rFonts w:hint="eastAsia" w:ascii="仿宋_GB2312" w:hAnsi="宋体" w:eastAsia="仿宋_GB2312" w:cs="仿宋_GB2312"/>
          <w:sz w:val="32"/>
          <w:szCs w:val="32"/>
          <w:highlight w:val="none"/>
          <w:lang w:val="en-US" w:eastAsia="zh-CN"/>
        </w:rPr>
      </w:pPr>
      <w:r>
        <w:rPr>
          <w:rFonts w:hint="eastAsia" w:ascii="仿宋_GB2312" w:hAnsi="宋体" w:eastAsia="仿宋_GB2312" w:cs="仿宋_GB2312"/>
          <w:sz w:val="32"/>
          <w:szCs w:val="32"/>
          <w:highlight w:val="none"/>
          <w:lang w:val="en-US" w:eastAsia="zh-CN"/>
        </w:rPr>
        <w:t>(十四)监督指导全市农业行业安全生产工作。负责农业机械、渔政渔港和农药使用等安全监督管理工作。</w:t>
      </w:r>
    </w:p>
    <w:p w14:paraId="2B2040E3">
      <w:pPr>
        <w:pageBreakBefore w:val="0"/>
        <w:kinsoku/>
        <w:wordWrap/>
        <w:overflowPunct/>
        <w:topLinePunct w:val="0"/>
        <w:autoSpaceDE/>
        <w:autoSpaceDN/>
        <w:bidi w:val="0"/>
        <w:adjustRightInd/>
        <w:spacing w:line="560" w:lineRule="exact"/>
        <w:ind w:firstLine="600"/>
        <w:textAlignment w:val="auto"/>
        <w:rPr>
          <w:rFonts w:hint="eastAsia" w:ascii="仿宋_GB2312" w:hAnsi="宋体" w:eastAsia="仿宋_GB2312" w:cs="仿宋_GB2312"/>
          <w:sz w:val="32"/>
          <w:szCs w:val="32"/>
          <w:highlight w:val="none"/>
          <w:lang w:val="en-US" w:eastAsia="zh-CN"/>
        </w:rPr>
      </w:pPr>
      <w:r>
        <w:rPr>
          <w:rFonts w:hint="eastAsia" w:ascii="仿宋_GB2312" w:hAnsi="宋体" w:eastAsia="仿宋_GB2312" w:cs="仿宋_GB2312"/>
          <w:sz w:val="32"/>
          <w:szCs w:val="32"/>
          <w:highlight w:val="none"/>
          <w:lang w:val="en-US" w:eastAsia="zh-CN"/>
        </w:rPr>
        <w:t>(十五)牵头开展全市农业对外合作工作。指导全市系统开展开放型农业及农业招商引资工作。承办政府间农业涉外事务,组织开展农业贸易促进和有关国际国内交流合作,具体执行有关农业授外项目,组织有关国际公约景德镇市履约和协定执行。组织开发农产品国际国内市场。</w:t>
      </w:r>
    </w:p>
    <w:p w14:paraId="05773B2A">
      <w:pPr>
        <w:pageBreakBefore w:val="0"/>
        <w:kinsoku/>
        <w:wordWrap/>
        <w:overflowPunct/>
        <w:topLinePunct w:val="0"/>
        <w:autoSpaceDE/>
        <w:autoSpaceDN/>
        <w:bidi w:val="0"/>
        <w:adjustRightInd/>
        <w:spacing w:line="560" w:lineRule="exact"/>
        <w:ind w:firstLine="600"/>
        <w:textAlignment w:val="auto"/>
        <w:rPr>
          <w:rFonts w:hint="eastAsia" w:ascii="仿宋_GB2312" w:hAnsi="宋体" w:eastAsia="仿宋_GB2312" w:cs="仿宋_GB2312"/>
          <w:sz w:val="32"/>
          <w:szCs w:val="32"/>
          <w:highlight w:val="none"/>
          <w:lang w:val="en-US" w:eastAsia="zh-CN"/>
        </w:rPr>
      </w:pPr>
      <w:r>
        <w:rPr>
          <w:rFonts w:hint="eastAsia" w:ascii="仿宋_GB2312" w:hAnsi="宋体" w:eastAsia="仿宋_GB2312" w:cs="仿宋_GB2312"/>
          <w:sz w:val="32"/>
          <w:szCs w:val="32"/>
          <w:highlight w:val="none"/>
          <w:lang w:val="en-US" w:eastAsia="zh-CN"/>
        </w:rPr>
        <w:t>(十六)贯彻执行国家和省有关粮食流通管理的法律法规，起草全市粮食流通管理的有关政策并组织实施。研究提出全市粮食流通体制改革方案并组织实施。负责粮食流通的对外合作与交流。</w:t>
      </w:r>
    </w:p>
    <w:p w14:paraId="1CEACE42">
      <w:pPr>
        <w:pageBreakBefore w:val="0"/>
        <w:kinsoku/>
        <w:wordWrap/>
        <w:overflowPunct/>
        <w:topLinePunct w:val="0"/>
        <w:autoSpaceDE/>
        <w:autoSpaceDN/>
        <w:bidi w:val="0"/>
        <w:adjustRightInd/>
        <w:spacing w:line="560" w:lineRule="exact"/>
        <w:ind w:firstLine="600"/>
        <w:textAlignment w:val="auto"/>
        <w:rPr>
          <w:rFonts w:hint="eastAsia" w:ascii="仿宋_GB2312" w:hAnsi="宋体" w:eastAsia="仿宋_GB2312" w:cs="仿宋_GB2312"/>
          <w:sz w:val="32"/>
          <w:szCs w:val="32"/>
          <w:highlight w:val="none"/>
          <w:lang w:val="en-US" w:eastAsia="zh-CN"/>
        </w:rPr>
      </w:pPr>
      <w:r>
        <w:rPr>
          <w:rFonts w:hint="eastAsia" w:ascii="仿宋_GB2312" w:hAnsi="宋体" w:eastAsia="仿宋_GB2312" w:cs="仿宋_GB2312"/>
          <w:sz w:val="32"/>
          <w:szCs w:val="32"/>
          <w:highlight w:val="none"/>
          <w:lang w:val="en-US" w:eastAsia="zh-CN"/>
        </w:rPr>
        <w:t>(十七)管理全市粮食储备，负责市级储备粮行政管理。承担全市粮食流通的宏观调控具体工作，监测粮食和储备物资供求变化并预警预测。指导协调地方储备粮管理，拟订全市粮食市场体系建设与发展规划并组织实施。负责政策性粮食供应及军粮供应与管理。</w:t>
      </w:r>
    </w:p>
    <w:p w14:paraId="2FF20509">
      <w:pPr>
        <w:pageBreakBefore w:val="0"/>
        <w:kinsoku/>
        <w:wordWrap/>
        <w:overflowPunct/>
        <w:topLinePunct w:val="0"/>
        <w:autoSpaceDE/>
        <w:autoSpaceDN/>
        <w:bidi w:val="0"/>
        <w:adjustRightInd/>
        <w:spacing w:line="560" w:lineRule="exact"/>
        <w:ind w:firstLine="600"/>
        <w:textAlignment w:val="auto"/>
        <w:rPr>
          <w:rFonts w:hint="eastAsia" w:ascii="仿宋_GB2312" w:hAnsi="宋体" w:eastAsia="仿宋_GB2312" w:cs="仿宋_GB2312"/>
          <w:sz w:val="32"/>
          <w:szCs w:val="32"/>
          <w:highlight w:val="none"/>
          <w:lang w:val="en-US" w:eastAsia="zh-CN"/>
        </w:rPr>
      </w:pPr>
      <w:r>
        <w:rPr>
          <w:rFonts w:hint="eastAsia" w:ascii="仿宋_GB2312" w:hAnsi="宋体" w:eastAsia="仿宋_GB2312" w:cs="仿宋_GB2312"/>
          <w:sz w:val="32"/>
          <w:szCs w:val="32"/>
          <w:highlight w:val="none"/>
          <w:lang w:val="en-US" w:eastAsia="zh-CN"/>
        </w:rPr>
        <w:t>(十八)落实市级储备粮、油的规划和总量计划。研究提出全市生活救灾类粮、油储备规划和品种目录的建议，组织实施全市生活救灾类粮、油的收储、轮换和日常管理，落实有关动用计划和指令。根据全市粮、油储备总体规划，统一负责储备基础设施建设和管理。拟订全市粮食流通设施建设规划并组织实施，管理有关粮食流通设施市级投资项目。</w:t>
      </w:r>
    </w:p>
    <w:p w14:paraId="626A59CE">
      <w:pPr>
        <w:pageBreakBefore w:val="0"/>
        <w:kinsoku/>
        <w:wordWrap/>
        <w:overflowPunct/>
        <w:topLinePunct w:val="0"/>
        <w:autoSpaceDE/>
        <w:autoSpaceDN/>
        <w:bidi w:val="0"/>
        <w:adjustRightInd/>
        <w:spacing w:line="560" w:lineRule="exact"/>
        <w:ind w:firstLine="600"/>
        <w:textAlignment w:val="auto"/>
        <w:rPr>
          <w:rFonts w:hint="eastAsia" w:ascii="仿宋_GB2312" w:hAnsi="宋体" w:eastAsia="仿宋_GB2312" w:cs="仿宋_GB2312"/>
          <w:sz w:val="32"/>
          <w:szCs w:val="32"/>
          <w:highlight w:val="none"/>
          <w:lang w:val="en-US" w:eastAsia="zh-CN"/>
        </w:rPr>
      </w:pPr>
      <w:r>
        <w:rPr>
          <w:rFonts w:hint="eastAsia" w:ascii="仿宋_GB2312" w:hAnsi="宋体" w:eastAsia="仿宋_GB2312" w:cs="仿宋_GB2312"/>
          <w:sz w:val="32"/>
          <w:szCs w:val="32"/>
          <w:highlight w:val="none"/>
          <w:lang w:val="en-US" w:eastAsia="zh-CN"/>
        </w:rPr>
        <w:t>(十九)拟定全市粮、油储备仓储管理有关技术标准和规范并组织实施。负责全市粮食流通行业安全生产工作的监督管理，承担市级粮、油物资储备承储单位安全生产的监管责任。负责全市粮食流通行业管理，制定行业发展规划、政策，拟订粮食流通有关地方标准、粮食地方质量标准，制定有关技术规范并监督执行。</w:t>
      </w:r>
    </w:p>
    <w:p w14:paraId="142A8A3D">
      <w:pPr>
        <w:pageBreakBefore w:val="0"/>
        <w:kinsoku/>
        <w:wordWrap/>
        <w:overflowPunct/>
        <w:topLinePunct w:val="0"/>
        <w:autoSpaceDE/>
        <w:autoSpaceDN/>
        <w:bidi w:val="0"/>
        <w:adjustRightInd/>
        <w:spacing w:line="560" w:lineRule="exact"/>
        <w:ind w:firstLine="600"/>
        <w:textAlignment w:val="auto"/>
        <w:rPr>
          <w:rFonts w:hint="eastAsia" w:ascii="仿宋_GB2312" w:hAnsi="宋体" w:eastAsia="仿宋_GB2312" w:cs="仿宋_GB2312"/>
          <w:sz w:val="32"/>
          <w:szCs w:val="32"/>
          <w:highlight w:val="none"/>
          <w:lang w:val="en-US" w:eastAsia="zh-CN"/>
        </w:rPr>
      </w:pPr>
      <w:r>
        <w:rPr>
          <w:rFonts w:hint="eastAsia" w:ascii="仿宋_GB2312" w:hAnsi="宋体" w:eastAsia="仿宋_GB2312" w:cs="仿宋_GB2312"/>
          <w:sz w:val="32"/>
          <w:szCs w:val="32"/>
          <w:highlight w:val="none"/>
          <w:lang w:val="en-US" w:eastAsia="zh-CN"/>
        </w:rPr>
        <w:t>(二十)负责对管理的粮油政府储备、企业储备以及储备政策落实情况进行监督检査。负责粮食流通监督检查，负责粮食收购、储存、运输环节的粮食质量安全和原粮卫生的监督管理，组织实施全市粮食库存检查工作。承担粮食安全省长责任制考核日常工作。</w:t>
      </w:r>
    </w:p>
    <w:p w14:paraId="2D0AA4A0">
      <w:pPr>
        <w:pageBreakBefore w:val="0"/>
        <w:kinsoku/>
        <w:wordWrap/>
        <w:overflowPunct/>
        <w:topLinePunct w:val="0"/>
        <w:autoSpaceDE/>
        <w:autoSpaceDN/>
        <w:bidi w:val="0"/>
        <w:adjustRightInd/>
        <w:spacing w:line="560" w:lineRule="exact"/>
        <w:ind w:firstLine="600"/>
        <w:textAlignment w:val="auto"/>
        <w:rPr>
          <w:rFonts w:hint="eastAsia" w:ascii="仿宋_GB2312" w:hAnsi="宋体" w:eastAsia="仿宋_GB2312" w:cs="仿宋_GB2312"/>
          <w:sz w:val="32"/>
          <w:szCs w:val="32"/>
          <w:highlight w:val="none"/>
          <w:lang w:val="en-US" w:eastAsia="zh-CN"/>
        </w:rPr>
      </w:pPr>
      <w:r>
        <w:rPr>
          <w:rFonts w:hint="eastAsia" w:ascii="仿宋_GB2312" w:hAnsi="宋体" w:eastAsia="仿宋_GB2312" w:cs="仿宋_GB2312"/>
          <w:sz w:val="32"/>
          <w:szCs w:val="32"/>
          <w:highlight w:val="none"/>
          <w:lang w:val="en-US" w:eastAsia="zh-CN"/>
        </w:rPr>
        <w:t>(二十一)完成市委、市政府和市委农村工作领导小组交办的其他任务。</w:t>
      </w:r>
    </w:p>
    <w:p w14:paraId="7E3CF743">
      <w:pPr>
        <w:ind w:firstLine="630" w:firstLineChars="196"/>
        <w:rPr>
          <w:rFonts w:ascii="仿宋_GB2312" w:eastAsia="仿宋_GB2312" w:cs="Times New Roman"/>
          <w:b/>
          <w:bCs/>
          <w:sz w:val="32"/>
          <w:szCs w:val="32"/>
        </w:rPr>
      </w:pPr>
      <w:r>
        <w:rPr>
          <w:rFonts w:hint="eastAsia" w:ascii="仿宋_GB2312" w:hAnsi="宋体" w:eastAsia="仿宋_GB2312" w:cs="仿宋_GB2312"/>
          <w:b/>
          <w:bCs/>
          <w:sz w:val="32"/>
          <w:szCs w:val="32"/>
        </w:rPr>
        <w:t>二、部门</w:t>
      </w:r>
      <w:r>
        <w:rPr>
          <w:rFonts w:hint="eastAsia" w:ascii="仿宋_GB2312" w:hAnsi="宋体" w:eastAsia="仿宋_GB2312" w:cs="仿宋_GB2312"/>
          <w:b/>
          <w:bCs/>
          <w:sz w:val="32"/>
          <w:szCs w:val="32"/>
          <w:lang w:eastAsia="zh-CN"/>
        </w:rPr>
        <w:t>机构设置等基本</w:t>
      </w:r>
      <w:r>
        <w:rPr>
          <w:rFonts w:hint="eastAsia" w:ascii="仿宋_GB2312" w:hAnsi="宋体" w:eastAsia="仿宋_GB2312" w:cs="仿宋_GB2312"/>
          <w:b/>
          <w:bCs/>
          <w:sz w:val="32"/>
          <w:szCs w:val="32"/>
        </w:rPr>
        <w:t>情况</w:t>
      </w:r>
    </w:p>
    <w:p w14:paraId="633C01D0">
      <w:pPr>
        <w:pageBreakBefore w:val="0"/>
        <w:kinsoku/>
        <w:wordWrap/>
        <w:overflowPunct/>
        <w:topLinePunct w:val="0"/>
        <w:autoSpaceDE/>
        <w:autoSpaceDN/>
        <w:bidi w:val="0"/>
        <w:adjustRightInd/>
        <w:spacing w:line="560" w:lineRule="exact"/>
        <w:ind w:firstLine="600"/>
        <w:textAlignment w:val="auto"/>
        <w:rPr>
          <w:rFonts w:hint="eastAsia" w:ascii="仿宋_GB2312" w:hAnsi="宋体" w:eastAsia="仿宋_GB2312" w:cs="仿宋_GB2312"/>
          <w:sz w:val="32"/>
          <w:szCs w:val="32"/>
          <w:highlight w:val="none"/>
          <w:lang w:val="en-US" w:eastAsia="zh-CN"/>
        </w:rPr>
      </w:pPr>
      <w:r>
        <w:rPr>
          <w:rFonts w:hint="eastAsia" w:ascii="仿宋_GB2312" w:hAnsi="宋体" w:eastAsia="仿宋_GB2312" w:cs="仿宋_GB2312"/>
          <w:sz w:val="32"/>
          <w:szCs w:val="32"/>
          <w:highlight w:val="none"/>
          <w:lang w:val="en-US" w:eastAsia="zh-CN"/>
        </w:rPr>
        <w:t>景德镇市农业农村局共有预算单位17个，包括局本级1个、参公事业单位4个、全额拨款事业单位11个、差额拨款事业单位1个。人员编制总数为269个，其中行政编制45个，机关工勤编制10个，参照公务员管理的事业编制65个，全额补助事业编制147个，差额补助事业编制2个；全系统实有在职人数224人，其中行政人员58人，参照公务员管理的事业人员45人、全额补助事业人员119人、部分补助事业编人员2人；离休人员1人；退休人员177人。</w:t>
      </w:r>
    </w:p>
    <w:p w14:paraId="7829B81F">
      <w:pPr>
        <w:ind w:firstLine="640" w:firstLineChars="200"/>
        <w:rPr>
          <w:rFonts w:ascii="仿宋_GB2312" w:hAnsi="宋体" w:eastAsia="仿宋_GB2312" w:cs="仿宋_GB2312"/>
          <w:sz w:val="32"/>
          <w:szCs w:val="32"/>
        </w:rPr>
      </w:pPr>
    </w:p>
    <w:p w14:paraId="5CD6630A">
      <w:pPr>
        <w:rPr>
          <w:rFonts w:ascii="黑体" w:hAnsi="宋体" w:eastAsia="黑体" w:cs="Times New Roman"/>
          <w:sz w:val="32"/>
          <w:szCs w:val="32"/>
        </w:rPr>
      </w:pPr>
      <w:r>
        <w:rPr>
          <w:rFonts w:hint="eastAsia" w:ascii="黑体" w:hAnsi="宋体" w:eastAsia="黑体" w:cs="黑体"/>
          <w:sz w:val="32"/>
          <w:szCs w:val="32"/>
        </w:rPr>
        <w:t>第二部分</w:t>
      </w:r>
      <w:r>
        <w:rPr>
          <w:rFonts w:ascii="黑体" w:hAnsi="宋体" w:eastAsia="黑体" w:cs="黑体"/>
          <w:sz w:val="32"/>
          <w:szCs w:val="32"/>
        </w:rPr>
        <w:t xml:space="preserve"> </w:t>
      </w:r>
      <w:r>
        <w:rPr>
          <w:rFonts w:hint="eastAsia" w:ascii="黑体" w:hAnsi="宋体" w:eastAsia="黑体" w:cs="黑体"/>
          <w:sz w:val="32"/>
          <w:szCs w:val="32"/>
          <w:lang w:eastAsia="zh-CN"/>
        </w:rPr>
        <w:t>景德镇市农业农村</w:t>
      </w:r>
      <w:r>
        <w:rPr>
          <w:rFonts w:hint="eastAsia" w:ascii="黑体" w:hAnsi="宋体" w:eastAsia="黑体" w:cs="黑体"/>
          <w:sz w:val="32"/>
          <w:szCs w:val="32"/>
        </w:rPr>
        <w:t>局2021年部门预算情况说明</w:t>
      </w:r>
    </w:p>
    <w:p w14:paraId="297877DC">
      <w:pPr>
        <w:ind w:firstLine="643" w:firstLineChars="200"/>
        <w:rPr>
          <w:rFonts w:ascii="仿宋_GB2312" w:eastAsia="仿宋_GB2312" w:cs="Times New Roman"/>
          <w:b/>
          <w:bCs/>
          <w:sz w:val="32"/>
          <w:szCs w:val="32"/>
        </w:rPr>
      </w:pPr>
      <w:r>
        <w:rPr>
          <w:rFonts w:hint="eastAsia" w:ascii="仿宋_GB2312" w:hAnsi="宋体" w:eastAsia="仿宋_GB2312" w:cs="仿宋_GB2312"/>
          <w:b/>
          <w:bCs/>
          <w:sz w:val="32"/>
          <w:szCs w:val="32"/>
        </w:rPr>
        <w:t>一、2021年部门预算收支情况说明</w:t>
      </w:r>
    </w:p>
    <w:p w14:paraId="5EA43D6D">
      <w:pPr>
        <w:ind w:firstLine="482" w:firstLineChars="150"/>
        <w:rPr>
          <w:rFonts w:ascii="仿宋_GB2312" w:eastAsia="仿宋_GB2312" w:cs="Times New Roman"/>
          <w:b/>
          <w:bCs/>
          <w:sz w:val="32"/>
          <w:szCs w:val="32"/>
        </w:rPr>
      </w:pPr>
      <w:r>
        <w:rPr>
          <w:rFonts w:hint="eastAsia" w:ascii="仿宋_GB2312" w:hAnsi="宋体" w:eastAsia="仿宋_GB2312" w:cs="仿宋_GB2312"/>
          <w:b/>
          <w:bCs/>
          <w:sz w:val="32"/>
          <w:szCs w:val="32"/>
        </w:rPr>
        <w:t>（一）预算收入情况</w:t>
      </w:r>
    </w:p>
    <w:p w14:paraId="18EA9E0E">
      <w:pPr>
        <w:pageBreakBefore w:val="0"/>
        <w:kinsoku/>
        <w:wordWrap/>
        <w:overflowPunct/>
        <w:topLinePunct w:val="0"/>
        <w:autoSpaceDE/>
        <w:autoSpaceDN/>
        <w:bidi w:val="0"/>
        <w:adjustRightInd/>
        <w:spacing w:line="560" w:lineRule="exact"/>
        <w:ind w:firstLine="600"/>
        <w:textAlignment w:val="auto"/>
        <w:rPr>
          <w:rFonts w:hint="eastAsia" w:ascii="仿宋_GB2312" w:hAnsi="宋体" w:eastAsia="仿宋_GB2312" w:cs="仿宋_GB2312"/>
          <w:sz w:val="32"/>
          <w:szCs w:val="32"/>
          <w:highlight w:val="none"/>
          <w:lang w:val="en-US" w:eastAsia="zh-CN"/>
        </w:rPr>
      </w:pPr>
      <w:r>
        <w:rPr>
          <w:rFonts w:hint="eastAsia" w:ascii="仿宋_GB2312" w:hAnsi="宋体" w:eastAsia="仿宋_GB2312" w:cs="仿宋_GB2312"/>
          <w:sz w:val="32"/>
          <w:szCs w:val="32"/>
          <w:highlight w:val="none"/>
          <w:lang w:val="en-US" w:eastAsia="zh-CN"/>
        </w:rPr>
        <w:t>2021年景德镇市农业农村局收入预算总额为6629.25万元，与上年预算相比增加2566.02万元，主要原因：一是农业农村局为2019年全市机构改革新成立单位，相关财务资料由原农业局变更，2020年初预算只有原农业局一家数据，不包含原农工部、原粮食局、原农业开发办的相关数据；二是原粮食局2019年末有1639.74万元粮食项目结转未计入到农业农村局2020年年初预算收入。其中：当年公共财政拨款收入3968.93万元，占收入预算总额的59.87%；政府性基金拨款收入0万元，占收入预算总额的0%；当年专项拨款收入2026.1万元，占收入预算总额的30.56%；上年结转收入592.32万元，占收入预算总额的8.94%；罚没收入16万，占收入预算总额的0.24%；其他收入25.9万，占收入预算总额的0.39%。</w:t>
      </w:r>
    </w:p>
    <w:p w14:paraId="5459C2B1">
      <w:pPr>
        <w:ind w:firstLine="482" w:firstLineChars="150"/>
        <w:rPr>
          <w:rFonts w:ascii="仿宋_GB2312" w:eastAsia="仿宋_GB2312" w:cs="Times New Roman"/>
          <w:b/>
          <w:bCs/>
          <w:sz w:val="32"/>
          <w:szCs w:val="32"/>
        </w:rPr>
      </w:pPr>
      <w:r>
        <w:rPr>
          <w:rFonts w:hint="eastAsia" w:ascii="仿宋_GB2312" w:hAnsi="宋体" w:eastAsia="仿宋_GB2312" w:cs="仿宋_GB2312"/>
          <w:b/>
          <w:bCs/>
          <w:sz w:val="32"/>
          <w:szCs w:val="32"/>
        </w:rPr>
        <w:t>（二）预算支出情况</w:t>
      </w:r>
    </w:p>
    <w:p w14:paraId="5C7526CD">
      <w:pPr>
        <w:pageBreakBefore w:val="0"/>
        <w:kinsoku/>
        <w:wordWrap/>
        <w:overflowPunct/>
        <w:topLinePunct w:val="0"/>
        <w:autoSpaceDE/>
        <w:autoSpaceDN/>
        <w:bidi w:val="0"/>
        <w:adjustRightInd/>
        <w:spacing w:line="560" w:lineRule="exact"/>
        <w:ind w:firstLine="600"/>
        <w:textAlignment w:val="auto"/>
        <w:rPr>
          <w:rFonts w:hint="eastAsia" w:ascii="仿宋_GB2312" w:hAnsi="宋体" w:eastAsia="仿宋_GB2312" w:cs="仿宋_GB2312"/>
          <w:sz w:val="32"/>
          <w:szCs w:val="32"/>
          <w:highlight w:val="none"/>
          <w:lang w:val="en-US" w:eastAsia="zh-CN"/>
        </w:rPr>
      </w:pPr>
      <w:r>
        <w:rPr>
          <w:rFonts w:hint="eastAsia" w:ascii="仿宋_GB2312" w:hAnsi="宋体" w:eastAsia="仿宋_GB2312" w:cs="仿宋_GB2312"/>
          <w:sz w:val="32"/>
          <w:szCs w:val="32"/>
          <w:highlight w:val="none"/>
          <w:lang w:val="en-US" w:eastAsia="zh-CN"/>
        </w:rPr>
        <w:t>2021年景德镇市农业农村局支出预算总额为6629.25万元，与上年预算相比增加2566.02万元。主要由于2020年市农业农村局年初预算未包含粮食专项及市茶叶科学研究所、市水稻畜禽良种示范繁殖场职工养老赔偿等支出。其中：按支出项目类别划分：基本支出4603.15万元，占支出预算总额的69.44%，包括工资福利支出3489.97万元、商品和服务支出612.39万元、对个人和家庭的补助447.39万元、其他资本性支出53.4万元；项目支出2026.1万元，占支出总额的30.56%，包括工资福利支出0万元、商品和服务支出128.1万元、对个人和家庭的补助0万元、债务利息支出0万元、基本建设支出0万元、其他资本性支出0万元、对企业补助1898万元；事业经营支出0万元，占支出预算总额的0%；对附属单位补助支出的0万元，占支出预算总额的0%；上缴上级支出0万元，占支出预算总额的0%。</w:t>
      </w:r>
    </w:p>
    <w:p w14:paraId="17CCD337">
      <w:pPr>
        <w:pageBreakBefore w:val="0"/>
        <w:kinsoku/>
        <w:wordWrap/>
        <w:overflowPunct/>
        <w:topLinePunct w:val="0"/>
        <w:autoSpaceDE/>
        <w:autoSpaceDN/>
        <w:bidi w:val="0"/>
        <w:adjustRightInd/>
        <w:spacing w:line="560" w:lineRule="exact"/>
        <w:ind w:firstLine="600"/>
        <w:textAlignment w:val="auto"/>
        <w:rPr>
          <w:rFonts w:hint="eastAsia" w:ascii="仿宋_GB2312" w:hAnsi="宋体" w:eastAsia="仿宋_GB2312" w:cs="仿宋_GB2312"/>
          <w:sz w:val="32"/>
          <w:szCs w:val="32"/>
          <w:highlight w:val="none"/>
          <w:lang w:val="en-US" w:eastAsia="zh-CN"/>
        </w:rPr>
      </w:pPr>
      <w:r>
        <w:rPr>
          <w:rFonts w:hint="eastAsia" w:ascii="仿宋_GB2312" w:hAnsi="宋体" w:eastAsia="仿宋_GB2312" w:cs="仿宋_GB2312"/>
          <w:sz w:val="32"/>
          <w:szCs w:val="32"/>
          <w:highlight w:val="none"/>
          <w:lang w:val="en-US" w:eastAsia="zh-CN"/>
        </w:rPr>
        <w:t>按支出功能项目科目划分：社会保障和就业支出256.14万元，占支出预算总额的3.86%；卫生健康支出239.26万元，占支出预算总额的3.61%；农林水支出5866.01万元，占支出预算总额的88.49%；住房保障支出267.84万元，占支出预算总额的4.04%。</w:t>
      </w:r>
    </w:p>
    <w:p w14:paraId="77870C9D">
      <w:pPr>
        <w:pageBreakBefore w:val="0"/>
        <w:kinsoku/>
        <w:wordWrap/>
        <w:overflowPunct/>
        <w:topLinePunct w:val="0"/>
        <w:autoSpaceDE/>
        <w:autoSpaceDN/>
        <w:bidi w:val="0"/>
        <w:adjustRightInd/>
        <w:spacing w:line="560" w:lineRule="exact"/>
        <w:ind w:firstLine="600"/>
        <w:textAlignment w:val="auto"/>
        <w:rPr>
          <w:rFonts w:hint="eastAsia" w:ascii="仿宋_GB2312" w:hAnsi="宋体" w:eastAsia="仿宋_GB2312" w:cs="仿宋_GB2312"/>
          <w:sz w:val="32"/>
          <w:szCs w:val="32"/>
          <w:highlight w:val="none"/>
          <w:lang w:val="en-US" w:eastAsia="zh-CN"/>
        </w:rPr>
      </w:pPr>
      <w:r>
        <w:rPr>
          <w:rFonts w:hint="eastAsia" w:ascii="仿宋_GB2312" w:hAnsi="宋体" w:eastAsia="仿宋_GB2312" w:cs="仿宋_GB2312"/>
          <w:sz w:val="32"/>
          <w:szCs w:val="32"/>
          <w:highlight w:val="none"/>
          <w:lang w:val="en-US" w:eastAsia="zh-CN"/>
        </w:rPr>
        <w:t>按支出经济分类划分：工资福利支出3489.97万元，占支出预算总额的52.64%；商品和服务支出740.49万元，占支出预算总额的11.17%；对个人和家庭的补助447.39万元，占支出预算总额的6.75%；资本性支出53.4万元，占支出预算总额的0.81%；对企业补助1898万元，占支出预算总额的28.63%。</w:t>
      </w:r>
    </w:p>
    <w:p w14:paraId="07112203">
      <w:pPr>
        <w:widowControl/>
        <w:spacing w:line="600" w:lineRule="exact"/>
        <w:ind w:firstLine="640"/>
        <w:jc w:val="left"/>
        <w:rPr>
          <w:rFonts w:ascii="仿宋_GB2312" w:eastAsia="仿宋_GB2312"/>
          <w:b/>
          <w:color w:val="000000"/>
          <w:sz w:val="32"/>
          <w:szCs w:val="30"/>
        </w:rPr>
      </w:pPr>
      <w:r>
        <w:rPr>
          <w:rFonts w:hint="eastAsia" w:ascii="仿宋_GB2312" w:hAnsi="宋体" w:eastAsia="仿宋_GB2312" w:cs="仿宋_GB2312"/>
          <w:b/>
          <w:bCs/>
          <w:sz w:val="32"/>
          <w:szCs w:val="32"/>
        </w:rPr>
        <w:t>（三）</w:t>
      </w:r>
      <w:r>
        <w:rPr>
          <w:rFonts w:hint="eastAsia" w:ascii="仿宋_GB2312" w:eastAsia="仿宋_GB2312"/>
          <w:b/>
          <w:color w:val="000000"/>
          <w:sz w:val="32"/>
          <w:szCs w:val="30"/>
        </w:rPr>
        <w:t>财政拨款支出情况</w:t>
      </w:r>
    </w:p>
    <w:p w14:paraId="09AD480D">
      <w:pPr>
        <w:pageBreakBefore w:val="0"/>
        <w:kinsoku/>
        <w:wordWrap/>
        <w:overflowPunct/>
        <w:topLinePunct w:val="0"/>
        <w:autoSpaceDE/>
        <w:autoSpaceDN/>
        <w:bidi w:val="0"/>
        <w:adjustRightInd/>
        <w:spacing w:line="560" w:lineRule="exact"/>
        <w:ind w:firstLine="600"/>
        <w:textAlignment w:val="auto"/>
        <w:rPr>
          <w:rFonts w:hint="eastAsia" w:ascii="仿宋_GB2312" w:hAnsi="宋体" w:eastAsia="仿宋_GB2312" w:cs="仿宋_GB2312"/>
          <w:sz w:val="32"/>
          <w:szCs w:val="32"/>
          <w:highlight w:val="none"/>
          <w:lang w:val="en-US" w:eastAsia="zh-CN"/>
        </w:rPr>
      </w:pPr>
      <w:r>
        <w:rPr>
          <w:rFonts w:hint="eastAsia" w:ascii="仿宋_GB2312" w:hAnsi="宋体" w:eastAsia="仿宋_GB2312" w:cs="仿宋_GB2312"/>
          <w:sz w:val="32"/>
          <w:szCs w:val="32"/>
          <w:highlight w:val="none"/>
          <w:lang w:val="en-US" w:eastAsia="zh-CN"/>
        </w:rPr>
        <w:t>2021年景德镇市农业农村局财政拨款支出预算6011.03万元，占支出预算总额的90.67%，与上年预算相比增加2637.23万元，主要由于2020年市农业农村局年初预算未包含粮食专项及市茶叶科学研究所、市水稻畜禽良种示范繁殖场职工养老赔偿等支出。具体支出情况是：社会保障和就业支出256.14万元，占财政拨款支出4.26%；卫生健康支出239.26万元，占财政拨款支出3.98%；农林水支出5260.41万元，占财政拨款支出87.51%；住房保障支出255.22万元，占财政拨款支出4.25%。</w:t>
      </w:r>
    </w:p>
    <w:p w14:paraId="532BCFDF">
      <w:pPr>
        <w:numPr>
          <w:ilvl w:val="0"/>
          <w:numId w:val="1"/>
        </w:numPr>
        <w:tabs>
          <w:tab w:val="left" w:pos="1162"/>
        </w:tabs>
        <w:ind w:left="420" w:leftChars="200" w:firstLine="321" w:firstLineChars="100"/>
        <w:rPr>
          <w:rFonts w:hint="eastAsia" w:ascii="仿宋_GB2312" w:hAnsi="宋体" w:eastAsia="仿宋_GB2312" w:cs="仿宋_GB2312"/>
          <w:b/>
          <w:bCs/>
          <w:sz w:val="32"/>
          <w:szCs w:val="32"/>
        </w:rPr>
      </w:pPr>
      <w:r>
        <w:rPr>
          <w:rFonts w:hint="eastAsia" w:ascii="仿宋_GB2312" w:hAnsi="宋体" w:eastAsia="仿宋_GB2312" w:cs="仿宋_GB2312"/>
          <w:b/>
          <w:bCs/>
          <w:sz w:val="32"/>
          <w:szCs w:val="32"/>
        </w:rPr>
        <w:t>政府基金收支情况</w:t>
      </w:r>
    </w:p>
    <w:p w14:paraId="60E8BF8F">
      <w:pPr>
        <w:pageBreakBefore w:val="0"/>
        <w:kinsoku/>
        <w:wordWrap/>
        <w:overflowPunct/>
        <w:topLinePunct w:val="0"/>
        <w:autoSpaceDE/>
        <w:autoSpaceDN/>
        <w:bidi w:val="0"/>
        <w:adjustRightInd/>
        <w:spacing w:line="560" w:lineRule="exact"/>
        <w:ind w:firstLine="600"/>
        <w:textAlignment w:val="auto"/>
        <w:rPr>
          <w:rFonts w:hint="eastAsia" w:ascii="仿宋_GB2312" w:hAnsi="宋体" w:eastAsia="仿宋_GB2312" w:cs="仿宋_GB2312"/>
          <w:sz w:val="32"/>
          <w:szCs w:val="32"/>
          <w:highlight w:val="none"/>
          <w:lang w:val="en-US" w:eastAsia="zh-CN"/>
        </w:rPr>
      </w:pPr>
      <w:r>
        <w:rPr>
          <w:rFonts w:hint="eastAsia" w:ascii="仿宋_GB2312" w:hAnsi="宋体" w:eastAsia="仿宋_GB2312" w:cs="仿宋_GB2312"/>
          <w:sz w:val="32"/>
          <w:szCs w:val="32"/>
          <w:highlight w:val="none"/>
          <w:lang w:val="en-US" w:eastAsia="zh-CN"/>
        </w:rPr>
        <w:t>2021年景德镇市农业农村局无政府基金收支预算。</w:t>
      </w:r>
    </w:p>
    <w:p w14:paraId="7B90529A">
      <w:pPr>
        <w:numPr>
          <w:ilvl w:val="0"/>
          <w:numId w:val="0"/>
        </w:numPr>
        <w:ind w:firstLine="643" w:firstLineChars="200"/>
        <w:rPr>
          <w:rFonts w:hint="eastAsia" w:ascii="仿宋_GB2312" w:hAnsi="宋体" w:eastAsia="仿宋_GB2312" w:cs="仿宋_GB2312"/>
          <w:b/>
          <w:bCs/>
          <w:sz w:val="32"/>
          <w:szCs w:val="32"/>
          <w:lang w:eastAsia="zh-CN"/>
        </w:rPr>
      </w:pPr>
      <w:r>
        <w:rPr>
          <w:rFonts w:hint="eastAsia" w:ascii="仿宋_GB2312" w:hAnsi="宋体" w:eastAsia="仿宋_GB2312" w:cs="仿宋_GB2312"/>
          <w:b/>
          <w:bCs/>
          <w:sz w:val="32"/>
          <w:szCs w:val="32"/>
          <w:lang w:eastAsia="zh-CN"/>
        </w:rPr>
        <w:t>（五）机关运行经费情况说明</w:t>
      </w:r>
    </w:p>
    <w:p w14:paraId="7EBC1756">
      <w:pPr>
        <w:pageBreakBefore w:val="0"/>
        <w:kinsoku/>
        <w:wordWrap/>
        <w:overflowPunct/>
        <w:topLinePunct w:val="0"/>
        <w:autoSpaceDE/>
        <w:autoSpaceDN/>
        <w:bidi w:val="0"/>
        <w:adjustRightInd/>
        <w:spacing w:line="560" w:lineRule="exact"/>
        <w:ind w:firstLine="600"/>
        <w:textAlignment w:val="auto"/>
        <w:rPr>
          <w:rFonts w:hint="eastAsia" w:ascii="仿宋_GB2312" w:hAnsi="宋体" w:eastAsia="仿宋_GB2312" w:cs="仿宋_GB2312"/>
          <w:sz w:val="32"/>
          <w:szCs w:val="32"/>
          <w:highlight w:val="none"/>
          <w:lang w:val="en-US" w:eastAsia="zh-CN"/>
        </w:rPr>
      </w:pPr>
      <w:r>
        <w:rPr>
          <w:rFonts w:hint="eastAsia" w:ascii="仿宋_GB2312" w:hAnsi="宋体" w:eastAsia="仿宋_GB2312" w:cs="仿宋_GB2312"/>
          <w:sz w:val="32"/>
          <w:szCs w:val="32"/>
          <w:highlight w:val="none"/>
          <w:lang w:val="en-US" w:eastAsia="zh-CN"/>
        </w:rPr>
        <w:t>2021年景德镇市农业农村局机关运行经费预算502.6万元，与上年预算数相比增加了56.04 %，主要原因是2020年初预算未包含原农工部、原粮食局、原农业开发办的相关运行经费费用。</w:t>
      </w:r>
    </w:p>
    <w:p w14:paraId="61C8A53F">
      <w:pPr>
        <w:numPr>
          <w:ilvl w:val="0"/>
          <w:numId w:val="0"/>
        </w:numPr>
        <w:ind w:firstLine="643" w:firstLineChars="200"/>
        <w:rPr>
          <w:rFonts w:ascii="仿宋_GB2312" w:eastAsia="仿宋_GB2312" w:cs="Times New Roman"/>
          <w:b/>
          <w:bCs/>
          <w:sz w:val="32"/>
          <w:szCs w:val="32"/>
        </w:rPr>
      </w:pPr>
      <w:r>
        <w:rPr>
          <w:rFonts w:hint="eastAsia" w:ascii="仿宋_GB2312" w:hAnsi="宋体" w:eastAsia="仿宋_GB2312" w:cs="仿宋_GB2312"/>
          <w:b/>
          <w:bCs/>
          <w:sz w:val="32"/>
          <w:szCs w:val="32"/>
          <w:lang w:val="en-US" w:eastAsia="zh-CN"/>
        </w:rPr>
        <w:t>(六）</w:t>
      </w:r>
      <w:r>
        <w:rPr>
          <w:rFonts w:hint="eastAsia" w:ascii="仿宋_GB2312" w:hAnsi="宋体" w:eastAsia="仿宋_GB2312" w:cs="仿宋_GB2312"/>
          <w:b/>
          <w:bCs/>
          <w:sz w:val="32"/>
          <w:szCs w:val="32"/>
        </w:rPr>
        <w:t>政府采购预算情况</w:t>
      </w:r>
    </w:p>
    <w:p w14:paraId="5487E6D4">
      <w:pPr>
        <w:pageBreakBefore w:val="0"/>
        <w:kinsoku/>
        <w:wordWrap/>
        <w:overflowPunct/>
        <w:topLinePunct w:val="0"/>
        <w:autoSpaceDE/>
        <w:autoSpaceDN/>
        <w:bidi w:val="0"/>
        <w:adjustRightInd/>
        <w:spacing w:line="560" w:lineRule="exact"/>
        <w:ind w:firstLine="600"/>
        <w:textAlignment w:val="auto"/>
        <w:rPr>
          <w:rFonts w:hint="eastAsia" w:ascii="仿宋_GB2312" w:hAnsi="宋体" w:eastAsia="仿宋_GB2312" w:cs="仿宋_GB2312"/>
          <w:sz w:val="32"/>
          <w:szCs w:val="32"/>
          <w:highlight w:val="none"/>
          <w:lang w:val="en-US" w:eastAsia="zh-CN"/>
        </w:rPr>
      </w:pPr>
      <w:r>
        <w:rPr>
          <w:rFonts w:hint="eastAsia" w:ascii="仿宋_GB2312" w:hAnsi="宋体" w:eastAsia="仿宋_GB2312" w:cs="仿宋_GB2312"/>
          <w:sz w:val="32"/>
          <w:szCs w:val="32"/>
          <w:highlight w:val="none"/>
          <w:lang w:val="en-US" w:eastAsia="zh-CN"/>
        </w:rPr>
        <w:t>部门政府集中采购53.4万元，与上年预算对比减少4.7万元。因为本部门在预算安排中集中财力保障重点支出。</w:t>
      </w:r>
    </w:p>
    <w:p w14:paraId="7290FA7B">
      <w:pPr>
        <w:numPr>
          <w:ilvl w:val="0"/>
          <w:numId w:val="0"/>
        </w:numPr>
        <w:ind w:firstLine="643" w:firstLineChars="200"/>
        <w:rPr>
          <w:rFonts w:hint="eastAsia" w:ascii="仿宋_GB2312" w:hAnsi="宋体" w:eastAsia="仿宋_GB2312" w:cs="仿宋_GB2312"/>
          <w:b/>
          <w:bCs/>
          <w:sz w:val="32"/>
          <w:szCs w:val="32"/>
          <w:lang w:eastAsia="zh-CN"/>
        </w:rPr>
      </w:pPr>
      <w:r>
        <w:rPr>
          <w:rFonts w:hint="eastAsia" w:ascii="仿宋_GB2312" w:hAnsi="宋体" w:eastAsia="仿宋_GB2312" w:cs="仿宋_GB2312"/>
          <w:b/>
          <w:bCs/>
          <w:sz w:val="32"/>
          <w:szCs w:val="32"/>
          <w:lang w:eastAsia="zh-CN"/>
        </w:rPr>
        <w:t>（七）国有资产占用情况说明</w:t>
      </w:r>
    </w:p>
    <w:p w14:paraId="59D4AB7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宋体" w:eastAsia="仿宋_GB2312" w:cs="仿宋_GB2312"/>
          <w:sz w:val="32"/>
          <w:szCs w:val="32"/>
          <w:highlight w:val="none"/>
          <w:lang w:val="en-US" w:eastAsia="zh-CN"/>
        </w:rPr>
      </w:pPr>
      <w:r>
        <w:rPr>
          <w:rFonts w:hint="eastAsia" w:ascii="仿宋_GB2312" w:hAnsi="宋体" w:eastAsia="仿宋_GB2312" w:cs="仿宋_GB2312"/>
          <w:sz w:val="32"/>
          <w:szCs w:val="32"/>
          <w:highlight w:val="none"/>
          <w:lang w:val="en-US" w:eastAsia="zh-CN"/>
        </w:rPr>
        <w:t>本部门共有车辆8 辆，其中，副部（省）级及以上领导用车0辆、主要领导干部用车0辆、机要通信用车0辆、应急保障用车0辆、执法执勤用车6辆、特种专业技术用车0辆、其他用车2辆；单位价值50万元以上通用设备0台（套）；单位价值100万元以上专用设备0台（套）。其中车辆中的其他用车主要是事业单位涉改车辆。</w:t>
      </w:r>
    </w:p>
    <w:p w14:paraId="06342FBA">
      <w:pPr>
        <w:widowControl/>
        <w:spacing w:line="600" w:lineRule="exact"/>
        <w:ind w:firstLine="643" w:firstLineChars="200"/>
        <w:jc w:val="left"/>
        <w:rPr>
          <w:rFonts w:ascii="仿宋_GB2312" w:eastAsia="仿宋_GB2312"/>
          <w:b/>
          <w:color w:val="000000"/>
          <w:sz w:val="32"/>
          <w:szCs w:val="30"/>
          <w:highlight w:val="none"/>
        </w:rPr>
      </w:pPr>
      <w:r>
        <w:rPr>
          <w:rFonts w:hint="eastAsia" w:ascii="仿宋_GB2312" w:hAnsi="宋体" w:eastAsia="仿宋_GB2312" w:cs="仿宋_GB2312"/>
          <w:b/>
          <w:bCs/>
          <w:sz w:val="32"/>
          <w:szCs w:val="32"/>
          <w:highlight w:val="none"/>
        </w:rPr>
        <w:t>（</w:t>
      </w:r>
      <w:r>
        <w:rPr>
          <w:rFonts w:hint="eastAsia" w:ascii="仿宋_GB2312" w:hAnsi="宋体" w:eastAsia="仿宋_GB2312" w:cs="仿宋_GB2312"/>
          <w:b/>
          <w:bCs/>
          <w:sz w:val="32"/>
          <w:szCs w:val="32"/>
          <w:highlight w:val="none"/>
          <w:lang w:eastAsia="zh-CN"/>
        </w:rPr>
        <w:t>八</w:t>
      </w:r>
      <w:r>
        <w:rPr>
          <w:rFonts w:hint="eastAsia" w:ascii="仿宋_GB2312" w:hAnsi="宋体" w:eastAsia="仿宋_GB2312" w:cs="仿宋_GB2312"/>
          <w:b/>
          <w:bCs/>
          <w:sz w:val="32"/>
          <w:szCs w:val="32"/>
          <w:highlight w:val="none"/>
        </w:rPr>
        <w:t>）</w:t>
      </w:r>
      <w:r>
        <w:rPr>
          <w:rFonts w:hint="eastAsia" w:ascii="仿宋_GB2312" w:eastAsia="仿宋_GB2312"/>
          <w:b/>
          <w:bCs/>
          <w:color w:val="000000"/>
          <w:sz w:val="32"/>
          <w:szCs w:val="30"/>
          <w:highlight w:val="none"/>
        </w:rPr>
        <w:t>整体</w:t>
      </w:r>
      <w:r>
        <w:rPr>
          <w:rFonts w:hint="eastAsia" w:ascii="仿宋_GB2312" w:eastAsia="仿宋_GB2312"/>
          <w:b/>
          <w:color w:val="000000"/>
          <w:sz w:val="32"/>
          <w:szCs w:val="30"/>
          <w:highlight w:val="none"/>
        </w:rPr>
        <w:t>绩效目标设置情况</w:t>
      </w:r>
    </w:p>
    <w:p w14:paraId="3E818763">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ascii="仿宋_GB2312" w:eastAsia="仿宋_GB2312"/>
          <w:color w:val="000000"/>
          <w:sz w:val="32"/>
          <w:szCs w:val="30"/>
          <w:highlight w:val="none"/>
        </w:rPr>
      </w:pPr>
      <w:r>
        <w:rPr>
          <w:rFonts w:hint="eastAsia" w:ascii="仿宋_GB2312" w:eastAsia="仿宋_GB2312"/>
          <w:color w:val="000000"/>
          <w:sz w:val="32"/>
          <w:szCs w:val="30"/>
          <w:highlight w:val="none"/>
        </w:rPr>
        <w:t>2021年部门整体绩效目标</w:t>
      </w:r>
      <w:r>
        <w:rPr>
          <w:rFonts w:hint="eastAsia" w:ascii="仿宋_GB2312" w:eastAsia="仿宋_GB2312"/>
          <w:color w:val="000000"/>
          <w:sz w:val="32"/>
          <w:szCs w:val="30"/>
          <w:highlight w:val="none"/>
          <w:lang w:val="en-US" w:eastAsia="zh-CN"/>
        </w:rPr>
        <w:t>:1、</w:t>
      </w:r>
      <w:r>
        <w:rPr>
          <w:rFonts w:hint="eastAsia" w:ascii="仿宋_GB2312" w:eastAsia="仿宋_GB2312"/>
          <w:color w:val="000000"/>
          <w:sz w:val="32"/>
          <w:szCs w:val="30"/>
          <w:highlight w:val="none"/>
        </w:rPr>
        <w:t>继续实施蔬菜振兴计划、茶叶复兴计划、三产融合攻坚计划和品牌提升计</w:t>
      </w:r>
      <w:r>
        <w:rPr>
          <w:rFonts w:hint="eastAsia" w:ascii="仿宋_GB2312" w:eastAsia="仿宋_GB2312"/>
          <w:color w:val="000000"/>
          <w:sz w:val="32"/>
          <w:szCs w:val="30"/>
          <w:highlight w:val="none"/>
          <w:lang w:eastAsia="zh-CN"/>
        </w:rPr>
        <w:t>划；</w:t>
      </w:r>
      <w:r>
        <w:rPr>
          <w:rFonts w:hint="eastAsia" w:ascii="仿宋_GB2312" w:eastAsia="仿宋_GB2312"/>
          <w:color w:val="000000"/>
          <w:sz w:val="32"/>
          <w:szCs w:val="30"/>
          <w:highlight w:val="none"/>
        </w:rPr>
        <w:t>2.推进畜禽、果业、粮油、油茶等传统产业转型升级</w:t>
      </w:r>
      <w:r>
        <w:rPr>
          <w:rFonts w:hint="eastAsia" w:ascii="仿宋_GB2312" w:eastAsia="仿宋_GB2312"/>
          <w:color w:val="000000"/>
          <w:sz w:val="32"/>
          <w:szCs w:val="30"/>
          <w:highlight w:val="none"/>
          <w:lang w:eastAsia="zh-CN"/>
        </w:rPr>
        <w:t>；</w:t>
      </w:r>
      <w:r>
        <w:rPr>
          <w:rFonts w:hint="eastAsia" w:ascii="仿宋_GB2312" w:eastAsia="仿宋_GB2312"/>
          <w:color w:val="000000"/>
          <w:sz w:val="32"/>
          <w:szCs w:val="30"/>
          <w:highlight w:val="none"/>
        </w:rPr>
        <w:t>3.实施粮食仓储设施功能提升工程，推广应用绿色生态和低温储粮技术</w:t>
      </w:r>
      <w:r>
        <w:rPr>
          <w:rFonts w:hint="eastAsia" w:ascii="仿宋_GB2312" w:eastAsia="仿宋_GB2312"/>
          <w:color w:val="000000"/>
          <w:sz w:val="32"/>
          <w:szCs w:val="30"/>
          <w:highlight w:val="none"/>
          <w:lang w:eastAsia="zh-CN"/>
        </w:rPr>
        <w:t>；</w:t>
      </w:r>
      <w:r>
        <w:rPr>
          <w:rFonts w:hint="eastAsia" w:ascii="仿宋_GB2312" w:eastAsia="仿宋_GB2312"/>
          <w:color w:val="000000"/>
          <w:sz w:val="32"/>
          <w:szCs w:val="30"/>
          <w:highlight w:val="none"/>
        </w:rPr>
        <w:t>4：实施市级储备粮食的保管，保证数量完整、质量达标</w:t>
      </w:r>
      <w:r>
        <w:rPr>
          <w:rFonts w:hint="eastAsia" w:ascii="仿宋_GB2312" w:eastAsia="仿宋_GB2312"/>
          <w:color w:val="000000"/>
          <w:sz w:val="32"/>
          <w:szCs w:val="30"/>
          <w:highlight w:val="none"/>
          <w:lang w:eastAsia="zh-CN"/>
        </w:rPr>
        <w:t>；</w:t>
      </w:r>
      <w:r>
        <w:rPr>
          <w:rFonts w:hint="eastAsia" w:ascii="仿宋_GB2312" w:eastAsia="仿宋_GB2312"/>
          <w:color w:val="000000"/>
          <w:sz w:val="32"/>
          <w:szCs w:val="30"/>
          <w:highlight w:val="none"/>
        </w:rPr>
        <w:t>5：按有关规定进行市级储备粮食的轮换</w:t>
      </w:r>
      <w:r>
        <w:rPr>
          <w:rFonts w:hint="eastAsia" w:ascii="仿宋_GB2312" w:eastAsia="仿宋_GB2312"/>
          <w:color w:val="000000"/>
          <w:sz w:val="32"/>
          <w:szCs w:val="30"/>
          <w:highlight w:val="none"/>
          <w:lang w:eastAsia="zh-CN"/>
        </w:rPr>
        <w:t>。</w:t>
      </w:r>
      <w:r>
        <w:rPr>
          <w:rFonts w:hint="eastAsia" w:ascii="仿宋_GB2312" w:eastAsia="仿宋_GB2312"/>
          <w:color w:val="000000"/>
          <w:sz w:val="32"/>
          <w:szCs w:val="30"/>
          <w:highlight w:val="none"/>
        </w:rPr>
        <w:t>部门预算情况</w:t>
      </w:r>
      <w:r>
        <w:rPr>
          <w:rFonts w:hint="eastAsia" w:ascii="仿宋_GB2312" w:eastAsia="仿宋_GB2312"/>
          <w:color w:val="000000"/>
          <w:sz w:val="32"/>
          <w:szCs w:val="30"/>
          <w:highlight w:val="none"/>
          <w:lang w:eastAsia="zh-CN"/>
        </w:rPr>
        <w:t>：</w:t>
      </w:r>
      <w:r>
        <w:rPr>
          <w:rFonts w:hint="eastAsia" w:ascii="仿宋_GB2312" w:eastAsia="仿宋_GB2312"/>
          <w:color w:val="000000"/>
          <w:sz w:val="32"/>
          <w:szCs w:val="30"/>
          <w:highlight w:val="none"/>
          <w:lang w:val="en-US" w:eastAsia="zh-CN"/>
        </w:rPr>
        <w:t>2021年度本部门收入预算合计6629.25万元，其中：本级财政安排6011.03万元，其他资金618.22万元。2021年度本部门支出预算合计6629.25万元，其中：人员经费3937.36万元，公用经费665.79万元，项目经费2026.1万元</w:t>
      </w:r>
      <w:r>
        <w:rPr>
          <w:rFonts w:hint="eastAsia" w:ascii="仿宋_GB2312" w:eastAsia="仿宋_GB2312"/>
          <w:color w:val="000000"/>
          <w:sz w:val="32"/>
          <w:szCs w:val="30"/>
          <w:highlight w:val="none"/>
        </w:rPr>
        <w:t>。</w:t>
      </w:r>
      <w:r>
        <w:rPr>
          <w:rFonts w:ascii="仿宋_GB2312" w:eastAsia="仿宋_GB2312"/>
          <w:color w:val="000000"/>
          <w:sz w:val="32"/>
          <w:szCs w:val="30"/>
          <w:highlight w:val="none"/>
        </w:rPr>
        <w:t xml:space="preserve"> </w:t>
      </w:r>
    </w:p>
    <w:p w14:paraId="7C28219A">
      <w:pPr>
        <w:widowControl/>
        <w:spacing w:line="600" w:lineRule="exact"/>
        <w:ind w:firstLine="643" w:firstLineChars="200"/>
        <w:jc w:val="left"/>
        <w:rPr>
          <w:rFonts w:ascii="仿宋_GB2312" w:eastAsia="仿宋_GB2312"/>
          <w:b/>
          <w:color w:val="000000"/>
          <w:sz w:val="32"/>
          <w:szCs w:val="30"/>
          <w:highlight w:val="none"/>
        </w:rPr>
      </w:pPr>
      <w:r>
        <w:rPr>
          <w:rFonts w:hint="eastAsia" w:ascii="仿宋_GB2312" w:hAnsi="宋体" w:eastAsia="仿宋_GB2312" w:cs="仿宋_GB2312"/>
          <w:b/>
          <w:bCs/>
          <w:sz w:val="32"/>
          <w:szCs w:val="32"/>
          <w:highlight w:val="none"/>
        </w:rPr>
        <w:t>（</w:t>
      </w:r>
      <w:r>
        <w:rPr>
          <w:rFonts w:hint="eastAsia" w:ascii="仿宋_GB2312" w:hAnsi="宋体" w:eastAsia="仿宋_GB2312" w:cs="仿宋_GB2312"/>
          <w:b/>
          <w:bCs/>
          <w:sz w:val="32"/>
          <w:szCs w:val="32"/>
          <w:highlight w:val="none"/>
          <w:lang w:val="en-US" w:eastAsia="zh-CN"/>
        </w:rPr>
        <w:t>1</w:t>
      </w:r>
      <w:r>
        <w:rPr>
          <w:rFonts w:hint="eastAsia" w:ascii="仿宋_GB2312" w:hAnsi="宋体" w:eastAsia="仿宋_GB2312" w:cs="仿宋_GB2312"/>
          <w:b/>
          <w:bCs/>
          <w:sz w:val="32"/>
          <w:szCs w:val="32"/>
          <w:highlight w:val="none"/>
        </w:rPr>
        <w:t>）</w:t>
      </w:r>
      <w:r>
        <w:rPr>
          <w:rFonts w:hint="eastAsia" w:ascii="仿宋_GB2312" w:eastAsia="仿宋_GB2312"/>
          <w:b/>
          <w:bCs/>
          <w:color w:val="000000"/>
          <w:sz w:val="32"/>
          <w:szCs w:val="30"/>
          <w:highlight w:val="none"/>
        </w:rPr>
        <w:t>一级</w:t>
      </w:r>
      <w:r>
        <w:rPr>
          <w:rFonts w:hint="eastAsia" w:ascii="仿宋_GB2312" w:eastAsia="仿宋_GB2312"/>
          <w:b/>
          <w:color w:val="000000"/>
          <w:sz w:val="32"/>
          <w:szCs w:val="30"/>
          <w:highlight w:val="none"/>
        </w:rPr>
        <w:t>项目绩效目标设置情况</w:t>
      </w:r>
    </w:p>
    <w:p w14:paraId="6FA9303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宋体" w:eastAsia="仿宋_GB2312" w:cs="仿宋_GB2312"/>
          <w:sz w:val="32"/>
          <w:szCs w:val="32"/>
          <w:highlight w:val="none"/>
          <w:lang w:val="en-US" w:eastAsia="zh-CN"/>
        </w:rPr>
      </w:pPr>
      <w:r>
        <w:rPr>
          <w:rFonts w:hint="eastAsia" w:ascii="仿宋_GB2312" w:hAnsi="宋体" w:eastAsia="仿宋_GB2312" w:cs="仿宋_GB2312"/>
          <w:sz w:val="32"/>
          <w:szCs w:val="32"/>
          <w:highlight w:val="none"/>
          <w:lang w:val="en-US" w:eastAsia="zh-CN"/>
        </w:rPr>
        <w:t>2021年实行绩效目标管理的一级项目1个，涉及资金     2026.1万元，其中：二级项目16 个（部门预算中100万元以上的，且进行了绩效评审的项目2个，涉及资金1898万元）。</w:t>
      </w:r>
    </w:p>
    <w:p w14:paraId="15FA9C84">
      <w:pPr>
        <w:widowControl/>
        <w:spacing w:line="600" w:lineRule="exact"/>
        <w:ind w:firstLine="643" w:firstLineChars="200"/>
        <w:jc w:val="left"/>
        <w:rPr>
          <w:rFonts w:ascii="仿宋_GB2312" w:eastAsia="仿宋_GB2312"/>
          <w:b/>
          <w:color w:val="000000"/>
          <w:sz w:val="32"/>
          <w:szCs w:val="30"/>
          <w:highlight w:val="none"/>
        </w:rPr>
      </w:pPr>
      <w:r>
        <w:rPr>
          <w:rFonts w:hint="eastAsia" w:ascii="仿宋_GB2312" w:eastAsia="仿宋_GB2312"/>
          <w:b/>
          <w:color w:val="000000"/>
          <w:sz w:val="32"/>
          <w:szCs w:val="30"/>
          <w:highlight w:val="none"/>
        </w:rPr>
        <w:t>（</w:t>
      </w:r>
      <w:r>
        <w:rPr>
          <w:rFonts w:hint="eastAsia" w:ascii="仿宋_GB2312" w:eastAsia="仿宋_GB2312"/>
          <w:b/>
          <w:color w:val="000000"/>
          <w:sz w:val="32"/>
          <w:szCs w:val="30"/>
          <w:highlight w:val="none"/>
          <w:lang w:val="en-US" w:eastAsia="zh-CN"/>
        </w:rPr>
        <w:t>2</w:t>
      </w:r>
      <w:r>
        <w:rPr>
          <w:rFonts w:hint="eastAsia" w:ascii="仿宋_GB2312" w:eastAsia="仿宋_GB2312"/>
          <w:b/>
          <w:color w:val="000000"/>
          <w:sz w:val="32"/>
          <w:szCs w:val="30"/>
          <w:highlight w:val="none"/>
        </w:rPr>
        <w:t>）</w:t>
      </w:r>
      <w:r>
        <w:rPr>
          <w:rFonts w:hint="eastAsia" w:ascii="仿宋_GB2312" w:eastAsia="仿宋_GB2312"/>
          <w:b/>
          <w:color w:val="000000"/>
          <w:sz w:val="32"/>
          <w:szCs w:val="30"/>
          <w:highlight w:val="none"/>
          <w:lang w:eastAsia="zh-CN"/>
        </w:rPr>
        <w:t>景德镇市农业农村局</w:t>
      </w:r>
      <w:r>
        <w:rPr>
          <w:rFonts w:hint="eastAsia" w:ascii="仿宋_GB2312" w:eastAsia="仿宋_GB2312"/>
          <w:b/>
          <w:color w:val="000000"/>
          <w:sz w:val="32"/>
          <w:szCs w:val="30"/>
          <w:highlight w:val="none"/>
        </w:rPr>
        <w:t>一级项目中各二级项目情况说明</w:t>
      </w:r>
    </w:p>
    <w:p w14:paraId="65C2786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宋体" w:eastAsia="仿宋_GB2312" w:cs="仿宋_GB2312"/>
          <w:sz w:val="32"/>
          <w:szCs w:val="32"/>
          <w:highlight w:val="none"/>
          <w:lang w:val="en-US" w:eastAsia="zh-CN"/>
        </w:rPr>
      </w:pPr>
      <w:r>
        <w:rPr>
          <w:rFonts w:hint="eastAsia" w:ascii="仿宋_GB2312" w:hAnsi="宋体" w:eastAsia="仿宋_GB2312" w:cs="仿宋_GB2312"/>
          <w:sz w:val="32"/>
          <w:szCs w:val="32"/>
          <w:highlight w:val="none"/>
          <w:lang w:val="en-US" w:eastAsia="zh-CN"/>
        </w:rPr>
        <w:t>景德镇市农业农村局专项为景德镇市政府安排景德镇市农业农村局部门预算经费用于农业农村相关项目支出。</w:t>
      </w:r>
    </w:p>
    <w:p w14:paraId="040D067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宋体" w:eastAsia="仿宋_GB2312" w:cs="仿宋_GB2312"/>
          <w:sz w:val="32"/>
          <w:szCs w:val="32"/>
          <w:highlight w:val="none"/>
          <w:lang w:val="en-US" w:eastAsia="zh-CN"/>
        </w:rPr>
      </w:pPr>
      <w:r>
        <w:rPr>
          <w:rFonts w:hint="eastAsia" w:ascii="仿宋_GB2312" w:hAnsi="宋体" w:eastAsia="仿宋_GB2312" w:cs="仿宋_GB2312"/>
          <w:sz w:val="32"/>
          <w:szCs w:val="32"/>
          <w:highlight w:val="none"/>
          <w:lang w:val="en-US" w:eastAsia="zh-CN"/>
        </w:rPr>
        <w:t>1.乡村振兴专项</w:t>
      </w:r>
    </w:p>
    <w:p w14:paraId="42949AE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宋体" w:eastAsia="仿宋_GB2312" w:cs="仿宋_GB2312"/>
          <w:sz w:val="32"/>
          <w:szCs w:val="32"/>
          <w:highlight w:val="none"/>
          <w:lang w:val="en-US" w:eastAsia="zh-CN"/>
        </w:rPr>
      </w:pPr>
      <w:r>
        <w:rPr>
          <w:rFonts w:hint="eastAsia" w:ascii="仿宋_GB2312" w:hAnsi="宋体" w:eastAsia="仿宋_GB2312" w:cs="仿宋_GB2312"/>
          <w:sz w:val="32"/>
          <w:szCs w:val="32"/>
          <w:highlight w:val="none"/>
          <w:lang w:val="en-US" w:eastAsia="zh-CN"/>
        </w:rPr>
        <w:t>（1）项目概述</w:t>
      </w:r>
    </w:p>
    <w:p w14:paraId="08EFFDA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宋体" w:eastAsia="仿宋_GB2312" w:cs="仿宋_GB2312"/>
          <w:sz w:val="32"/>
          <w:szCs w:val="32"/>
          <w:highlight w:val="none"/>
          <w:lang w:val="en-US" w:eastAsia="zh-CN"/>
        </w:rPr>
      </w:pPr>
      <w:r>
        <w:rPr>
          <w:rFonts w:hint="eastAsia" w:ascii="仿宋_GB2312" w:hAnsi="宋体" w:eastAsia="仿宋_GB2312" w:cs="仿宋_GB2312"/>
          <w:sz w:val="32"/>
          <w:szCs w:val="32"/>
          <w:highlight w:val="none"/>
          <w:lang w:val="en-US" w:eastAsia="zh-CN"/>
        </w:rPr>
        <w:t>景德镇市乡村振兴专项资金为市政府安排市农业农村局部门预算专项用于支持景德镇市乡村振兴支出，主要用于推进畜禽、果业、粮油、油茶等传统产业转型升级，壮大我市蔬菜、茶（果、中药材）等特色农业产业，实施三产融合攻坚计划和品牌提升计划。</w:t>
      </w:r>
    </w:p>
    <w:p w14:paraId="3067701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宋体" w:eastAsia="仿宋_GB2312" w:cs="仿宋_GB2312"/>
          <w:sz w:val="32"/>
          <w:szCs w:val="32"/>
          <w:highlight w:val="none"/>
          <w:lang w:val="en-US" w:eastAsia="zh-CN"/>
        </w:rPr>
      </w:pPr>
      <w:r>
        <w:rPr>
          <w:rFonts w:hint="eastAsia" w:ascii="仿宋_GB2312" w:hAnsi="宋体" w:eastAsia="仿宋_GB2312" w:cs="仿宋_GB2312"/>
          <w:sz w:val="32"/>
          <w:szCs w:val="32"/>
          <w:highlight w:val="none"/>
          <w:lang w:val="en-US" w:eastAsia="zh-CN"/>
        </w:rPr>
        <w:t>（2）立项依据</w:t>
      </w:r>
    </w:p>
    <w:p w14:paraId="70A5AF4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宋体" w:eastAsia="仿宋_GB2312" w:cs="仿宋_GB2312"/>
          <w:sz w:val="32"/>
          <w:szCs w:val="32"/>
          <w:highlight w:val="none"/>
          <w:lang w:val="en-US" w:eastAsia="zh-CN"/>
        </w:rPr>
      </w:pPr>
      <w:r>
        <w:rPr>
          <w:rFonts w:hint="eastAsia" w:ascii="仿宋_GB2312" w:hAnsi="宋体" w:eastAsia="仿宋_GB2312" w:cs="仿宋_GB2312"/>
          <w:sz w:val="32"/>
          <w:szCs w:val="32"/>
          <w:highlight w:val="none"/>
          <w:lang w:val="en-US" w:eastAsia="zh-CN"/>
        </w:rPr>
        <w:t>根据省、市委一号文件要求，为加快发展我市乡村产业，特申请市政府安排专项资金进行扶持。</w:t>
      </w:r>
    </w:p>
    <w:p w14:paraId="79238D6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宋体" w:eastAsia="仿宋_GB2312" w:cs="仿宋_GB2312"/>
          <w:sz w:val="32"/>
          <w:szCs w:val="32"/>
          <w:highlight w:val="none"/>
          <w:lang w:val="en-US" w:eastAsia="zh-CN"/>
        </w:rPr>
      </w:pPr>
      <w:r>
        <w:rPr>
          <w:rFonts w:hint="eastAsia" w:ascii="仿宋_GB2312" w:hAnsi="宋体" w:eastAsia="仿宋_GB2312" w:cs="仿宋_GB2312"/>
          <w:sz w:val="32"/>
          <w:szCs w:val="32"/>
          <w:highlight w:val="none"/>
          <w:lang w:val="en-US" w:eastAsia="zh-CN"/>
        </w:rPr>
        <w:t>（3）实施主体</w:t>
      </w:r>
    </w:p>
    <w:p w14:paraId="71A63A8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宋体" w:eastAsia="仿宋_GB2312" w:cs="仿宋_GB2312"/>
          <w:sz w:val="32"/>
          <w:szCs w:val="32"/>
          <w:highlight w:val="none"/>
          <w:lang w:val="en-US" w:eastAsia="zh-CN"/>
        </w:rPr>
      </w:pPr>
      <w:r>
        <w:rPr>
          <w:rFonts w:hint="eastAsia" w:ascii="仿宋_GB2312" w:hAnsi="宋体" w:eastAsia="仿宋_GB2312" w:cs="仿宋_GB2312"/>
          <w:sz w:val="32"/>
          <w:szCs w:val="32"/>
          <w:highlight w:val="none"/>
          <w:lang w:val="en-US" w:eastAsia="zh-CN"/>
        </w:rPr>
        <w:t>景德镇市农业农村局</w:t>
      </w:r>
    </w:p>
    <w:p w14:paraId="1A2B564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宋体" w:eastAsia="仿宋_GB2312" w:cs="仿宋_GB2312"/>
          <w:sz w:val="32"/>
          <w:szCs w:val="32"/>
          <w:highlight w:val="none"/>
          <w:lang w:val="en-US" w:eastAsia="zh-CN"/>
        </w:rPr>
      </w:pPr>
      <w:r>
        <w:rPr>
          <w:rFonts w:hint="eastAsia" w:ascii="仿宋_GB2312" w:hAnsi="宋体" w:eastAsia="仿宋_GB2312" w:cs="仿宋_GB2312"/>
          <w:sz w:val="32"/>
          <w:szCs w:val="32"/>
          <w:highlight w:val="none"/>
          <w:lang w:val="en-US" w:eastAsia="zh-CN"/>
        </w:rPr>
        <w:t>（4）实施方案</w:t>
      </w:r>
    </w:p>
    <w:p w14:paraId="0652B13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宋体" w:eastAsia="仿宋_GB2312" w:cs="仿宋_GB2312"/>
          <w:sz w:val="32"/>
          <w:szCs w:val="32"/>
          <w:highlight w:val="none"/>
          <w:lang w:val="en-US" w:eastAsia="zh-CN"/>
        </w:rPr>
      </w:pPr>
      <w:r>
        <w:rPr>
          <w:rFonts w:hint="eastAsia" w:ascii="仿宋_GB2312" w:hAnsi="宋体" w:eastAsia="仿宋_GB2312" w:cs="仿宋_GB2312"/>
          <w:sz w:val="32"/>
          <w:szCs w:val="32"/>
          <w:highlight w:val="none"/>
          <w:lang w:val="en-US" w:eastAsia="zh-CN"/>
        </w:rPr>
        <w:t>市乡村振兴专项采取“先建后补”方式对相关产业进行补助，扶持内容包括全市具有特色、优势的农业产业，特色农业产业经营主体等。</w:t>
      </w:r>
    </w:p>
    <w:p w14:paraId="19F62E5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宋体" w:eastAsia="仿宋_GB2312" w:cs="仿宋_GB2312"/>
          <w:sz w:val="32"/>
          <w:szCs w:val="32"/>
          <w:highlight w:val="none"/>
          <w:lang w:val="en-US" w:eastAsia="zh-CN"/>
        </w:rPr>
      </w:pPr>
      <w:r>
        <w:rPr>
          <w:rFonts w:hint="eastAsia" w:ascii="仿宋_GB2312" w:hAnsi="宋体" w:eastAsia="仿宋_GB2312" w:cs="仿宋_GB2312"/>
          <w:sz w:val="32"/>
          <w:szCs w:val="32"/>
          <w:highlight w:val="none"/>
          <w:lang w:val="en-US" w:eastAsia="zh-CN"/>
        </w:rPr>
        <w:t>（5）实施周期</w:t>
      </w:r>
    </w:p>
    <w:p w14:paraId="5D8A309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宋体" w:eastAsia="仿宋_GB2312" w:cs="仿宋_GB2312"/>
          <w:sz w:val="32"/>
          <w:szCs w:val="32"/>
          <w:highlight w:val="none"/>
          <w:lang w:val="en-US" w:eastAsia="zh-CN"/>
        </w:rPr>
      </w:pPr>
      <w:r>
        <w:rPr>
          <w:rFonts w:hint="eastAsia" w:ascii="仿宋_GB2312" w:hAnsi="宋体" w:eastAsia="仿宋_GB2312" w:cs="仿宋_GB2312"/>
          <w:sz w:val="32"/>
          <w:szCs w:val="32"/>
          <w:highlight w:val="none"/>
          <w:lang w:val="en-US" w:eastAsia="zh-CN"/>
        </w:rPr>
        <w:t>项目实施周期为2021年全年。</w:t>
      </w:r>
    </w:p>
    <w:p w14:paraId="3CFA007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宋体" w:eastAsia="仿宋_GB2312" w:cs="仿宋_GB2312"/>
          <w:sz w:val="32"/>
          <w:szCs w:val="32"/>
          <w:highlight w:val="none"/>
          <w:lang w:val="en-US" w:eastAsia="zh-CN"/>
        </w:rPr>
      </w:pPr>
      <w:r>
        <w:rPr>
          <w:rFonts w:hint="eastAsia" w:ascii="仿宋_GB2312" w:hAnsi="宋体" w:eastAsia="仿宋_GB2312" w:cs="仿宋_GB2312"/>
          <w:sz w:val="32"/>
          <w:szCs w:val="32"/>
          <w:highlight w:val="none"/>
          <w:lang w:val="en-US" w:eastAsia="zh-CN"/>
        </w:rPr>
        <w:t>（6）年度预算安排</w:t>
      </w:r>
    </w:p>
    <w:p w14:paraId="5F9E42F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宋体" w:eastAsia="仿宋_GB2312" w:cs="仿宋_GB2312"/>
          <w:sz w:val="32"/>
          <w:szCs w:val="32"/>
          <w:highlight w:val="none"/>
          <w:lang w:val="en-US" w:eastAsia="zh-CN"/>
        </w:rPr>
      </w:pPr>
      <w:r>
        <w:rPr>
          <w:rFonts w:hint="eastAsia" w:ascii="仿宋_GB2312" w:hAnsi="宋体" w:eastAsia="仿宋_GB2312" w:cs="仿宋_GB2312"/>
          <w:sz w:val="32"/>
          <w:szCs w:val="32"/>
          <w:highlight w:val="none"/>
          <w:lang w:val="en-US" w:eastAsia="zh-CN"/>
        </w:rPr>
        <w:t>景德镇市2021年年初预算安排乡村振兴专项资金1300万元。</w:t>
      </w:r>
    </w:p>
    <w:p w14:paraId="4273E8C7">
      <w:pPr>
        <w:keepNext w:val="0"/>
        <w:keepLines w:val="0"/>
        <w:pageBreakBefore w:val="0"/>
        <w:widowControl w:val="0"/>
        <w:numPr>
          <w:ilvl w:val="0"/>
          <w:numId w:val="2"/>
        </w:numPr>
        <w:kinsoku/>
        <w:wordWrap/>
        <w:overflowPunct/>
        <w:topLinePunct w:val="0"/>
        <w:autoSpaceDE/>
        <w:autoSpaceDN/>
        <w:bidi w:val="0"/>
        <w:adjustRightInd/>
        <w:snapToGrid/>
        <w:ind w:firstLine="640" w:firstLineChars="200"/>
        <w:textAlignment w:val="auto"/>
        <w:rPr>
          <w:rFonts w:hint="eastAsia" w:ascii="仿宋_GB2312" w:hAnsi="宋体" w:eastAsia="仿宋_GB2312" w:cs="仿宋_GB2312"/>
          <w:sz w:val="32"/>
          <w:szCs w:val="32"/>
          <w:highlight w:val="none"/>
          <w:lang w:val="en-US" w:eastAsia="zh-CN"/>
        </w:rPr>
      </w:pPr>
      <w:r>
        <w:rPr>
          <w:rFonts w:hint="eastAsia" w:ascii="仿宋_GB2312" w:hAnsi="宋体" w:eastAsia="仿宋_GB2312" w:cs="仿宋_GB2312"/>
          <w:sz w:val="32"/>
          <w:szCs w:val="32"/>
          <w:highlight w:val="none"/>
          <w:lang w:val="en-US" w:eastAsia="zh-CN"/>
        </w:rPr>
        <w:t>绩效目标和指标</w:t>
      </w:r>
    </w:p>
    <w:p w14:paraId="41EDBC61">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仿宋_GB2312" w:hAnsi="宋体" w:eastAsia="仿宋_GB2312" w:cs="仿宋_GB2312"/>
          <w:sz w:val="32"/>
          <w:szCs w:val="32"/>
          <w:highlight w:val="none"/>
          <w:lang w:val="en-US" w:eastAsia="zh-CN"/>
        </w:rPr>
      </w:pPr>
    </w:p>
    <w:tbl>
      <w:tblPr>
        <w:tblStyle w:val="7"/>
        <w:tblW w:w="5000" w:type="pct"/>
        <w:tblInd w:w="0" w:type="dxa"/>
        <w:shd w:val="clear" w:color="auto" w:fill="auto"/>
        <w:tblLayout w:type="autofit"/>
        <w:tblCellMar>
          <w:top w:w="0" w:type="dxa"/>
          <w:left w:w="108" w:type="dxa"/>
          <w:bottom w:w="0" w:type="dxa"/>
          <w:right w:w="108" w:type="dxa"/>
        </w:tblCellMar>
      </w:tblPr>
      <w:tblGrid>
        <w:gridCol w:w="840"/>
        <w:gridCol w:w="1176"/>
        <w:gridCol w:w="1196"/>
        <w:gridCol w:w="2076"/>
        <w:gridCol w:w="1176"/>
        <w:gridCol w:w="221"/>
        <w:gridCol w:w="1837"/>
      </w:tblGrid>
      <w:tr w14:paraId="4E64B1CD">
        <w:tblPrEx>
          <w:tblCellMar>
            <w:top w:w="0" w:type="dxa"/>
            <w:left w:w="108" w:type="dxa"/>
            <w:bottom w:w="0" w:type="dxa"/>
            <w:right w:w="108" w:type="dxa"/>
          </w:tblCellMar>
        </w:tblPrEx>
        <w:trPr>
          <w:trHeight w:val="600" w:hRule="atLeast"/>
        </w:trPr>
        <w:tc>
          <w:tcPr>
            <w:tcW w:w="1883"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2C93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项目名称</w:t>
            </w:r>
          </w:p>
        </w:tc>
        <w:tc>
          <w:tcPr>
            <w:tcW w:w="3116"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F7CE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乡村振兴专项</w:t>
            </w:r>
          </w:p>
        </w:tc>
      </w:tr>
      <w:tr w14:paraId="5A094549">
        <w:tblPrEx>
          <w:shd w:val="clear" w:color="auto" w:fill="auto"/>
          <w:tblCellMar>
            <w:top w:w="0" w:type="dxa"/>
            <w:left w:w="108" w:type="dxa"/>
            <w:bottom w:w="0" w:type="dxa"/>
            <w:right w:w="108" w:type="dxa"/>
          </w:tblCellMar>
        </w:tblPrEx>
        <w:trPr>
          <w:trHeight w:val="600" w:hRule="atLeast"/>
        </w:trPr>
        <w:tc>
          <w:tcPr>
            <w:tcW w:w="1883"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C00D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主管部门及代码</w:t>
            </w:r>
          </w:p>
        </w:tc>
        <w:tc>
          <w:tcPr>
            <w:tcW w:w="1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AD1E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市农业农村局301</w:t>
            </w: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7F84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实施单位</w:t>
            </w:r>
          </w:p>
        </w:tc>
        <w:tc>
          <w:tcPr>
            <w:tcW w:w="120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14FB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市农业农村局</w:t>
            </w:r>
          </w:p>
        </w:tc>
      </w:tr>
      <w:tr w14:paraId="04C50BA7">
        <w:tblPrEx>
          <w:tblCellMar>
            <w:top w:w="0" w:type="dxa"/>
            <w:left w:w="108" w:type="dxa"/>
            <w:bottom w:w="0" w:type="dxa"/>
            <w:right w:w="108" w:type="dxa"/>
          </w:tblCellMar>
        </w:tblPrEx>
        <w:trPr>
          <w:trHeight w:val="600" w:hRule="atLeast"/>
        </w:trPr>
        <w:tc>
          <w:tcPr>
            <w:tcW w:w="1883"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8164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项目属性</w:t>
            </w:r>
          </w:p>
        </w:tc>
        <w:tc>
          <w:tcPr>
            <w:tcW w:w="1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0C8C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延续项目</w:t>
            </w: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F610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项目期</w:t>
            </w:r>
          </w:p>
        </w:tc>
        <w:tc>
          <w:tcPr>
            <w:tcW w:w="120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0EF8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长期</w:t>
            </w:r>
          </w:p>
        </w:tc>
      </w:tr>
      <w:tr w14:paraId="08A49E51">
        <w:tblPrEx>
          <w:shd w:val="clear" w:color="auto" w:fill="auto"/>
          <w:tblCellMar>
            <w:top w:w="0" w:type="dxa"/>
            <w:left w:w="108" w:type="dxa"/>
            <w:bottom w:w="0" w:type="dxa"/>
            <w:right w:w="108" w:type="dxa"/>
          </w:tblCellMar>
        </w:tblPrEx>
        <w:trPr>
          <w:trHeight w:val="600" w:hRule="atLeast"/>
        </w:trPr>
        <w:tc>
          <w:tcPr>
            <w:tcW w:w="1883" w:type="pct"/>
            <w:gridSpan w:val="3"/>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21D8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项目资金（万元）</w:t>
            </w:r>
          </w:p>
        </w:tc>
        <w:tc>
          <w:tcPr>
            <w:tcW w:w="190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3661B">
            <w:pPr>
              <w:keepNext w:val="0"/>
              <w:keepLines w:val="0"/>
              <w:widowControl/>
              <w:suppressLineNumbers w:val="0"/>
              <w:jc w:val="righ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年度资金总额：</w:t>
            </w:r>
          </w:p>
        </w:tc>
        <w:tc>
          <w:tcPr>
            <w:tcW w:w="120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72B2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1300</w:t>
            </w:r>
          </w:p>
        </w:tc>
      </w:tr>
      <w:tr w14:paraId="4EFA2D83">
        <w:tblPrEx>
          <w:tblCellMar>
            <w:top w:w="0" w:type="dxa"/>
            <w:left w:w="108" w:type="dxa"/>
            <w:bottom w:w="0" w:type="dxa"/>
            <w:right w:w="108" w:type="dxa"/>
          </w:tblCellMar>
        </w:tblPrEx>
        <w:trPr>
          <w:trHeight w:val="600" w:hRule="atLeast"/>
        </w:trPr>
        <w:tc>
          <w:tcPr>
            <w:tcW w:w="1883"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FAAFA">
            <w:pPr>
              <w:jc w:val="center"/>
              <w:rPr>
                <w:rFonts w:hint="eastAsia" w:ascii="宋体" w:hAnsi="宋体" w:eastAsia="宋体" w:cs="宋体"/>
                <w:i w:val="0"/>
                <w:iCs w:val="0"/>
                <w:color w:val="000000"/>
                <w:sz w:val="24"/>
                <w:szCs w:val="24"/>
                <w:highlight w:val="none"/>
                <w:u w:val="none"/>
              </w:rPr>
            </w:pPr>
          </w:p>
        </w:tc>
        <w:tc>
          <w:tcPr>
            <w:tcW w:w="190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5FFFC">
            <w:pPr>
              <w:keepNext w:val="0"/>
              <w:keepLines w:val="0"/>
              <w:widowControl/>
              <w:suppressLineNumbers w:val="0"/>
              <w:jc w:val="righ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 xml:space="preserve">      其中：财政拨款</w:t>
            </w:r>
          </w:p>
        </w:tc>
        <w:tc>
          <w:tcPr>
            <w:tcW w:w="120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DFF0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1300</w:t>
            </w:r>
          </w:p>
        </w:tc>
      </w:tr>
      <w:tr w14:paraId="47767C53">
        <w:tblPrEx>
          <w:tblCellMar>
            <w:top w:w="0" w:type="dxa"/>
            <w:left w:w="108" w:type="dxa"/>
            <w:bottom w:w="0" w:type="dxa"/>
            <w:right w:w="108" w:type="dxa"/>
          </w:tblCellMar>
        </w:tblPrEx>
        <w:trPr>
          <w:trHeight w:val="600" w:hRule="atLeast"/>
        </w:trPr>
        <w:tc>
          <w:tcPr>
            <w:tcW w:w="1883"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417D3">
            <w:pPr>
              <w:jc w:val="center"/>
              <w:rPr>
                <w:rFonts w:hint="eastAsia" w:ascii="宋体" w:hAnsi="宋体" w:eastAsia="宋体" w:cs="宋体"/>
                <w:i w:val="0"/>
                <w:iCs w:val="0"/>
                <w:color w:val="000000"/>
                <w:sz w:val="24"/>
                <w:szCs w:val="24"/>
                <w:highlight w:val="none"/>
                <w:u w:val="none"/>
              </w:rPr>
            </w:pPr>
          </w:p>
        </w:tc>
        <w:tc>
          <w:tcPr>
            <w:tcW w:w="190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1C51C">
            <w:pPr>
              <w:keepNext w:val="0"/>
              <w:keepLines w:val="0"/>
              <w:widowControl/>
              <w:suppressLineNumbers w:val="0"/>
              <w:jc w:val="righ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 xml:space="preserve">            其他资金</w:t>
            </w:r>
          </w:p>
        </w:tc>
        <w:tc>
          <w:tcPr>
            <w:tcW w:w="120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65A63">
            <w:pPr>
              <w:jc w:val="center"/>
              <w:rPr>
                <w:rFonts w:hint="eastAsia" w:ascii="宋体" w:hAnsi="宋体" w:eastAsia="宋体" w:cs="宋体"/>
                <w:i w:val="0"/>
                <w:iCs w:val="0"/>
                <w:color w:val="000000"/>
                <w:sz w:val="24"/>
                <w:szCs w:val="24"/>
                <w:highlight w:val="none"/>
                <w:u w:val="none"/>
              </w:rPr>
            </w:pPr>
          </w:p>
        </w:tc>
      </w:tr>
      <w:tr w14:paraId="7482E908">
        <w:tblPrEx>
          <w:tblCellMar>
            <w:top w:w="0" w:type="dxa"/>
            <w:left w:w="108" w:type="dxa"/>
            <w:bottom w:w="0" w:type="dxa"/>
            <w:right w:w="108" w:type="dxa"/>
          </w:tblCellMar>
        </w:tblPrEx>
        <w:trPr>
          <w:trHeight w:val="600" w:hRule="atLeast"/>
        </w:trPr>
        <w:tc>
          <w:tcPr>
            <w:tcW w:w="492" w:type="pct"/>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4515378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总体目标</w:t>
            </w:r>
          </w:p>
        </w:tc>
        <w:tc>
          <w:tcPr>
            <w:tcW w:w="4507" w:type="pct"/>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2623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年度目标</w:t>
            </w:r>
          </w:p>
        </w:tc>
      </w:tr>
      <w:tr w14:paraId="1794EB88">
        <w:tblPrEx>
          <w:tblCellMar>
            <w:top w:w="0" w:type="dxa"/>
            <w:left w:w="108" w:type="dxa"/>
            <w:bottom w:w="0" w:type="dxa"/>
            <w:right w:w="108" w:type="dxa"/>
          </w:tblCellMar>
        </w:tblPrEx>
        <w:trPr>
          <w:trHeight w:val="600" w:hRule="atLeast"/>
        </w:trPr>
        <w:tc>
          <w:tcPr>
            <w:tcW w:w="492"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723E11AC">
            <w:pPr>
              <w:jc w:val="center"/>
              <w:rPr>
                <w:rFonts w:hint="eastAsia" w:ascii="宋体" w:hAnsi="宋体" w:eastAsia="宋体" w:cs="宋体"/>
                <w:i w:val="0"/>
                <w:iCs w:val="0"/>
                <w:color w:val="000000"/>
                <w:sz w:val="24"/>
                <w:szCs w:val="24"/>
                <w:highlight w:val="none"/>
                <w:u w:val="none"/>
              </w:rPr>
            </w:pPr>
          </w:p>
        </w:tc>
        <w:tc>
          <w:tcPr>
            <w:tcW w:w="450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10B2CAA">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目标1.继续实施蔬菜振兴计划、茶叶复兴计划、三产融合攻坚计划和品牌提升计划</w:t>
            </w:r>
          </w:p>
        </w:tc>
      </w:tr>
      <w:tr w14:paraId="618DCA93">
        <w:tblPrEx>
          <w:shd w:val="clear" w:color="auto" w:fill="auto"/>
          <w:tblCellMar>
            <w:top w:w="0" w:type="dxa"/>
            <w:left w:w="108" w:type="dxa"/>
            <w:bottom w:w="0" w:type="dxa"/>
            <w:right w:w="108" w:type="dxa"/>
          </w:tblCellMar>
        </w:tblPrEx>
        <w:trPr>
          <w:trHeight w:val="600" w:hRule="atLeast"/>
        </w:trPr>
        <w:tc>
          <w:tcPr>
            <w:tcW w:w="492"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78439F6B">
            <w:pPr>
              <w:jc w:val="center"/>
              <w:rPr>
                <w:rFonts w:hint="eastAsia" w:ascii="宋体" w:hAnsi="宋体" w:eastAsia="宋体" w:cs="宋体"/>
                <w:i w:val="0"/>
                <w:iCs w:val="0"/>
                <w:color w:val="000000"/>
                <w:sz w:val="24"/>
                <w:szCs w:val="24"/>
                <w:highlight w:val="none"/>
                <w:u w:val="none"/>
              </w:rPr>
            </w:pPr>
          </w:p>
        </w:tc>
        <w:tc>
          <w:tcPr>
            <w:tcW w:w="450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40020F4">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目标2.推进畜禽、果业、粮油、油茶等传统产业转型升级</w:t>
            </w:r>
          </w:p>
        </w:tc>
      </w:tr>
      <w:tr w14:paraId="55B2E138">
        <w:tblPrEx>
          <w:shd w:val="clear" w:color="auto" w:fill="auto"/>
          <w:tblCellMar>
            <w:top w:w="0" w:type="dxa"/>
            <w:left w:w="108" w:type="dxa"/>
            <w:bottom w:w="0" w:type="dxa"/>
            <w:right w:w="108" w:type="dxa"/>
          </w:tblCellMar>
        </w:tblPrEx>
        <w:trPr>
          <w:trHeight w:val="600" w:hRule="atLeast"/>
        </w:trPr>
        <w:tc>
          <w:tcPr>
            <w:tcW w:w="492"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0FF30C36">
            <w:pPr>
              <w:jc w:val="center"/>
              <w:rPr>
                <w:rFonts w:hint="eastAsia" w:ascii="宋体" w:hAnsi="宋体" w:eastAsia="宋体" w:cs="宋体"/>
                <w:i w:val="0"/>
                <w:iCs w:val="0"/>
                <w:color w:val="000000"/>
                <w:sz w:val="24"/>
                <w:szCs w:val="24"/>
                <w:highlight w:val="none"/>
                <w:u w:val="none"/>
              </w:rPr>
            </w:pPr>
          </w:p>
        </w:tc>
        <w:tc>
          <w:tcPr>
            <w:tcW w:w="450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A5F7A25">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目标3.实施粮食仓储设施功能提升工程，推广应用绿色生态和低温储粮技术</w:t>
            </w:r>
          </w:p>
        </w:tc>
      </w:tr>
      <w:tr w14:paraId="35AD6871">
        <w:tblPrEx>
          <w:tblCellMar>
            <w:top w:w="0" w:type="dxa"/>
            <w:left w:w="108" w:type="dxa"/>
            <w:bottom w:w="0" w:type="dxa"/>
            <w:right w:w="108" w:type="dxa"/>
          </w:tblCellMar>
        </w:tblPrEx>
        <w:trPr>
          <w:trHeight w:val="600" w:hRule="atLeast"/>
        </w:trPr>
        <w:tc>
          <w:tcPr>
            <w:tcW w:w="492" w:type="pct"/>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49BDBFA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绩效指标</w:t>
            </w: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6505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一级指标</w:t>
            </w:r>
          </w:p>
        </w:tc>
        <w:tc>
          <w:tcPr>
            <w:tcW w:w="7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4757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二级指标</w:t>
            </w:r>
          </w:p>
        </w:tc>
        <w:tc>
          <w:tcPr>
            <w:tcW w:w="203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9BFE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三级指标</w:t>
            </w:r>
          </w:p>
        </w:tc>
        <w:tc>
          <w:tcPr>
            <w:tcW w:w="10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6045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指标值</w:t>
            </w:r>
          </w:p>
        </w:tc>
      </w:tr>
      <w:tr w14:paraId="1B7710CD">
        <w:tblPrEx>
          <w:shd w:val="clear" w:color="auto" w:fill="auto"/>
          <w:tblCellMar>
            <w:top w:w="0" w:type="dxa"/>
            <w:left w:w="108" w:type="dxa"/>
            <w:bottom w:w="0" w:type="dxa"/>
            <w:right w:w="108" w:type="dxa"/>
          </w:tblCellMar>
        </w:tblPrEx>
        <w:trPr>
          <w:trHeight w:val="600" w:hRule="atLeast"/>
        </w:trPr>
        <w:tc>
          <w:tcPr>
            <w:tcW w:w="492"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34F1715F">
            <w:pPr>
              <w:jc w:val="center"/>
              <w:rPr>
                <w:rFonts w:hint="eastAsia" w:ascii="宋体" w:hAnsi="宋体" w:eastAsia="宋体" w:cs="宋体"/>
                <w:i w:val="0"/>
                <w:iCs w:val="0"/>
                <w:color w:val="000000"/>
                <w:sz w:val="24"/>
                <w:szCs w:val="24"/>
                <w:highlight w:val="none"/>
                <w:u w:val="none"/>
              </w:rPr>
            </w:pPr>
          </w:p>
        </w:tc>
        <w:tc>
          <w:tcPr>
            <w:tcW w:w="689" w:type="pct"/>
            <w:vMerge w:val="restart"/>
            <w:tcBorders>
              <w:top w:val="single" w:color="000000" w:sz="4" w:space="0"/>
              <w:left w:val="single" w:color="000000" w:sz="4" w:space="0"/>
              <w:bottom w:val="nil"/>
              <w:right w:val="single" w:color="000000" w:sz="4" w:space="0"/>
            </w:tcBorders>
            <w:shd w:val="clear" w:color="auto" w:fill="auto"/>
            <w:noWrap/>
            <w:vAlign w:val="center"/>
          </w:tcPr>
          <w:p w14:paraId="0E9750E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产出指标</w:t>
            </w:r>
          </w:p>
        </w:tc>
        <w:tc>
          <w:tcPr>
            <w:tcW w:w="700" w:type="pct"/>
            <w:vMerge w:val="restart"/>
            <w:tcBorders>
              <w:top w:val="single" w:color="000000" w:sz="4" w:space="0"/>
              <w:left w:val="single" w:color="000000" w:sz="4" w:space="0"/>
              <w:bottom w:val="nil"/>
              <w:right w:val="single" w:color="000000" w:sz="4" w:space="0"/>
            </w:tcBorders>
            <w:shd w:val="clear" w:color="auto" w:fill="auto"/>
            <w:noWrap/>
            <w:vAlign w:val="center"/>
          </w:tcPr>
          <w:p w14:paraId="0781219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数量指标</w:t>
            </w:r>
          </w:p>
        </w:tc>
        <w:tc>
          <w:tcPr>
            <w:tcW w:w="203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C66DE7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农业结构调整市级配套比例</w:t>
            </w:r>
          </w:p>
        </w:tc>
        <w:tc>
          <w:tcPr>
            <w:tcW w:w="10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FC05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省级资金的50%</w:t>
            </w:r>
          </w:p>
        </w:tc>
      </w:tr>
      <w:tr w14:paraId="5C296E19">
        <w:tblPrEx>
          <w:shd w:val="clear" w:color="auto" w:fill="auto"/>
          <w:tblCellMar>
            <w:top w:w="0" w:type="dxa"/>
            <w:left w:w="108" w:type="dxa"/>
            <w:bottom w:w="0" w:type="dxa"/>
            <w:right w:w="108" w:type="dxa"/>
          </w:tblCellMar>
        </w:tblPrEx>
        <w:trPr>
          <w:trHeight w:val="600" w:hRule="atLeast"/>
        </w:trPr>
        <w:tc>
          <w:tcPr>
            <w:tcW w:w="492"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47B57C86">
            <w:pPr>
              <w:jc w:val="center"/>
              <w:rPr>
                <w:rFonts w:hint="eastAsia" w:ascii="宋体" w:hAnsi="宋体" w:eastAsia="宋体" w:cs="宋体"/>
                <w:i w:val="0"/>
                <w:iCs w:val="0"/>
                <w:color w:val="000000"/>
                <w:sz w:val="24"/>
                <w:szCs w:val="24"/>
                <w:highlight w:val="none"/>
                <w:u w:val="none"/>
              </w:rPr>
            </w:pPr>
          </w:p>
        </w:tc>
        <w:tc>
          <w:tcPr>
            <w:tcW w:w="689" w:type="pct"/>
            <w:vMerge w:val="continue"/>
            <w:tcBorders>
              <w:top w:val="single" w:color="000000" w:sz="4" w:space="0"/>
              <w:left w:val="single" w:color="000000" w:sz="4" w:space="0"/>
              <w:bottom w:val="nil"/>
              <w:right w:val="single" w:color="000000" w:sz="4" w:space="0"/>
            </w:tcBorders>
            <w:shd w:val="clear" w:color="auto" w:fill="auto"/>
            <w:noWrap/>
            <w:vAlign w:val="center"/>
          </w:tcPr>
          <w:p w14:paraId="01837720">
            <w:pPr>
              <w:jc w:val="center"/>
              <w:rPr>
                <w:rFonts w:hint="eastAsia" w:ascii="宋体" w:hAnsi="宋体" w:eastAsia="宋体" w:cs="宋体"/>
                <w:i w:val="0"/>
                <w:iCs w:val="0"/>
                <w:color w:val="000000"/>
                <w:sz w:val="24"/>
                <w:szCs w:val="24"/>
                <w:highlight w:val="none"/>
                <w:u w:val="none"/>
              </w:rPr>
            </w:pPr>
          </w:p>
        </w:tc>
        <w:tc>
          <w:tcPr>
            <w:tcW w:w="700" w:type="pct"/>
            <w:vMerge w:val="continue"/>
            <w:tcBorders>
              <w:top w:val="single" w:color="000000" w:sz="4" w:space="0"/>
              <w:left w:val="single" w:color="000000" w:sz="4" w:space="0"/>
              <w:bottom w:val="nil"/>
              <w:right w:val="single" w:color="000000" w:sz="4" w:space="0"/>
            </w:tcBorders>
            <w:shd w:val="clear" w:color="auto" w:fill="auto"/>
            <w:noWrap/>
            <w:vAlign w:val="center"/>
          </w:tcPr>
          <w:p w14:paraId="73E00436">
            <w:pPr>
              <w:jc w:val="center"/>
              <w:rPr>
                <w:rFonts w:hint="eastAsia" w:ascii="宋体" w:hAnsi="宋体" w:eastAsia="宋体" w:cs="宋体"/>
                <w:i w:val="0"/>
                <w:iCs w:val="0"/>
                <w:color w:val="000000"/>
                <w:sz w:val="24"/>
                <w:szCs w:val="24"/>
                <w:highlight w:val="none"/>
                <w:u w:val="none"/>
              </w:rPr>
            </w:pPr>
          </w:p>
        </w:tc>
        <w:tc>
          <w:tcPr>
            <w:tcW w:w="203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35D52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新增设施蔬菜和规模以上茶（果、中药材）园补助面积</w:t>
            </w:r>
          </w:p>
        </w:tc>
        <w:tc>
          <w:tcPr>
            <w:tcW w:w="10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7522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≥1万亩</w:t>
            </w:r>
          </w:p>
        </w:tc>
      </w:tr>
      <w:tr w14:paraId="25DBFB6B">
        <w:tblPrEx>
          <w:shd w:val="clear" w:color="auto" w:fill="auto"/>
          <w:tblCellMar>
            <w:top w:w="0" w:type="dxa"/>
            <w:left w:w="108" w:type="dxa"/>
            <w:bottom w:w="0" w:type="dxa"/>
            <w:right w:w="108" w:type="dxa"/>
          </w:tblCellMar>
        </w:tblPrEx>
        <w:trPr>
          <w:trHeight w:val="600" w:hRule="atLeast"/>
        </w:trPr>
        <w:tc>
          <w:tcPr>
            <w:tcW w:w="492"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424C039C">
            <w:pPr>
              <w:jc w:val="center"/>
              <w:rPr>
                <w:rFonts w:hint="eastAsia" w:ascii="宋体" w:hAnsi="宋体" w:eastAsia="宋体" w:cs="宋体"/>
                <w:i w:val="0"/>
                <w:iCs w:val="0"/>
                <w:color w:val="000000"/>
                <w:sz w:val="24"/>
                <w:szCs w:val="24"/>
                <w:highlight w:val="none"/>
                <w:u w:val="none"/>
              </w:rPr>
            </w:pPr>
          </w:p>
        </w:tc>
        <w:tc>
          <w:tcPr>
            <w:tcW w:w="689" w:type="pct"/>
            <w:vMerge w:val="continue"/>
            <w:tcBorders>
              <w:top w:val="single" w:color="000000" w:sz="4" w:space="0"/>
              <w:left w:val="single" w:color="000000" w:sz="4" w:space="0"/>
              <w:bottom w:val="nil"/>
              <w:right w:val="single" w:color="000000" w:sz="4" w:space="0"/>
            </w:tcBorders>
            <w:shd w:val="clear" w:color="auto" w:fill="auto"/>
            <w:noWrap/>
            <w:vAlign w:val="center"/>
          </w:tcPr>
          <w:p w14:paraId="41EDB8D9">
            <w:pPr>
              <w:jc w:val="center"/>
              <w:rPr>
                <w:rFonts w:hint="eastAsia" w:ascii="宋体" w:hAnsi="宋体" w:eastAsia="宋体" w:cs="宋体"/>
                <w:i w:val="0"/>
                <w:iCs w:val="0"/>
                <w:color w:val="000000"/>
                <w:sz w:val="24"/>
                <w:szCs w:val="24"/>
                <w:highlight w:val="none"/>
                <w:u w:val="none"/>
              </w:rPr>
            </w:pPr>
          </w:p>
        </w:tc>
        <w:tc>
          <w:tcPr>
            <w:tcW w:w="700" w:type="pct"/>
            <w:vMerge w:val="continue"/>
            <w:tcBorders>
              <w:top w:val="single" w:color="000000" w:sz="4" w:space="0"/>
              <w:left w:val="single" w:color="000000" w:sz="4" w:space="0"/>
              <w:bottom w:val="nil"/>
              <w:right w:val="single" w:color="000000" w:sz="4" w:space="0"/>
            </w:tcBorders>
            <w:shd w:val="clear" w:color="auto" w:fill="auto"/>
            <w:noWrap/>
            <w:vAlign w:val="center"/>
          </w:tcPr>
          <w:p w14:paraId="7EF22A04">
            <w:pPr>
              <w:jc w:val="center"/>
              <w:rPr>
                <w:rFonts w:hint="eastAsia" w:ascii="宋体" w:hAnsi="宋体" w:eastAsia="宋体" w:cs="宋体"/>
                <w:i w:val="0"/>
                <w:iCs w:val="0"/>
                <w:color w:val="000000"/>
                <w:sz w:val="24"/>
                <w:szCs w:val="24"/>
                <w:highlight w:val="none"/>
                <w:u w:val="none"/>
              </w:rPr>
            </w:pPr>
          </w:p>
        </w:tc>
        <w:tc>
          <w:tcPr>
            <w:tcW w:w="203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2959F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补助符合条件农业经营主体数量</w:t>
            </w:r>
          </w:p>
        </w:tc>
        <w:tc>
          <w:tcPr>
            <w:tcW w:w="10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194E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≥50家</w:t>
            </w:r>
          </w:p>
        </w:tc>
      </w:tr>
      <w:tr w14:paraId="1B552811">
        <w:tblPrEx>
          <w:tblCellMar>
            <w:top w:w="0" w:type="dxa"/>
            <w:left w:w="108" w:type="dxa"/>
            <w:bottom w:w="0" w:type="dxa"/>
            <w:right w:w="108" w:type="dxa"/>
          </w:tblCellMar>
        </w:tblPrEx>
        <w:trPr>
          <w:trHeight w:val="600" w:hRule="atLeast"/>
        </w:trPr>
        <w:tc>
          <w:tcPr>
            <w:tcW w:w="492"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3732C1C8">
            <w:pPr>
              <w:jc w:val="center"/>
              <w:rPr>
                <w:rFonts w:hint="eastAsia" w:ascii="宋体" w:hAnsi="宋体" w:eastAsia="宋体" w:cs="宋体"/>
                <w:i w:val="0"/>
                <w:iCs w:val="0"/>
                <w:color w:val="000000"/>
                <w:sz w:val="24"/>
                <w:szCs w:val="24"/>
                <w:highlight w:val="none"/>
                <w:u w:val="none"/>
              </w:rPr>
            </w:pPr>
          </w:p>
        </w:tc>
        <w:tc>
          <w:tcPr>
            <w:tcW w:w="689" w:type="pct"/>
            <w:vMerge w:val="continue"/>
            <w:tcBorders>
              <w:top w:val="single" w:color="000000" w:sz="4" w:space="0"/>
              <w:left w:val="single" w:color="000000" w:sz="4" w:space="0"/>
              <w:bottom w:val="nil"/>
              <w:right w:val="single" w:color="000000" w:sz="4" w:space="0"/>
            </w:tcBorders>
            <w:shd w:val="clear" w:color="auto" w:fill="auto"/>
            <w:noWrap/>
            <w:vAlign w:val="center"/>
          </w:tcPr>
          <w:p w14:paraId="269F1717">
            <w:pPr>
              <w:jc w:val="center"/>
              <w:rPr>
                <w:rFonts w:hint="eastAsia" w:ascii="宋体" w:hAnsi="宋体" w:eastAsia="宋体" w:cs="宋体"/>
                <w:i w:val="0"/>
                <w:iCs w:val="0"/>
                <w:color w:val="000000"/>
                <w:sz w:val="24"/>
                <w:szCs w:val="24"/>
                <w:highlight w:val="none"/>
                <w:u w:val="none"/>
              </w:rPr>
            </w:pPr>
          </w:p>
        </w:tc>
        <w:tc>
          <w:tcPr>
            <w:tcW w:w="700" w:type="pct"/>
            <w:vMerge w:val="continue"/>
            <w:tcBorders>
              <w:top w:val="single" w:color="000000" w:sz="4" w:space="0"/>
              <w:left w:val="single" w:color="000000" w:sz="4" w:space="0"/>
              <w:bottom w:val="nil"/>
              <w:right w:val="single" w:color="000000" w:sz="4" w:space="0"/>
            </w:tcBorders>
            <w:shd w:val="clear" w:color="auto" w:fill="auto"/>
            <w:noWrap/>
            <w:vAlign w:val="center"/>
          </w:tcPr>
          <w:p w14:paraId="5516502C">
            <w:pPr>
              <w:jc w:val="center"/>
              <w:rPr>
                <w:rFonts w:hint="eastAsia" w:ascii="宋体" w:hAnsi="宋体" w:eastAsia="宋体" w:cs="宋体"/>
                <w:i w:val="0"/>
                <w:iCs w:val="0"/>
                <w:color w:val="000000"/>
                <w:sz w:val="24"/>
                <w:szCs w:val="24"/>
                <w:highlight w:val="none"/>
                <w:u w:val="none"/>
              </w:rPr>
            </w:pPr>
          </w:p>
        </w:tc>
        <w:tc>
          <w:tcPr>
            <w:tcW w:w="203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789BC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补助符合条件农业产业园、乡村等数量</w:t>
            </w:r>
          </w:p>
        </w:tc>
        <w:tc>
          <w:tcPr>
            <w:tcW w:w="10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3334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≥10家</w:t>
            </w:r>
          </w:p>
        </w:tc>
      </w:tr>
      <w:tr w14:paraId="598F66CB">
        <w:tblPrEx>
          <w:shd w:val="clear" w:color="auto" w:fill="auto"/>
          <w:tblCellMar>
            <w:top w:w="0" w:type="dxa"/>
            <w:left w:w="108" w:type="dxa"/>
            <w:bottom w:w="0" w:type="dxa"/>
            <w:right w:w="108" w:type="dxa"/>
          </w:tblCellMar>
        </w:tblPrEx>
        <w:trPr>
          <w:trHeight w:val="600" w:hRule="atLeast"/>
        </w:trPr>
        <w:tc>
          <w:tcPr>
            <w:tcW w:w="492"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7162856C">
            <w:pPr>
              <w:jc w:val="center"/>
              <w:rPr>
                <w:rFonts w:hint="eastAsia" w:ascii="宋体" w:hAnsi="宋体" w:eastAsia="宋体" w:cs="宋体"/>
                <w:i w:val="0"/>
                <w:iCs w:val="0"/>
                <w:color w:val="000000"/>
                <w:sz w:val="24"/>
                <w:szCs w:val="24"/>
                <w:highlight w:val="none"/>
                <w:u w:val="none"/>
              </w:rPr>
            </w:pPr>
          </w:p>
        </w:tc>
        <w:tc>
          <w:tcPr>
            <w:tcW w:w="689" w:type="pct"/>
            <w:vMerge w:val="continue"/>
            <w:tcBorders>
              <w:top w:val="single" w:color="000000" w:sz="4" w:space="0"/>
              <w:left w:val="single" w:color="000000" w:sz="4" w:space="0"/>
              <w:bottom w:val="nil"/>
              <w:right w:val="single" w:color="000000" w:sz="4" w:space="0"/>
            </w:tcBorders>
            <w:shd w:val="clear" w:color="auto" w:fill="auto"/>
            <w:noWrap/>
            <w:vAlign w:val="center"/>
          </w:tcPr>
          <w:p w14:paraId="1BB7868C">
            <w:pPr>
              <w:jc w:val="center"/>
              <w:rPr>
                <w:rFonts w:hint="eastAsia" w:ascii="宋体" w:hAnsi="宋体" w:eastAsia="宋体" w:cs="宋体"/>
                <w:i w:val="0"/>
                <w:iCs w:val="0"/>
                <w:color w:val="000000"/>
                <w:sz w:val="24"/>
                <w:szCs w:val="24"/>
                <w:highlight w:val="none"/>
                <w:u w:val="none"/>
              </w:rPr>
            </w:pPr>
          </w:p>
        </w:tc>
        <w:tc>
          <w:tcPr>
            <w:tcW w:w="700" w:type="pct"/>
            <w:vMerge w:val="restart"/>
            <w:tcBorders>
              <w:top w:val="single" w:color="000000" w:sz="4" w:space="0"/>
              <w:left w:val="single" w:color="000000" w:sz="4" w:space="0"/>
              <w:bottom w:val="nil"/>
              <w:right w:val="single" w:color="000000" w:sz="4" w:space="0"/>
            </w:tcBorders>
            <w:shd w:val="clear" w:color="auto" w:fill="auto"/>
            <w:noWrap/>
            <w:vAlign w:val="center"/>
          </w:tcPr>
          <w:p w14:paraId="4AD32A7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质量指标</w:t>
            </w:r>
          </w:p>
        </w:tc>
        <w:tc>
          <w:tcPr>
            <w:tcW w:w="203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EEB55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受补助设施蔬菜基地、茶（果、中药材）园达标率</w:t>
            </w:r>
          </w:p>
        </w:tc>
        <w:tc>
          <w:tcPr>
            <w:tcW w:w="10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D0D4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100%</w:t>
            </w:r>
          </w:p>
        </w:tc>
      </w:tr>
      <w:tr w14:paraId="129D779F">
        <w:tblPrEx>
          <w:shd w:val="clear" w:color="auto" w:fill="auto"/>
          <w:tblCellMar>
            <w:top w:w="0" w:type="dxa"/>
            <w:left w:w="108" w:type="dxa"/>
            <w:bottom w:w="0" w:type="dxa"/>
            <w:right w:w="108" w:type="dxa"/>
          </w:tblCellMar>
        </w:tblPrEx>
        <w:trPr>
          <w:trHeight w:val="600" w:hRule="atLeast"/>
        </w:trPr>
        <w:tc>
          <w:tcPr>
            <w:tcW w:w="492"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10E92627">
            <w:pPr>
              <w:jc w:val="center"/>
              <w:rPr>
                <w:rFonts w:hint="eastAsia" w:ascii="宋体" w:hAnsi="宋体" w:eastAsia="宋体" w:cs="宋体"/>
                <w:i w:val="0"/>
                <w:iCs w:val="0"/>
                <w:color w:val="000000"/>
                <w:sz w:val="24"/>
                <w:szCs w:val="24"/>
                <w:highlight w:val="none"/>
                <w:u w:val="none"/>
              </w:rPr>
            </w:pPr>
          </w:p>
        </w:tc>
        <w:tc>
          <w:tcPr>
            <w:tcW w:w="689" w:type="pct"/>
            <w:vMerge w:val="continue"/>
            <w:tcBorders>
              <w:top w:val="single" w:color="000000" w:sz="4" w:space="0"/>
              <w:left w:val="single" w:color="000000" w:sz="4" w:space="0"/>
              <w:bottom w:val="nil"/>
              <w:right w:val="single" w:color="000000" w:sz="4" w:space="0"/>
            </w:tcBorders>
            <w:shd w:val="clear" w:color="auto" w:fill="auto"/>
            <w:noWrap/>
            <w:vAlign w:val="center"/>
          </w:tcPr>
          <w:p w14:paraId="69614F9A">
            <w:pPr>
              <w:jc w:val="center"/>
              <w:rPr>
                <w:rFonts w:hint="eastAsia" w:ascii="宋体" w:hAnsi="宋体" w:eastAsia="宋体" w:cs="宋体"/>
                <w:i w:val="0"/>
                <w:iCs w:val="0"/>
                <w:color w:val="000000"/>
                <w:sz w:val="24"/>
                <w:szCs w:val="24"/>
                <w:highlight w:val="none"/>
                <w:u w:val="none"/>
              </w:rPr>
            </w:pPr>
          </w:p>
        </w:tc>
        <w:tc>
          <w:tcPr>
            <w:tcW w:w="700" w:type="pct"/>
            <w:vMerge w:val="continue"/>
            <w:tcBorders>
              <w:top w:val="single" w:color="000000" w:sz="4" w:space="0"/>
              <w:left w:val="single" w:color="000000" w:sz="4" w:space="0"/>
              <w:bottom w:val="nil"/>
              <w:right w:val="single" w:color="000000" w:sz="4" w:space="0"/>
            </w:tcBorders>
            <w:shd w:val="clear" w:color="auto" w:fill="auto"/>
            <w:noWrap/>
            <w:vAlign w:val="center"/>
          </w:tcPr>
          <w:p w14:paraId="18A30219">
            <w:pPr>
              <w:jc w:val="center"/>
              <w:rPr>
                <w:rFonts w:hint="eastAsia" w:ascii="宋体" w:hAnsi="宋体" w:eastAsia="宋体" w:cs="宋体"/>
                <w:i w:val="0"/>
                <w:iCs w:val="0"/>
                <w:color w:val="000000"/>
                <w:sz w:val="24"/>
                <w:szCs w:val="24"/>
                <w:highlight w:val="none"/>
                <w:u w:val="none"/>
              </w:rPr>
            </w:pPr>
          </w:p>
        </w:tc>
        <w:tc>
          <w:tcPr>
            <w:tcW w:w="203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A3C8D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受补助农业经营主体达标率</w:t>
            </w:r>
          </w:p>
        </w:tc>
        <w:tc>
          <w:tcPr>
            <w:tcW w:w="10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7525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100%</w:t>
            </w:r>
          </w:p>
        </w:tc>
      </w:tr>
      <w:tr w14:paraId="3C09591C">
        <w:tblPrEx>
          <w:shd w:val="clear" w:color="auto" w:fill="auto"/>
          <w:tblCellMar>
            <w:top w:w="0" w:type="dxa"/>
            <w:left w:w="108" w:type="dxa"/>
            <w:bottom w:w="0" w:type="dxa"/>
            <w:right w:w="108" w:type="dxa"/>
          </w:tblCellMar>
        </w:tblPrEx>
        <w:trPr>
          <w:trHeight w:val="600" w:hRule="atLeast"/>
        </w:trPr>
        <w:tc>
          <w:tcPr>
            <w:tcW w:w="492"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4CA87905">
            <w:pPr>
              <w:jc w:val="center"/>
              <w:rPr>
                <w:rFonts w:hint="eastAsia" w:ascii="宋体" w:hAnsi="宋体" w:eastAsia="宋体" w:cs="宋体"/>
                <w:i w:val="0"/>
                <w:iCs w:val="0"/>
                <w:color w:val="000000"/>
                <w:sz w:val="24"/>
                <w:szCs w:val="24"/>
                <w:highlight w:val="none"/>
                <w:u w:val="none"/>
              </w:rPr>
            </w:pPr>
          </w:p>
        </w:tc>
        <w:tc>
          <w:tcPr>
            <w:tcW w:w="689" w:type="pct"/>
            <w:vMerge w:val="continue"/>
            <w:tcBorders>
              <w:top w:val="single" w:color="000000" w:sz="4" w:space="0"/>
              <w:left w:val="single" w:color="000000" w:sz="4" w:space="0"/>
              <w:bottom w:val="nil"/>
              <w:right w:val="single" w:color="000000" w:sz="4" w:space="0"/>
            </w:tcBorders>
            <w:shd w:val="clear" w:color="auto" w:fill="auto"/>
            <w:noWrap/>
            <w:vAlign w:val="center"/>
          </w:tcPr>
          <w:p w14:paraId="3097F30D">
            <w:pPr>
              <w:jc w:val="center"/>
              <w:rPr>
                <w:rFonts w:hint="eastAsia" w:ascii="宋体" w:hAnsi="宋体" w:eastAsia="宋体" w:cs="宋体"/>
                <w:i w:val="0"/>
                <w:iCs w:val="0"/>
                <w:color w:val="000000"/>
                <w:sz w:val="24"/>
                <w:szCs w:val="24"/>
                <w:highlight w:val="none"/>
                <w:u w:val="none"/>
              </w:rPr>
            </w:pPr>
          </w:p>
        </w:tc>
        <w:tc>
          <w:tcPr>
            <w:tcW w:w="700" w:type="pct"/>
            <w:vMerge w:val="continue"/>
            <w:tcBorders>
              <w:top w:val="single" w:color="000000" w:sz="4" w:space="0"/>
              <w:left w:val="single" w:color="000000" w:sz="4" w:space="0"/>
              <w:bottom w:val="nil"/>
              <w:right w:val="single" w:color="000000" w:sz="4" w:space="0"/>
            </w:tcBorders>
            <w:shd w:val="clear" w:color="auto" w:fill="auto"/>
            <w:noWrap/>
            <w:vAlign w:val="center"/>
          </w:tcPr>
          <w:p w14:paraId="650C63BE">
            <w:pPr>
              <w:jc w:val="center"/>
              <w:rPr>
                <w:rFonts w:hint="eastAsia" w:ascii="宋体" w:hAnsi="宋体" w:eastAsia="宋体" w:cs="宋体"/>
                <w:i w:val="0"/>
                <w:iCs w:val="0"/>
                <w:color w:val="000000"/>
                <w:sz w:val="24"/>
                <w:szCs w:val="24"/>
                <w:highlight w:val="none"/>
                <w:u w:val="none"/>
              </w:rPr>
            </w:pPr>
          </w:p>
        </w:tc>
        <w:tc>
          <w:tcPr>
            <w:tcW w:w="203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C6E2C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受补助农业产业园、乡村等达标率</w:t>
            </w:r>
          </w:p>
        </w:tc>
        <w:tc>
          <w:tcPr>
            <w:tcW w:w="10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39A06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100%</w:t>
            </w:r>
          </w:p>
        </w:tc>
      </w:tr>
      <w:tr w14:paraId="77EEAB32">
        <w:tblPrEx>
          <w:tblCellMar>
            <w:top w:w="0" w:type="dxa"/>
            <w:left w:w="108" w:type="dxa"/>
            <w:bottom w:w="0" w:type="dxa"/>
            <w:right w:w="108" w:type="dxa"/>
          </w:tblCellMar>
        </w:tblPrEx>
        <w:trPr>
          <w:trHeight w:val="600" w:hRule="atLeast"/>
        </w:trPr>
        <w:tc>
          <w:tcPr>
            <w:tcW w:w="492"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062A09D6">
            <w:pPr>
              <w:jc w:val="center"/>
              <w:rPr>
                <w:rFonts w:hint="eastAsia" w:ascii="宋体" w:hAnsi="宋体" w:eastAsia="宋体" w:cs="宋体"/>
                <w:i w:val="0"/>
                <w:iCs w:val="0"/>
                <w:color w:val="000000"/>
                <w:sz w:val="24"/>
                <w:szCs w:val="24"/>
                <w:highlight w:val="none"/>
                <w:u w:val="none"/>
              </w:rPr>
            </w:pPr>
          </w:p>
        </w:tc>
        <w:tc>
          <w:tcPr>
            <w:tcW w:w="689" w:type="pct"/>
            <w:vMerge w:val="continue"/>
            <w:tcBorders>
              <w:top w:val="single" w:color="000000" w:sz="4" w:space="0"/>
              <w:left w:val="single" w:color="000000" w:sz="4" w:space="0"/>
              <w:bottom w:val="nil"/>
              <w:right w:val="single" w:color="000000" w:sz="4" w:space="0"/>
            </w:tcBorders>
            <w:shd w:val="clear" w:color="auto" w:fill="auto"/>
            <w:noWrap/>
            <w:vAlign w:val="center"/>
          </w:tcPr>
          <w:p w14:paraId="37E60593">
            <w:pPr>
              <w:jc w:val="center"/>
              <w:rPr>
                <w:rFonts w:hint="eastAsia" w:ascii="宋体" w:hAnsi="宋体" w:eastAsia="宋体" w:cs="宋体"/>
                <w:i w:val="0"/>
                <w:iCs w:val="0"/>
                <w:color w:val="000000"/>
                <w:sz w:val="24"/>
                <w:szCs w:val="24"/>
                <w:highlight w:val="none"/>
                <w:u w:val="none"/>
              </w:rPr>
            </w:pPr>
          </w:p>
        </w:tc>
        <w:tc>
          <w:tcPr>
            <w:tcW w:w="700" w:type="pct"/>
            <w:tcBorders>
              <w:top w:val="single" w:color="000000" w:sz="4" w:space="0"/>
              <w:left w:val="single" w:color="000000" w:sz="4" w:space="0"/>
              <w:bottom w:val="nil"/>
              <w:right w:val="single" w:color="000000" w:sz="4" w:space="0"/>
            </w:tcBorders>
            <w:shd w:val="clear" w:color="auto" w:fill="auto"/>
            <w:noWrap/>
            <w:vAlign w:val="center"/>
          </w:tcPr>
          <w:p w14:paraId="561127E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时效指标</w:t>
            </w:r>
          </w:p>
        </w:tc>
        <w:tc>
          <w:tcPr>
            <w:tcW w:w="203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6670B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专项资金补助及时性</w:t>
            </w:r>
          </w:p>
        </w:tc>
        <w:tc>
          <w:tcPr>
            <w:tcW w:w="10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F1847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按时</w:t>
            </w:r>
          </w:p>
        </w:tc>
      </w:tr>
      <w:tr w14:paraId="5E7C37DE">
        <w:tblPrEx>
          <w:tblCellMar>
            <w:top w:w="0" w:type="dxa"/>
            <w:left w:w="108" w:type="dxa"/>
            <w:bottom w:w="0" w:type="dxa"/>
            <w:right w:w="108" w:type="dxa"/>
          </w:tblCellMar>
        </w:tblPrEx>
        <w:trPr>
          <w:trHeight w:val="600" w:hRule="atLeast"/>
        </w:trPr>
        <w:tc>
          <w:tcPr>
            <w:tcW w:w="492"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31E47395">
            <w:pPr>
              <w:jc w:val="center"/>
              <w:rPr>
                <w:rFonts w:hint="eastAsia" w:ascii="宋体" w:hAnsi="宋体" w:eastAsia="宋体" w:cs="宋体"/>
                <w:i w:val="0"/>
                <w:iCs w:val="0"/>
                <w:color w:val="000000"/>
                <w:sz w:val="24"/>
                <w:szCs w:val="24"/>
                <w:highlight w:val="none"/>
                <w:u w:val="none"/>
              </w:rPr>
            </w:pPr>
          </w:p>
        </w:tc>
        <w:tc>
          <w:tcPr>
            <w:tcW w:w="689" w:type="pct"/>
            <w:vMerge w:val="continue"/>
            <w:tcBorders>
              <w:top w:val="single" w:color="000000" w:sz="4" w:space="0"/>
              <w:left w:val="single" w:color="000000" w:sz="4" w:space="0"/>
              <w:bottom w:val="nil"/>
              <w:right w:val="single" w:color="000000" w:sz="4" w:space="0"/>
            </w:tcBorders>
            <w:shd w:val="clear" w:color="auto" w:fill="auto"/>
            <w:noWrap/>
            <w:vAlign w:val="center"/>
          </w:tcPr>
          <w:p w14:paraId="44E12EE9">
            <w:pPr>
              <w:jc w:val="center"/>
              <w:rPr>
                <w:rFonts w:hint="eastAsia" w:ascii="宋体" w:hAnsi="宋体" w:eastAsia="宋体" w:cs="宋体"/>
                <w:i w:val="0"/>
                <w:iCs w:val="0"/>
                <w:color w:val="000000"/>
                <w:sz w:val="24"/>
                <w:szCs w:val="24"/>
                <w:highlight w:val="none"/>
                <w:u w:val="none"/>
              </w:rPr>
            </w:pPr>
          </w:p>
        </w:tc>
        <w:tc>
          <w:tcPr>
            <w:tcW w:w="700" w:type="pct"/>
            <w:tcBorders>
              <w:top w:val="single" w:color="000000" w:sz="4" w:space="0"/>
              <w:left w:val="single" w:color="000000" w:sz="4" w:space="0"/>
              <w:bottom w:val="nil"/>
              <w:right w:val="single" w:color="000000" w:sz="4" w:space="0"/>
            </w:tcBorders>
            <w:shd w:val="clear" w:color="auto" w:fill="auto"/>
            <w:noWrap/>
            <w:vAlign w:val="center"/>
          </w:tcPr>
          <w:p w14:paraId="726B46C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成本指标</w:t>
            </w:r>
          </w:p>
        </w:tc>
        <w:tc>
          <w:tcPr>
            <w:tcW w:w="203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F9BA5BD">
            <w:pPr>
              <w:jc w:val="center"/>
              <w:rPr>
                <w:rFonts w:hint="eastAsia" w:ascii="宋体" w:hAnsi="宋体" w:eastAsia="宋体" w:cs="宋体"/>
                <w:i w:val="0"/>
                <w:iCs w:val="0"/>
                <w:color w:val="000000"/>
                <w:sz w:val="24"/>
                <w:szCs w:val="24"/>
                <w:highlight w:val="none"/>
                <w:u w:val="none"/>
              </w:rPr>
            </w:pPr>
          </w:p>
        </w:tc>
        <w:tc>
          <w:tcPr>
            <w:tcW w:w="10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F11ACE">
            <w:pPr>
              <w:jc w:val="center"/>
              <w:rPr>
                <w:rFonts w:hint="eastAsia" w:ascii="宋体" w:hAnsi="宋体" w:eastAsia="宋体" w:cs="宋体"/>
                <w:i w:val="0"/>
                <w:iCs w:val="0"/>
                <w:color w:val="000000"/>
                <w:sz w:val="24"/>
                <w:szCs w:val="24"/>
                <w:highlight w:val="none"/>
                <w:u w:val="none"/>
              </w:rPr>
            </w:pPr>
          </w:p>
        </w:tc>
      </w:tr>
      <w:tr w14:paraId="220AD76F">
        <w:tblPrEx>
          <w:shd w:val="clear" w:color="auto" w:fill="auto"/>
          <w:tblCellMar>
            <w:top w:w="0" w:type="dxa"/>
            <w:left w:w="108" w:type="dxa"/>
            <w:bottom w:w="0" w:type="dxa"/>
            <w:right w:w="108" w:type="dxa"/>
          </w:tblCellMar>
        </w:tblPrEx>
        <w:trPr>
          <w:trHeight w:val="600" w:hRule="atLeast"/>
        </w:trPr>
        <w:tc>
          <w:tcPr>
            <w:tcW w:w="492"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22993AC2">
            <w:pPr>
              <w:jc w:val="center"/>
              <w:rPr>
                <w:rFonts w:hint="eastAsia" w:ascii="宋体" w:hAnsi="宋体" w:eastAsia="宋体" w:cs="宋体"/>
                <w:i w:val="0"/>
                <w:iCs w:val="0"/>
                <w:color w:val="000000"/>
                <w:sz w:val="24"/>
                <w:szCs w:val="24"/>
                <w:highlight w:val="none"/>
                <w:u w:val="none"/>
              </w:rPr>
            </w:pPr>
          </w:p>
        </w:tc>
        <w:tc>
          <w:tcPr>
            <w:tcW w:w="689" w:type="pct"/>
            <w:vMerge w:val="restart"/>
            <w:tcBorders>
              <w:top w:val="single" w:color="000000" w:sz="4" w:space="0"/>
              <w:left w:val="single" w:color="000000" w:sz="4" w:space="0"/>
              <w:bottom w:val="nil"/>
              <w:right w:val="single" w:color="000000" w:sz="4" w:space="0"/>
            </w:tcBorders>
            <w:shd w:val="clear" w:color="auto" w:fill="auto"/>
            <w:noWrap/>
            <w:vAlign w:val="center"/>
          </w:tcPr>
          <w:p w14:paraId="4E67136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效益指标</w:t>
            </w:r>
          </w:p>
        </w:tc>
        <w:tc>
          <w:tcPr>
            <w:tcW w:w="7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AE3A8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经济效益指标</w:t>
            </w:r>
          </w:p>
        </w:tc>
        <w:tc>
          <w:tcPr>
            <w:tcW w:w="203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37796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企业发展增效</w:t>
            </w:r>
          </w:p>
        </w:tc>
        <w:tc>
          <w:tcPr>
            <w:tcW w:w="10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09A2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提高</w:t>
            </w:r>
          </w:p>
        </w:tc>
      </w:tr>
      <w:tr w14:paraId="1132BCF1">
        <w:tblPrEx>
          <w:tblCellMar>
            <w:top w:w="0" w:type="dxa"/>
            <w:left w:w="108" w:type="dxa"/>
            <w:bottom w:w="0" w:type="dxa"/>
            <w:right w:w="108" w:type="dxa"/>
          </w:tblCellMar>
        </w:tblPrEx>
        <w:trPr>
          <w:trHeight w:val="600" w:hRule="atLeast"/>
        </w:trPr>
        <w:tc>
          <w:tcPr>
            <w:tcW w:w="492"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50080494">
            <w:pPr>
              <w:jc w:val="center"/>
              <w:rPr>
                <w:rFonts w:hint="eastAsia" w:ascii="宋体" w:hAnsi="宋体" w:eastAsia="宋体" w:cs="宋体"/>
                <w:i w:val="0"/>
                <w:iCs w:val="0"/>
                <w:color w:val="000000"/>
                <w:sz w:val="24"/>
                <w:szCs w:val="24"/>
                <w:highlight w:val="none"/>
                <w:u w:val="none"/>
              </w:rPr>
            </w:pPr>
          </w:p>
        </w:tc>
        <w:tc>
          <w:tcPr>
            <w:tcW w:w="689" w:type="pct"/>
            <w:vMerge w:val="continue"/>
            <w:tcBorders>
              <w:top w:val="single" w:color="000000" w:sz="4" w:space="0"/>
              <w:left w:val="single" w:color="000000" w:sz="4" w:space="0"/>
              <w:bottom w:val="nil"/>
              <w:right w:val="single" w:color="000000" w:sz="4" w:space="0"/>
            </w:tcBorders>
            <w:shd w:val="clear" w:color="auto" w:fill="auto"/>
            <w:noWrap/>
            <w:vAlign w:val="center"/>
          </w:tcPr>
          <w:p w14:paraId="237B865B">
            <w:pPr>
              <w:jc w:val="center"/>
              <w:rPr>
                <w:rFonts w:hint="eastAsia" w:ascii="宋体" w:hAnsi="宋体" w:eastAsia="宋体" w:cs="宋体"/>
                <w:i w:val="0"/>
                <w:iCs w:val="0"/>
                <w:color w:val="000000"/>
                <w:sz w:val="24"/>
                <w:szCs w:val="24"/>
                <w:highlight w:val="none"/>
                <w:u w:val="none"/>
              </w:rPr>
            </w:pPr>
          </w:p>
        </w:tc>
        <w:tc>
          <w:tcPr>
            <w:tcW w:w="7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DE458D">
            <w:pPr>
              <w:jc w:val="center"/>
              <w:rPr>
                <w:rFonts w:hint="eastAsia" w:ascii="宋体" w:hAnsi="宋体" w:eastAsia="宋体" w:cs="宋体"/>
                <w:i w:val="0"/>
                <w:iCs w:val="0"/>
                <w:color w:val="000000"/>
                <w:sz w:val="24"/>
                <w:szCs w:val="24"/>
                <w:highlight w:val="none"/>
                <w:u w:val="none"/>
              </w:rPr>
            </w:pPr>
          </w:p>
        </w:tc>
        <w:tc>
          <w:tcPr>
            <w:tcW w:w="203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DC3B1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农民生活水平</w:t>
            </w:r>
          </w:p>
        </w:tc>
        <w:tc>
          <w:tcPr>
            <w:tcW w:w="10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D878A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提高</w:t>
            </w:r>
          </w:p>
        </w:tc>
      </w:tr>
      <w:tr w14:paraId="31F720E3">
        <w:tblPrEx>
          <w:shd w:val="clear" w:color="auto" w:fill="auto"/>
          <w:tblCellMar>
            <w:top w:w="0" w:type="dxa"/>
            <w:left w:w="108" w:type="dxa"/>
            <w:bottom w:w="0" w:type="dxa"/>
            <w:right w:w="108" w:type="dxa"/>
          </w:tblCellMar>
        </w:tblPrEx>
        <w:trPr>
          <w:trHeight w:val="600" w:hRule="atLeast"/>
        </w:trPr>
        <w:tc>
          <w:tcPr>
            <w:tcW w:w="492"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0433EC56">
            <w:pPr>
              <w:jc w:val="center"/>
              <w:rPr>
                <w:rFonts w:hint="eastAsia" w:ascii="宋体" w:hAnsi="宋体" w:eastAsia="宋体" w:cs="宋体"/>
                <w:i w:val="0"/>
                <w:iCs w:val="0"/>
                <w:color w:val="000000"/>
                <w:sz w:val="24"/>
                <w:szCs w:val="24"/>
                <w:highlight w:val="none"/>
                <w:u w:val="none"/>
              </w:rPr>
            </w:pPr>
          </w:p>
        </w:tc>
        <w:tc>
          <w:tcPr>
            <w:tcW w:w="689" w:type="pct"/>
            <w:vMerge w:val="continue"/>
            <w:tcBorders>
              <w:top w:val="single" w:color="000000" w:sz="4" w:space="0"/>
              <w:left w:val="single" w:color="000000" w:sz="4" w:space="0"/>
              <w:bottom w:val="nil"/>
              <w:right w:val="single" w:color="000000" w:sz="4" w:space="0"/>
            </w:tcBorders>
            <w:shd w:val="clear" w:color="auto" w:fill="auto"/>
            <w:noWrap/>
            <w:vAlign w:val="center"/>
          </w:tcPr>
          <w:p w14:paraId="2AFF9BF3">
            <w:pPr>
              <w:jc w:val="center"/>
              <w:rPr>
                <w:rFonts w:hint="eastAsia" w:ascii="宋体" w:hAnsi="宋体" w:eastAsia="宋体" w:cs="宋体"/>
                <w:i w:val="0"/>
                <w:iCs w:val="0"/>
                <w:color w:val="000000"/>
                <w:sz w:val="24"/>
                <w:szCs w:val="24"/>
                <w:highlight w:val="none"/>
                <w:u w:val="none"/>
              </w:rPr>
            </w:pPr>
          </w:p>
        </w:tc>
        <w:tc>
          <w:tcPr>
            <w:tcW w:w="7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FF360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社会效益指标</w:t>
            </w:r>
          </w:p>
        </w:tc>
        <w:tc>
          <w:tcPr>
            <w:tcW w:w="203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8CF1B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乡村产业振兴宣传效果</w:t>
            </w:r>
          </w:p>
        </w:tc>
        <w:tc>
          <w:tcPr>
            <w:tcW w:w="10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7DAE8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显著</w:t>
            </w:r>
          </w:p>
        </w:tc>
      </w:tr>
      <w:tr w14:paraId="34E56CB0">
        <w:tblPrEx>
          <w:shd w:val="clear" w:color="auto" w:fill="auto"/>
          <w:tblCellMar>
            <w:top w:w="0" w:type="dxa"/>
            <w:left w:w="108" w:type="dxa"/>
            <w:bottom w:w="0" w:type="dxa"/>
            <w:right w:w="108" w:type="dxa"/>
          </w:tblCellMar>
        </w:tblPrEx>
        <w:trPr>
          <w:trHeight w:val="600" w:hRule="atLeast"/>
        </w:trPr>
        <w:tc>
          <w:tcPr>
            <w:tcW w:w="492"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1503FAAD">
            <w:pPr>
              <w:jc w:val="center"/>
              <w:rPr>
                <w:rFonts w:hint="eastAsia" w:ascii="宋体" w:hAnsi="宋体" w:eastAsia="宋体" w:cs="宋体"/>
                <w:i w:val="0"/>
                <w:iCs w:val="0"/>
                <w:color w:val="000000"/>
                <w:sz w:val="24"/>
                <w:szCs w:val="24"/>
                <w:highlight w:val="none"/>
                <w:u w:val="none"/>
              </w:rPr>
            </w:pPr>
          </w:p>
        </w:tc>
        <w:tc>
          <w:tcPr>
            <w:tcW w:w="689" w:type="pct"/>
            <w:vMerge w:val="continue"/>
            <w:tcBorders>
              <w:top w:val="single" w:color="000000" w:sz="4" w:space="0"/>
              <w:left w:val="single" w:color="000000" w:sz="4" w:space="0"/>
              <w:bottom w:val="nil"/>
              <w:right w:val="single" w:color="000000" w:sz="4" w:space="0"/>
            </w:tcBorders>
            <w:shd w:val="clear" w:color="auto" w:fill="auto"/>
            <w:noWrap/>
            <w:vAlign w:val="center"/>
          </w:tcPr>
          <w:p w14:paraId="17C930CB">
            <w:pPr>
              <w:jc w:val="center"/>
              <w:rPr>
                <w:rFonts w:hint="eastAsia" w:ascii="宋体" w:hAnsi="宋体" w:eastAsia="宋体" w:cs="宋体"/>
                <w:i w:val="0"/>
                <w:iCs w:val="0"/>
                <w:color w:val="000000"/>
                <w:sz w:val="24"/>
                <w:szCs w:val="24"/>
                <w:highlight w:val="none"/>
                <w:u w:val="none"/>
              </w:rPr>
            </w:pPr>
          </w:p>
        </w:tc>
        <w:tc>
          <w:tcPr>
            <w:tcW w:w="7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1AC56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生态效益指标</w:t>
            </w:r>
          </w:p>
        </w:tc>
        <w:tc>
          <w:tcPr>
            <w:tcW w:w="203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BCB31C">
            <w:pPr>
              <w:jc w:val="center"/>
              <w:rPr>
                <w:rFonts w:hint="eastAsia" w:ascii="宋体" w:hAnsi="宋体" w:eastAsia="宋体" w:cs="宋体"/>
                <w:i w:val="0"/>
                <w:iCs w:val="0"/>
                <w:color w:val="000000"/>
                <w:sz w:val="24"/>
                <w:szCs w:val="24"/>
                <w:highlight w:val="none"/>
                <w:u w:val="none"/>
              </w:rPr>
            </w:pPr>
          </w:p>
        </w:tc>
        <w:tc>
          <w:tcPr>
            <w:tcW w:w="10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E3E2C">
            <w:pPr>
              <w:jc w:val="center"/>
              <w:rPr>
                <w:rFonts w:hint="eastAsia" w:ascii="宋体" w:hAnsi="宋体" w:eastAsia="宋体" w:cs="宋体"/>
                <w:i w:val="0"/>
                <w:iCs w:val="0"/>
                <w:color w:val="000000"/>
                <w:sz w:val="24"/>
                <w:szCs w:val="24"/>
                <w:highlight w:val="none"/>
                <w:u w:val="none"/>
              </w:rPr>
            </w:pPr>
          </w:p>
        </w:tc>
      </w:tr>
      <w:tr w14:paraId="626BADB0">
        <w:tblPrEx>
          <w:tblCellMar>
            <w:top w:w="0" w:type="dxa"/>
            <w:left w:w="108" w:type="dxa"/>
            <w:bottom w:w="0" w:type="dxa"/>
            <w:right w:w="108" w:type="dxa"/>
          </w:tblCellMar>
        </w:tblPrEx>
        <w:trPr>
          <w:trHeight w:val="600" w:hRule="atLeast"/>
        </w:trPr>
        <w:tc>
          <w:tcPr>
            <w:tcW w:w="492"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0E035885">
            <w:pPr>
              <w:jc w:val="center"/>
              <w:rPr>
                <w:rFonts w:hint="eastAsia" w:ascii="宋体" w:hAnsi="宋体" w:eastAsia="宋体" w:cs="宋体"/>
                <w:i w:val="0"/>
                <w:iCs w:val="0"/>
                <w:color w:val="000000"/>
                <w:sz w:val="24"/>
                <w:szCs w:val="24"/>
                <w:highlight w:val="none"/>
                <w:u w:val="none"/>
              </w:rPr>
            </w:pPr>
          </w:p>
        </w:tc>
        <w:tc>
          <w:tcPr>
            <w:tcW w:w="689" w:type="pct"/>
            <w:vMerge w:val="continue"/>
            <w:tcBorders>
              <w:top w:val="single" w:color="000000" w:sz="4" w:space="0"/>
              <w:left w:val="single" w:color="000000" w:sz="4" w:space="0"/>
              <w:bottom w:val="nil"/>
              <w:right w:val="single" w:color="000000" w:sz="4" w:space="0"/>
            </w:tcBorders>
            <w:shd w:val="clear" w:color="auto" w:fill="auto"/>
            <w:noWrap/>
            <w:vAlign w:val="center"/>
          </w:tcPr>
          <w:p w14:paraId="620B2F31">
            <w:pPr>
              <w:jc w:val="center"/>
              <w:rPr>
                <w:rFonts w:hint="eastAsia" w:ascii="宋体" w:hAnsi="宋体" w:eastAsia="宋体" w:cs="宋体"/>
                <w:i w:val="0"/>
                <w:iCs w:val="0"/>
                <w:color w:val="000000"/>
                <w:sz w:val="24"/>
                <w:szCs w:val="24"/>
                <w:highlight w:val="none"/>
                <w:u w:val="none"/>
              </w:rPr>
            </w:pPr>
          </w:p>
        </w:tc>
        <w:tc>
          <w:tcPr>
            <w:tcW w:w="7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DD1F1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可持续影响指标</w:t>
            </w:r>
          </w:p>
        </w:tc>
        <w:tc>
          <w:tcPr>
            <w:tcW w:w="203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03D34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乡村产业振兴项目管理制度</w:t>
            </w:r>
          </w:p>
        </w:tc>
        <w:tc>
          <w:tcPr>
            <w:tcW w:w="10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9980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完善</w:t>
            </w:r>
          </w:p>
        </w:tc>
      </w:tr>
      <w:tr w14:paraId="2F5A3F78">
        <w:tblPrEx>
          <w:shd w:val="clear" w:color="auto" w:fill="auto"/>
          <w:tblCellMar>
            <w:top w:w="0" w:type="dxa"/>
            <w:left w:w="108" w:type="dxa"/>
            <w:bottom w:w="0" w:type="dxa"/>
            <w:right w:w="108" w:type="dxa"/>
          </w:tblCellMar>
        </w:tblPrEx>
        <w:trPr>
          <w:trHeight w:val="600" w:hRule="atLeast"/>
        </w:trPr>
        <w:tc>
          <w:tcPr>
            <w:tcW w:w="492"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44F28951">
            <w:pPr>
              <w:jc w:val="center"/>
              <w:rPr>
                <w:rFonts w:hint="eastAsia" w:ascii="宋体" w:hAnsi="宋体" w:eastAsia="宋体" w:cs="宋体"/>
                <w:i w:val="0"/>
                <w:iCs w:val="0"/>
                <w:color w:val="000000"/>
                <w:sz w:val="24"/>
                <w:szCs w:val="24"/>
                <w:highlight w:val="none"/>
                <w:u w:val="none"/>
              </w:rPr>
            </w:pPr>
          </w:p>
        </w:tc>
        <w:tc>
          <w:tcPr>
            <w:tcW w:w="689" w:type="pct"/>
            <w:vMerge w:val="continue"/>
            <w:tcBorders>
              <w:top w:val="single" w:color="000000" w:sz="4" w:space="0"/>
              <w:left w:val="single" w:color="000000" w:sz="4" w:space="0"/>
              <w:bottom w:val="nil"/>
              <w:right w:val="single" w:color="000000" w:sz="4" w:space="0"/>
            </w:tcBorders>
            <w:shd w:val="clear" w:color="auto" w:fill="auto"/>
            <w:noWrap/>
            <w:vAlign w:val="center"/>
          </w:tcPr>
          <w:p w14:paraId="0E02FBA3">
            <w:pPr>
              <w:jc w:val="center"/>
              <w:rPr>
                <w:rFonts w:hint="eastAsia" w:ascii="宋体" w:hAnsi="宋体" w:eastAsia="宋体" w:cs="宋体"/>
                <w:i w:val="0"/>
                <w:iCs w:val="0"/>
                <w:color w:val="000000"/>
                <w:sz w:val="24"/>
                <w:szCs w:val="24"/>
                <w:highlight w:val="none"/>
                <w:u w:val="none"/>
              </w:rPr>
            </w:pPr>
          </w:p>
        </w:tc>
        <w:tc>
          <w:tcPr>
            <w:tcW w:w="7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FB4236">
            <w:pPr>
              <w:jc w:val="center"/>
              <w:rPr>
                <w:rFonts w:hint="eastAsia" w:ascii="宋体" w:hAnsi="宋体" w:eastAsia="宋体" w:cs="宋体"/>
                <w:i w:val="0"/>
                <w:iCs w:val="0"/>
                <w:color w:val="000000"/>
                <w:sz w:val="24"/>
                <w:szCs w:val="24"/>
                <w:highlight w:val="none"/>
                <w:u w:val="none"/>
              </w:rPr>
            </w:pPr>
          </w:p>
        </w:tc>
        <w:tc>
          <w:tcPr>
            <w:tcW w:w="203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180C7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带动农户增收能力</w:t>
            </w:r>
          </w:p>
        </w:tc>
        <w:tc>
          <w:tcPr>
            <w:tcW w:w="10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DC57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不断增强</w:t>
            </w:r>
          </w:p>
        </w:tc>
      </w:tr>
      <w:tr w14:paraId="52486BC0">
        <w:tblPrEx>
          <w:shd w:val="clear" w:color="auto" w:fill="auto"/>
          <w:tblCellMar>
            <w:top w:w="0" w:type="dxa"/>
            <w:left w:w="108" w:type="dxa"/>
            <w:bottom w:w="0" w:type="dxa"/>
            <w:right w:w="108" w:type="dxa"/>
          </w:tblCellMar>
        </w:tblPrEx>
        <w:trPr>
          <w:trHeight w:val="600" w:hRule="atLeast"/>
        </w:trPr>
        <w:tc>
          <w:tcPr>
            <w:tcW w:w="492"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5D9FCC84">
            <w:pPr>
              <w:jc w:val="center"/>
              <w:rPr>
                <w:rFonts w:hint="eastAsia" w:ascii="宋体" w:hAnsi="宋体" w:eastAsia="宋体" w:cs="宋体"/>
                <w:i w:val="0"/>
                <w:iCs w:val="0"/>
                <w:color w:val="000000"/>
                <w:sz w:val="24"/>
                <w:szCs w:val="24"/>
                <w:highlight w:val="none"/>
                <w:u w:val="none"/>
              </w:rPr>
            </w:pPr>
          </w:p>
        </w:tc>
        <w:tc>
          <w:tcPr>
            <w:tcW w:w="6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FB4A9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满意度指标</w:t>
            </w:r>
          </w:p>
        </w:tc>
        <w:tc>
          <w:tcPr>
            <w:tcW w:w="7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D09EC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服务对象满意度指标</w:t>
            </w:r>
          </w:p>
        </w:tc>
        <w:tc>
          <w:tcPr>
            <w:tcW w:w="203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B0B1C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扶持单位满意率</w:t>
            </w:r>
          </w:p>
        </w:tc>
        <w:tc>
          <w:tcPr>
            <w:tcW w:w="10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BD6C0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95%</w:t>
            </w:r>
          </w:p>
        </w:tc>
      </w:tr>
      <w:tr w14:paraId="11EDD6B3">
        <w:tblPrEx>
          <w:tblCellMar>
            <w:top w:w="0" w:type="dxa"/>
            <w:left w:w="108" w:type="dxa"/>
            <w:bottom w:w="0" w:type="dxa"/>
            <w:right w:w="108" w:type="dxa"/>
          </w:tblCellMar>
        </w:tblPrEx>
        <w:trPr>
          <w:trHeight w:val="600" w:hRule="atLeast"/>
        </w:trPr>
        <w:tc>
          <w:tcPr>
            <w:tcW w:w="492"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37384E86">
            <w:pPr>
              <w:jc w:val="center"/>
              <w:rPr>
                <w:rFonts w:hint="eastAsia" w:ascii="宋体" w:hAnsi="宋体" w:eastAsia="宋体" w:cs="宋体"/>
                <w:i w:val="0"/>
                <w:iCs w:val="0"/>
                <w:color w:val="000000"/>
                <w:sz w:val="24"/>
                <w:szCs w:val="24"/>
                <w:highlight w:val="none"/>
                <w:u w:val="none"/>
              </w:rPr>
            </w:pPr>
          </w:p>
        </w:tc>
        <w:tc>
          <w:tcPr>
            <w:tcW w:w="6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2A075C">
            <w:pPr>
              <w:jc w:val="center"/>
              <w:rPr>
                <w:rFonts w:hint="eastAsia" w:ascii="宋体" w:hAnsi="宋体" w:eastAsia="宋体" w:cs="宋体"/>
                <w:i w:val="0"/>
                <w:iCs w:val="0"/>
                <w:color w:val="000000"/>
                <w:sz w:val="24"/>
                <w:szCs w:val="24"/>
                <w:highlight w:val="none"/>
                <w:u w:val="none"/>
              </w:rPr>
            </w:pPr>
          </w:p>
        </w:tc>
        <w:tc>
          <w:tcPr>
            <w:tcW w:w="7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D2D0EB">
            <w:pPr>
              <w:jc w:val="center"/>
              <w:rPr>
                <w:rFonts w:hint="eastAsia" w:ascii="宋体" w:hAnsi="宋体" w:eastAsia="宋体" w:cs="宋体"/>
                <w:i w:val="0"/>
                <w:iCs w:val="0"/>
                <w:color w:val="000000"/>
                <w:sz w:val="24"/>
                <w:szCs w:val="24"/>
                <w:highlight w:val="none"/>
                <w:u w:val="none"/>
              </w:rPr>
            </w:pPr>
          </w:p>
        </w:tc>
        <w:tc>
          <w:tcPr>
            <w:tcW w:w="203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14E7C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农民满意度</w:t>
            </w:r>
          </w:p>
        </w:tc>
        <w:tc>
          <w:tcPr>
            <w:tcW w:w="10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4BB16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95%</w:t>
            </w:r>
          </w:p>
        </w:tc>
      </w:tr>
    </w:tbl>
    <w:p w14:paraId="41253193">
      <w:pPr>
        <w:widowControl/>
        <w:numPr>
          <w:ilvl w:val="0"/>
          <w:numId w:val="0"/>
        </w:numPr>
        <w:spacing w:line="600" w:lineRule="exact"/>
        <w:ind w:left="960" w:leftChars="0"/>
        <w:jc w:val="left"/>
        <w:rPr>
          <w:rFonts w:hint="eastAsia" w:ascii="仿宋_GB2312" w:eastAsia="仿宋_GB2312"/>
          <w:color w:val="000000"/>
          <w:sz w:val="32"/>
          <w:szCs w:val="30"/>
          <w:highlight w:val="none"/>
        </w:rPr>
      </w:pPr>
    </w:p>
    <w:p w14:paraId="222A769D">
      <w:pPr>
        <w:widowControl/>
        <w:numPr>
          <w:ilvl w:val="0"/>
          <w:numId w:val="0"/>
        </w:numPr>
        <w:spacing w:line="600" w:lineRule="exact"/>
        <w:ind w:left="960" w:leftChars="0"/>
        <w:jc w:val="left"/>
        <w:rPr>
          <w:rFonts w:hint="eastAsia" w:ascii="仿宋_GB2312" w:eastAsia="仿宋_GB2312"/>
          <w:color w:val="000000"/>
          <w:sz w:val="32"/>
          <w:szCs w:val="30"/>
          <w:highlight w:val="none"/>
        </w:rPr>
      </w:pPr>
    </w:p>
    <w:p w14:paraId="31A0215E">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仿宋_GB2312" w:eastAsia="仿宋_GB2312"/>
          <w:color w:val="000000"/>
          <w:sz w:val="32"/>
          <w:szCs w:val="30"/>
          <w:highlight w:val="none"/>
        </w:rPr>
      </w:pPr>
      <w:r>
        <w:rPr>
          <w:rFonts w:hint="eastAsia" w:ascii="仿宋_GB2312" w:eastAsia="仿宋_GB2312"/>
          <w:color w:val="000000"/>
          <w:sz w:val="32"/>
          <w:szCs w:val="30"/>
          <w:highlight w:val="none"/>
          <w:lang w:val="en-US" w:eastAsia="zh-CN"/>
        </w:rPr>
        <w:t>2.</w:t>
      </w:r>
      <w:r>
        <w:rPr>
          <w:rFonts w:hint="eastAsia" w:ascii="仿宋_GB2312" w:eastAsia="仿宋_GB2312"/>
          <w:color w:val="000000"/>
          <w:sz w:val="32"/>
          <w:szCs w:val="30"/>
          <w:highlight w:val="none"/>
          <w:lang w:eastAsia="zh-CN"/>
        </w:rPr>
        <w:t>粮油储备补贴专项</w:t>
      </w:r>
    </w:p>
    <w:p w14:paraId="03632CA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（1）项目概述</w:t>
      </w:r>
    </w:p>
    <w:p w14:paraId="35CB1B4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景德镇市粮油储备补贴专项为市政府安排市农业农村局部门预算专项用于市级储备粮油利费补贴，保障全市粮食储备和食用油安全。</w:t>
      </w:r>
    </w:p>
    <w:p w14:paraId="560239F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（2）立项依据</w:t>
      </w:r>
    </w:p>
    <w:p w14:paraId="1D50C07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根据《国务院关于建立国家专项粮食储备制度的决定》（国发[1990]55号）、《粮食风险基金监督管理办法》（财建[2001]691号）、景德镇市人民政府《关于同意建立市级粮食储备制度的批复》（景府字[2005]1号）、《景德镇市人民政府办公室转发市粮食局等四部门关于景德镇市市级粮食粮管理办法和景德镇市市级储备油管理办法的通知》（景府办字[2016]86号）等文件。</w:t>
      </w:r>
    </w:p>
    <w:p w14:paraId="40053C8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（3）实施主体</w:t>
      </w:r>
    </w:p>
    <w:p w14:paraId="20754B7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景德镇市粮食收储公司</w:t>
      </w:r>
    </w:p>
    <w:p w14:paraId="32C7FB7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（4）实施方案</w:t>
      </w:r>
    </w:p>
    <w:p w14:paraId="42BE52D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市级粮油储备补贴专项主要根据市政府要求，按照市粮食主管部门会同财政部门、农发行景德镇市分行共同下达的轮换计划执行。景德镇市粮食收储公司为市级储备粮的承储单位，负责市级储备粮的储存、轮换等业务管理工作。该专项资金主要用于本年粮油轮换价差补贴。</w:t>
      </w:r>
    </w:p>
    <w:p w14:paraId="4C75727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（5）实施周期</w:t>
      </w:r>
    </w:p>
    <w:p w14:paraId="5E67345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项目实施周期为2021年全年。</w:t>
      </w:r>
    </w:p>
    <w:p w14:paraId="7BA9BFC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（6）年度预算安排</w:t>
      </w:r>
    </w:p>
    <w:p w14:paraId="1B156CB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景德镇市2021年年初预算安排粮油储备补贴资金598万元。</w:t>
      </w:r>
    </w:p>
    <w:p w14:paraId="6728F7A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（7）绩效目标和指标</w:t>
      </w:r>
    </w:p>
    <w:tbl>
      <w:tblPr>
        <w:tblStyle w:val="7"/>
        <w:tblW w:w="5000" w:type="pct"/>
        <w:tblInd w:w="0" w:type="dxa"/>
        <w:shd w:val="clear" w:color="auto" w:fill="auto"/>
        <w:tblLayout w:type="autofit"/>
        <w:tblCellMar>
          <w:top w:w="0" w:type="dxa"/>
          <w:left w:w="108" w:type="dxa"/>
          <w:bottom w:w="0" w:type="dxa"/>
          <w:right w:w="108" w:type="dxa"/>
        </w:tblCellMar>
      </w:tblPr>
      <w:tblGrid>
        <w:gridCol w:w="840"/>
        <w:gridCol w:w="1416"/>
        <w:gridCol w:w="1219"/>
        <w:gridCol w:w="1712"/>
        <w:gridCol w:w="1222"/>
        <w:gridCol w:w="462"/>
        <w:gridCol w:w="1651"/>
      </w:tblGrid>
      <w:tr w14:paraId="53F0ECC1">
        <w:tblPrEx>
          <w:tblCellMar>
            <w:top w:w="0" w:type="dxa"/>
            <w:left w:w="108" w:type="dxa"/>
            <w:bottom w:w="0" w:type="dxa"/>
            <w:right w:w="108" w:type="dxa"/>
          </w:tblCellMar>
        </w:tblPrEx>
        <w:trPr>
          <w:trHeight w:val="600" w:hRule="atLeast"/>
        </w:trPr>
        <w:tc>
          <w:tcPr>
            <w:tcW w:w="203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B95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2961"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944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粮油储备补贴资金</w:t>
            </w:r>
          </w:p>
        </w:tc>
      </w:tr>
      <w:tr w14:paraId="10ED1998">
        <w:tblPrEx>
          <w:tblCellMar>
            <w:top w:w="0" w:type="dxa"/>
            <w:left w:w="108" w:type="dxa"/>
            <w:bottom w:w="0" w:type="dxa"/>
            <w:right w:w="108" w:type="dxa"/>
          </w:tblCellMar>
        </w:tblPrEx>
        <w:trPr>
          <w:trHeight w:val="600" w:hRule="atLeast"/>
        </w:trPr>
        <w:tc>
          <w:tcPr>
            <w:tcW w:w="203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D39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主管部门及代码</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09DF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市农业农村局</w:t>
            </w:r>
          </w:p>
        </w:tc>
        <w:tc>
          <w:tcPr>
            <w:tcW w:w="7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F80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实施单位</w:t>
            </w:r>
          </w:p>
        </w:tc>
        <w:tc>
          <w:tcPr>
            <w:tcW w:w="123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D3F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市粮食收储公司</w:t>
            </w:r>
          </w:p>
        </w:tc>
      </w:tr>
      <w:tr w14:paraId="1E1B04AD">
        <w:tblPrEx>
          <w:tblCellMar>
            <w:top w:w="0" w:type="dxa"/>
            <w:left w:w="108" w:type="dxa"/>
            <w:bottom w:w="0" w:type="dxa"/>
            <w:right w:w="108" w:type="dxa"/>
          </w:tblCellMar>
        </w:tblPrEx>
        <w:trPr>
          <w:trHeight w:val="600" w:hRule="atLeast"/>
        </w:trPr>
        <w:tc>
          <w:tcPr>
            <w:tcW w:w="203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49E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项目属性</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DED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经常性项目</w:t>
            </w:r>
          </w:p>
        </w:tc>
        <w:tc>
          <w:tcPr>
            <w:tcW w:w="7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D49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项目期</w:t>
            </w:r>
          </w:p>
        </w:tc>
        <w:tc>
          <w:tcPr>
            <w:tcW w:w="123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5AF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长期</w:t>
            </w:r>
          </w:p>
        </w:tc>
      </w:tr>
      <w:tr w14:paraId="68D36413">
        <w:tblPrEx>
          <w:tblCellMar>
            <w:top w:w="0" w:type="dxa"/>
            <w:left w:w="108" w:type="dxa"/>
            <w:bottom w:w="0" w:type="dxa"/>
            <w:right w:w="108" w:type="dxa"/>
          </w:tblCellMar>
        </w:tblPrEx>
        <w:trPr>
          <w:trHeight w:val="600" w:hRule="atLeast"/>
        </w:trPr>
        <w:tc>
          <w:tcPr>
            <w:tcW w:w="2038" w:type="pct"/>
            <w:gridSpan w:val="3"/>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35E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项目资金（万元）</w:t>
            </w:r>
          </w:p>
        </w:tc>
        <w:tc>
          <w:tcPr>
            <w:tcW w:w="172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EAB58">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年度资金总额：</w:t>
            </w:r>
          </w:p>
        </w:tc>
        <w:tc>
          <w:tcPr>
            <w:tcW w:w="123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376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598</w:t>
            </w:r>
          </w:p>
        </w:tc>
      </w:tr>
      <w:tr w14:paraId="5AA0FDFD">
        <w:tblPrEx>
          <w:tblCellMar>
            <w:top w:w="0" w:type="dxa"/>
            <w:left w:w="108" w:type="dxa"/>
            <w:bottom w:w="0" w:type="dxa"/>
            <w:right w:w="108" w:type="dxa"/>
          </w:tblCellMar>
        </w:tblPrEx>
        <w:trPr>
          <w:trHeight w:val="600" w:hRule="atLeast"/>
        </w:trPr>
        <w:tc>
          <w:tcPr>
            <w:tcW w:w="203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42EAA">
            <w:pPr>
              <w:jc w:val="center"/>
              <w:rPr>
                <w:rFonts w:hint="eastAsia" w:ascii="宋体" w:hAnsi="宋体" w:eastAsia="宋体" w:cs="宋体"/>
                <w:i w:val="0"/>
                <w:iCs w:val="0"/>
                <w:color w:val="000000"/>
                <w:sz w:val="24"/>
                <w:szCs w:val="24"/>
                <w:u w:val="none"/>
              </w:rPr>
            </w:pPr>
          </w:p>
        </w:tc>
        <w:tc>
          <w:tcPr>
            <w:tcW w:w="172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B4A72">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其中：财政拨款</w:t>
            </w:r>
          </w:p>
        </w:tc>
        <w:tc>
          <w:tcPr>
            <w:tcW w:w="123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BB8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598</w:t>
            </w:r>
          </w:p>
        </w:tc>
      </w:tr>
      <w:tr w14:paraId="3273DEC7">
        <w:tblPrEx>
          <w:shd w:val="clear" w:color="auto" w:fill="auto"/>
          <w:tblCellMar>
            <w:top w:w="0" w:type="dxa"/>
            <w:left w:w="108" w:type="dxa"/>
            <w:bottom w:w="0" w:type="dxa"/>
            <w:right w:w="108" w:type="dxa"/>
          </w:tblCellMar>
        </w:tblPrEx>
        <w:trPr>
          <w:trHeight w:val="600" w:hRule="atLeast"/>
        </w:trPr>
        <w:tc>
          <w:tcPr>
            <w:tcW w:w="203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ED28F">
            <w:pPr>
              <w:jc w:val="center"/>
              <w:rPr>
                <w:rFonts w:hint="eastAsia" w:ascii="宋体" w:hAnsi="宋体" w:eastAsia="宋体" w:cs="宋体"/>
                <w:i w:val="0"/>
                <w:iCs w:val="0"/>
                <w:color w:val="000000"/>
                <w:sz w:val="24"/>
                <w:szCs w:val="24"/>
                <w:u w:val="none"/>
              </w:rPr>
            </w:pPr>
          </w:p>
        </w:tc>
        <w:tc>
          <w:tcPr>
            <w:tcW w:w="172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0B578">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其他资金</w:t>
            </w:r>
          </w:p>
        </w:tc>
        <w:tc>
          <w:tcPr>
            <w:tcW w:w="123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0702A">
            <w:pPr>
              <w:jc w:val="center"/>
              <w:rPr>
                <w:rFonts w:hint="eastAsia" w:ascii="宋体" w:hAnsi="宋体" w:eastAsia="宋体" w:cs="宋体"/>
                <w:i w:val="0"/>
                <w:iCs w:val="0"/>
                <w:color w:val="000000"/>
                <w:sz w:val="24"/>
                <w:szCs w:val="24"/>
                <w:u w:val="none"/>
              </w:rPr>
            </w:pPr>
          </w:p>
        </w:tc>
      </w:tr>
      <w:tr w14:paraId="632BBEBB">
        <w:tblPrEx>
          <w:shd w:val="clear" w:color="auto" w:fill="auto"/>
          <w:tblCellMar>
            <w:top w:w="0" w:type="dxa"/>
            <w:left w:w="108" w:type="dxa"/>
            <w:bottom w:w="0" w:type="dxa"/>
            <w:right w:w="108" w:type="dxa"/>
          </w:tblCellMar>
        </w:tblPrEx>
        <w:trPr>
          <w:trHeight w:val="600" w:hRule="atLeast"/>
        </w:trPr>
        <w:tc>
          <w:tcPr>
            <w:tcW w:w="492" w:type="pct"/>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4117E6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总体目标</w:t>
            </w:r>
          </w:p>
        </w:tc>
        <w:tc>
          <w:tcPr>
            <w:tcW w:w="4507" w:type="pct"/>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B60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年度目标</w:t>
            </w:r>
          </w:p>
        </w:tc>
      </w:tr>
      <w:tr w14:paraId="7A885DAE">
        <w:tblPrEx>
          <w:tblCellMar>
            <w:top w:w="0" w:type="dxa"/>
            <w:left w:w="108" w:type="dxa"/>
            <w:bottom w:w="0" w:type="dxa"/>
            <w:right w:w="108" w:type="dxa"/>
          </w:tblCellMar>
        </w:tblPrEx>
        <w:trPr>
          <w:trHeight w:val="600" w:hRule="atLeast"/>
        </w:trPr>
        <w:tc>
          <w:tcPr>
            <w:tcW w:w="492"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3E4EF9A9">
            <w:pPr>
              <w:jc w:val="center"/>
              <w:rPr>
                <w:rFonts w:hint="eastAsia" w:ascii="宋体" w:hAnsi="宋体" w:eastAsia="宋体" w:cs="宋体"/>
                <w:i w:val="0"/>
                <w:iCs w:val="0"/>
                <w:color w:val="000000"/>
                <w:sz w:val="24"/>
                <w:szCs w:val="24"/>
                <w:u w:val="none"/>
              </w:rPr>
            </w:pPr>
          </w:p>
        </w:tc>
        <w:tc>
          <w:tcPr>
            <w:tcW w:w="4507" w:type="pct"/>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8E96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目标1：实施市级储备粮油的保管，保证数量完整、质量达标</w:t>
            </w:r>
          </w:p>
        </w:tc>
      </w:tr>
      <w:tr w14:paraId="6A495BE3">
        <w:tblPrEx>
          <w:tblCellMar>
            <w:top w:w="0" w:type="dxa"/>
            <w:left w:w="108" w:type="dxa"/>
            <w:bottom w:w="0" w:type="dxa"/>
            <w:right w:w="108" w:type="dxa"/>
          </w:tblCellMar>
        </w:tblPrEx>
        <w:trPr>
          <w:trHeight w:val="600" w:hRule="atLeast"/>
        </w:trPr>
        <w:tc>
          <w:tcPr>
            <w:tcW w:w="492"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1B042ADC">
            <w:pPr>
              <w:jc w:val="center"/>
              <w:rPr>
                <w:rFonts w:hint="eastAsia" w:ascii="宋体" w:hAnsi="宋体" w:eastAsia="宋体" w:cs="宋体"/>
                <w:i w:val="0"/>
                <w:iCs w:val="0"/>
                <w:color w:val="000000"/>
                <w:sz w:val="24"/>
                <w:szCs w:val="24"/>
                <w:u w:val="none"/>
              </w:rPr>
            </w:pPr>
          </w:p>
        </w:tc>
        <w:tc>
          <w:tcPr>
            <w:tcW w:w="4507" w:type="pct"/>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7105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目标2：按有关规定进行市级储备粮油的轮换</w:t>
            </w:r>
          </w:p>
        </w:tc>
      </w:tr>
      <w:tr w14:paraId="67BAA6F9">
        <w:tblPrEx>
          <w:tblCellMar>
            <w:top w:w="0" w:type="dxa"/>
            <w:left w:w="108" w:type="dxa"/>
            <w:bottom w:w="0" w:type="dxa"/>
            <w:right w:w="108" w:type="dxa"/>
          </w:tblCellMar>
        </w:tblPrEx>
        <w:trPr>
          <w:trHeight w:val="600" w:hRule="atLeast"/>
        </w:trPr>
        <w:tc>
          <w:tcPr>
            <w:tcW w:w="492"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625312D4">
            <w:pPr>
              <w:jc w:val="center"/>
              <w:rPr>
                <w:rFonts w:hint="eastAsia" w:ascii="宋体" w:hAnsi="宋体" w:eastAsia="宋体" w:cs="宋体"/>
                <w:i w:val="0"/>
                <w:iCs w:val="0"/>
                <w:color w:val="000000"/>
                <w:sz w:val="24"/>
                <w:szCs w:val="24"/>
                <w:u w:val="none"/>
              </w:rPr>
            </w:pPr>
          </w:p>
        </w:tc>
        <w:tc>
          <w:tcPr>
            <w:tcW w:w="4507" w:type="pct"/>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4B5ED">
            <w:pPr>
              <w:jc w:val="center"/>
              <w:rPr>
                <w:rFonts w:hint="eastAsia" w:ascii="宋体" w:hAnsi="宋体" w:eastAsia="宋体" w:cs="宋体"/>
                <w:i w:val="0"/>
                <w:iCs w:val="0"/>
                <w:color w:val="000000"/>
                <w:sz w:val="24"/>
                <w:szCs w:val="24"/>
                <w:u w:val="none"/>
              </w:rPr>
            </w:pPr>
          </w:p>
        </w:tc>
      </w:tr>
      <w:tr w14:paraId="4B19982A">
        <w:tblPrEx>
          <w:shd w:val="clear" w:color="auto" w:fill="auto"/>
          <w:tblCellMar>
            <w:top w:w="0" w:type="dxa"/>
            <w:left w:w="108" w:type="dxa"/>
            <w:bottom w:w="0" w:type="dxa"/>
            <w:right w:w="108" w:type="dxa"/>
          </w:tblCellMar>
        </w:tblPrEx>
        <w:trPr>
          <w:trHeight w:val="600" w:hRule="atLeast"/>
        </w:trPr>
        <w:tc>
          <w:tcPr>
            <w:tcW w:w="492" w:type="pct"/>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31BFDC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绩效指标</w:t>
            </w:r>
          </w:p>
        </w:tc>
        <w:tc>
          <w:tcPr>
            <w:tcW w:w="8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B2F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一级指标</w:t>
            </w: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048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二级指标</w:t>
            </w:r>
          </w:p>
        </w:tc>
        <w:tc>
          <w:tcPr>
            <w:tcW w:w="199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054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三级指标</w:t>
            </w:r>
          </w:p>
        </w:tc>
        <w:tc>
          <w:tcPr>
            <w:tcW w:w="9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DD8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指标值</w:t>
            </w:r>
          </w:p>
        </w:tc>
      </w:tr>
      <w:tr w14:paraId="69D4536E">
        <w:tblPrEx>
          <w:tblCellMar>
            <w:top w:w="0" w:type="dxa"/>
            <w:left w:w="108" w:type="dxa"/>
            <w:bottom w:w="0" w:type="dxa"/>
            <w:right w:w="108" w:type="dxa"/>
          </w:tblCellMar>
        </w:tblPrEx>
        <w:trPr>
          <w:trHeight w:val="600" w:hRule="atLeast"/>
        </w:trPr>
        <w:tc>
          <w:tcPr>
            <w:tcW w:w="492"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1CE521D6">
            <w:pPr>
              <w:jc w:val="center"/>
              <w:rPr>
                <w:rFonts w:hint="eastAsia" w:ascii="宋体" w:hAnsi="宋体" w:eastAsia="宋体" w:cs="宋体"/>
                <w:i w:val="0"/>
                <w:iCs w:val="0"/>
                <w:color w:val="000000"/>
                <w:sz w:val="24"/>
                <w:szCs w:val="24"/>
                <w:u w:val="none"/>
              </w:rPr>
            </w:pPr>
          </w:p>
        </w:tc>
        <w:tc>
          <w:tcPr>
            <w:tcW w:w="83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B1F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产出指标</w:t>
            </w:r>
          </w:p>
        </w:tc>
        <w:tc>
          <w:tcPr>
            <w:tcW w:w="71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9050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199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E375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指标1：粮食库存数量</w:t>
            </w:r>
          </w:p>
        </w:tc>
        <w:tc>
          <w:tcPr>
            <w:tcW w:w="9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A5DA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1500万公斤</w:t>
            </w:r>
          </w:p>
        </w:tc>
      </w:tr>
      <w:tr w14:paraId="32BDDA28">
        <w:tblPrEx>
          <w:tblCellMar>
            <w:top w:w="0" w:type="dxa"/>
            <w:left w:w="108" w:type="dxa"/>
            <w:bottom w:w="0" w:type="dxa"/>
            <w:right w:w="108" w:type="dxa"/>
          </w:tblCellMar>
        </w:tblPrEx>
        <w:trPr>
          <w:trHeight w:val="600" w:hRule="atLeast"/>
        </w:trPr>
        <w:tc>
          <w:tcPr>
            <w:tcW w:w="492"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2E16D770">
            <w:pPr>
              <w:jc w:val="center"/>
              <w:rPr>
                <w:rFonts w:hint="eastAsia" w:ascii="宋体" w:hAnsi="宋体" w:eastAsia="宋体" w:cs="宋体"/>
                <w:i w:val="0"/>
                <w:iCs w:val="0"/>
                <w:color w:val="000000"/>
                <w:sz w:val="24"/>
                <w:szCs w:val="24"/>
                <w:u w:val="none"/>
              </w:rPr>
            </w:pPr>
          </w:p>
        </w:tc>
        <w:tc>
          <w:tcPr>
            <w:tcW w:w="83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909F0">
            <w:pPr>
              <w:jc w:val="center"/>
              <w:rPr>
                <w:rFonts w:hint="eastAsia" w:ascii="宋体" w:hAnsi="宋体" w:eastAsia="宋体" w:cs="宋体"/>
                <w:i w:val="0"/>
                <w:iCs w:val="0"/>
                <w:color w:val="000000"/>
                <w:sz w:val="24"/>
                <w:szCs w:val="24"/>
                <w:u w:val="none"/>
              </w:rPr>
            </w:pPr>
          </w:p>
        </w:tc>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5BB0A">
            <w:pPr>
              <w:jc w:val="center"/>
              <w:rPr>
                <w:rFonts w:hint="eastAsia" w:ascii="宋体" w:hAnsi="宋体" w:eastAsia="宋体" w:cs="宋体"/>
                <w:i w:val="0"/>
                <w:iCs w:val="0"/>
                <w:color w:val="000000"/>
                <w:sz w:val="24"/>
                <w:szCs w:val="24"/>
                <w:u w:val="none"/>
              </w:rPr>
            </w:pPr>
          </w:p>
        </w:tc>
        <w:tc>
          <w:tcPr>
            <w:tcW w:w="199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8E69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指标2：食用油库存数量</w:t>
            </w:r>
          </w:p>
        </w:tc>
        <w:tc>
          <w:tcPr>
            <w:tcW w:w="9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3F96B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60万公斤</w:t>
            </w:r>
          </w:p>
        </w:tc>
      </w:tr>
      <w:tr w14:paraId="7038E429">
        <w:tblPrEx>
          <w:tblCellMar>
            <w:top w:w="0" w:type="dxa"/>
            <w:left w:w="108" w:type="dxa"/>
            <w:bottom w:w="0" w:type="dxa"/>
            <w:right w:w="108" w:type="dxa"/>
          </w:tblCellMar>
        </w:tblPrEx>
        <w:trPr>
          <w:trHeight w:val="600" w:hRule="atLeast"/>
        </w:trPr>
        <w:tc>
          <w:tcPr>
            <w:tcW w:w="492"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69448C5F">
            <w:pPr>
              <w:jc w:val="center"/>
              <w:rPr>
                <w:rFonts w:hint="eastAsia" w:ascii="宋体" w:hAnsi="宋体" w:eastAsia="宋体" w:cs="宋体"/>
                <w:i w:val="0"/>
                <w:iCs w:val="0"/>
                <w:color w:val="000000"/>
                <w:sz w:val="24"/>
                <w:szCs w:val="24"/>
                <w:u w:val="none"/>
              </w:rPr>
            </w:pPr>
          </w:p>
        </w:tc>
        <w:tc>
          <w:tcPr>
            <w:tcW w:w="83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76C51">
            <w:pPr>
              <w:jc w:val="center"/>
              <w:rPr>
                <w:rFonts w:hint="eastAsia" w:ascii="宋体" w:hAnsi="宋体" w:eastAsia="宋体" w:cs="宋体"/>
                <w:i w:val="0"/>
                <w:iCs w:val="0"/>
                <w:color w:val="000000"/>
                <w:sz w:val="24"/>
                <w:szCs w:val="24"/>
                <w:u w:val="none"/>
              </w:rPr>
            </w:pPr>
          </w:p>
        </w:tc>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385CE">
            <w:pPr>
              <w:jc w:val="center"/>
              <w:rPr>
                <w:rFonts w:hint="eastAsia" w:ascii="宋体" w:hAnsi="宋体" w:eastAsia="宋体" w:cs="宋体"/>
                <w:i w:val="0"/>
                <w:iCs w:val="0"/>
                <w:color w:val="000000"/>
                <w:sz w:val="24"/>
                <w:szCs w:val="24"/>
                <w:u w:val="none"/>
              </w:rPr>
            </w:pPr>
          </w:p>
        </w:tc>
        <w:tc>
          <w:tcPr>
            <w:tcW w:w="199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6BF3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指标3：粮食轮换数量</w:t>
            </w:r>
          </w:p>
        </w:tc>
        <w:tc>
          <w:tcPr>
            <w:tcW w:w="9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2210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500万公斤</w:t>
            </w:r>
          </w:p>
        </w:tc>
      </w:tr>
      <w:tr w14:paraId="2467AF0D">
        <w:tblPrEx>
          <w:tblCellMar>
            <w:top w:w="0" w:type="dxa"/>
            <w:left w:w="108" w:type="dxa"/>
            <w:bottom w:w="0" w:type="dxa"/>
            <w:right w:w="108" w:type="dxa"/>
          </w:tblCellMar>
        </w:tblPrEx>
        <w:trPr>
          <w:trHeight w:val="600" w:hRule="atLeast"/>
        </w:trPr>
        <w:tc>
          <w:tcPr>
            <w:tcW w:w="492"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4C070C92">
            <w:pPr>
              <w:jc w:val="center"/>
              <w:rPr>
                <w:rFonts w:hint="eastAsia" w:ascii="宋体" w:hAnsi="宋体" w:eastAsia="宋体" w:cs="宋体"/>
                <w:i w:val="0"/>
                <w:iCs w:val="0"/>
                <w:color w:val="000000"/>
                <w:sz w:val="24"/>
                <w:szCs w:val="24"/>
                <w:u w:val="none"/>
              </w:rPr>
            </w:pPr>
          </w:p>
        </w:tc>
        <w:tc>
          <w:tcPr>
            <w:tcW w:w="83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49B98">
            <w:pPr>
              <w:jc w:val="center"/>
              <w:rPr>
                <w:rFonts w:hint="eastAsia" w:ascii="宋体" w:hAnsi="宋体" w:eastAsia="宋体" w:cs="宋体"/>
                <w:i w:val="0"/>
                <w:iCs w:val="0"/>
                <w:color w:val="000000"/>
                <w:sz w:val="24"/>
                <w:szCs w:val="24"/>
                <w:u w:val="none"/>
              </w:rPr>
            </w:pPr>
          </w:p>
        </w:tc>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FB8C1">
            <w:pPr>
              <w:jc w:val="center"/>
              <w:rPr>
                <w:rFonts w:hint="eastAsia" w:ascii="宋体" w:hAnsi="宋体" w:eastAsia="宋体" w:cs="宋体"/>
                <w:i w:val="0"/>
                <w:iCs w:val="0"/>
                <w:color w:val="000000"/>
                <w:sz w:val="24"/>
                <w:szCs w:val="24"/>
                <w:u w:val="none"/>
              </w:rPr>
            </w:pPr>
          </w:p>
        </w:tc>
        <w:tc>
          <w:tcPr>
            <w:tcW w:w="199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06FE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指标4：食用油轮换数量</w:t>
            </w:r>
          </w:p>
        </w:tc>
        <w:tc>
          <w:tcPr>
            <w:tcW w:w="9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40F83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60万公斤</w:t>
            </w:r>
          </w:p>
        </w:tc>
      </w:tr>
      <w:tr w14:paraId="49DD2B8B">
        <w:tblPrEx>
          <w:shd w:val="clear" w:color="auto" w:fill="auto"/>
          <w:tblCellMar>
            <w:top w:w="0" w:type="dxa"/>
            <w:left w:w="108" w:type="dxa"/>
            <w:bottom w:w="0" w:type="dxa"/>
            <w:right w:w="108" w:type="dxa"/>
          </w:tblCellMar>
        </w:tblPrEx>
        <w:trPr>
          <w:trHeight w:val="600" w:hRule="atLeast"/>
        </w:trPr>
        <w:tc>
          <w:tcPr>
            <w:tcW w:w="492"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7DF61A58">
            <w:pPr>
              <w:jc w:val="center"/>
              <w:rPr>
                <w:rFonts w:hint="eastAsia" w:ascii="宋体" w:hAnsi="宋体" w:eastAsia="宋体" w:cs="宋体"/>
                <w:i w:val="0"/>
                <w:iCs w:val="0"/>
                <w:color w:val="000000"/>
                <w:sz w:val="24"/>
                <w:szCs w:val="24"/>
                <w:u w:val="none"/>
              </w:rPr>
            </w:pPr>
          </w:p>
        </w:tc>
        <w:tc>
          <w:tcPr>
            <w:tcW w:w="83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0F840">
            <w:pPr>
              <w:jc w:val="center"/>
              <w:rPr>
                <w:rFonts w:hint="eastAsia" w:ascii="宋体" w:hAnsi="宋体" w:eastAsia="宋体" w:cs="宋体"/>
                <w:i w:val="0"/>
                <w:iCs w:val="0"/>
                <w:color w:val="000000"/>
                <w:sz w:val="24"/>
                <w:szCs w:val="24"/>
                <w:u w:val="none"/>
              </w:rPr>
            </w:pPr>
          </w:p>
        </w:tc>
        <w:tc>
          <w:tcPr>
            <w:tcW w:w="71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D79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质量指标</w:t>
            </w:r>
          </w:p>
        </w:tc>
        <w:tc>
          <w:tcPr>
            <w:tcW w:w="199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DFFC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指标1：库存粮油库存质量达标率</w:t>
            </w:r>
          </w:p>
        </w:tc>
        <w:tc>
          <w:tcPr>
            <w:tcW w:w="9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E10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r>
      <w:tr w14:paraId="2C969F22">
        <w:tblPrEx>
          <w:shd w:val="clear" w:color="auto" w:fill="auto"/>
          <w:tblCellMar>
            <w:top w:w="0" w:type="dxa"/>
            <w:left w:w="108" w:type="dxa"/>
            <w:bottom w:w="0" w:type="dxa"/>
            <w:right w:w="108" w:type="dxa"/>
          </w:tblCellMar>
        </w:tblPrEx>
        <w:trPr>
          <w:trHeight w:val="600" w:hRule="atLeast"/>
        </w:trPr>
        <w:tc>
          <w:tcPr>
            <w:tcW w:w="492"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347CBEBB">
            <w:pPr>
              <w:jc w:val="center"/>
              <w:rPr>
                <w:rFonts w:hint="eastAsia" w:ascii="宋体" w:hAnsi="宋体" w:eastAsia="宋体" w:cs="宋体"/>
                <w:i w:val="0"/>
                <w:iCs w:val="0"/>
                <w:color w:val="000000"/>
                <w:sz w:val="24"/>
                <w:szCs w:val="24"/>
                <w:u w:val="none"/>
              </w:rPr>
            </w:pPr>
          </w:p>
        </w:tc>
        <w:tc>
          <w:tcPr>
            <w:tcW w:w="83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18D96">
            <w:pPr>
              <w:jc w:val="center"/>
              <w:rPr>
                <w:rFonts w:hint="eastAsia" w:ascii="宋体" w:hAnsi="宋体" w:eastAsia="宋体" w:cs="宋体"/>
                <w:i w:val="0"/>
                <w:iCs w:val="0"/>
                <w:color w:val="000000"/>
                <w:sz w:val="24"/>
                <w:szCs w:val="24"/>
                <w:u w:val="none"/>
              </w:rPr>
            </w:pPr>
          </w:p>
        </w:tc>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57525">
            <w:pPr>
              <w:jc w:val="center"/>
              <w:rPr>
                <w:rFonts w:hint="eastAsia" w:ascii="宋体" w:hAnsi="宋体" w:eastAsia="宋体" w:cs="宋体"/>
                <w:i w:val="0"/>
                <w:iCs w:val="0"/>
                <w:color w:val="000000"/>
                <w:sz w:val="24"/>
                <w:szCs w:val="24"/>
                <w:u w:val="none"/>
              </w:rPr>
            </w:pPr>
          </w:p>
        </w:tc>
        <w:tc>
          <w:tcPr>
            <w:tcW w:w="199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6C30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指标2：库存粮油轮换质量达标率</w:t>
            </w:r>
          </w:p>
        </w:tc>
        <w:tc>
          <w:tcPr>
            <w:tcW w:w="9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3804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r>
      <w:tr w14:paraId="0944F718">
        <w:tblPrEx>
          <w:shd w:val="clear" w:color="auto" w:fill="auto"/>
          <w:tblCellMar>
            <w:top w:w="0" w:type="dxa"/>
            <w:left w:w="108" w:type="dxa"/>
            <w:bottom w:w="0" w:type="dxa"/>
            <w:right w:w="108" w:type="dxa"/>
          </w:tblCellMar>
        </w:tblPrEx>
        <w:trPr>
          <w:trHeight w:val="600" w:hRule="atLeast"/>
        </w:trPr>
        <w:tc>
          <w:tcPr>
            <w:tcW w:w="492"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075C5FF3">
            <w:pPr>
              <w:jc w:val="center"/>
              <w:rPr>
                <w:rFonts w:hint="eastAsia" w:ascii="宋体" w:hAnsi="宋体" w:eastAsia="宋体" w:cs="宋体"/>
                <w:i w:val="0"/>
                <w:iCs w:val="0"/>
                <w:color w:val="000000"/>
                <w:sz w:val="24"/>
                <w:szCs w:val="24"/>
                <w:u w:val="none"/>
              </w:rPr>
            </w:pPr>
          </w:p>
        </w:tc>
        <w:tc>
          <w:tcPr>
            <w:tcW w:w="83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8B98C">
            <w:pPr>
              <w:jc w:val="center"/>
              <w:rPr>
                <w:rFonts w:hint="eastAsia" w:ascii="宋体" w:hAnsi="宋体" w:eastAsia="宋体" w:cs="宋体"/>
                <w:i w:val="0"/>
                <w:iCs w:val="0"/>
                <w:color w:val="000000"/>
                <w:sz w:val="24"/>
                <w:szCs w:val="24"/>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C05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时效指标</w:t>
            </w:r>
          </w:p>
        </w:tc>
        <w:tc>
          <w:tcPr>
            <w:tcW w:w="199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D05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指标1：粮油轮换完成及时率</w:t>
            </w:r>
          </w:p>
        </w:tc>
        <w:tc>
          <w:tcPr>
            <w:tcW w:w="9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54E3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r>
      <w:tr w14:paraId="17D4B37A">
        <w:tblPrEx>
          <w:shd w:val="clear" w:color="auto" w:fill="auto"/>
          <w:tblCellMar>
            <w:top w:w="0" w:type="dxa"/>
            <w:left w:w="108" w:type="dxa"/>
            <w:bottom w:w="0" w:type="dxa"/>
            <w:right w:w="108" w:type="dxa"/>
          </w:tblCellMar>
        </w:tblPrEx>
        <w:trPr>
          <w:trHeight w:val="600" w:hRule="atLeast"/>
        </w:trPr>
        <w:tc>
          <w:tcPr>
            <w:tcW w:w="492"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66D6D181">
            <w:pPr>
              <w:jc w:val="center"/>
              <w:rPr>
                <w:rFonts w:hint="eastAsia" w:ascii="宋体" w:hAnsi="宋体" w:eastAsia="宋体" w:cs="宋体"/>
                <w:i w:val="0"/>
                <w:iCs w:val="0"/>
                <w:color w:val="000000"/>
                <w:sz w:val="24"/>
                <w:szCs w:val="24"/>
                <w:u w:val="none"/>
              </w:rPr>
            </w:pPr>
          </w:p>
        </w:tc>
        <w:tc>
          <w:tcPr>
            <w:tcW w:w="83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18A79">
            <w:pPr>
              <w:jc w:val="center"/>
              <w:rPr>
                <w:rFonts w:hint="eastAsia" w:ascii="宋体" w:hAnsi="宋体" w:eastAsia="宋体" w:cs="宋体"/>
                <w:i w:val="0"/>
                <w:iCs w:val="0"/>
                <w:color w:val="000000"/>
                <w:sz w:val="24"/>
                <w:szCs w:val="24"/>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651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成本指标</w:t>
            </w:r>
          </w:p>
        </w:tc>
        <w:tc>
          <w:tcPr>
            <w:tcW w:w="199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79ECE">
            <w:pPr>
              <w:jc w:val="center"/>
              <w:rPr>
                <w:rFonts w:hint="eastAsia" w:ascii="宋体" w:hAnsi="宋体" w:eastAsia="宋体" w:cs="宋体"/>
                <w:i w:val="0"/>
                <w:iCs w:val="0"/>
                <w:color w:val="000000"/>
                <w:sz w:val="24"/>
                <w:szCs w:val="24"/>
                <w:u w:val="none"/>
              </w:rPr>
            </w:pPr>
          </w:p>
        </w:tc>
        <w:tc>
          <w:tcPr>
            <w:tcW w:w="9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B63BE">
            <w:pPr>
              <w:jc w:val="center"/>
              <w:rPr>
                <w:rFonts w:hint="eastAsia" w:ascii="宋体" w:hAnsi="宋体" w:eastAsia="宋体" w:cs="宋体"/>
                <w:i w:val="0"/>
                <w:iCs w:val="0"/>
                <w:color w:val="000000"/>
                <w:sz w:val="24"/>
                <w:szCs w:val="24"/>
                <w:u w:val="none"/>
              </w:rPr>
            </w:pPr>
          </w:p>
        </w:tc>
      </w:tr>
      <w:tr w14:paraId="3D8986AE">
        <w:tblPrEx>
          <w:tblCellMar>
            <w:top w:w="0" w:type="dxa"/>
            <w:left w:w="108" w:type="dxa"/>
            <w:bottom w:w="0" w:type="dxa"/>
            <w:right w:w="108" w:type="dxa"/>
          </w:tblCellMar>
        </w:tblPrEx>
        <w:trPr>
          <w:trHeight w:val="600" w:hRule="atLeast"/>
        </w:trPr>
        <w:tc>
          <w:tcPr>
            <w:tcW w:w="492"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3E066435">
            <w:pPr>
              <w:jc w:val="center"/>
              <w:rPr>
                <w:rFonts w:hint="eastAsia" w:ascii="宋体" w:hAnsi="宋体" w:eastAsia="宋体" w:cs="宋体"/>
                <w:i w:val="0"/>
                <w:iCs w:val="0"/>
                <w:color w:val="000000"/>
                <w:sz w:val="24"/>
                <w:szCs w:val="24"/>
                <w:u w:val="none"/>
              </w:rPr>
            </w:pPr>
          </w:p>
        </w:tc>
        <w:tc>
          <w:tcPr>
            <w:tcW w:w="83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E70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效益指标</w:t>
            </w:r>
          </w:p>
        </w:tc>
        <w:tc>
          <w:tcPr>
            <w:tcW w:w="7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594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经济效益指标</w:t>
            </w:r>
          </w:p>
        </w:tc>
        <w:tc>
          <w:tcPr>
            <w:tcW w:w="199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B5F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指标1：促进农民增收率</w:t>
            </w:r>
          </w:p>
        </w:tc>
        <w:tc>
          <w:tcPr>
            <w:tcW w:w="9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5A62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r>
      <w:tr w14:paraId="78E627E5">
        <w:tblPrEx>
          <w:shd w:val="clear" w:color="auto" w:fill="auto"/>
          <w:tblCellMar>
            <w:top w:w="0" w:type="dxa"/>
            <w:left w:w="108" w:type="dxa"/>
            <w:bottom w:w="0" w:type="dxa"/>
            <w:right w:w="108" w:type="dxa"/>
          </w:tblCellMar>
        </w:tblPrEx>
        <w:trPr>
          <w:trHeight w:val="600" w:hRule="atLeast"/>
        </w:trPr>
        <w:tc>
          <w:tcPr>
            <w:tcW w:w="492"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3B9FF7DC">
            <w:pPr>
              <w:jc w:val="center"/>
              <w:rPr>
                <w:rFonts w:hint="eastAsia" w:ascii="宋体" w:hAnsi="宋体" w:eastAsia="宋体" w:cs="宋体"/>
                <w:i w:val="0"/>
                <w:iCs w:val="0"/>
                <w:color w:val="000000"/>
                <w:sz w:val="24"/>
                <w:szCs w:val="24"/>
                <w:u w:val="none"/>
              </w:rPr>
            </w:pPr>
          </w:p>
        </w:tc>
        <w:tc>
          <w:tcPr>
            <w:tcW w:w="83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FD7B6">
            <w:pPr>
              <w:jc w:val="center"/>
              <w:rPr>
                <w:rFonts w:hint="eastAsia" w:ascii="宋体" w:hAnsi="宋体" w:eastAsia="宋体" w:cs="宋体"/>
                <w:i w:val="0"/>
                <w:iCs w:val="0"/>
                <w:color w:val="000000"/>
                <w:sz w:val="24"/>
                <w:szCs w:val="24"/>
                <w:u w:val="none"/>
              </w:rPr>
            </w:pPr>
          </w:p>
        </w:tc>
        <w:tc>
          <w:tcPr>
            <w:tcW w:w="7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09FB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社会效益指标</w:t>
            </w:r>
          </w:p>
        </w:tc>
        <w:tc>
          <w:tcPr>
            <w:tcW w:w="199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97FDD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指标1：粮油应急的供应率</w:t>
            </w:r>
          </w:p>
        </w:tc>
        <w:tc>
          <w:tcPr>
            <w:tcW w:w="9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18C0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r>
      <w:tr w14:paraId="287B0035">
        <w:tblPrEx>
          <w:shd w:val="clear" w:color="auto" w:fill="auto"/>
          <w:tblCellMar>
            <w:top w:w="0" w:type="dxa"/>
            <w:left w:w="108" w:type="dxa"/>
            <w:bottom w:w="0" w:type="dxa"/>
            <w:right w:w="108" w:type="dxa"/>
          </w:tblCellMar>
        </w:tblPrEx>
        <w:trPr>
          <w:trHeight w:val="600" w:hRule="atLeast"/>
        </w:trPr>
        <w:tc>
          <w:tcPr>
            <w:tcW w:w="492"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5F35A2FD">
            <w:pPr>
              <w:jc w:val="center"/>
              <w:rPr>
                <w:rFonts w:hint="eastAsia" w:ascii="宋体" w:hAnsi="宋体" w:eastAsia="宋体" w:cs="宋体"/>
                <w:i w:val="0"/>
                <w:iCs w:val="0"/>
                <w:color w:val="000000"/>
                <w:sz w:val="24"/>
                <w:szCs w:val="24"/>
                <w:u w:val="none"/>
              </w:rPr>
            </w:pPr>
          </w:p>
        </w:tc>
        <w:tc>
          <w:tcPr>
            <w:tcW w:w="83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8DC4D">
            <w:pPr>
              <w:jc w:val="center"/>
              <w:rPr>
                <w:rFonts w:hint="eastAsia" w:ascii="宋体" w:hAnsi="宋体" w:eastAsia="宋体" w:cs="宋体"/>
                <w:i w:val="0"/>
                <w:iCs w:val="0"/>
                <w:color w:val="000000"/>
                <w:sz w:val="24"/>
                <w:szCs w:val="24"/>
                <w:u w:val="none"/>
              </w:rPr>
            </w:pPr>
          </w:p>
        </w:tc>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FF6A8E">
            <w:pPr>
              <w:jc w:val="center"/>
              <w:rPr>
                <w:rFonts w:hint="eastAsia" w:ascii="宋体" w:hAnsi="宋体" w:eastAsia="宋体" w:cs="宋体"/>
                <w:i w:val="0"/>
                <w:iCs w:val="0"/>
                <w:color w:val="000000"/>
                <w:sz w:val="24"/>
                <w:szCs w:val="24"/>
                <w:u w:val="none"/>
              </w:rPr>
            </w:pPr>
          </w:p>
        </w:tc>
        <w:tc>
          <w:tcPr>
            <w:tcW w:w="199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8A90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指标2：调控市场粮油</w:t>
            </w:r>
          </w:p>
        </w:tc>
        <w:tc>
          <w:tcPr>
            <w:tcW w:w="9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8D70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r>
      <w:tr w14:paraId="398672D9">
        <w:tblPrEx>
          <w:tblCellMar>
            <w:top w:w="0" w:type="dxa"/>
            <w:left w:w="108" w:type="dxa"/>
            <w:bottom w:w="0" w:type="dxa"/>
            <w:right w:w="108" w:type="dxa"/>
          </w:tblCellMar>
        </w:tblPrEx>
        <w:trPr>
          <w:trHeight w:val="600" w:hRule="atLeast"/>
        </w:trPr>
        <w:tc>
          <w:tcPr>
            <w:tcW w:w="492"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0ABCC709">
            <w:pPr>
              <w:jc w:val="center"/>
              <w:rPr>
                <w:rFonts w:hint="eastAsia" w:ascii="宋体" w:hAnsi="宋体" w:eastAsia="宋体" w:cs="宋体"/>
                <w:i w:val="0"/>
                <w:iCs w:val="0"/>
                <w:color w:val="000000"/>
                <w:sz w:val="24"/>
                <w:szCs w:val="24"/>
                <w:u w:val="none"/>
              </w:rPr>
            </w:pPr>
          </w:p>
        </w:tc>
        <w:tc>
          <w:tcPr>
            <w:tcW w:w="83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E5758">
            <w:pPr>
              <w:jc w:val="center"/>
              <w:rPr>
                <w:rFonts w:hint="eastAsia" w:ascii="宋体" w:hAnsi="宋体" w:eastAsia="宋体" w:cs="宋体"/>
                <w:i w:val="0"/>
                <w:iCs w:val="0"/>
                <w:color w:val="000000"/>
                <w:sz w:val="24"/>
                <w:szCs w:val="24"/>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97DC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生态效益指标</w:t>
            </w:r>
          </w:p>
        </w:tc>
        <w:tc>
          <w:tcPr>
            <w:tcW w:w="199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43079">
            <w:pPr>
              <w:jc w:val="center"/>
              <w:rPr>
                <w:rFonts w:hint="eastAsia" w:ascii="宋体" w:hAnsi="宋体" w:eastAsia="宋体" w:cs="宋体"/>
                <w:i w:val="0"/>
                <w:iCs w:val="0"/>
                <w:color w:val="000000"/>
                <w:sz w:val="24"/>
                <w:szCs w:val="24"/>
                <w:u w:val="none"/>
              </w:rPr>
            </w:pPr>
          </w:p>
        </w:tc>
        <w:tc>
          <w:tcPr>
            <w:tcW w:w="9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5D230">
            <w:pPr>
              <w:jc w:val="center"/>
              <w:rPr>
                <w:rFonts w:hint="eastAsia" w:ascii="宋体" w:hAnsi="宋体" w:eastAsia="宋体" w:cs="宋体"/>
                <w:i w:val="0"/>
                <w:iCs w:val="0"/>
                <w:color w:val="000000"/>
                <w:sz w:val="24"/>
                <w:szCs w:val="24"/>
                <w:u w:val="none"/>
              </w:rPr>
            </w:pPr>
          </w:p>
        </w:tc>
      </w:tr>
      <w:tr w14:paraId="1CEC1C21">
        <w:tblPrEx>
          <w:shd w:val="clear" w:color="auto" w:fill="auto"/>
          <w:tblCellMar>
            <w:top w:w="0" w:type="dxa"/>
            <w:left w:w="108" w:type="dxa"/>
            <w:bottom w:w="0" w:type="dxa"/>
            <w:right w:w="108" w:type="dxa"/>
          </w:tblCellMar>
        </w:tblPrEx>
        <w:trPr>
          <w:trHeight w:val="600" w:hRule="atLeast"/>
        </w:trPr>
        <w:tc>
          <w:tcPr>
            <w:tcW w:w="492"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3EAF2DF0">
            <w:pPr>
              <w:jc w:val="center"/>
              <w:rPr>
                <w:rFonts w:hint="eastAsia" w:ascii="宋体" w:hAnsi="宋体" w:eastAsia="宋体" w:cs="宋体"/>
                <w:i w:val="0"/>
                <w:iCs w:val="0"/>
                <w:color w:val="000000"/>
                <w:sz w:val="24"/>
                <w:szCs w:val="24"/>
                <w:u w:val="none"/>
              </w:rPr>
            </w:pPr>
          </w:p>
        </w:tc>
        <w:tc>
          <w:tcPr>
            <w:tcW w:w="83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57C11">
            <w:pPr>
              <w:jc w:val="center"/>
              <w:rPr>
                <w:rFonts w:hint="eastAsia" w:ascii="宋体" w:hAnsi="宋体" w:eastAsia="宋体" w:cs="宋体"/>
                <w:i w:val="0"/>
                <w:iCs w:val="0"/>
                <w:color w:val="000000"/>
                <w:sz w:val="24"/>
                <w:szCs w:val="24"/>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4022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可持续影响指标</w:t>
            </w:r>
          </w:p>
        </w:tc>
        <w:tc>
          <w:tcPr>
            <w:tcW w:w="199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7B82B">
            <w:pPr>
              <w:jc w:val="center"/>
              <w:rPr>
                <w:rFonts w:hint="eastAsia" w:ascii="宋体" w:hAnsi="宋体" w:eastAsia="宋体" w:cs="宋体"/>
                <w:i w:val="0"/>
                <w:iCs w:val="0"/>
                <w:color w:val="000000"/>
                <w:sz w:val="24"/>
                <w:szCs w:val="24"/>
                <w:u w:val="none"/>
              </w:rPr>
            </w:pPr>
          </w:p>
        </w:tc>
        <w:tc>
          <w:tcPr>
            <w:tcW w:w="9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C7CBC">
            <w:pPr>
              <w:jc w:val="center"/>
              <w:rPr>
                <w:rFonts w:hint="eastAsia" w:ascii="宋体" w:hAnsi="宋体" w:eastAsia="宋体" w:cs="宋体"/>
                <w:i w:val="0"/>
                <w:iCs w:val="0"/>
                <w:color w:val="000000"/>
                <w:sz w:val="24"/>
                <w:szCs w:val="24"/>
                <w:u w:val="none"/>
              </w:rPr>
            </w:pPr>
          </w:p>
        </w:tc>
      </w:tr>
      <w:tr w14:paraId="6B63D757">
        <w:tblPrEx>
          <w:tblCellMar>
            <w:top w:w="0" w:type="dxa"/>
            <w:left w:w="108" w:type="dxa"/>
            <w:bottom w:w="0" w:type="dxa"/>
            <w:right w:w="108" w:type="dxa"/>
          </w:tblCellMar>
        </w:tblPrEx>
        <w:trPr>
          <w:trHeight w:val="600" w:hRule="atLeast"/>
        </w:trPr>
        <w:tc>
          <w:tcPr>
            <w:tcW w:w="492"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17491625">
            <w:pPr>
              <w:jc w:val="center"/>
              <w:rPr>
                <w:rFonts w:hint="eastAsia" w:ascii="宋体" w:hAnsi="宋体" w:eastAsia="宋体" w:cs="宋体"/>
                <w:i w:val="0"/>
                <w:iCs w:val="0"/>
                <w:color w:val="000000"/>
                <w:sz w:val="24"/>
                <w:szCs w:val="24"/>
                <w:u w:val="none"/>
              </w:rPr>
            </w:pPr>
          </w:p>
        </w:tc>
        <w:tc>
          <w:tcPr>
            <w:tcW w:w="83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A9B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满意度指标</w:t>
            </w:r>
          </w:p>
        </w:tc>
        <w:tc>
          <w:tcPr>
            <w:tcW w:w="7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B1E6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服务对象满意度指标</w:t>
            </w:r>
          </w:p>
        </w:tc>
        <w:tc>
          <w:tcPr>
            <w:tcW w:w="199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C540B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指标1：社会公众满意度</w:t>
            </w:r>
          </w:p>
        </w:tc>
        <w:tc>
          <w:tcPr>
            <w:tcW w:w="9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3C6D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w:t>
            </w:r>
          </w:p>
        </w:tc>
      </w:tr>
      <w:tr w14:paraId="7EAD697F">
        <w:tblPrEx>
          <w:shd w:val="clear" w:color="auto" w:fill="auto"/>
          <w:tblCellMar>
            <w:top w:w="0" w:type="dxa"/>
            <w:left w:w="108" w:type="dxa"/>
            <w:bottom w:w="0" w:type="dxa"/>
            <w:right w:w="108" w:type="dxa"/>
          </w:tblCellMar>
        </w:tblPrEx>
        <w:trPr>
          <w:trHeight w:val="600" w:hRule="atLeast"/>
        </w:trPr>
        <w:tc>
          <w:tcPr>
            <w:tcW w:w="492"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64523B5C">
            <w:pPr>
              <w:jc w:val="center"/>
              <w:rPr>
                <w:rFonts w:hint="eastAsia" w:ascii="宋体" w:hAnsi="宋体" w:eastAsia="宋体" w:cs="宋体"/>
                <w:i w:val="0"/>
                <w:iCs w:val="0"/>
                <w:color w:val="000000"/>
                <w:sz w:val="24"/>
                <w:szCs w:val="24"/>
                <w:u w:val="none"/>
              </w:rPr>
            </w:pPr>
          </w:p>
        </w:tc>
        <w:tc>
          <w:tcPr>
            <w:tcW w:w="83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64120">
            <w:pPr>
              <w:jc w:val="center"/>
              <w:rPr>
                <w:rFonts w:hint="eastAsia" w:ascii="宋体" w:hAnsi="宋体" w:eastAsia="宋体" w:cs="宋体"/>
                <w:i w:val="0"/>
                <w:iCs w:val="0"/>
                <w:color w:val="000000"/>
                <w:sz w:val="24"/>
                <w:szCs w:val="24"/>
                <w:u w:val="none"/>
              </w:rPr>
            </w:pPr>
          </w:p>
        </w:tc>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E95B5F">
            <w:pPr>
              <w:jc w:val="center"/>
              <w:rPr>
                <w:rFonts w:hint="eastAsia" w:ascii="宋体" w:hAnsi="宋体" w:eastAsia="宋体" w:cs="宋体"/>
                <w:i w:val="0"/>
                <w:iCs w:val="0"/>
                <w:color w:val="000000"/>
                <w:sz w:val="24"/>
                <w:szCs w:val="24"/>
                <w:u w:val="none"/>
              </w:rPr>
            </w:pPr>
          </w:p>
        </w:tc>
        <w:tc>
          <w:tcPr>
            <w:tcW w:w="199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E58E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指标2：农民满意度</w:t>
            </w:r>
          </w:p>
        </w:tc>
        <w:tc>
          <w:tcPr>
            <w:tcW w:w="9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0FD7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w:t>
            </w:r>
          </w:p>
        </w:tc>
      </w:tr>
    </w:tbl>
    <w:p w14:paraId="60E1A703">
      <w:pPr>
        <w:widowControl/>
        <w:numPr>
          <w:ilvl w:val="0"/>
          <w:numId w:val="3"/>
        </w:numPr>
        <w:spacing w:line="600" w:lineRule="exact"/>
        <w:ind w:left="640" w:leftChars="0" w:firstLine="0" w:firstLineChars="0"/>
        <w:jc w:val="left"/>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现代农业专项经费</w:t>
      </w:r>
    </w:p>
    <w:p w14:paraId="658D155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（1）实施主体</w:t>
      </w:r>
    </w:p>
    <w:p w14:paraId="62E14F1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景德镇市农业技术推广站</w:t>
      </w:r>
    </w:p>
    <w:p w14:paraId="40FF79D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（2）实施周期</w:t>
      </w:r>
    </w:p>
    <w:p w14:paraId="5EEBAEA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项目实施周期为2021年全年。</w:t>
      </w:r>
    </w:p>
    <w:p w14:paraId="578627F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（3）年度预算安排</w:t>
      </w:r>
    </w:p>
    <w:p w14:paraId="5FE2512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景德镇市2021年年初预算安排现代农业专项经费5万元。</w:t>
      </w:r>
    </w:p>
    <w:p w14:paraId="7251E98D">
      <w:pPr>
        <w:widowControl/>
        <w:numPr>
          <w:ilvl w:val="0"/>
          <w:numId w:val="0"/>
        </w:numPr>
        <w:spacing w:line="600" w:lineRule="exact"/>
        <w:ind w:left="640" w:leftChars="0"/>
        <w:jc w:val="left"/>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4、现代农业专项经费</w:t>
      </w:r>
    </w:p>
    <w:p w14:paraId="51A50B4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（1）实施主体</w:t>
      </w:r>
    </w:p>
    <w:p w14:paraId="7544B12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景德镇市农村经营管理站</w:t>
      </w:r>
    </w:p>
    <w:p w14:paraId="0539212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（2）实施周期</w:t>
      </w:r>
    </w:p>
    <w:p w14:paraId="0913348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项目实施周期为2021年全年。</w:t>
      </w:r>
    </w:p>
    <w:p w14:paraId="29FB02F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（3）年度预算安排</w:t>
      </w:r>
    </w:p>
    <w:p w14:paraId="0721F1F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景德镇市2021年年初预算安排现代农业专项经费35万元。</w:t>
      </w:r>
    </w:p>
    <w:p w14:paraId="596FC055">
      <w:pPr>
        <w:widowControl/>
        <w:numPr>
          <w:ilvl w:val="0"/>
          <w:numId w:val="0"/>
        </w:numPr>
        <w:spacing w:line="600" w:lineRule="exact"/>
        <w:ind w:left="640" w:leftChars="0"/>
        <w:jc w:val="left"/>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5、农业技术推广专项经费</w:t>
      </w:r>
    </w:p>
    <w:p w14:paraId="2DE501E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（1）实施主体</w:t>
      </w:r>
    </w:p>
    <w:p w14:paraId="6267BBA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景德镇市农村经营管理站</w:t>
      </w:r>
    </w:p>
    <w:p w14:paraId="419CF99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（2）实施周期</w:t>
      </w:r>
    </w:p>
    <w:p w14:paraId="0A04356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项目实施周期为2021年全年。</w:t>
      </w:r>
    </w:p>
    <w:p w14:paraId="5C951CA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（3）年度预算安排</w:t>
      </w:r>
    </w:p>
    <w:p w14:paraId="1CA0B90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景德镇市2021年年初预算安排农业技术推广专项经费15万元。</w:t>
      </w:r>
    </w:p>
    <w:p w14:paraId="1F8C401C">
      <w:pPr>
        <w:widowControl/>
        <w:numPr>
          <w:ilvl w:val="0"/>
          <w:numId w:val="0"/>
        </w:numPr>
        <w:spacing w:line="600" w:lineRule="exact"/>
        <w:ind w:left="640" w:leftChars="0"/>
        <w:jc w:val="left"/>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6、农作物病虫害防治控制经费</w:t>
      </w:r>
    </w:p>
    <w:p w14:paraId="40D2F54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（1）实施主体</w:t>
      </w:r>
    </w:p>
    <w:p w14:paraId="77BA188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景德镇市植检植保站</w:t>
      </w:r>
    </w:p>
    <w:p w14:paraId="304A7B7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（2）实施周期</w:t>
      </w:r>
    </w:p>
    <w:p w14:paraId="5EBF1AC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项目实施周期为2021年全年。</w:t>
      </w:r>
    </w:p>
    <w:p w14:paraId="0B330E1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（3）年度预算安排</w:t>
      </w:r>
    </w:p>
    <w:p w14:paraId="7C49D14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景德镇市2021年年初预算安排农作物病虫害防治控制经费3万元。</w:t>
      </w:r>
    </w:p>
    <w:p w14:paraId="2998012D">
      <w:pPr>
        <w:widowControl/>
        <w:numPr>
          <w:ilvl w:val="0"/>
          <w:numId w:val="0"/>
        </w:numPr>
        <w:spacing w:line="600" w:lineRule="exact"/>
        <w:ind w:left="640" w:leftChars="0"/>
        <w:jc w:val="left"/>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7、渔政执法监督工作经费</w:t>
      </w:r>
    </w:p>
    <w:p w14:paraId="3835B95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（1）实施主体</w:t>
      </w:r>
    </w:p>
    <w:p w14:paraId="27A52F0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景德镇市渔业渔政局</w:t>
      </w:r>
    </w:p>
    <w:p w14:paraId="2843E12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（2）实施周期</w:t>
      </w:r>
    </w:p>
    <w:p w14:paraId="7099808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项目实施周期为2021年全年。</w:t>
      </w:r>
    </w:p>
    <w:p w14:paraId="37E0756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（3）年度预算安排</w:t>
      </w:r>
    </w:p>
    <w:p w14:paraId="63732A9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景德镇市2021年年初预算安排渔政执法监督工作经费8万元。</w:t>
      </w:r>
    </w:p>
    <w:p w14:paraId="3C486C2F">
      <w:pPr>
        <w:widowControl/>
        <w:numPr>
          <w:ilvl w:val="0"/>
          <w:numId w:val="0"/>
        </w:numPr>
        <w:spacing w:line="600" w:lineRule="exact"/>
        <w:ind w:left="640" w:leftChars="0"/>
        <w:jc w:val="left"/>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8、农业资源保护修复与利用</w:t>
      </w:r>
    </w:p>
    <w:p w14:paraId="2285B3F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（1）实施主体</w:t>
      </w:r>
    </w:p>
    <w:p w14:paraId="371AC6B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景德镇市渔业渔政局</w:t>
      </w:r>
    </w:p>
    <w:p w14:paraId="0F001E1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（2）实施周期</w:t>
      </w:r>
    </w:p>
    <w:p w14:paraId="22C6CBE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项目实施周期为2021年全年。</w:t>
      </w:r>
    </w:p>
    <w:p w14:paraId="74C0E5A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（3）年度预算安排</w:t>
      </w:r>
    </w:p>
    <w:p w14:paraId="793453F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景德镇市2021年年初预算安排农业资源保护修复与利用经费12万元。</w:t>
      </w:r>
    </w:p>
    <w:p w14:paraId="0AA6D644">
      <w:pPr>
        <w:widowControl/>
        <w:numPr>
          <w:ilvl w:val="0"/>
          <w:numId w:val="0"/>
        </w:numPr>
        <w:spacing w:line="600" w:lineRule="exact"/>
        <w:ind w:left="640" w:leftChars="0"/>
        <w:jc w:val="left"/>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9、农业资源保护修复与利用</w:t>
      </w:r>
    </w:p>
    <w:p w14:paraId="4B39D01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（1）实施主体</w:t>
      </w:r>
    </w:p>
    <w:p w14:paraId="5ED3E3A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景德镇市土肥站</w:t>
      </w:r>
    </w:p>
    <w:p w14:paraId="35B636C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（2）实施周期</w:t>
      </w:r>
    </w:p>
    <w:p w14:paraId="2C45516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项目实施周期为2021年全年。</w:t>
      </w:r>
    </w:p>
    <w:p w14:paraId="0774864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（3）年度预算安排</w:t>
      </w:r>
    </w:p>
    <w:p w14:paraId="2CFD28A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景德镇市2021年年初预算安排农业资源保护修复与利用经费6万元。</w:t>
      </w:r>
    </w:p>
    <w:p w14:paraId="7045A1C8">
      <w:pPr>
        <w:widowControl/>
        <w:numPr>
          <w:ilvl w:val="0"/>
          <w:numId w:val="0"/>
        </w:numPr>
        <w:spacing w:line="600" w:lineRule="exact"/>
        <w:ind w:left="640" w:leftChars="0"/>
        <w:jc w:val="left"/>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10、农业技术应用与公共服务专项经费</w:t>
      </w:r>
    </w:p>
    <w:p w14:paraId="67D5430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（1）实施主体</w:t>
      </w:r>
    </w:p>
    <w:p w14:paraId="44D72E6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景德镇市农产品质量检测中心</w:t>
      </w:r>
    </w:p>
    <w:p w14:paraId="3185F04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（2）实施周期</w:t>
      </w:r>
    </w:p>
    <w:p w14:paraId="70D0CCF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项目实施周期为2021年全年。</w:t>
      </w:r>
    </w:p>
    <w:p w14:paraId="0750396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（3）年度预算安排</w:t>
      </w:r>
    </w:p>
    <w:p w14:paraId="446A7F1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景德镇市2021年年初预算安排农业技术应用与公共服务专项经费8万元。</w:t>
      </w:r>
    </w:p>
    <w:p w14:paraId="0A591F9C">
      <w:pPr>
        <w:widowControl/>
        <w:numPr>
          <w:ilvl w:val="0"/>
          <w:numId w:val="0"/>
        </w:numPr>
        <w:spacing w:line="600" w:lineRule="exact"/>
        <w:ind w:left="640" w:leftChars="0"/>
        <w:jc w:val="left"/>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11、省历年来固定补助</w:t>
      </w:r>
    </w:p>
    <w:p w14:paraId="013E714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（1）实施主体</w:t>
      </w:r>
    </w:p>
    <w:p w14:paraId="47AE77B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景德镇市茶叶科学研究所</w:t>
      </w:r>
    </w:p>
    <w:p w14:paraId="7012077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（2）实施周期</w:t>
      </w:r>
    </w:p>
    <w:p w14:paraId="6718B19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项目实施周期为2021年全年。</w:t>
      </w:r>
    </w:p>
    <w:p w14:paraId="61E4F43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（3）年度预算安排</w:t>
      </w:r>
    </w:p>
    <w:p w14:paraId="67B8FBC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景德镇市2021年年初预算安排省历年来固定补助经费2.6万元。</w:t>
      </w:r>
    </w:p>
    <w:p w14:paraId="56AA9E5E">
      <w:pPr>
        <w:widowControl/>
        <w:numPr>
          <w:ilvl w:val="0"/>
          <w:numId w:val="0"/>
        </w:numPr>
        <w:spacing w:line="600" w:lineRule="exact"/>
        <w:ind w:left="640" w:leftChars="0"/>
        <w:jc w:val="left"/>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12、现代农业专项经费</w:t>
      </w:r>
    </w:p>
    <w:p w14:paraId="5E5ABC0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（1）实施主体</w:t>
      </w:r>
    </w:p>
    <w:p w14:paraId="5F9DFA3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景德镇市茶叶科学研究所</w:t>
      </w:r>
    </w:p>
    <w:p w14:paraId="29734CB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（2）实施周期</w:t>
      </w:r>
    </w:p>
    <w:p w14:paraId="753320F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项目实施周期为2021年全年。</w:t>
      </w:r>
    </w:p>
    <w:p w14:paraId="7568245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（3）年度预算安排</w:t>
      </w:r>
    </w:p>
    <w:p w14:paraId="7C927C1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景德镇市2021年年初预算安排现代农业专项经费5万元。</w:t>
      </w:r>
    </w:p>
    <w:p w14:paraId="0B2256EB">
      <w:pPr>
        <w:widowControl/>
        <w:numPr>
          <w:ilvl w:val="0"/>
          <w:numId w:val="0"/>
        </w:numPr>
        <w:spacing w:line="600" w:lineRule="exact"/>
        <w:ind w:left="640" w:leftChars="0"/>
        <w:jc w:val="left"/>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13、省历年来固定补助</w:t>
      </w:r>
    </w:p>
    <w:p w14:paraId="759B456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（1）实施主体</w:t>
      </w:r>
    </w:p>
    <w:p w14:paraId="738EC3C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景德镇市水稻畜禽良种示范繁殖场</w:t>
      </w:r>
    </w:p>
    <w:p w14:paraId="15F84DE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（2）实施周期</w:t>
      </w:r>
    </w:p>
    <w:p w14:paraId="19CAA88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项目实施周期为2021年全年。</w:t>
      </w:r>
    </w:p>
    <w:p w14:paraId="58E55F1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（3）年度预算安排</w:t>
      </w:r>
    </w:p>
    <w:p w14:paraId="37D79F5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景德镇市2021年年初预算安排省历年来固定补助经费3.6万元。</w:t>
      </w:r>
    </w:p>
    <w:p w14:paraId="58D5FAB7">
      <w:pPr>
        <w:widowControl/>
        <w:numPr>
          <w:ilvl w:val="0"/>
          <w:numId w:val="0"/>
        </w:numPr>
        <w:spacing w:line="600" w:lineRule="exact"/>
        <w:ind w:left="640" w:leftChars="0"/>
        <w:jc w:val="left"/>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14、现代农业专项经费</w:t>
      </w:r>
    </w:p>
    <w:p w14:paraId="42ED7E8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（1）实施主体</w:t>
      </w:r>
    </w:p>
    <w:p w14:paraId="313DA9C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景德镇市水稻畜禽良种示范繁殖场</w:t>
      </w:r>
    </w:p>
    <w:p w14:paraId="5BF3086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（2）实施周期</w:t>
      </w:r>
    </w:p>
    <w:p w14:paraId="65B5CAC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项目实施周期为2021年全年。</w:t>
      </w:r>
    </w:p>
    <w:p w14:paraId="76407CD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（3）年度预算安排</w:t>
      </w:r>
    </w:p>
    <w:p w14:paraId="3148312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景德镇市2021年年初预算安排现代农业专项经费15万元。</w:t>
      </w:r>
    </w:p>
    <w:p w14:paraId="6EAC2F2C">
      <w:pPr>
        <w:widowControl/>
        <w:numPr>
          <w:ilvl w:val="0"/>
          <w:numId w:val="0"/>
        </w:numPr>
        <w:spacing w:line="600" w:lineRule="exact"/>
        <w:ind w:left="640" w:leftChars="0"/>
        <w:jc w:val="left"/>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15、省固定结算补助</w:t>
      </w:r>
    </w:p>
    <w:p w14:paraId="3915208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（1）实施主体</w:t>
      </w:r>
    </w:p>
    <w:p w14:paraId="061592B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景德镇市农牧渔业科学研究所</w:t>
      </w:r>
    </w:p>
    <w:p w14:paraId="5158762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（2）实施周期</w:t>
      </w:r>
    </w:p>
    <w:p w14:paraId="5EBE671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项目实施周期为2021年全年。</w:t>
      </w:r>
    </w:p>
    <w:p w14:paraId="75313ED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（3）年度预算安排</w:t>
      </w:r>
    </w:p>
    <w:p w14:paraId="0121491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景德镇市2021年年初预算安排省固定结算补助经费3.9万元。</w:t>
      </w:r>
    </w:p>
    <w:p w14:paraId="59240CB1">
      <w:pPr>
        <w:widowControl/>
        <w:numPr>
          <w:ilvl w:val="0"/>
          <w:numId w:val="0"/>
        </w:numPr>
        <w:spacing w:line="600" w:lineRule="exact"/>
        <w:ind w:left="640" w:leftChars="0"/>
        <w:jc w:val="left"/>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16、生物保鲜技术应用</w:t>
      </w:r>
    </w:p>
    <w:p w14:paraId="1900414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（1）实施主体</w:t>
      </w:r>
    </w:p>
    <w:p w14:paraId="66549E8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景德镇市农牧渔业科学研究所</w:t>
      </w:r>
    </w:p>
    <w:p w14:paraId="3F48FAE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（2）实施周期</w:t>
      </w:r>
    </w:p>
    <w:p w14:paraId="2D4CAAF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项目实施周期为2021年全年。</w:t>
      </w:r>
    </w:p>
    <w:p w14:paraId="53265C3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（3）年度预算安排</w:t>
      </w:r>
    </w:p>
    <w:p w14:paraId="305F3ED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景德镇市2021年年初预算安排生物保鲜技术应用经费6万元。</w:t>
      </w:r>
    </w:p>
    <w:p w14:paraId="489FFBCD">
      <w:pPr>
        <w:tabs>
          <w:tab w:val="left" w:pos="1113"/>
        </w:tabs>
        <w:ind w:firstLine="643" w:firstLineChars="200"/>
        <w:rPr>
          <w:rFonts w:ascii="仿宋_GB2312" w:eastAsia="仿宋_GB2312" w:cs="Times New Roman"/>
          <w:b/>
          <w:bCs/>
          <w:sz w:val="32"/>
          <w:szCs w:val="32"/>
        </w:rPr>
      </w:pPr>
      <w:r>
        <w:rPr>
          <w:rFonts w:hint="eastAsia" w:ascii="仿宋_GB2312" w:hAnsi="宋体" w:eastAsia="仿宋_GB2312" w:cs="仿宋_GB2312"/>
          <w:b/>
          <w:bCs/>
          <w:sz w:val="32"/>
          <w:szCs w:val="32"/>
          <w:lang w:eastAsia="zh-CN"/>
        </w:rPr>
        <w:t>二、</w:t>
      </w:r>
      <w:r>
        <w:rPr>
          <w:rFonts w:hint="eastAsia" w:ascii="仿宋_GB2312" w:hAnsi="宋体" w:eastAsia="仿宋_GB2312" w:cs="仿宋_GB2312"/>
          <w:b/>
          <w:bCs/>
          <w:sz w:val="32"/>
          <w:szCs w:val="32"/>
        </w:rPr>
        <w:t>2021年“三公”经费预算</w:t>
      </w:r>
      <w:r>
        <w:rPr>
          <w:rFonts w:hint="eastAsia" w:ascii="仿宋_GB2312" w:hAnsi="宋体" w:eastAsia="仿宋_GB2312" w:cs="仿宋_GB2312"/>
          <w:b/>
          <w:bCs/>
          <w:sz w:val="32"/>
          <w:szCs w:val="32"/>
          <w:lang w:eastAsia="zh-CN"/>
        </w:rPr>
        <w:t>增减变化原因</w:t>
      </w:r>
      <w:r>
        <w:rPr>
          <w:rFonts w:hint="eastAsia" w:ascii="仿宋_GB2312" w:hAnsi="宋体" w:eastAsia="仿宋_GB2312" w:cs="仿宋_GB2312"/>
          <w:b/>
          <w:bCs/>
          <w:sz w:val="32"/>
          <w:szCs w:val="32"/>
        </w:rPr>
        <w:t>情况说明</w:t>
      </w:r>
    </w:p>
    <w:p w14:paraId="151A860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2021年市农业农村局“三公”经费年初预算安排79.27万元。其中：因公出国（境）费2万元，比上年减少3万元，主要原因是对贯彻中央八项规定精神，厉行节约，严格控制支出；</w:t>
      </w:r>
    </w:p>
    <w:p w14:paraId="5C32E56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公务接待费56.55万元，比上年减少4.41万元，主要原因：机构改革后，部门严格贯彻中央八项文件规定。</w:t>
      </w:r>
    </w:p>
    <w:p w14:paraId="7761E02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公务用车运行维护费20.72万元，比上年减少7.99万元，主要原因：部门对车辆具体性质进行划分后，严格按照预算规定核定车辆运行标准。</w:t>
      </w:r>
    </w:p>
    <w:p w14:paraId="48FB770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公务用车购置费0万元，比上年减少0万元。</w:t>
      </w:r>
    </w:p>
    <w:p w14:paraId="2E914AC3">
      <w:pPr>
        <w:tabs>
          <w:tab w:val="left" w:pos="1113"/>
        </w:tabs>
        <w:rPr>
          <w:rFonts w:hint="eastAsia" w:ascii="仿宋_GB2312" w:hAnsi="宋体" w:eastAsia="仿宋_GB2312" w:cs="仿宋_GB2312"/>
          <w:b/>
          <w:bCs/>
          <w:sz w:val="32"/>
          <w:szCs w:val="32"/>
        </w:rPr>
      </w:pPr>
      <w:r>
        <w:rPr>
          <w:rFonts w:hint="eastAsia" w:ascii="仿宋_GB2312" w:hAnsi="宋体" w:eastAsia="仿宋_GB2312" w:cs="仿宋_GB2312"/>
          <w:b/>
          <w:bCs/>
          <w:sz w:val="32"/>
          <w:szCs w:val="32"/>
        </w:rPr>
        <w:t>第三部分  景德镇市</w:t>
      </w:r>
      <w:r>
        <w:rPr>
          <w:rFonts w:hint="eastAsia" w:ascii="仿宋_GB2312" w:hAnsi="宋体" w:eastAsia="仿宋_GB2312" w:cs="仿宋_GB2312"/>
          <w:b/>
          <w:bCs/>
          <w:sz w:val="32"/>
          <w:szCs w:val="32"/>
          <w:lang w:eastAsia="zh-CN"/>
        </w:rPr>
        <w:t>农业农村</w:t>
      </w:r>
      <w:r>
        <w:rPr>
          <w:rFonts w:hint="eastAsia" w:ascii="仿宋_GB2312" w:hAnsi="宋体" w:eastAsia="仿宋_GB2312" w:cs="仿宋_GB2312"/>
          <w:b/>
          <w:bCs/>
          <w:sz w:val="32"/>
          <w:szCs w:val="32"/>
        </w:rPr>
        <w:t>局2021年部门预算表</w:t>
      </w:r>
    </w:p>
    <w:p w14:paraId="1B5E0B48">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仿宋_GB2312" w:hAnsi="宋体" w:eastAsia="仿宋_GB2312" w:cs="仿宋_GB2312"/>
          <w:sz w:val="32"/>
          <w:szCs w:val="32"/>
          <w:shd w:val="clear" w:color="FFFFFF" w:fill="D9D9D9"/>
        </w:rPr>
      </w:pPr>
      <w:r>
        <w:rPr>
          <w:rFonts w:hint="eastAsia" w:ascii="仿宋_GB2312" w:eastAsia="仿宋_GB2312"/>
          <w:color w:val="000000"/>
          <w:sz w:val="32"/>
          <w:szCs w:val="30"/>
          <w:highlight w:val="none"/>
          <w:lang w:val="en-US" w:eastAsia="zh-CN"/>
        </w:rPr>
        <w:t>（详见附表）</w:t>
      </w:r>
    </w:p>
    <w:p w14:paraId="1116DDB9">
      <w:pPr>
        <w:tabs>
          <w:tab w:val="left" w:pos="1113"/>
        </w:tabs>
        <w:rPr>
          <w:rFonts w:hint="eastAsia" w:ascii="仿宋_GB2312" w:hAnsi="宋体" w:eastAsia="仿宋_GB2312" w:cs="仿宋_GB2312"/>
          <w:b/>
          <w:bCs/>
          <w:sz w:val="32"/>
          <w:szCs w:val="32"/>
        </w:rPr>
      </w:pPr>
      <w:r>
        <w:rPr>
          <w:rFonts w:hint="eastAsia" w:ascii="仿宋_GB2312" w:hAnsi="宋体" w:eastAsia="仿宋_GB2312" w:cs="仿宋_GB2312"/>
          <w:b/>
          <w:bCs/>
          <w:sz w:val="32"/>
          <w:szCs w:val="32"/>
        </w:rPr>
        <w:t>第四部分  名词解释</w:t>
      </w:r>
    </w:p>
    <w:p w14:paraId="44C2F2B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一、收入科目</w:t>
      </w:r>
    </w:p>
    <w:p w14:paraId="6AF9E5A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各部门结合实际进行解释。</w:t>
      </w:r>
    </w:p>
    <w:p w14:paraId="212C050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（一）财政拨款：指市级财政当年拨付的资金。</w:t>
      </w:r>
    </w:p>
    <w:p w14:paraId="0CA5059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（二）事业收入：指事业单位开展专业业务活动及辅助活动取得的收入。</w:t>
      </w:r>
    </w:p>
    <w:p w14:paraId="12EA970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（三）事业单位经营收入：指事业单位在专业业务活动及辅助活动之外开展非独立核算经营活动取得的收入。</w:t>
      </w:r>
    </w:p>
    <w:p w14:paraId="3F449A2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（四）其他收入：指除财政拨款、事业收入、事业单位经营收入等以外的各项收入。</w:t>
      </w:r>
    </w:p>
    <w:p w14:paraId="104E0BC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（五）附属单位上缴收入：反映事业单位附属的独立核算单位按规定标准或比例缴纳的各项收入。包括附属的事业单位上缴的收入和附属的企业上缴的利润等。</w:t>
      </w:r>
    </w:p>
    <w:p w14:paraId="191D2A7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（六）上级补助收入：反映事业单位从主管部门和上级单位取得的非财政补助收入。</w:t>
      </w:r>
    </w:p>
    <w:p w14:paraId="3BDC8B2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（七）用事业基金弥补收支差额：填列事业单位用事业基金弥补2021年收支差额的数额。</w:t>
      </w:r>
    </w:p>
    <w:p w14:paraId="169239D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（八）上年结转和结余：填列2020年全部结转和结余的资金数，包括当年结转结余资金和历年滚存结转结余资金。</w:t>
      </w:r>
    </w:p>
    <w:p w14:paraId="275C355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二、支出科目</w:t>
      </w:r>
    </w:p>
    <w:p w14:paraId="196D1D9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olor w:val="000000"/>
          <w:sz w:val="32"/>
          <w:szCs w:val="30"/>
          <w:highlight w:val="none"/>
          <w:lang w:val="en-US" w:eastAsia="zh-CN"/>
        </w:rPr>
      </w:pPr>
      <w:r>
        <w:rPr>
          <w:rFonts w:hint="eastAsia" w:ascii="仿宋_GB2312" w:eastAsia="仿宋_GB2312"/>
          <w:color w:val="000000"/>
          <w:sz w:val="32"/>
          <w:szCs w:val="30"/>
          <w:highlight w:val="none"/>
          <w:lang w:val="en-US" w:eastAsia="zh-CN"/>
        </w:rPr>
        <w:t>对部门预算中涉及的支出功能分类科目（明细到项级），结合部门实际，参照《2021年政府收支分类科目》的规范说明进行解释。</w:t>
      </w:r>
    </w:p>
    <w:p w14:paraId="48E44B3F">
      <w:pPr>
        <w:pageBreakBefore w:val="0"/>
        <w:kinsoku/>
        <w:wordWrap/>
        <w:overflowPunct/>
        <w:topLinePunct w:val="0"/>
        <w:autoSpaceDE/>
        <w:autoSpaceDN/>
        <w:bidi w:val="0"/>
        <w:adjustRightInd/>
        <w:spacing w:line="560" w:lineRule="exact"/>
        <w:ind w:firstLine="640" w:firstLineChars="200"/>
        <w:textAlignment w:val="auto"/>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（一）一般公共服务支出（类）纪检监察事务（款）</w:t>
      </w:r>
    </w:p>
    <w:p w14:paraId="1C1992C6">
      <w:pPr>
        <w:pageBreakBefore w:val="0"/>
        <w:kinsoku/>
        <w:wordWrap/>
        <w:overflowPunct/>
        <w:topLinePunct w:val="0"/>
        <w:autoSpaceDE/>
        <w:autoSpaceDN/>
        <w:bidi w:val="0"/>
        <w:adjustRightInd/>
        <w:spacing w:line="560" w:lineRule="exact"/>
        <w:ind w:firstLine="640" w:firstLineChars="200"/>
        <w:textAlignment w:val="auto"/>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派驻派出机构</w:t>
      </w:r>
      <w:r>
        <w:rPr>
          <w:rFonts w:hint="eastAsia" w:ascii="仿宋_GB2312" w:hAnsi="宋体" w:eastAsia="仿宋_GB2312" w:cs="仿宋_GB2312"/>
          <w:sz w:val="32"/>
          <w:szCs w:val="32"/>
          <w:lang w:val="en-US" w:eastAsia="zh-CN"/>
        </w:rPr>
        <w:t>（项）</w:t>
      </w:r>
      <w:r>
        <w:rPr>
          <w:rFonts w:hint="eastAsia" w:ascii="仿宋_GB2312" w:hAnsi="宋体" w:eastAsia="仿宋_GB2312" w:cs="仿宋_GB2312"/>
          <w:sz w:val="32"/>
          <w:szCs w:val="32"/>
          <w:lang w:eastAsia="zh-CN"/>
        </w:rPr>
        <w:t>：反映由纪检监察部门负担的派驻各部门和单位的纪检监察人员的专项业务支出。</w:t>
      </w:r>
    </w:p>
    <w:p w14:paraId="28F67D0E">
      <w:pPr>
        <w:pageBreakBefore w:val="0"/>
        <w:numPr>
          <w:ilvl w:val="0"/>
          <w:numId w:val="0"/>
        </w:numPr>
        <w:kinsoku/>
        <w:wordWrap/>
        <w:overflowPunct/>
        <w:topLinePunct w:val="0"/>
        <w:autoSpaceDE/>
        <w:autoSpaceDN/>
        <w:bidi w:val="0"/>
        <w:adjustRightInd/>
        <w:spacing w:line="560" w:lineRule="exact"/>
        <w:ind w:firstLine="640" w:firstLineChars="200"/>
        <w:textAlignment w:val="auto"/>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（二）社会保障和就业支出（类）行政事业单位养老（款）</w:t>
      </w:r>
    </w:p>
    <w:p w14:paraId="33DEABA6">
      <w:pPr>
        <w:pageBreakBefore w:val="0"/>
        <w:kinsoku/>
        <w:wordWrap/>
        <w:overflowPunct/>
        <w:topLinePunct w:val="0"/>
        <w:autoSpaceDE/>
        <w:autoSpaceDN/>
        <w:bidi w:val="0"/>
        <w:adjustRightInd/>
        <w:spacing w:line="560" w:lineRule="exact"/>
        <w:ind w:firstLine="640" w:firstLineChars="200"/>
        <w:textAlignment w:val="auto"/>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行政单位离退休</w:t>
      </w:r>
      <w:r>
        <w:rPr>
          <w:rFonts w:hint="eastAsia" w:ascii="仿宋_GB2312" w:hAnsi="宋体" w:eastAsia="仿宋_GB2312" w:cs="仿宋_GB2312"/>
          <w:sz w:val="32"/>
          <w:szCs w:val="32"/>
          <w:lang w:val="en-US" w:eastAsia="zh-CN"/>
        </w:rPr>
        <w:t>（项）</w:t>
      </w:r>
      <w:r>
        <w:rPr>
          <w:rFonts w:hint="eastAsia" w:ascii="仿宋_GB2312" w:hAnsi="宋体" w:eastAsia="仿宋_GB2312" w:cs="仿宋_GB2312"/>
          <w:sz w:val="32"/>
          <w:szCs w:val="32"/>
          <w:lang w:eastAsia="zh-CN"/>
        </w:rPr>
        <w:t>：反映行政单位（含参公）开支的离退休经费。</w:t>
      </w:r>
    </w:p>
    <w:p w14:paraId="16B262F1">
      <w:pPr>
        <w:pageBreakBefore w:val="0"/>
        <w:kinsoku/>
        <w:wordWrap/>
        <w:overflowPunct/>
        <w:topLinePunct w:val="0"/>
        <w:autoSpaceDE/>
        <w:autoSpaceDN/>
        <w:bidi w:val="0"/>
        <w:adjustRightInd/>
        <w:spacing w:line="560" w:lineRule="exact"/>
        <w:ind w:firstLine="640" w:firstLineChars="200"/>
        <w:textAlignment w:val="auto"/>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事业单位离退休</w:t>
      </w:r>
      <w:r>
        <w:rPr>
          <w:rFonts w:hint="eastAsia" w:ascii="仿宋_GB2312" w:hAnsi="宋体" w:eastAsia="仿宋_GB2312" w:cs="仿宋_GB2312"/>
          <w:sz w:val="32"/>
          <w:szCs w:val="32"/>
          <w:lang w:val="en-US" w:eastAsia="zh-CN"/>
        </w:rPr>
        <w:t>（项）</w:t>
      </w:r>
      <w:r>
        <w:rPr>
          <w:rFonts w:hint="eastAsia" w:ascii="仿宋_GB2312" w:hAnsi="宋体" w:eastAsia="仿宋_GB2312" w:cs="仿宋_GB2312"/>
          <w:sz w:val="32"/>
          <w:szCs w:val="32"/>
          <w:lang w:eastAsia="zh-CN"/>
        </w:rPr>
        <w:t>：反映事业单位开支的离退休费</w:t>
      </w:r>
    </w:p>
    <w:p w14:paraId="642063B2">
      <w:pPr>
        <w:pageBreakBefore w:val="0"/>
        <w:kinsoku/>
        <w:wordWrap/>
        <w:overflowPunct/>
        <w:topLinePunct w:val="0"/>
        <w:autoSpaceDE/>
        <w:autoSpaceDN/>
        <w:bidi w:val="0"/>
        <w:adjustRightInd/>
        <w:spacing w:line="560" w:lineRule="exact"/>
        <w:ind w:firstLine="640" w:firstLineChars="200"/>
        <w:textAlignment w:val="auto"/>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机关事业单位基本养老保险缴费</w:t>
      </w:r>
      <w:r>
        <w:rPr>
          <w:rFonts w:hint="eastAsia" w:ascii="仿宋_GB2312" w:hAnsi="宋体" w:eastAsia="仿宋_GB2312" w:cs="仿宋_GB2312"/>
          <w:sz w:val="32"/>
          <w:szCs w:val="32"/>
          <w:lang w:val="en-US" w:eastAsia="zh-CN"/>
        </w:rPr>
        <w:t>（项）</w:t>
      </w:r>
      <w:r>
        <w:rPr>
          <w:rFonts w:hint="eastAsia" w:ascii="仿宋_GB2312" w:hAnsi="宋体" w:eastAsia="仿宋_GB2312" w:cs="仿宋_GB2312"/>
          <w:sz w:val="32"/>
          <w:szCs w:val="32"/>
          <w:lang w:eastAsia="zh-CN"/>
        </w:rPr>
        <w:t>：反映机关事业单位实施养老保险制度由单位缴纳的基本养老保险费支出。</w:t>
      </w:r>
    </w:p>
    <w:p w14:paraId="78CF2682">
      <w:pPr>
        <w:pageBreakBefore w:val="0"/>
        <w:numPr>
          <w:ilvl w:val="0"/>
          <w:numId w:val="4"/>
        </w:numPr>
        <w:kinsoku/>
        <w:wordWrap/>
        <w:overflowPunct/>
        <w:topLinePunct w:val="0"/>
        <w:autoSpaceDE/>
        <w:autoSpaceDN/>
        <w:bidi w:val="0"/>
        <w:adjustRightInd/>
        <w:spacing w:line="560" w:lineRule="exact"/>
        <w:ind w:firstLine="640" w:firstLineChars="200"/>
        <w:textAlignment w:val="auto"/>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卫生健康支出（类）卫生健康管理事务（款）</w:t>
      </w:r>
    </w:p>
    <w:p w14:paraId="6844B824">
      <w:pPr>
        <w:pageBreakBefore w:val="0"/>
        <w:widowControl w:val="0"/>
        <w:numPr>
          <w:ilvl w:val="0"/>
          <w:numId w:val="0"/>
        </w:numPr>
        <w:kinsoku/>
        <w:wordWrap/>
        <w:overflowPunct/>
        <w:topLinePunct w:val="0"/>
        <w:autoSpaceDE/>
        <w:autoSpaceDN/>
        <w:bidi w:val="0"/>
        <w:adjustRightInd/>
        <w:spacing w:line="560" w:lineRule="exact"/>
        <w:jc w:val="both"/>
        <w:textAlignment w:val="auto"/>
        <w:rPr>
          <w:rFonts w:hint="eastAsia" w:ascii="仿宋_GB2312" w:hAnsi="宋体" w:eastAsia="仿宋_GB2312" w:cs="仿宋_GB2312"/>
          <w:sz w:val="32"/>
          <w:szCs w:val="32"/>
          <w:lang w:val="en-US" w:eastAsia="zh-CN"/>
        </w:rPr>
      </w:pPr>
      <w:r>
        <w:rPr>
          <w:rFonts w:hint="eastAsia" w:ascii="仿宋_GB2312" w:hAnsi="宋体" w:eastAsia="仿宋_GB2312" w:cs="仿宋_GB2312"/>
          <w:sz w:val="32"/>
          <w:szCs w:val="32"/>
          <w:lang w:val="en-US" w:eastAsia="zh-CN"/>
        </w:rPr>
        <w:t xml:space="preserve">     其他卫生健康管理事务（项）：反映其他用于卫生健康管理事务各方面的支出。</w:t>
      </w:r>
    </w:p>
    <w:p w14:paraId="352D2924">
      <w:pPr>
        <w:pageBreakBefore w:val="0"/>
        <w:widowControl w:val="0"/>
        <w:numPr>
          <w:ilvl w:val="0"/>
          <w:numId w:val="4"/>
        </w:numPr>
        <w:kinsoku/>
        <w:wordWrap/>
        <w:overflowPunct/>
        <w:topLinePunct w:val="0"/>
        <w:autoSpaceDE/>
        <w:autoSpaceDN/>
        <w:bidi w:val="0"/>
        <w:adjustRightInd/>
        <w:spacing w:line="560" w:lineRule="exact"/>
        <w:ind w:left="0" w:leftChars="0" w:firstLine="640" w:firstLineChars="200"/>
        <w:jc w:val="both"/>
        <w:textAlignment w:val="auto"/>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卫生健康支出（类）行政事业单位医疗（款）</w:t>
      </w:r>
    </w:p>
    <w:p w14:paraId="64430AED">
      <w:pPr>
        <w:pageBreakBefore w:val="0"/>
        <w:widowControl w:val="0"/>
        <w:numPr>
          <w:ilvl w:val="0"/>
          <w:numId w:val="0"/>
        </w:numPr>
        <w:kinsoku/>
        <w:wordWrap/>
        <w:overflowPunct/>
        <w:topLinePunct w:val="0"/>
        <w:autoSpaceDE/>
        <w:autoSpaceDN/>
        <w:bidi w:val="0"/>
        <w:adjustRightInd/>
        <w:spacing w:line="560" w:lineRule="exact"/>
        <w:ind w:firstLine="640" w:firstLineChars="200"/>
        <w:jc w:val="both"/>
        <w:textAlignment w:val="auto"/>
        <w:rPr>
          <w:rFonts w:hint="default" w:ascii="仿宋_GB2312" w:hAnsi="宋体" w:eastAsia="仿宋_GB2312" w:cs="仿宋_GB2312"/>
          <w:sz w:val="32"/>
          <w:szCs w:val="32"/>
          <w:lang w:val="en-US" w:eastAsia="zh-CN"/>
        </w:rPr>
      </w:pPr>
      <w:r>
        <w:rPr>
          <w:rFonts w:hint="default" w:ascii="仿宋_GB2312" w:hAnsi="宋体" w:eastAsia="仿宋_GB2312" w:cs="仿宋_GB2312"/>
          <w:sz w:val="32"/>
          <w:szCs w:val="32"/>
          <w:lang w:val="en-US" w:eastAsia="zh-CN"/>
        </w:rPr>
        <w:t>行政单位医疗</w:t>
      </w:r>
      <w:r>
        <w:rPr>
          <w:rFonts w:hint="eastAsia" w:ascii="仿宋_GB2312" w:hAnsi="宋体" w:eastAsia="仿宋_GB2312" w:cs="仿宋_GB2312"/>
          <w:sz w:val="32"/>
          <w:szCs w:val="32"/>
          <w:lang w:val="en-US" w:eastAsia="zh-CN"/>
        </w:rPr>
        <w:t>（项）：反映财政部门安排的行政单位（含参公）基本医疗保险缴费经费，未参加医疗保险的行政单位的公费医疗经费，按国家规定享受离休人员、红军战士待遇人员的医疗经费。</w:t>
      </w:r>
    </w:p>
    <w:p w14:paraId="298A7791">
      <w:pPr>
        <w:pageBreakBefore w:val="0"/>
        <w:widowControl w:val="0"/>
        <w:numPr>
          <w:ilvl w:val="0"/>
          <w:numId w:val="0"/>
        </w:numPr>
        <w:kinsoku/>
        <w:wordWrap/>
        <w:overflowPunct/>
        <w:topLinePunct w:val="0"/>
        <w:autoSpaceDE/>
        <w:autoSpaceDN/>
        <w:bidi w:val="0"/>
        <w:adjustRightInd/>
        <w:spacing w:line="560" w:lineRule="exact"/>
        <w:ind w:firstLine="640" w:firstLineChars="200"/>
        <w:jc w:val="both"/>
        <w:textAlignment w:val="auto"/>
        <w:rPr>
          <w:rFonts w:hint="default" w:ascii="仿宋_GB2312" w:hAnsi="宋体" w:eastAsia="仿宋_GB2312" w:cs="仿宋_GB2312"/>
          <w:sz w:val="32"/>
          <w:szCs w:val="32"/>
          <w:lang w:val="en-US" w:eastAsia="zh-CN"/>
        </w:rPr>
      </w:pPr>
      <w:r>
        <w:rPr>
          <w:rFonts w:hint="default" w:ascii="仿宋_GB2312" w:hAnsi="宋体" w:eastAsia="仿宋_GB2312" w:cs="仿宋_GB2312"/>
          <w:sz w:val="32"/>
          <w:szCs w:val="32"/>
          <w:lang w:val="en-US" w:eastAsia="zh-CN"/>
        </w:rPr>
        <w:t>事业单位医疗</w:t>
      </w:r>
      <w:r>
        <w:rPr>
          <w:rFonts w:hint="eastAsia" w:ascii="仿宋_GB2312" w:hAnsi="宋体" w:eastAsia="仿宋_GB2312" w:cs="仿宋_GB2312"/>
          <w:sz w:val="32"/>
          <w:szCs w:val="32"/>
          <w:lang w:val="en-US" w:eastAsia="zh-CN"/>
        </w:rPr>
        <w:t>（项）：反映财政部门安排的事业单位基本医疗保险缴费经费，未参加医疗保险的事业单位的公费医疗经费，按照国家规定享受离休人员待遇的医疗经费。</w:t>
      </w:r>
    </w:p>
    <w:p w14:paraId="5545CC41">
      <w:pPr>
        <w:pageBreakBefore w:val="0"/>
        <w:widowControl w:val="0"/>
        <w:numPr>
          <w:ilvl w:val="0"/>
          <w:numId w:val="0"/>
        </w:numPr>
        <w:kinsoku/>
        <w:wordWrap/>
        <w:overflowPunct/>
        <w:topLinePunct w:val="0"/>
        <w:autoSpaceDE/>
        <w:autoSpaceDN/>
        <w:bidi w:val="0"/>
        <w:adjustRightInd/>
        <w:spacing w:line="560" w:lineRule="exact"/>
        <w:jc w:val="both"/>
        <w:textAlignment w:val="auto"/>
        <w:rPr>
          <w:rFonts w:hint="default" w:ascii="仿宋_GB2312" w:hAnsi="宋体" w:eastAsia="仿宋_GB2312" w:cs="仿宋_GB2312"/>
          <w:sz w:val="32"/>
          <w:szCs w:val="32"/>
          <w:lang w:val="en-US" w:eastAsia="zh-CN"/>
        </w:rPr>
      </w:pPr>
      <w:r>
        <w:rPr>
          <w:rFonts w:hint="default" w:ascii="仿宋_GB2312" w:hAnsi="宋体" w:eastAsia="仿宋_GB2312" w:cs="仿宋_GB2312"/>
          <w:sz w:val="32"/>
          <w:szCs w:val="32"/>
          <w:lang w:val="en-US" w:eastAsia="zh-CN"/>
        </w:rPr>
        <w:t>公务员医疗补助</w:t>
      </w:r>
      <w:r>
        <w:rPr>
          <w:rFonts w:hint="eastAsia" w:ascii="仿宋_GB2312" w:hAnsi="宋体" w:eastAsia="仿宋_GB2312" w:cs="仿宋_GB2312"/>
          <w:sz w:val="32"/>
          <w:szCs w:val="32"/>
          <w:lang w:val="en-US" w:eastAsia="zh-CN"/>
        </w:rPr>
        <w:t>（项）：反映财政部门安排的公务员医疗补助经费。</w:t>
      </w:r>
    </w:p>
    <w:p w14:paraId="70DB4EDA">
      <w:pPr>
        <w:pageBreakBefore w:val="0"/>
        <w:widowControl w:val="0"/>
        <w:numPr>
          <w:ilvl w:val="0"/>
          <w:numId w:val="0"/>
        </w:numPr>
        <w:kinsoku/>
        <w:wordWrap/>
        <w:overflowPunct/>
        <w:topLinePunct w:val="0"/>
        <w:autoSpaceDE/>
        <w:autoSpaceDN/>
        <w:bidi w:val="0"/>
        <w:adjustRightInd/>
        <w:spacing w:line="560" w:lineRule="exact"/>
        <w:ind w:firstLine="640" w:firstLineChars="200"/>
        <w:jc w:val="both"/>
        <w:textAlignment w:val="auto"/>
        <w:rPr>
          <w:rFonts w:hint="eastAsia" w:ascii="仿宋_GB2312" w:hAnsi="宋体" w:eastAsia="仿宋_GB2312" w:cs="仿宋_GB2312"/>
          <w:sz w:val="32"/>
          <w:szCs w:val="32"/>
          <w:lang w:val="en-US" w:eastAsia="zh-CN"/>
        </w:rPr>
      </w:pPr>
      <w:r>
        <w:rPr>
          <w:rFonts w:hint="default" w:ascii="仿宋_GB2312" w:hAnsi="宋体" w:eastAsia="仿宋_GB2312" w:cs="仿宋_GB2312"/>
          <w:sz w:val="32"/>
          <w:szCs w:val="32"/>
          <w:lang w:val="en-US" w:eastAsia="zh-CN"/>
        </w:rPr>
        <w:t>其他行政事业单位医疗</w:t>
      </w:r>
      <w:r>
        <w:rPr>
          <w:rFonts w:hint="eastAsia" w:ascii="仿宋_GB2312" w:hAnsi="宋体" w:eastAsia="仿宋_GB2312" w:cs="仿宋_GB2312"/>
          <w:sz w:val="32"/>
          <w:szCs w:val="32"/>
          <w:lang w:val="en-US" w:eastAsia="zh-CN"/>
        </w:rPr>
        <w:t>（项）：反映除上述项目以外的其他用于行政事业单位医疗方面的支出。</w:t>
      </w:r>
    </w:p>
    <w:p w14:paraId="38CDE6CA">
      <w:pPr>
        <w:pageBreakBefore w:val="0"/>
        <w:widowControl w:val="0"/>
        <w:numPr>
          <w:ilvl w:val="0"/>
          <w:numId w:val="4"/>
        </w:numPr>
        <w:kinsoku/>
        <w:wordWrap/>
        <w:overflowPunct/>
        <w:topLinePunct w:val="0"/>
        <w:autoSpaceDE/>
        <w:autoSpaceDN/>
        <w:bidi w:val="0"/>
        <w:adjustRightInd/>
        <w:spacing w:line="560" w:lineRule="exact"/>
        <w:ind w:left="0" w:leftChars="0" w:firstLine="640" w:firstLineChars="200"/>
        <w:jc w:val="both"/>
        <w:textAlignment w:val="auto"/>
        <w:rPr>
          <w:rFonts w:hint="eastAsia" w:ascii="仿宋_GB2312" w:hAnsi="宋体" w:eastAsia="仿宋_GB2312" w:cs="仿宋_GB2312"/>
          <w:sz w:val="32"/>
          <w:szCs w:val="32"/>
          <w:lang w:val="en-US" w:eastAsia="zh-CN"/>
        </w:rPr>
      </w:pPr>
      <w:r>
        <w:rPr>
          <w:rFonts w:hint="eastAsia" w:ascii="仿宋_GB2312" w:hAnsi="宋体" w:eastAsia="仿宋_GB2312" w:cs="仿宋_GB2312"/>
          <w:sz w:val="32"/>
          <w:szCs w:val="32"/>
          <w:lang w:val="en-US" w:eastAsia="zh-CN"/>
        </w:rPr>
        <w:t>农林水支出（类）农业农村（款）</w:t>
      </w:r>
    </w:p>
    <w:p w14:paraId="2CCEC9E5">
      <w:pPr>
        <w:pageBreakBefore w:val="0"/>
        <w:widowControl w:val="0"/>
        <w:numPr>
          <w:ilvl w:val="0"/>
          <w:numId w:val="0"/>
        </w:numPr>
        <w:kinsoku/>
        <w:wordWrap/>
        <w:overflowPunct/>
        <w:topLinePunct w:val="0"/>
        <w:autoSpaceDE/>
        <w:autoSpaceDN/>
        <w:bidi w:val="0"/>
        <w:adjustRightInd/>
        <w:spacing w:line="560" w:lineRule="exact"/>
        <w:ind w:firstLine="640" w:firstLineChars="200"/>
        <w:jc w:val="both"/>
        <w:textAlignment w:val="auto"/>
        <w:rPr>
          <w:rFonts w:hint="default" w:ascii="仿宋_GB2312" w:hAnsi="宋体" w:eastAsia="仿宋_GB2312" w:cs="仿宋_GB2312"/>
          <w:sz w:val="32"/>
          <w:szCs w:val="32"/>
          <w:lang w:val="en-US" w:eastAsia="zh-CN"/>
        </w:rPr>
      </w:pPr>
      <w:r>
        <w:rPr>
          <w:rFonts w:hint="default" w:ascii="仿宋_GB2312" w:hAnsi="宋体" w:eastAsia="仿宋_GB2312" w:cs="仿宋_GB2312"/>
          <w:sz w:val="32"/>
          <w:szCs w:val="32"/>
          <w:lang w:val="en-US" w:eastAsia="zh-CN"/>
        </w:rPr>
        <w:t>行政运行</w:t>
      </w:r>
      <w:r>
        <w:rPr>
          <w:rFonts w:hint="eastAsia" w:ascii="仿宋_GB2312" w:hAnsi="宋体" w:eastAsia="仿宋_GB2312" w:cs="仿宋_GB2312"/>
          <w:sz w:val="32"/>
          <w:szCs w:val="32"/>
          <w:lang w:val="en-US" w:eastAsia="zh-CN"/>
        </w:rPr>
        <w:t>（项）：反映行政单位（含参公）的基本支出。</w:t>
      </w:r>
    </w:p>
    <w:p w14:paraId="321A5D29">
      <w:pPr>
        <w:pageBreakBefore w:val="0"/>
        <w:widowControl w:val="0"/>
        <w:numPr>
          <w:ilvl w:val="0"/>
          <w:numId w:val="0"/>
        </w:numPr>
        <w:kinsoku/>
        <w:wordWrap/>
        <w:overflowPunct/>
        <w:topLinePunct w:val="0"/>
        <w:autoSpaceDE/>
        <w:autoSpaceDN/>
        <w:bidi w:val="0"/>
        <w:adjustRightInd/>
        <w:spacing w:line="560" w:lineRule="exact"/>
        <w:ind w:firstLine="640" w:firstLineChars="200"/>
        <w:jc w:val="both"/>
        <w:textAlignment w:val="auto"/>
        <w:rPr>
          <w:rFonts w:hint="default" w:ascii="仿宋_GB2312" w:hAnsi="宋体" w:eastAsia="仿宋_GB2312" w:cs="仿宋_GB2312"/>
          <w:sz w:val="32"/>
          <w:szCs w:val="32"/>
          <w:lang w:val="en-US" w:eastAsia="zh-CN"/>
        </w:rPr>
      </w:pPr>
      <w:r>
        <w:rPr>
          <w:rFonts w:hint="default" w:ascii="仿宋_GB2312" w:hAnsi="宋体" w:eastAsia="仿宋_GB2312" w:cs="仿宋_GB2312"/>
          <w:sz w:val="32"/>
          <w:szCs w:val="32"/>
          <w:lang w:val="en-US" w:eastAsia="zh-CN"/>
        </w:rPr>
        <w:t>事业运行</w:t>
      </w:r>
      <w:r>
        <w:rPr>
          <w:rFonts w:hint="eastAsia" w:ascii="仿宋_GB2312" w:hAnsi="宋体" w:eastAsia="仿宋_GB2312" w:cs="仿宋_GB2312"/>
          <w:sz w:val="32"/>
          <w:szCs w:val="32"/>
          <w:lang w:val="en-US" w:eastAsia="zh-CN"/>
        </w:rPr>
        <w:t>（项）：反映用于农业事业单位基本支出，事业单位设施、系统运行与资产维护等方面的支出。</w:t>
      </w:r>
    </w:p>
    <w:p w14:paraId="2A436038">
      <w:pPr>
        <w:pageBreakBefore w:val="0"/>
        <w:widowControl w:val="0"/>
        <w:numPr>
          <w:ilvl w:val="0"/>
          <w:numId w:val="0"/>
        </w:numPr>
        <w:kinsoku/>
        <w:wordWrap/>
        <w:overflowPunct/>
        <w:topLinePunct w:val="0"/>
        <w:autoSpaceDE/>
        <w:autoSpaceDN/>
        <w:bidi w:val="0"/>
        <w:adjustRightInd/>
        <w:spacing w:line="560" w:lineRule="exact"/>
        <w:ind w:firstLine="640" w:firstLineChars="200"/>
        <w:jc w:val="both"/>
        <w:textAlignment w:val="auto"/>
        <w:rPr>
          <w:rFonts w:hint="default" w:ascii="仿宋_GB2312" w:hAnsi="宋体" w:eastAsia="仿宋_GB2312" w:cs="仿宋_GB2312"/>
          <w:sz w:val="32"/>
          <w:szCs w:val="32"/>
          <w:lang w:val="en-US" w:eastAsia="zh-CN"/>
        </w:rPr>
      </w:pPr>
      <w:r>
        <w:rPr>
          <w:rFonts w:hint="default" w:ascii="仿宋_GB2312" w:hAnsi="宋体" w:eastAsia="仿宋_GB2312" w:cs="仿宋_GB2312"/>
          <w:sz w:val="32"/>
          <w:szCs w:val="32"/>
          <w:lang w:val="en-US" w:eastAsia="zh-CN"/>
        </w:rPr>
        <w:t>科技转化与推广服务</w:t>
      </w:r>
      <w:r>
        <w:rPr>
          <w:rFonts w:hint="eastAsia" w:ascii="仿宋_GB2312" w:hAnsi="宋体" w:eastAsia="仿宋_GB2312" w:cs="仿宋_GB2312"/>
          <w:sz w:val="32"/>
          <w:szCs w:val="32"/>
          <w:lang w:val="en-US" w:eastAsia="zh-CN"/>
        </w:rPr>
        <w:t>（项）：反映用于农业科技成果转化，农业新品种、新机具、新技术引进、试验、示范、推广及服务，农村人居环境整治等方面的技术试验示范支出。</w:t>
      </w:r>
    </w:p>
    <w:p w14:paraId="71A481EA">
      <w:pPr>
        <w:pageBreakBefore w:val="0"/>
        <w:widowControl w:val="0"/>
        <w:numPr>
          <w:ilvl w:val="0"/>
          <w:numId w:val="0"/>
        </w:numPr>
        <w:kinsoku/>
        <w:wordWrap/>
        <w:overflowPunct/>
        <w:topLinePunct w:val="0"/>
        <w:autoSpaceDE/>
        <w:autoSpaceDN/>
        <w:bidi w:val="0"/>
        <w:adjustRightInd/>
        <w:spacing w:line="560" w:lineRule="exact"/>
        <w:ind w:firstLine="640" w:firstLineChars="200"/>
        <w:jc w:val="both"/>
        <w:textAlignment w:val="auto"/>
        <w:rPr>
          <w:rFonts w:hint="default" w:ascii="仿宋_GB2312" w:hAnsi="宋体" w:eastAsia="仿宋_GB2312" w:cs="仿宋_GB2312"/>
          <w:sz w:val="32"/>
          <w:szCs w:val="32"/>
          <w:lang w:val="en-US" w:eastAsia="zh-CN"/>
        </w:rPr>
      </w:pPr>
      <w:r>
        <w:rPr>
          <w:rFonts w:hint="default" w:ascii="仿宋_GB2312" w:hAnsi="宋体" w:eastAsia="仿宋_GB2312" w:cs="仿宋_GB2312"/>
          <w:sz w:val="32"/>
          <w:szCs w:val="32"/>
          <w:lang w:val="en-US" w:eastAsia="zh-CN"/>
        </w:rPr>
        <w:t>病虫害控制</w:t>
      </w:r>
      <w:r>
        <w:rPr>
          <w:rFonts w:hint="eastAsia" w:ascii="仿宋_GB2312" w:hAnsi="宋体" w:eastAsia="仿宋_GB2312" w:cs="仿宋_GB2312"/>
          <w:sz w:val="32"/>
          <w:szCs w:val="32"/>
          <w:lang w:val="en-US" w:eastAsia="zh-CN"/>
        </w:rPr>
        <w:t>（项）：反映用于病虫鼠害及疫情监测、预报、预防、控制、检疫、防疫所需的仪器、设施、药物、疫苗、种苗，疫畜防治、扑杀补偿及劳务补助、菌（毒）种保藏及动植物及其产品检疫、检测等方面的支出。</w:t>
      </w:r>
    </w:p>
    <w:p w14:paraId="0B9E4613">
      <w:pPr>
        <w:pageBreakBefore w:val="0"/>
        <w:widowControl w:val="0"/>
        <w:numPr>
          <w:ilvl w:val="0"/>
          <w:numId w:val="0"/>
        </w:numPr>
        <w:kinsoku/>
        <w:wordWrap/>
        <w:overflowPunct/>
        <w:topLinePunct w:val="0"/>
        <w:autoSpaceDE/>
        <w:autoSpaceDN/>
        <w:bidi w:val="0"/>
        <w:adjustRightInd/>
        <w:spacing w:line="560" w:lineRule="exact"/>
        <w:ind w:firstLine="640" w:firstLineChars="200"/>
        <w:jc w:val="both"/>
        <w:textAlignment w:val="auto"/>
        <w:rPr>
          <w:rFonts w:hint="default" w:ascii="仿宋_GB2312" w:hAnsi="宋体" w:eastAsia="仿宋_GB2312" w:cs="仿宋_GB2312"/>
          <w:sz w:val="32"/>
          <w:szCs w:val="32"/>
          <w:lang w:val="en-US" w:eastAsia="zh-CN"/>
        </w:rPr>
      </w:pPr>
      <w:r>
        <w:rPr>
          <w:rFonts w:hint="default" w:ascii="仿宋_GB2312" w:hAnsi="宋体" w:eastAsia="仿宋_GB2312" w:cs="仿宋_GB2312"/>
          <w:sz w:val="32"/>
          <w:szCs w:val="32"/>
          <w:lang w:val="en-US" w:eastAsia="zh-CN"/>
        </w:rPr>
        <w:t>农产品质量安全</w:t>
      </w:r>
      <w:r>
        <w:rPr>
          <w:rFonts w:hint="eastAsia" w:ascii="仿宋_GB2312" w:hAnsi="宋体" w:eastAsia="仿宋_GB2312" w:cs="仿宋_GB2312"/>
          <w:sz w:val="32"/>
          <w:szCs w:val="32"/>
          <w:lang w:val="en-US" w:eastAsia="zh-CN"/>
        </w:rPr>
        <w:t>（项）：反映用于农产品及其投入品的质量安全评估、监测、抽查、认证、应急处置，相关标准的制定、修订、实施、监管等方面的支出。</w:t>
      </w:r>
    </w:p>
    <w:p w14:paraId="43301FA8">
      <w:pPr>
        <w:pageBreakBefore w:val="0"/>
        <w:widowControl w:val="0"/>
        <w:numPr>
          <w:ilvl w:val="0"/>
          <w:numId w:val="0"/>
        </w:numPr>
        <w:kinsoku/>
        <w:wordWrap/>
        <w:overflowPunct/>
        <w:topLinePunct w:val="0"/>
        <w:autoSpaceDE/>
        <w:autoSpaceDN/>
        <w:bidi w:val="0"/>
        <w:adjustRightInd/>
        <w:spacing w:line="560" w:lineRule="exact"/>
        <w:ind w:firstLine="640" w:firstLineChars="200"/>
        <w:jc w:val="both"/>
        <w:textAlignment w:val="auto"/>
        <w:rPr>
          <w:rFonts w:hint="default" w:ascii="仿宋_GB2312" w:hAnsi="宋体" w:eastAsia="仿宋_GB2312" w:cs="仿宋_GB2312"/>
          <w:sz w:val="32"/>
          <w:szCs w:val="32"/>
          <w:lang w:val="en-US" w:eastAsia="zh-CN"/>
        </w:rPr>
      </w:pPr>
      <w:r>
        <w:rPr>
          <w:rFonts w:hint="default" w:ascii="仿宋_GB2312" w:hAnsi="宋体" w:eastAsia="仿宋_GB2312" w:cs="仿宋_GB2312"/>
          <w:sz w:val="32"/>
          <w:szCs w:val="32"/>
          <w:lang w:val="en-US" w:eastAsia="zh-CN"/>
        </w:rPr>
        <w:t>执法监管</w:t>
      </w:r>
      <w:r>
        <w:rPr>
          <w:rFonts w:hint="eastAsia" w:ascii="仿宋_GB2312" w:hAnsi="宋体" w:eastAsia="仿宋_GB2312" w:cs="仿宋_GB2312"/>
          <w:sz w:val="32"/>
          <w:szCs w:val="32"/>
          <w:lang w:val="en-US" w:eastAsia="zh-CN"/>
        </w:rPr>
        <w:t>（项）：反映用于农业农村法制建设、行政执法、行政复议、行政诉讼等方面的支出。</w:t>
      </w:r>
    </w:p>
    <w:p w14:paraId="5E3AF5CB">
      <w:pPr>
        <w:pageBreakBefore w:val="0"/>
        <w:widowControl w:val="0"/>
        <w:numPr>
          <w:ilvl w:val="0"/>
          <w:numId w:val="0"/>
        </w:numPr>
        <w:kinsoku/>
        <w:wordWrap/>
        <w:overflowPunct/>
        <w:topLinePunct w:val="0"/>
        <w:autoSpaceDE/>
        <w:autoSpaceDN/>
        <w:bidi w:val="0"/>
        <w:adjustRightInd/>
        <w:spacing w:line="560" w:lineRule="exact"/>
        <w:ind w:firstLine="640" w:firstLineChars="200"/>
        <w:jc w:val="both"/>
        <w:textAlignment w:val="auto"/>
        <w:rPr>
          <w:rFonts w:hint="default" w:ascii="仿宋_GB2312" w:hAnsi="宋体" w:eastAsia="仿宋_GB2312" w:cs="仿宋_GB2312"/>
          <w:sz w:val="32"/>
          <w:szCs w:val="32"/>
          <w:lang w:val="en-US" w:eastAsia="zh-CN"/>
        </w:rPr>
      </w:pPr>
      <w:r>
        <w:rPr>
          <w:rFonts w:hint="default" w:ascii="仿宋_GB2312" w:hAnsi="宋体" w:eastAsia="仿宋_GB2312" w:cs="仿宋_GB2312"/>
          <w:sz w:val="32"/>
          <w:szCs w:val="32"/>
          <w:lang w:val="en-US" w:eastAsia="zh-CN"/>
        </w:rPr>
        <w:t>统计监测与信息服务</w:t>
      </w:r>
      <w:r>
        <w:rPr>
          <w:rFonts w:hint="eastAsia" w:ascii="仿宋_GB2312" w:hAnsi="宋体" w:eastAsia="仿宋_GB2312" w:cs="仿宋_GB2312"/>
          <w:sz w:val="32"/>
          <w:szCs w:val="32"/>
          <w:lang w:val="en-US" w:eastAsia="zh-CN"/>
        </w:rPr>
        <w:t>（项）：反映用于农业农村统计调查与信息收集、整理、分析、发布，以及农业自然资源调查与农业区划等方面的支出。</w:t>
      </w:r>
    </w:p>
    <w:p w14:paraId="58780494">
      <w:pPr>
        <w:pageBreakBefore w:val="0"/>
        <w:widowControl w:val="0"/>
        <w:numPr>
          <w:ilvl w:val="0"/>
          <w:numId w:val="0"/>
        </w:numPr>
        <w:kinsoku/>
        <w:wordWrap/>
        <w:overflowPunct/>
        <w:topLinePunct w:val="0"/>
        <w:autoSpaceDE/>
        <w:autoSpaceDN/>
        <w:bidi w:val="0"/>
        <w:adjustRightInd/>
        <w:spacing w:line="560" w:lineRule="exact"/>
        <w:ind w:firstLine="640" w:firstLineChars="200"/>
        <w:jc w:val="both"/>
        <w:textAlignment w:val="auto"/>
        <w:rPr>
          <w:rFonts w:hint="default" w:ascii="仿宋_GB2312" w:hAnsi="宋体" w:eastAsia="仿宋_GB2312" w:cs="仿宋_GB2312"/>
          <w:sz w:val="32"/>
          <w:szCs w:val="32"/>
          <w:lang w:val="en-US" w:eastAsia="zh-CN"/>
        </w:rPr>
      </w:pPr>
      <w:r>
        <w:rPr>
          <w:rFonts w:hint="default" w:ascii="仿宋_GB2312" w:hAnsi="宋体" w:eastAsia="仿宋_GB2312" w:cs="仿宋_GB2312"/>
          <w:sz w:val="32"/>
          <w:szCs w:val="32"/>
          <w:lang w:val="en-US" w:eastAsia="zh-CN"/>
        </w:rPr>
        <w:t>农业结构调整补贴</w:t>
      </w:r>
      <w:r>
        <w:rPr>
          <w:rFonts w:hint="eastAsia" w:ascii="仿宋_GB2312" w:hAnsi="宋体" w:eastAsia="仿宋_GB2312" w:cs="仿宋_GB2312"/>
          <w:sz w:val="32"/>
          <w:szCs w:val="32"/>
          <w:lang w:val="en-US" w:eastAsia="zh-CN"/>
        </w:rPr>
        <w:t>（项）：反映政府对农业结构调整给予的补贴。</w:t>
      </w:r>
    </w:p>
    <w:p w14:paraId="142388D0">
      <w:pPr>
        <w:pageBreakBefore w:val="0"/>
        <w:widowControl w:val="0"/>
        <w:numPr>
          <w:ilvl w:val="0"/>
          <w:numId w:val="0"/>
        </w:numPr>
        <w:kinsoku/>
        <w:wordWrap/>
        <w:overflowPunct/>
        <w:topLinePunct w:val="0"/>
        <w:autoSpaceDE/>
        <w:autoSpaceDN/>
        <w:bidi w:val="0"/>
        <w:adjustRightInd/>
        <w:spacing w:line="560" w:lineRule="exact"/>
        <w:ind w:firstLine="640" w:firstLineChars="200"/>
        <w:jc w:val="both"/>
        <w:textAlignment w:val="auto"/>
        <w:rPr>
          <w:rFonts w:hint="default" w:ascii="仿宋_GB2312" w:hAnsi="宋体" w:eastAsia="仿宋_GB2312" w:cs="仿宋_GB2312"/>
          <w:sz w:val="32"/>
          <w:szCs w:val="32"/>
          <w:lang w:val="en-US" w:eastAsia="zh-CN"/>
        </w:rPr>
      </w:pPr>
      <w:r>
        <w:rPr>
          <w:rFonts w:hint="default" w:ascii="仿宋_GB2312" w:hAnsi="宋体" w:eastAsia="仿宋_GB2312" w:cs="仿宋_GB2312"/>
          <w:sz w:val="32"/>
          <w:szCs w:val="32"/>
          <w:lang w:val="en-US" w:eastAsia="zh-CN"/>
        </w:rPr>
        <w:t>农业生产发展</w:t>
      </w:r>
      <w:r>
        <w:rPr>
          <w:rFonts w:hint="eastAsia" w:ascii="仿宋_GB2312" w:hAnsi="宋体" w:eastAsia="仿宋_GB2312" w:cs="仿宋_GB2312"/>
          <w:sz w:val="32"/>
          <w:szCs w:val="32"/>
          <w:lang w:val="en-US" w:eastAsia="zh-CN"/>
        </w:rPr>
        <w:t>（项）：反映用于耕地地力保护、适度规模经营、农机购置补贴、优势特色经营主体畜禽水产发展、农村一二三产融合等方面的支出。</w:t>
      </w:r>
    </w:p>
    <w:p w14:paraId="763796CF">
      <w:pPr>
        <w:pageBreakBefore w:val="0"/>
        <w:widowControl w:val="0"/>
        <w:numPr>
          <w:ilvl w:val="0"/>
          <w:numId w:val="0"/>
        </w:numPr>
        <w:kinsoku/>
        <w:wordWrap/>
        <w:overflowPunct/>
        <w:topLinePunct w:val="0"/>
        <w:autoSpaceDE/>
        <w:autoSpaceDN/>
        <w:bidi w:val="0"/>
        <w:adjustRightInd/>
        <w:spacing w:line="560" w:lineRule="exact"/>
        <w:ind w:firstLine="640" w:firstLineChars="200"/>
        <w:jc w:val="both"/>
        <w:textAlignment w:val="auto"/>
        <w:rPr>
          <w:rFonts w:hint="eastAsia" w:ascii="仿宋_GB2312" w:hAnsi="宋体" w:eastAsia="仿宋_GB2312" w:cs="仿宋_GB2312"/>
          <w:sz w:val="32"/>
          <w:szCs w:val="32"/>
          <w:lang w:val="en-US" w:eastAsia="zh-CN"/>
        </w:rPr>
      </w:pPr>
      <w:r>
        <w:rPr>
          <w:rFonts w:hint="default" w:ascii="仿宋_GB2312" w:hAnsi="宋体" w:eastAsia="仿宋_GB2312" w:cs="仿宋_GB2312"/>
          <w:sz w:val="32"/>
          <w:szCs w:val="32"/>
          <w:lang w:val="en-US" w:eastAsia="zh-CN"/>
        </w:rPr>
        <w:t>乡村产业与合作经济</w:t>
      </w:r>
      <w:r>
        <w:rPr>
          <w:rFonts w:hint="eastAsia" w:ascii="仿宋_GB2312" w:hAnsi="宋体" w:eastAsia="仿宋_GB2312" w:cs="仿宋_GB2312"/>
          <w:sz w:val="32"/>
          <w:szCs w:val="32"/>
          <w:lang w:val="en-US" w:eastAsia="zh-CN"/>
        </w:rPr>
        <w:t>（项）：反映用于农村集体经济组织、农民合作经济组织、新型农业经营主体和农业社会化服务体系建设，以及土地承包管理、宅基地管理等方面的支出。</w:t>
      </w:r>
    </w:p>
    <w:p w14:paraId="43C4770B">
      <w:pPr>
        <w:pageBreakBefore w:val="0"/>
        <w:widowControl w:val="0"/>
        <w:numPr>
          <w:ilvl w:val="0"/>
          <w:numId w:val="0"/>
        </w:numPr>
        <w:kinsoku/>
        <w:wordWrap/>
        <w:overflowPunct/>
        <w:topLinePunct w:val="0"/>
        <w:autoSpaceDE/>
        <w:autoSpaceDN/>
        <w:bidi w:val="0"/>
        <w:adjustRightInd/>
        <w:spacing w:line="560" w:lineRule="exact"/>
        <w:ind w:firstLine="640" w:firstLineChars="200"/>
        <w:jc w:val="both"/>
        <w:textAlignment w:val="auto"/>
        <w:rPr>
          <w:rFonts w:hint="default" w:ascii="仿宋_GB2312" w:hAnsi="宋体" w:eastAsia="仿宋_GB2312" w:cs="仿宋_GB2312"/>
          <w:sz w:val="32"/>
          <w:szCs w:val="32"/>
          <w:lang w:val="en-US" w:eastAsia="zh-CN"/>
        </w:rPr>
      </w:pPr>
      <w:r>
        <w:rPr>
          <w:rFonts w:hint="default" w:ascii="仿宋_GB2312" w:hAnsi="宋体" w:eastAsia="仿宋_GB2312" w:cs="仿宋_GB2312"/>
          <w:sz w:val="32"/>
          <w:szCs w:val="32"/>
          <w:lang w:val="en-US" w:eastAsia="zh-CN"/>
        </w:rPr>
        <w:t>农产品加工与促销</w:t>
      </w:r>
      <w:r>
        <w:rPr>
          <w:rFonts w:hint="eastAsia" w:ascii="仿宋_GB2312" w:hAnsi="宋体" w:eastAsia="仿宋_GB2312" w:cs="仿宋_GB2312"/>
          <w:sz w:val="32"/>
          <w:szCs w:val="32"/>
          <w:lang w:val="en-US" w:eastAsia="zh-CN"/>
        </w:rPr>
        <w:t>（项）：反映用于促进农产品加工、储藏、运输、国内外大型农产品展示、交易、产销衔接、开拓国内外农产品市场及农业产业化发展等方面的支出。</w:t>
      </w:r>
    </w:p>
    <w:p w14:paraId="4CA65595">
      <w:pPr>
        <w:pageBreakBefore w:val="0"/>
        <w:widowControl w:val="0"/>
        <w:numPr>
          <w:ilvl w:val="0"/>
          <w:numId w:val="0"/>
        </w:numPr>
        <w:kinsoku/>
        <w:wordWrap/>
        <w:overflowPunct/>
        <w:topLinePunct w:val="0"/>
        <w:autoSpaceDE/>
        <w:autoSpaceDN/>
        <w:bidi w:val="0"/>
        <w:adjustRightInd/>
        <w:spacing w:line="560" w:lineRule="exact"/>
        <w:ind w:firstLine="640" w:firstLineChars="200"/>
        <w:jc w:val="both"/>
        <w:textAlignment w:val="auto"/>
        <w:rPr>
          <w:rFonts w:hint="default" w:ascii="仿宋_GB2312" w:hAnsi="宋体" w:eastAsia="仿宋_GB2312" w:cs="仿宋_GB2312"/>
          <w:sz w:val="32"/>
          <w:szCs w:val="32"/>
          <w:lang w:val="en-US" w:eastAsia="zh-CN"/>
        </w:rPr>
      </w:pPr>
      <w:r>
        <w:rPr>
          <w:rFonts w:hint="default" w:ascii="仿宋_GB2312" w:hAnsi="宋体" w:eastAsia="仿宋_GB2312" w:cs="仿宋_GB2312"/>
          <w:sz w:val="32"/>
          <w:szCs w:val="32"/>
          <w:lang w:val="en-US" w:eastAsia="zh-CN"/>
        </w:rPr>
        <w:t>农业资源保护修复与利用</w:t>
      </w:r>
      <w:r>
        <w:rPr>
          <w:rFonts w:hint="eastAsia" w:ascii="仿宋_GB2312" w:hAnsi="宋体" w:eastAsia="仿宋_GB2312" w:cs="仿宋_GB2312"/>
          <w:sz w:val="32"/>
          <w:szCs w:val="32"/>
          <w:lang w:val="en-US" w:eastAsia="zh-CN"/>
        </w:rPr>
        <w:t>（项）：反映用于耕地质量保护、草原草场利用，渔业水域资源环境保护，农业品种改良提升，以及农业生物资源调研收集、鉴定评价、保存利用等方面的支出。</w:t>
      </w:r>
    </w:p>
    <w:p w14:paraId="2E9A45C7">
      <w:pPr>
        <w:pageBreakBefore w:val="0"/>
        <w:widowControl w:val="0"/>
        <w:numPr>
          <w:ilvl w:val="0"/>
          <w:numId w:val="0"/>
        </w:numPr>
        <w:kinsoku/>
        <w:wordWrap/>
        <w:overflowPunct/>
        <w:topLinePunct w:val="0"/>
        <w:autoSpaceDE/>
        <w:autoSpaceDN/>
        <w:bidi w:val="0"/>
        <w:adjustRightInd/>
        <w:spacing w:line="560" w:lineRule="exact"/>
        <w:ind w:firstLine="640" w:firstLineChars="200"/>
        <w:jc w:val="both"/>
        <w:textAlignment w:val="auto"/>
        <w:rPr>
          <w:rFonts w:hint="eastAsia" w:ascii="仿宋_GB2312" w:hAnsi="宋体" w:eastAsia="仿宋_GB2312" w:cs="仿宋_GB2312"/>
          <w:sz w:val="32"/>
          <w:szCs w:val="32"/>
          <w:lang w:val="en-US" w:eastAsia="zh-CN"/>
        </w:rPr>
      </w:pPr>
      <w:r>
        <w:rPr>
          <w:rFonts w:hint="default" w:ascii="仿宋_GB2312" w:hAnsi="宋体" w:eastAsia="仿宋_GB2312" w:cs="仿宋_GB2312"/>
          <w:sz w:val="32"/>
          <w:szCs w:val="32"/>
          <w:lang w:val="en-US" w:eastAsia="zh-CN"/>
        </w:rPr>
        <w:t>其他农业农村</w:t>
      </w:r>
      <w:r>
        <w:rPr>
          <w:rFonts w:hint="eastAsia" w:ascii="仿宋_GB2312" w:hAnsi="宋体" w:eastAsia="仿宋_GB2312" w:cs="仿宋_GB2312"/>
          <w:sz w:val="32"/>
          <w:szCs w:val="32"/>
          <w:lang w:val="en-US" w:eastAsia="zh-CN"/>
        </w:rPr>
        <w:t>：反映其他用于农业农村方面的支出。</w:t>
      </w:r>
    </w:p>
    <w:p w14:paraId="7C687743">
      <w:pPr>
        <w:pageBreakBefore w:val="0"/>
        <w:widowControl w:val="0"/>
        <w:numPr>
          <w:ilvl w:val="0"/>
          <w:numId w:val="4"/>
        </w:numPr>
        <w:kinsoku/>
        <w:wordWrap/>
        <w:overflowPunct/>
        <w:topLinePunct w:val="0"/>
        <w:autoSpaceDE/>
        <w:autoSpaceDN/>
        <w:bidi w:val="0"/>
        <w:adjustRightInd/>
        <w:spacing w:line="560" w:lineRule="exact"/>
        <w:ind w:left="0" w:leftChars="0" w:firstLine="640" w:firstLineChars="200"/>
        <w:jc w:val="both"/>
        <w:textAlignment w:val="auto"/>
        <w:rPr>
          <w:rFonts w:hint="eastAsia" w:ascii="仿宋_GB2312" w:hAnsi="宋体" w:eastAsia="仿宋_GB2312" w:cs="仿宋_GB2312"/>
          <w:sz w:val="32"/>
          <w:szCs w:val="32"/>
          <w:lang w:val="en-US" w:eastAsia="zh-CN"/>
        </w:rPr>
      </w:pPr>
      <w:r>
        <w:rPr>
          <w:rFonts w:hint="eastAsia" w:ascii="仿宋_GB2312" w:hAnsi="宋体" w:eastAsia="仿宋_GB2312" w:cs="仿宋_GB2312"/>
          <w:sz w:val="32"/>
          <w:szCs w:val="32"/>
          <w:lang w:val="en-US" w:eastAsia="zh-CN"/>
        </w:rPr>
        <w:t>住房保障支出（类）住房改革支出（款）</w:t>
      </w:r>
    </w:p>
    <w:p w14:paraId="290E3DAC">
      <w:pPr>
        <w:pageBreakBefore w:val="0"/>
        <w:widowControl w:val="0"/>
        <w:numPr>
          <w:ilvl w:val="0"/>
          <w:numId w:val="0"/>
        </w:numPr>
        <w:kinsoku/>
        <w:wordWrap/>
        <w:overflowPunct/>
        <w:topLinePunct w:val="0"/>
        <w:autoSpaceDE/>
        <w:autoSpaceDN/>
        <w:bidi w:val="0"/>
        <w:adjustRightInd/>
        <w:spacing w:line="560" w:lineRule="exact"/>
        <w:ind w:firstLine="640" w:firstLineChars="200"/>
        <w:jc w:val="both"/>
        <w:textAlignment w:val="auto"/>
        <w:rPr>
          <w:rFonts w:hint="default" w:ascii="仿宋_GB2312" w:hAnsi="宋体" w:eastAsia="仿宋_GB2312" w:cs="仿宋_GB2312"/>
          <w:sz w:val="32"/>
          <w:szCs w:val="32"/>
          <w:lang w:val="en-US" w:eastAsia="zh-CN"/>
        </w:rPr>
      </w:pPr>
      <w:r>
        <w:rPr>
          <w:rFonts w:hint="default" w:ascii="仿宋_GB2312" w:hAnsi="宋体" w:eastAsia="仿宋_GB2312" w:cs="仿宋_GB2312"/>
          <w:sz w:val="32"/>
          <w:szCs w:val="32"/>
          <w:lang w:val="en-US" w:eastAsia="zh-CN"/>
        </w:rPr>
        <w:t>住房公积金</w:t>
      </w:r>
      <w:r>
        <w:rPr>
          <w:rFonts w:hint="eastAsia" w:ascii="仿宋_GB2312" w:hAnsi="宋体" w:eastAsia="仿宋_GB2312" w:cs="仿宋_GB2312"/>
          <w:sz w:val="32"/>
          <w:szCs w:val="32"/>
          <w:lang w:val="en-US" w:eastAsia="zh-CN"/>
        </w:rPr>
        <w:t>（项）：反映行政事业单位按人力资源和社会保障部、财政部规定的基本工资和津补贴以及规定比例为职工缴纳的住房公积金。</w:t>
      </w:r>
    </w:p>
    <w:p w14:paraId="74C2463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olor w:val="000000"/>
          <w:sz w:val="32"/>
          <w:szCs w:val="30"/>
          <w:highlight w:val="none"/>
          <w:lang w:val="en-US" w:eastAsia="zh-CN"/>
        </w:rPr>
      </w:pPr>
    </w:p>
    <w:p w14:paraId="58ED9504">
      <w:pPr>
        <w:rPr>
          <w:rFonts w:ascii="仿宋_GB2312" w:eastAsia="仿宋_GB2312" w:cs="Times New Roman"/>
          <w:sz w:val="32"/>
          <w:szCs w:val="32"/>
        </w:rPr>
      </w:pPr>
    </w:p>
    <w:p w14:paraId="74A359ED">
      <w:pPr>
        <w:rPr>
          <w:rFonts w:ascii="仿宋_GB2312" w:eastAsia="仿宋_GB2312" w:cs="Times New Roman"/>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710848">
    <w:pPr>
      <w:pStyle w:val="6"/>
      <w:framePr w:wrap="around" w:vAnchor="text" w:hAnchor="margin" w:xAlign="center" w:y="1"/>
      <w:rPr>
        <w:rStyle w:val="9"/>
        <w:rFonts w:cs="Times New Roman"/>
      </w:rPr>
    </w:pPr>
    <w:r>
      <w:rPr>
        <w:rStyle w:val="9"/>
      </w:rPr>
      <w:fldChar w:fldCharType="begin"/>
    </w:r>
    <w:r>
      <w:rPr>
        <w:rStyle w:val="9"/>
      </w:rPr>
      <w:instrText xml:space="preserve">PAGE  </w:instrText>
    </w:r>
    <w:r>
      <w:rPr>
        <w:rStyle w:val="9"/>
      </w:rPr>
      <w:fldChar w:fldCharType="separate"/>
    </w:r>
    <w:r>
      <w:rPr>
        <w:rStyle w:val="9"/>
      </w:rPr>
      <w:t>8</w:t>
    </w:r>
    <w:r>
      <w:rPr>
        <w:rStyle w:val="9"/>
      </w:rPr>
      <w:fldChar w:fldCharType="end"/>
    </w:r>
  </w:p>
  <w:p w14:paraId="7FAD9DB0">
    <w:pPr>
      <w:pStyle w:val="6"/>
      <w:rPr>
        <w:rFonts w:cs="Times New Roman"/>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2AD912"/>
    <w:multiLevelType w:val="singleLevel"/>
    <w:tmpl w:val="AA2AD912"/>
    <w:lvl w:ilvl="0" w:tentative="0">
      <w:start w:val="4"/>
      <w:numFmt w:val="chineseCounting"/>
      <w:suff w:val="nothing"/>
      <w:lvlText w:val="（%1）"/>
      <w:lvlJc w:val="left"/>
      <w:rPr>
        <w:rFonts w:hint="eastAsia"/>
      </w:rPr>
    </w:lvl>
  </w:abstractNum>
  <w:abstractNum w:abstractNumId="1">
    <w:nsid w:val="F5D9D642"/>
    <w:multiLevelType w:val="singleLevel"/>
    <w:tmpl w:val="F5D9D642"/>
    <w:lvl w:ilvl="0" w:tentative="0">
      <w:start w:val="3"/>
      <w:numFmt w:val="chineseCounting"/>
      <w:suff w:val="nothing"/>
      <w:lvlText w:val="（%1）"/>
      <w:lvlJc w:val="left"/>
      <w:rPr>
        <w:rFonts w:hint="eastAsia"/>
      </w:rPr>
    </w:lvl>
  </w:abstractNum>
  <w:abstractNum w:abstractNumId="2">
    <w:nsid w:val="4CB95AEB"/>
    <w:multiLevelType w:val="singleLevel"/>
    <w:tmpl w:val="4CB95AEB"/>
    <w:lvl w:ilvl="0" w:tentative="0">
      <w:start w:val="3"/>
      <w:numFmt w:val="decimal"/>
      <w:suff w:val="nothing"/>
      <w:lvlText w:val="%1、"/>
      <w:lvlJc w:val="left"/>
      <w:pPr>
        <w:ind w:left="640" w:leftChars="0" w:firstLine="0" w:firstLineChars="0"/>
      </w:pPr>
    </w:lvl>
  </w:abstractNum>
  <w:abstractNum w:abstractNumId="3">
    <w:nsid w:val="6C2B6F71"/>
    <w:multiLevelType w:val="singleLevel"/>
    <w:tmpl w:val="6C2B6F71"/>
    <w:lvl w:ilvl="0" w:tentative="0">
      <w:start w:val="7"/>
      <w:numFmt w:val="decimal"/>
      <w:suff w:val="nothing"/>
      <w:lvlText w:val="（%1）"/>
      <w:lvlJc w:val="left"/>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0"/>
  <w:bordersDoNotSurroundFooter w:val="0"/>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9076E1D"/>
    <w:rsid w:val="000429DB"/>
    <w:rsid w:val="00066060"/>
    <w:rsid w:val="00675E17"/>
    <w:rsid w:val="00683AC4"/>
    <w:rsid w:val="008110CC"/>
    <w:rsid w:val="00B358C5"/>
    <w:rsid w:val="00C04C9A"/>
    <w:rsid w:val="00CB427A"/>
    <w:rsid w:val="00F500B9"/>
    <w:rsid w:val="01992CBB"/>
    <w:rsid w:val="022502CD"/>
    <w:rsid w:val="0509472F"/>
    <w:rsid w:val="05EB1609"/>
    <w:rsid w:val="07AE5E5E"/>
    <w:rsid w:val="088E12C8"/>
    <w:rsid w:val="08EE0B31"/>
    <w:rsid w:val="09D26CC5"/>
    <w:rsid w:val="0A326819"/>
    <w:rsid w:val="0CBF216E"/>
    <w:rsid w:val="0EDC287B"/>
    <w:rsid w:val="0FCB58D0"/>
    <w:rsid w:val="108456D0"/>
    <w:rsid w:val="11427CB1"/>
    <w:rsid w:val="12D42267"/>
    <w:rsid w:val="139E3D52"/>
    <w:rsid w:val="162B4B72"/>
    <w:rsid w:val="17380C43"/>
    <w:rsid w:val="17E25AC4"/>
    <w:rsid w:val="18AC060B"/>
    <w:rsid w:val="19076E1D"/>
    <w:rsid w:val="1A7473A5"/>
    <w:rsid w:val="1C372B12"/>
    <w:rsid w:val="1D390BBB"/>
    <w:rsid w:val="1EBD751D"/>
    <w:rsid w:val="1F117155"/>
    <w:rsid w:val="204B45CE"/>
    <w:rsid w:val="215A7574"/>
    <w:rsid w:val="21944CC3"/>
    <w:rsid w:val="22DF4A38"/>
    <w:rsid w:val="25705B71"/>
    <w:rsid w:val="25B207B0"/>
    <w:rsid w:val="25FC17B3"/>
    <w:rsid w:val="29EF587A"/>
    <w:rsid w:val="2CF5337D"/>
    <w:rsid w:val="2D2D00F9"/>
    <w:rsid w:val="2DBB222D"/>
    <w:rsid w:val="2E5D3F9C"/>
    <w:rsid w:val="2FDD2CCC"/>
    <w:rsid w:val="30A96F5C"/>
    <w:rsid w:val="30E02F2A"/>
    <w:rsid w:val="31D40AAE"/>
    <w:rsid w:val="34DB0601"/>
    <w:rsid w:val="353165B1"/>
    <w:rsid w:val="381119B2"/>
    <w:rsid w:val="3BD871B8"/>
    <w:rsid w:val="3CA901AF"/>
    <w:rsid w:val="3CBC35ED"/>
    <w:rsid w:val="3CF55A87"/>
    <w:rsid w:val="3E3E262A"/>
    <w:rsid w:val="429A727D"/>
    <w:rsid w:val="4322216B"/>
    <w:rsid w:val="46A03014"/>
    <w:rsid w:val="474B3B16"/>
    <w:rsid w:val="48C72496"/>
    <w:rsid w:val="4B205880"/>
    <w:rsid w:val="4C0B38BC"/>
    <w:rsid w:val="4C0B7195"/>
    <w:rsid w:val="4D3B293C"/>
    <w:rsid w:val="4E6C6BE3"/>
    <w:rsid w:val="4ED77806"/>
    <w:rsid w:val="4F0948D4"/>
    <w:rsid w:val="50DE423D"/>
    <w:rsid w:val="51B40312"/>
    <w:rsid w:val="54050F46"/>
    <w:rsid w:val="553A45B9"/>
    <w:rsid w:val="55D86314"/>
    <w:rsid w:val="57CC144D"/>
    <w:rsid w:val="5866730E"/>
    <w:rsid w:val="58AF4FBF"/>
    <w:rsid w:val="59D94BDA"/>
    <w:rsid w:val="5B451FFF"/>
    <w:rsid w:val="5D891F81"/>
    <w:rsid w:val="5DE7552A"/>
    <w:rsid w:val="5ED53471"/>
    <w:rsid w:val="5EE0003E"/>
    <w:rsid w:val="5F050FE7"/>
    <w:rsid w:val="5F38390A"/>
    <w:rsid w:val="629A7316"/>
    <w:rsid w:val="62B20F12"/>
    <w:rsid w:val="641E7445"/>
    <w:rsid w:val="656B0754"/>
    <w:rsid w:val="689A42B6"/>
    <w:rsid w:val="6989215C"/>
    <w:rsid w:val="6E2D247D"/>
    <w:rsid w:val="6E4022ED"/>
    <w:rsid w:val="6F055AE8"/>
    <w:rsid w:val="704F08F7"/>
    <w:rsid w:val="71452C49"/>
    <w:rsid w:val="73224148"/>
    <w:rsid w:val="740D3209"/>
    <w:rsid w:val="749F0B85"/>
    <w:rsid w:val="772860B1"/>
    <w:rsid w:val="77EF2B74"/>
    <w:rsid w:val="79FD3DAA"/>
    <w:rsid w:val="7A1A07F4"/>
    <w:rsid w:val="7AC64CCA"/>
    <w:rsid w:val="7B0E361F"/>
    <w:rsid w:val="7B4102B0"/>
    <w:rsid w:val="7CED4ECE"/>
    <w:rsid w:val="7F0C59E2"/>
    <w:rsid w:val="7F262DE1"/>
    <w:rsid w:val="7FBE55B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99" w:semiHidden="0" w:name="heading 2"/>
    <w:lsdException w:qFormat="1" w:uiPriority="0" w:semiHidden="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2"/>
    <w:basedOn w:val="1"/>
    <w:next w:val="1"/>
    <w:link w:val="10"/>
    <w:qFormat/>
    <w:uiPriority w:val="99"/>
    <w:pPr>
      <w:keepNext/>
      <w:keepLines/>
      <w:spacing w:line="416" w:lineRule="auto"/>
      <w:outlineLvl w:val="1"/>
    </w:pPr>
    <w:rPr>
      <w:rFonts w:ascii="Arial" w:hAnsi="Arial" w:eastAsia="黑体" w:cs="Arial"/>
      <w:b/>
      <w:bCs/>
      <w:sz w:val="32"/>
      <w:szCs w:val="32"/>
    </w:rPr>
  </w:style>
  <w:style w:type="paragraph" w:styleId="3">
    <w:name w:val="heading 3"/>
    <w:basedOn w:val="1"/>
    <w:next w:val="1"/>
    <w:unhideWhenUsed/>
    <w:qFormat/>
    <w:locked/>
    <w:uiPriority w:val="0"/>
    <w:pPr>
      <w:keepNext/>
      <w:keepLines/>
      <w:spacing w:before="260" w:after="260" w:line="413" w:lineRule="auto"/>
      <w:outlineLvl w:val="2"/>
    </w:pPr>
    <w:rPr>
      <w:b/>
      <w:sz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0"/>
    <w:rPr>
      <w:rFonts w:hint="eastAsia"/>
      <w:sz w:val="32"/>
    </w:rPr>
  </w:style>
  <w:style w:type="paragraph" w:styleId="5">
    <w:name w:val="Balloon Text"/>
    <w:basedOn w:val="1"/>
    <w:link w:val="12"/>
    <w:semiHidden/>
    <w:unhideWhenUsed/>
    <w:qFormat/>
    <w:uiPriority w:val="99"/>
    <w:rPr>
      <w:sz w:val="18"/>
      <w:szCs w:val="18"/>
    </w:rPr>
  </w:style>
  <w:style w:type="paragraph" w:styleId="6">
    <w:name w:val="footer"/>
    <w:basedOn w:val="1"/>
    <w:link w:val="11"/>
    <w:qFormat/>
    <w:uiPriority w:val="99"/>
    <w:pPr>
      <w:tabs>
        <w:tab w:val="center" w:pos="4153"/>
        <w:tab w:val="right" w:pos="8306"/>
      </w:tabs>
      <w:snapToGrid w:val="0"/>
      <w:jc w:val="left"/>
    </w:pPr>
    <w:rPr>
      <w:sz w:val="18"/>
      <w:szCs w:val="18"/>
    </w:rPr>
  </w:style>
  <w:style w:type="character" w:styleId="9">
    <w:name w:val="page number"/>
    <w:basedOn w:val="8"/>
    <w:qFormat/>
    <w:uiPriority w:val="99"/>
  </w:style>
  <w:style w:type="character" w:customStyle="1" w:styleId="10">
    <w:name w:val="标题 2 Char"/>
    <w:basedOn w:val="8"/>
    <w:link w:val="2"/>
    <w:semiHidden/>
    <w:qFormat/>
    <w:uiPriority w:val="9"/>
    <w:rPr>
      <w:rFonts w:asciiTheme="majorHAnsi" w:hAnsiTheme="majorHAnsi" w:eastAsiaTheme="majorEastAsia" w:cstheme="majorBidi"/>
      <w:b/>
      <w:bCs/>
      <w:sz w:val="32"/>
      <w:szCs w:val="32"/>
    </w:rPr>
  </w:style>
  <w:style w:type="character" w:customStyle="1" w:styleId="11">
    <w:name w:val="页脚 Char"/>
    <w:basedOn w:val="8"/>
    <w:link w:val="6"/>
    <w:semiHidden/>
    <w:qFormat/>
    <w:uiPriority w:val="99"/>
    <w:rPr>
      <w:rFonts w:cs="Calibri"/>
      <w:sz w:val="18"/>
      <w:szCs w:val="18"/>
    </w:rPr>
  </w:style>
  <w:style w:type="character" w:customStyle="1" w:styleId="12">
    <w:name w:val="批注框文本 Char"/>
    <w:basedOn w:val="8"/>
    <w:link w:val="5"/>
    <w:semiHidden/>
    <w:qFormat/>
    <w:uiPriority w:val="99"/>
    <w:rPr>
      <w:rFonts w:ascii="Calibri" w:hAnsi="Calibri" w:cs="Calibr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25</Pages>
  <Words>5119</Words>
  <Characters>5547</Characters>
  <Lines>3</Lines>
  <Paragraphs>5</Paragraphs>
  <TotalTime>3</TotalTime>
  <ScaleCrop>false</ScaleCrop>
  <LinksUpToDate>false</LinksUpToDate>
  <CharactersWithSpaces>5612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2018-01-17T02:36:00Z</dcterms:created>
  <dc:creator>Administrator</dc:creator>
  <cp:lastModifiedBy>嘟嘟</cp:lastModifiedBy>
  <cp:lastPrinted>2021-05-26T02:23:00Z</cp:lastPrinted>
  <dcterms:modified xsi:type="dcterms:W3CDTF">2025-08-29T06:53:21Z</dcterms:modified>
  <dc:title>附件2：2018年市级部门预算说明和预算公开表</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FE2D302E02694BE08934E82659B80D59</vt:lpwstr>
  </property>
  <property fmtid="{D5CDD505-2E9C-101B-9397-08002B2CF9AE}" pid="4" name="KSOTemplateDocerSaveRecord">
    <vt:lpwstr>eyJoZGlkIjoiMjE2YWY5NzI1MThhZDljY2U3MzkwYzYyOTljZjg5ZmIiLCJ1c2VySWQiOiI0MjQ5NjU3NjUifQ==</vt:lpwstr>
  </property>
</Properties>
</file>