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r>
        <w:rPr>
          <w:rFonts w:hint="eastAsia" w:ascii="楷体_GB2312" w:hAnsi="仿宋" w:eastAsia="楷体_GB2312" w:cs="楷体_GB2312"/>
          <w:sz w:val="32"/>
          <w:szCs w:val="32"/>
        </w:rPr>
        <w:t>附件：</w:t>
      </w:r>
    </w:p>
    <w:p>
      <w:pPr>
        <w:pStyle w:val="4"/>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eastAsia="zh-CN"/>
        </w:rPr>
        <w:t>民政</w:t>
      </w:r>
      <w:r>
        <w:rPr>
          <w:rFonts w:hint="eastAsia" w:ascii="黑体" w:hAnsi="黑体" w:eastAsia="黑体" w:cs="黑体"/>
        </w:rPr>
        <w:t>局2021年部门预算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民政局</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民政</w:t>
      </w:r>
      <w:r>
        <w:rPr>
          <w:rFonts w:hint="eastAsia" w:ascii="黑体" w:hAnsi="宋体" w:eastAsia="黑体" w:cs="黑体"/>
          <w:sz w:val="32"/>
          <w:szCs w:val="32"/>
        </w:rPr>
        <w:t>局2021年部门预算情况说明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景德镇市民政</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民政</w:t>
      </w:r>
      <w:r>
        <w:rPr>
          <w:rFonts w:hint="eastAsia" w:ascii="黑体" w:hAnsi="宋体" w:eastAsia="黑体" w:cs="黑体"/>
          <w:sz w:val="32"/>
          <w:szCs w:val="32"/>
        </w:rPr>
        <w:t>局概况</w:t>
      </w:r>
    </w:p>
    <w:p>
      <w:p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一、部门主要职责</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第一条  根据《省委办公厅、省政府办公厅关于印发景德镇市市县机构改革方案的通知》（赣厅字〔2018〕96 号）、《市委办公室、市政府办公室关于印发&lt;景德镇市机构改革实施方案&gt;的通知》</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（景办发〔2019〕2 号）精神，制定本规定。</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第二条 市民政局为市政府工作部门，正县级。</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第三条 市民政局贯彻落实党中央、省委关于民政工作的方针政策和决策部署，在履行职责过程中坚持和加强党对民政工作的集中统一领导。主要职责是：</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（一）拟订全市民政事业发展规划和政策，草拟有关地方性政策法规规章草案，并组织实施和监督检查；指导民政工作的改革与发展。</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（二）拟订全市社会团体、社会服务机构等社会组织登记和监督管理制度并组织实施，依法对社会组织进行登记管理和执法监督。参与指导全市社会组织党建工作。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拟订全市社会救助政策、标准，统筹社会救助体系建设，组织实施全市城乡居民最低生活保障、特困人员救助供养、临时救助、生活无着流浪乞讨人员救助工作。牵头负责农村脱贫攻坚兜底保障和城镇贫困群众脱贫解困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（四）拟订全市城乡基层群众自治建设和社区治理政策，指导城乡社区治理体系和治理能力建设，提出加强和改进城乡基层政权建设的建议，推动基层民主政治建设。</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五）拟订全市行政区划、行政区域界限、地名管理的政策、标准。负责县（市、区）、乡（镇）行政区域的设立、命名、变更和县（市、区）、乡(镇)人民政府驻地迁移审核报批工作。加强地名规范管理，提供地名公共服务；组织设置和管理地名标志，推行、公布标准地名的使用。负责全市标准地名资料的编辑和审定， 收集、整理和鉴定地名档案。指导和承办县乡级行政区域界线的勘定和管理。承担重要自然地理实体命名、更名有关工作。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（六）拟订全市婚姻管理政策并组织实施，推进婚俗改革。</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（七）拟订全市殡葬管理政策、服务规范并组织实施，推进殡葬改革。</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（八）统筹推进、督促指导、监督管理养老服务工作，拟订全市养老服务体系建设规划、政策、标准并组织实施，承担老年人福利和特殊困难老年人救助工作。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（九）拟订全市残疾人权益保护政策，统筹推进残疾人福利制度建设和康复辅助器具产业发展。</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（十）拟订全市儿童福利、孤弃儿童保障、儿童收养、儿童救助保护政策、标准，健全农村留守儿童关爱服务体系和困境儿童保障制度。</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（十一）拟订全市促进慈善事业发展政策，指导社会捐助工作,负责福利彩票管理工作。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（十二）拟订全市社会工作、志愿服务政策和标准，会同有关部门推进社会工作人才队伍建设和志愿者队伍建设。</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（十三）负责民政系统安全生产监督管理工作。指导养老服务、特困供养、儿童福利、未成年人保护、救助管理、殡葬服务等民政服务机构的安全生产监督管理工作。</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（十四）承办市委、市政府交办的其他任务。</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十五）职能转变。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ind w:firstLine="640" w:firstLineChars="200"/>
        <w:rPr>
          <w:rFonts w:hint="eastAsia" w:ascii="仿宋_GB2312" w:hAnsi="宋体" w:eastAsia="仿宋_GB2312" w:cs="仿宋_GB2312"/>
          <w:b/>
          <w:bCs/>
          <w:sz w:val="32"/>
          <w:szCs w:val="32"/>
        </w:rPr>
      </w:pPr>
      <w:r>
        <w:rPr>
          <w:rFonts w:hint="eastAsia" w:ascii="仿宋_GB2312" w:hAnsi="宋体" w:eastAsia="仿宋_GB2312" w:cs="仿宋_GB2312"/>
          <w:sz w:val="32"/>
          <w:szCs w:val="32"/>
        </w:rPr>
        <w:t>（十六）与卫生健康委员会的有关职责分工。民政局负责统筹推进、督促指导、监督管理养老服务工作，拟订养老服务体系建设规划、政策、标准并组织实施，承担老年人福利和特殊困难老年人救助工作。卫生健康委员会负责拟订应对人口老龄化、医养结合政策措施，综合协调、督促指导、组织推进老龄事业发展， 承担老年疾病防治、老年人医疗照护、老年人心理健康与关怀服务等老年健康工作。</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w:t>
      </w:r>
      <w:r>
        <w:rPr>
          <w:rFonts w:hint="eastAsia" w:ascii="仿宋_GB2312" w:hAnsi="宋体" w:eastAsia="仿宋_GB2312" w:cs="仿宋_GB2312"/>
          <w:b/>
          <w:bCs/>
          <w:sz w:val="32"/>
          <w:szCs w:val="32"/>
          <w:lang w:eastAsia="zh-CN"/>
        </w:rPr>
        <w:t>机构设置等基本</w:t>
      </w:r>
      <w:r>
        <w:rPr>
          <w:rFonts w:hint="eastAsia" w:ascii="仿宋_GB2312" w:hAnsi="宋体" w:eastAsia="仿宋_GB2312" w:cs="仿宋_GB2312"/>
          <w:b/>
          <w:bCs/>
          <w:sz w:val="32"/>
          <w:szCs w:val="32"/>
        </w:rPr>
        <w:t>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景德镇市民政局共有预算单位9个，包括局本级和所属8个二级预算单位。编制数为128人，其中行政编制20人、参照公务员法管理事业编制30人，全额补助事业编制44人、部分补助事业编制34人；实有人数21</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108</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人、参照公务员法管理事业人员2</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33</w:t>
      </w:r>
      <w:r>
        <w:rPr>
          <w:rFonts w:hint="eastAsia" w:ascii="仿宋_GB2312" w:hAnsi="宋体" w:eastAsia="仿宋_GB2312" w:cs="仿宋_GB2312"/>
          <w:sz w:val="32"/>
          <w:szCs w:val="32"/>
        </w:rPr>
        <w:t>人、部分补助事业编人员32人；离休人员2人；退休人员101人。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景德镇市民政</w:t>
      </w:r>
      <w:r>
        <w:rPr>
          <w:rFonts w:hint="eastAsia" w:ascii="黑体" w:hAnsi="宋体" w:eastAsia="黑体" w:cs="黑体"/>
          <w:sz w:val="32"/>
          <w:szCs w:val="32"/>
        </w:rPr>
        <w:t>局2021年部门预算情况说明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40" w:firstLineChars="200"/>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2021年民政局收入预算总额为3209.74万元，与上年预算相比减少43.1万元，主要原因为2021年预算项目经费还有未确定的。其中：当年公共财政拨款收入1937.16万元，占收入预算总额的60.35%；上年结余结转收入1272.58万元，占收入预算总额的39.64%。</w:t>
      </w:r>
    </w:p>
    <w:p>
      <w:pPr>
        <w:numPr>
          <w:ilvl w:val="0"/>
          <w:numId w:val="1"/>
        </w:numPr>
        <w:ind w:firstLine="482" w:firstLineChars="15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预算支出情况</w:t>
      </w:r>
    </w:p>
    <w:p>
      <w:pPr>
        <w:pStyle w:val="2"/>
        <w:numPr>
          <w:ilvl w:val="0"/>
          <w:numId w:val="0"/>
        </w:numPr>
        <w:ind w:firstLine="960" w:firstLineChars="3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民政局</w:t>
      </w:r>
      <w:r>
        <w:rPr>
          <w:rFonts w:hint="eastAsia" w:ascii="仿宋_GB2312" w:hAnsi="宋体" w:eastAsia="仿宋_GB2312" w:cs="仿宋_GB2312"/>
          <w:sz w:val="32"/>
          <w:szCs w:val="32"/>
        </w:rPr>
        <w:t>支出预算总额</w:t>
      </w:r>
      <w:r>
        <w:rPr>
          <w:rFonts w:hint="eastAsia" w:ascii="仿宋_GB2312" w:hAnsi="宋体" w:eastAsia="仿宋_GB2312" w:cs="仿宋_GB2312"/>
          <w:sz w:val="32"/>
          <w:szCs w:val="32"/>
          <w:lang w:val="en-US" w:eastAsia="zh-CN"/>
        </w:rPr>
        <w:t>3209.74</w:t>
      </w:r>
      <w:r>
        <w:rPr>
          <w:rFonts w:hint="eastAsia" w:ascii="仿宋_GB2312" w:hAnsi="宋体" w:eastAsia="仿宋_GB2312" w:cs="仿宋_GB2312"/>
          <w:sz w:val="32"/>
          <w:szCs w:val="32"/>
        </w:rPr>
        <w:t>万元，与上年预算相比减少</w:t>
      </w:r>
      <w:r>
        <w:rPr>
          <w:rFonts w:hint="eastAsia" w:ascii="仿宋_GB2312" w:hAnsi="宋体" w:eastAsia="仿宋_GB2312" w:cs="仿宋_GB2312"/>
          <w:sz w:val="32"/>
          <w:szCs w:val="32"/>
          <w:lang w:val="en-US" w:eastAsia="zh-CN"/>
        </w:rPr>
        <w:t>43.1</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val="en-US" w:eastAsia="zh-CN"/>
        </w:rPr>
        <w:t>2021年预算项目经费还有未确定的。其中：按支出项目类别：基本支出1849.75万元，占支出预算总额的57.63%，包括工资福利支出1449.69万元、商品和服务支出358.76万元、对个人和家庭的补助41.3万元；项目支出1359.99万元，占支出总额的42.37%，包括商品和服务支出1223.17万元、其他支出136.82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1666.5万元，占预算总额的86.03%；卫生健康支出179.77万元，占支出预算总额的9.28%；住房保障支出90.89万元，占支出预算总额的4.69%。</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1449.69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45.17</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1581.93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49.29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对个人和家庭的补助</w:t>
      </w:r>
      <w:r>
        <w:rPr>
          <w:rFonts w:hint="eastAsia" w:ascii="仿宋_GB2312" w:hAnsi="宋体" w:eastAsia="仿宋_GB2312" w:cs="仿宋_GB2312"/>
          <w:sz w:val="32"/>
          <w:szCs w:val="32"/>
          <w:lang w:val="en-US" w:eastAsia="zh-CN"/>
        </w:rPr>
        <w:t>41.3万元，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1.28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；其他支出</w:t>
      </w:r>
      <w:r>
        <w:rPr>
          <w:rFonts w:hint="eastAsia" w:ascii="仿宋_GB2312" w:hAnsi="宋体" w:eastAsia="仿宋_GB2312" w:cs="仿宋_GB2312"/>
          <w:sz w:val="32"/>
          <w:szCs w:val="32"/>
          <w:lang w:val="en-US" w:eastAsia="zh-CN"/>
        </w:rPr>
        <w:t>136.82万元，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4.26</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eastAsia="仿宋_GB2312"/>
          <w:b/>
          <w:bCs/>
          <w:color w:val="000000"/>
          <w:sz w:val="32"/>
          <w:szCs w:val="30"/>
        </w:rPr>
      </w:pPr>
      <w:r>
        <w:rPr>
          <w:rFonts w:hint="eastAsia" w:ascii="仿宋_GB2312" w:hAnsi="宋体" w:eastAsia="仿宋_GB2312" w:cs="仿宋_GB2312"/>
          <w:sz w:val="32"/>
          <w:szCs w:val="32"/>
          <w:lang w:val="en-US" w:eastAsia="zh-CN"/>
        </w:rPr>
        <w:t>2021年民政局财务拨款支出预算1937.16万元，占支出预算总额的60.35%，与上年预算相比减少299.37万元，原因是2021年预算项目经费还有未确定的。具</w:t>
      </w:r>
      <w:r>
        <w:rPr>
          <w:rFonts w:hint="eastAsia" w:ascii="仿宋_GB2312" w:hAnsi="宋体" w:eastAsia="仿宋_GB2312" w:cs="仿宋_GB2312"/>
          <w:sz w:val="32"/>
          <w:szCs w:val="32"/>
        </w:rPr>
        <w:t>体支出情况是：</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1666.5</w:t>
      </w:r>
      <w:r>
        <w:rPr>
          <w:rFonts w:hint="eastAsia" w:ascii="仿宋_GB2312" w:hAnsi="宋体" w:eastAsia="仿宋_GB2312" w:cs="仿宋_GB2312"/>
          <w:sz w:val="32"/>
          <w:szCs w:val="32"/>
        </w:rPr>
        <w:t>万元，占财政拨款支出的</w:t>
      </w:r>
      <w:r>
        <w:rPr>
          <w:rFonts w:hint="eastAsia" w:ascii="仿宋_GB2312" w:hAnsi="宋体" w:eastAsia="仿宋_GB2312" w:cs="仿宋_GB2312"/>
          <w:sz w:val="32"/>
          <w:szCs w:val="32"/>
          <w:lang w:val="en-US" w:eastAsia="zh-CN"/>
        </w:rPr>
        <w:t>86.03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179.77</w:t>
      </w:r>
      <w:r>
        <w:rPr>
          <w:rFonts w:hint="eastAsia" w:ascii="仿宋_GB2312" w:hAnsi="宋体" w:eastAsia="仿宋_GB2312" w:cs="仿宋_GB2312"/>
          <w:sz w:val="32"/>
          <w:szCs w:val="32"/>
        </w:rPr>
        <w:t>万元，占财政拨款支出</w:t>
      </w:r>
      <w:r>
        <w:rPr>
          <w:rFonts w:hint="eastAsia" w:ascii="仿宋_GB2312" w:hAnsi="宋体" w:eastAsia="仿宋_GB2312" w:cs="仿宋_GB2312"/>
          <w:sz w:val="32"/>
          <w:szCs w:val="32"/>
          <w:lang w:eastAsia="zh-CN"/>
        </w:rPr>
        <w:t>的</w:t>
      </w:r>
      <w:r>
        <w:rPr>
          <w:rFonts w:hint="eastAsia" w:ascii="仿宋_GB2312" w:hAnsi="宋体" w:eastAsia="仿宋_GB2312" w:cs="仿宋_GB2312"/>
          <w:sz w:val="32"/>
          <w:szCs w:val="32"/>
          <w:lang w:val="en-US" w:eastAsia="zh-CN"/>
        </w:rPr>
        <w:t>9.28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90.89万元，占财政拨款支出的4.69%</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）政府基金收支情况</w:t>
      </w:r>
    </w:p>
    <w:p>
      <w:pPr>
        <w:ind w:left="420" w:leftChars="200"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无政府基金收支预算</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（五）机关运行经费情况说明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仿宋_GB2312"/>
          <w:b/>
          <w:bCs/>
          <w:sz w:val="32"/>
          <w:szCs w:val="32"/>
          <w:lang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民政局</w:t>
      </w:r>
      <w:r>
        <w:rPr>
          <w:rFonts w:hint="eastAsia" w:ascii="仿宋_GB2312" w:hAnsi="宋体" w:eastAsia="仿宋_GB2312" w:cs="仿宋_GB2312"/>
          <w:sz w:val="32"/>
          <w:szCs w:val="32"/>
        </w:rPr>
        <w:t>机关运行经费预算</w:t>
      </w:r>
      <w:r>
        <w:rPr>
          <w:rFonts w:hint="eastAsia" w:ascii="仿宋_GB2312" w:hAnsi="宋体" w:eastAsia="仿宋_GB2312" w:cs="仿宋_GB2312"/>
          <w:sz w:val="32"/>
          <w:szCs w:val="32"/>
          <w:lang w:val="en-US" w:eastAsia="zh-CN"/>
        </w:rPr>
        <w:t>256.25</w:t>
      </w:r>
      <w:r>
        <w:rPr>
          <w:rFonts w:hint="eastAsia" w:ascii="仿宋_GB2312" w:hAnsi="宋体" w:eastAsia="仿宋_GB2312" w:cs="仿宋_GB2312"/>
          <w:sz w:val="32"/>
          <w:szCs w:val="32"/>
        </w:rPr>
        <w:t>万元，与上年预算数</w:t>
      </w:r>
      <w:r>
        <w:rPr>
          <w:rFonts w:hint="eastAsia" w:ascii="仿宋_GB2312" w:hAnsi="宋体" w:eastAsia="仿宋_GB2312" w:cs="仿宋_GB2312"/>
          <w:sz w:val="32"/>
          <w:szCs w:val="32"/>
          <w:lang w:val="en-US" w:eastAsia="zh-CN"/>
        </w:rPr>
        <w:t>相比下降了65.96%，主要原因是市殡葬管理处2021年无非税收入，机关运行经费为0。</w:t>
      </w:r>
    </w:p>
    <w:p>
      <w:pPr>
        <w:numPr>
          <w:ilvl w:val="0"/>
          <w:numId w:val="0"/>
        </w:numPr>
        <w:ind w:left="840" w:leftChars="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rPr>
        <w:t>政府采购预算情况</w:t>
      </w:r>
    </w:p>
    <w:p>
      <w:pPr>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民政局政府采购货物预算为65.57万元，与上年预算相比减少286.85万元，减少了81.39%，主要原因是市殡葬管理处2021年无公用经费预算，无政府采购预算，其中：部门集中采购61.67万元，部门分散采购3.9万元。政府购买服务74.7万元。</w:t>
      </w:r>
    </w:p>
    <w:p>
      <w:pPr>
        <w:numPr>
          <w:ilvl w:val="0"/>
          <w:numId w:val="0"/>
        </w:numPr>
        <w:ind w:left="840" w:leftChars="0"/>
        <w:rPr>
          <w:rFonts w:hint="eastAsia"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（七）国有资产占用情况说明</w:t>
      </w:r>
    </w:p>
    <w:p>
      <w:pPr>
        <w:ind w:firstLine="630"/>
        <w:jc w:val="left"/>
        <w:rPr>
          <w:rFonts w:hint="eastAsia" w:ascii="仿宋_GB2312" w:hAnsi="宋体" w:eastAsia="仿宋_GB2312" w:cs="仿宋_GB2312"/>
          <w:b/>
          <w:bCs/>
          <w:sz w:val="32"/>
          <w:szCs w:val="32"/>
          <w:lang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6</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lang w:val="en-US" w:eastAsia="zh-CN"/>
        </w:rPr>
        <w:t>0</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0" w:right="0" w:firstLine="645"/>
        <w:jc w:val="both"/>
        <w:rPr>
          <w:rFonts w:hint="eastAsia" w:ascii="仿宋_GB2312" w:eastAsia="仿宋_GB2312"/>
          <w:color w:val="000000"/>
          <w:sz w:val="32"/>
          <w:szCs w:val="30"/>
        </w:rPr>
      </w:pPr>
      <w:r>
        <w:rPr>
          <w:rFonts w:hint="eastAsia" w:ascii="仿宋" w:hAnsi="仿宋" w:eastAsia="仿宋" w:cs="仿宋"/>
          <w:i w:val="0"/>
          <w:caps w:val="0"/>
          <w:color w:val="000000"/>
          <w:spacing w:val="0"/>
          <w:kern w:val="0"/>
          <w:sz w:val="32"/>
          <w:szCs w:val="32"/>
          <w:shd w:val="clear" w:color="auto" w:fill="FFFFFF"/>
          <w:lang w:val="en-US" w:eastAsia="zh-CN" w:bidi="ar"/>
        </w:rPr>
        <w:t>2021 年市民政局部门整体绩效目标是以</w:t>
      </w:r>
      <w:r>
        <w:rPr>
          <w:rFonts w:hint="eastAsia" w:ascii="仿宋" w:hAnsi="仿宋" w:eastAsia="仿宋" w:cs="仿宋"/>
          <w:i w:val="0"/>
          <w:iCs w:val="0"/>
          <w:caps w:val="0"/>
          <w:color w:val="000000"/>
          <w:spacing w:val="0"/>
          <w:sz w:val="31"/>
          <w:szCs w:val="31"/>
          <w:shd w:val="clear" w:fill="FFFFFF"/>
        </w:rPr>
        <w:t>发挥民政在社会建设中兜底性、基础性作用为引领，以履行基本民生保障、基层社会治理、基本社会服务职责为核心，以社会救助、养老服务、社会事务、儿童福利、区划地名等为主要内容，以城乡社区为依托，以社会组织为重要载体，以社会工作人才和志愿服务队伍为重要力量，聚焦脱贫攻坚，聚焦特殊群体，聚焦群众关切，加快构建制度更加完备、体系更加健全、覆盖更加广泛、功能更加强大，与经济社会发展水平相适应的</w:t>
      </w:r>
      <w:r>
        <w:rPr>
          <w:rFonts w:hint="eastAsia" w:ascii="仿宋" w:hAnsi="仿宋" w:eastAsia="仿宋" w:cs="仿宋"/>
          <w:i w:val="0"/>
          <w:iCs w:val="0"/>
          <w:caps w:val="0"/>
          <w:color w:val="000000"/>
          <w:spacing w:val="0"/>
          <w:sz w:val="31"/>
          <w:szCs w:val="31"/>
          <w:shd w:val="clear" w:fill="FFFFFF"/>
          <w:lang w:eastAsia="zh-CN"/>
        </w:rPr>
        <w:t>民政事业</w:t>
      </w:r>
      <w:r>
        <w:rPr>
          <w:rFonts w:hint="eastAsia" w:ascii="仿宋" w:hAnsi="仿宋" w:eastAsia="仿宋" w:cs="仿宋"/>
          <w:i w:val="0"/>
          <w:iCs w:val="0"/>
          <w:caps w:val="0"/>
          <w:color w:val="000000"/>
          <w:spacing w:val="0"/>
          <w:sz w:val="31"/>
          <w:szCs w:val="31"/>
          <w:shd w:val="clear" w:fill="FFFFFF"/>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2021年实行绩效目标管理的一级项目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 个，涉及资金     </w:t>
      </w:r>
      <w:r>
        <w:rPr>
          <w:rFonts w:hint="eastAsia" w:ascii="仿宋_GB2312" w:eastAsia="仿宋_GB2312"/>
          <w:color w:val="000000"/>
          <w:sz w:val="32"/>
          <w:szCs w:val="30"/>
          <w:lang w:val="en-US" w:eastAsia="zh-CN"/>
        </w:rPr>
        <w:t>50</w:t>
      </w:r>
      <w:r>
        <w:rPr>
          <w:rFonts w:hint="eastAsia" w:ascii="仿宋_GB2312" w:eastAsia="仿宋_GB2312"/>
          <w:color w:val="000000"/>
          <w:sz w:val="32"/>
          <w:szCs w:val="30"/>
        </w:rPr>
        <w:t xml:space="preserve">万元，其中：二级项目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 个（部门预算中 </w:t>
      </w:r>
      <w:r>
        <w:rPr>
          <w:rFonts w:hint="eastAsia" w:ascii="仿宋_GB2312" w:eastAsia="仿宋_GB2312"/>
          <w:color w:val="000000"/>
          <w:sz w:val="32"/>
          <w:szCs w:val="30"/>
          <w:lang w:val="en-US" w:eastAsia="zh-CN"/>
        </w:rPr>
        <w:t>50</w:t>
      </w:r>
      <w:r>
        <w:rPr>
          <w:rFonts w:hint="eastAsia" w:ascii="仿宋_GB2312" w:eastAsia="仿宋_GB2312"/>
          <w:color w:val="000000"/>
          <w:sz w:val="32"/>
          <w:szCs w:val="30"/>
        </w:rPr>
        <w:t xml:space="preserve"> 万元以上的，且进行了绩效评审的项目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lang w:eastAsia="zh-CN"/>
        </w:rPr>
        <w:t>个</w:t>
      </w:r>
      <w:r>
        <w:rPr>
          <w:rFonts w:hint="eastAsia" w:ascii="仿宋_GB2312" w:eastAsia="仿宋_GB2312"/>
          <w:color w:val="000000"/>
          <w:sz w:val="32"/>
          <w:szCs w:val="30"/>
        </w:rPr>
        <w:t xml:space="preserve">，涉及资金 </w:t>
      </w:r>
      <w:r>
        <w:rPr>
          <w:rFonts w:hint="eastAsia" w:ascii="仿宋_GB2312" w:eastAsia="仿宋_GB2312"/>
          <w:color w:val="000000"/>
          <w:sz w:val="32"/>
          <w:szCs w:val="30"/>
          <w:lang w:val="en-US" w:eastAsia="zh-CN"/>
        </w:rPr>
        <w:t>50</w:t>
      </w:r>
      <w:r>
        <w:rPr>
          <w:rFonts w:hint="eastAsia" w:ascii="仿宋_GB2312" w:eastAsia="仿宋_GB2312"/>
          <w:color w:val="000000"/>
          <w:sz w:val="32"/>
          <w:szCs w:val="30"/>
        </w:rPr>
        <w:t xml:space="preserve"> 万元），涉及资金</w:t>
      </w:r>
      <w:r>
        <w:rPr>
          <w:rFonts w:hint="eastAsia" w:ascii="仿宋_GB2312" w:eastAsia="仿宋_GB2312"/>
          <w:color w:val="000000"/>
          <w:sz w:val="32"/>
          <w:szCs w:val="30"/>
          <w:lang w:val="en-US" w:eastAsia="zh-CN"/>
        </w:rPr>
        <w:t>50</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2</w:t>
      </w:r>
      <w:r>
        <w:rPr>
          <w:rFonts w:hint="eastAsia" w:ascii="仿宋_GB2312" w:eastAsia="仿宋_GB2312"/>
          <w:b/>
          <w:color w:val="000000"/>
          <w:sz w:val="32"/>
          <w:szCs w:val="30"/>
        </w:rPr>
        <w:t>）</w:t>
      </w:r>
      <w:r>
        <w:rPr>
          <w:rFonts w:hint="eastAsia" w:ascii="仿宋_GB2312" w:eastAsia="仿宋_GB2312"/>
          <w:b/>
          <w:color w:val="000000"/>
          <w:sz w:val="32"/>
          <w:szCs w:val="30"/>
          <w:lang w:eastAsia="zh-CN"/>
        </w:rPr>
        <w:t>民政管理事务</w:t>
      </w:r>
      <w:r>
        <w:rPr>
          <w:rFonts w:hint="eastAsia" w:ascii="仿宋_GB2312" w:eastAsia="仿宋_GB2312"/>
          <w:b/>
          <w:color w:val="000000"/>
          <w:sz w:val="32"/>
          <w:szCs w:val="30"/>
        </w:rPr>
        <w:t>一级项目中各二级项目情况说明（部门本级）</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一级项目概述</w:t>
      </w:r>
    </w:p>
    <w:p>
      <w:pPr>
        <w:widowControl/>
        <w:spacing w:line="600" w:lineRule="exact"/>
        <w:ind w:firstLine="640"/>
        <w:jc w:val="left"/>
        <w:rPr>
          <w:rFonts w:ascii="仿宋_GB2312" w:eastAsia="仿宋_GB2312"/>
          <w:color w:val="000000"/>
          <w:sz w:val="32"/>
          <w:szCs w:val="30"/>
        </w:rPr>
      </w:pPr>
      <w:r>
        <w:rPr>
          <w:rFonts w:hint="eastAsia" w:ascii="仿宋_GB2312" w:hAnsi="宋体" w:eastAsia="仿宋_GB2312" w:cs="仿宋_GB2312"/>
          <w:sz w:val="32"/>
          <w:szCs w:val="32"/>
        </w:rPr>
        <w:t>拟订全市民政事业发展规划和政策，指导民政工作的改革与发展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拟订全市社会组织登记和监督管理制度并组织实施，依法对社会组织进行登记管理和执法监督</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拟订全市社会救助政策、标准，统筹社会救助体系建设，组织实施全市</w:t>
      </w:r>
      <w:r>
        <w:rPr>
          <w:rFonts w:hint="eastAsia" w:ascii="仿宋_GB2312" w:hAnsi="宋体" w:eastAsia="仿宋_GB2312" w:cs="仿宋_GB2312"/>
          <w:sz w:val="32"/>
          <w:szCs w:val="32"/>
          <w:lang w:eastAsia="zh-CN"/>
        </w:rPr>
        <w:t>社会</w:t>
      </w:r>
      <w:r>
        <w:rPr>
          <w:rFonts w:hint="eastAsia" w:ascii="仿宋_GB2312" w:hAnsi="宋体" w:eastAsia="仿宋_GB2312" w:cs="仿宋_GB2312"/>
          <w:sz w:val="32"/>
          <w:szCs w:val="32"/>
        </w:rPr>
        <w:t>救助工作</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牵头负责农村脱贫攻坚兜底保障和城镇贫困群众脱贫解困工作。拟订全市城乡基层群众自治建设和社区治理政策</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推动基层民主政治建设。加强地名规范管理，提供地名公共服务；组织设置和管理地名标志，推行、公布标准地名的使用。推进婚俗改革</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推进殡葬改革。统筹推进、督促指导、监督管理养老服务工作，拟订全市养老服务体系建设规划、政策、标准并组织实施，承担老年人福利和特殊困难老年人救助工作。拟订全市残疾人权益保护政策，统筹推进残疾人福利制度建设和康复辅助器具产业发展。拟订全市儿童福利、孤弃儿童保障、儿童收养、儿童救助保护政策、标准，健全农村留守儿童关爱服务体系和困境儿童保障制度。拟订全市促进慈善事业发展政策，指导社会捐助工作,负责福利彩票管理工作。拟订全市社会工作、志愿服务政策和标准，会同有关部门推进社会工作人才队伍建设和志愿者队伍建设。</w:t>
      </w:r>
      <w:r>
        <w:rPr>
          <w:rFonts w:hint="eastAsia" w:ascii="仿宋_GB2312" w:eastAsia="仿宋_GB2312"/>
          <w:color w:val="000000"/>
          <w:sz w:val="32"/>
          <w:szCs w:val="30"/>
          <w:lang w:val="en-US" w:eastAsia="zh-CN"/>
        </w:rPr>
        <w:t xml:space="preserve">                                                                          </w:t>
      </w:r>
      <w:r>
        <w:rPr>
          <w:rFonts w:hint="eastAsia" w:ascii="仿宋_GB2312" w:eastAsia="仿宋_GB2312"/>
          <w:color w:val="000000"/>
          <w:sz w:val="32"/>
          <w:szCs w:val="30"/>
        </w:rPr>
        <w:t>1.</w:t>
      </w:r>
      <w:r>
        <w:rPr>
          <w:rFonts w:hint="eastAsia" w:ascii="仿宋_GB2312" w:eastAsia="仿宋_GB2312"/>
          <w:color w:val="000000"/>
          <w:sz w:val="32"/>
          <w:szCs w:val="30"/>
          <w:lang w:eastAsia="zh-CN"/>
        </w:rPr>
        <w:t>城乡困难群众春节走访慰问</w:t>
      </w:r>
      <w:r>
        <w:rPr>
          <w:rFonts w:hint="eastAsia" w:ascii="仿宋_GB2312" w:eastAsia="仿宋_GB2312"/>
          <w:color w:val="000000"/>
          <w:sz w:val="32"/>
          <w:szCs w:val="30"/>
        </w:rPr>
        <w:t>二级项目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1）项目概述</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645" w:leftChars="0" w:right="0" w:rightChars="0"/>
        <w:jc w:val="both"/>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2021年春节期间开展全市困难群众走访慰问活动</w:t>
      </w:r>
    </w:p>
    <w:p>
      <w:pPr>
        <w:widowControl/>
        <w:spacing w:line="600" w:lineRule="exact"/>
        <w:ind w:firstLine="640"/>
        <w:jc w:val="left"/>
        <w:rPr>
          <w:rFonts w:hint="eastAsia" w:ascii="仿宋_GB2312" w:eastAsia="仿宋_GB2312"/>
          <w:sz w:val="30"/>
          <w:szCs w:val="30"/>
          <w:lang w:val="en-US" w:eastAsia="zh-CN"/>
        </w:rPr>
      </w:pPr>
      <w:r>
        <w:rPr>
          <w:rFonts w:hint="eastAsia" w:ascii="仿宋_GB2312" w:eastAsia="仿宋_GB2312"/>
          <w:color w:val="000000"/>
          <w:sz w:val="32"/>
          <w:szCs w:val="30"/>
        </w:rPr>
        <w:t xml:space="preserve"> 2）立项依据</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645" w:leftChars="0" w:right="0" w:rightChars="0"/>
        <w:jc w:val="both"/>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2021年市委走访慰问通知</w:t>
      </w:r>
    </w:p>
    <w:p>
      <w:pPr>
        <w:widowControl/>
        <w:numPr>
          <w:ilvl w:val="0"/>
          <w:numId w:val="2"/>
        </w:numPr>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实施主体</w:t>
      </w:r>
    </w:p>
    <w:p>
      <w:pPr>
        <w:pStyle w:val="2"/>
        <w:numPr>
          <w:ilvl w:val="0"/>
          <w:numId w:val="0"/>
        </w:numPr>
        <w:rPr>
          <w:rFonts w:hint="default" w:ascii="仿宋_GB2312" w:hAnsi="Calibri" w:eastAsia="仿宋_GB2312" w:cs="Calibri"/>
          <w:color w:val="000000"/>
          <w:kern w:val="2"/>
          <w:sz w:val="32"/>
          <w:szCs w:val="30"/>
          <w:lang w:val="en-US" w:eastAsia="zh-CN" w:bidi="ar-SA"/>
        </w:rPr>
      </w:pPr>
      <w:r>
        <w:rPr>
          <w:rFonts w:hint="eastAsia"/>
          <w:lang w:val="en-US" w:eastAsia="zh-CN"/>
        </w:rPr>
        <w:t xml:space="preserve">  </w:t>
      </w:r>
      <w:r>
        <w:rPr>
          <w:rFonts w:hint="eastAsia" w:ascii="仿宋_GB2312" w:hAnsi="Calibri" w:eastAsia="仿宋_GB2312" w:cs="Calibri"/>
          <w:kern w:val="0"/>
          <w:sz w:val="30"/>
          <w:szCs w:val="30"/>
          <w:lang w:val="en-US" w:eastAsia="zh-CN" w:bidi="ar"/>
        </w:rPr>
        <w:t xml:space="preserve">   </w:t>
      </w:r>
      <w:r>
        <w:rPr>
          <w:rFonts w:hint="eastAsia" w:ascii="仿宋_GB2312" w:hAnsi="Calibri" w:eastAsia="仿宋_GB2312" w:cs="Calibri"/>
          <w:color w:val="000000"/>
          <w:kern w:val="2"/>
          <w:sz w:val="32"/>
          <w:szCs w:val="30"/>
          <w:lang w:val="en-US" w:eastAsia="zh-CN" w:bidi="ar-SA"/>
        </w:rPr>
        <w:t xml:space="preserve"> 市民政局</w:t>
      </w:r>
    </w:p>
    <w:p>
      <w:pPr>
        <w:widowControl/>
        <w:numPr>
          <w:ilvl w:val="0"/>
          <w:numId w:val="2"/>
        </w:numPr>
        <w:spacing w:line="600" w:lineRule="exact"/>
        <w:ind w:left="0" w:leftChars="0" w:firstLine="64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实施方案</w:t>
      </w:r>
    </w:p>
    <w:p>
      <w:pPr>
        <w:pStyle w:val="2"/>
        <w:numPr>
          <w:ilvl w:val="0"/>
          <w:numId w:val="0"/>
        </w:numPr>
        <w:ind w:left="640" w:leftChars="0"/>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2021年市委走访慰问通知</w:t>
      </w:r>
    </w:p>
    <w:p>
      <w:pPr>
        <w:widowControl/>
        <w:numPr>
          <w:ilvl w:val="0"/>
          <w:numId w:val="2"/>
        </w:numPr>
        <w:spacing w:line="600" w:lineRule="exact"/>
        <w:ind w:left="0" w:leftChars="0" w:firstLine="64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实施周期</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645" w:leftChars="0" w:right="0" w:rightChars="0"/>
        <w:jc w:val="both"/>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一年</w:t>
      </w:r>
    </w:p>
    <w:p>
      <w:pPr>
        <w:widowControl/>
        <w:numPr>
          <w:ilvl w:val="0"/>
          <w:numId w:val="2"/>
        </w:numPr>
        <w:spacing w:line="600" w:lineRule="exact"/>
        <w:ind w:left="0" w:leftChars="0" w:firstLine="640" w:firstLineChars="0"/>
        <w:jc w:val="left"/>
        <w:rPr>
          <w:rFonts w:hint="eastAsia" w:ascii="仿宋_GB2312" w:eastAsia="仿宋_GB2312"/>
          <w:color w:val="000000"/>
          <w:sz w:val="32"/>
          <w:szCs w:val="30"/>
        </w:rPr>
      </w:pPr>
      <w:r>
        <w:rPr>
          <w:rFonts w:hint="eastAsia" w:ascii="仿宋_GB2312" w:eastAsia="仿宋_GB2312"/>
          <w:color w:val="000000"/>
          <w:sz w:val="32"/>
          <w:szCs w:val="30"/>
        </w:rPr>
        <w:t>年度预算安排</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eastAsia="zh-CN"/>
        </w:rPr>
        <w:t>城乡困难群众春节走访慰问专项预算安排</w:t>
      </w:r>
      <w:r>
        <w:rPr>
          <w:rFonts w:hint="eastAsia" w:ascii="仿宋_GB2312" w:eastAsia="仿宋_GB2312"/>
          <w:color w:val="000000"/>
          <w:sz w:val="32"/>
          <w:szCs w:val="30"/>
          <w:lang w:val="en-US" w:eastAsia="zh-CN"/>
        </w:rPr>
        <w:t>50万元</w:t>
      </w:r>
    </w:p>
    <w:p>
      <w:pPr>
        <w:pStyle w:val="2"/>
        <w:numPr>
          <w:ilvl w:val="0"/>
          <w:numId w:val="0"/>
        </w:numPr>
        <w:ind w:left="640" w:leftChars="0"/>
      </w:pPr>
    </w:p>
    <w:p>
      <w:pPr>
        <w:widowControl/>
        <w:numPr>
          <w:ilvl w:val="0"/>
          <w:numId w:val="2"/>
        </w:numPr>
        <w:spacing w:line="600" w:lineRule="exact"/>
        <w:ind w:left="0" w:leftChars="0" w:firstLine="640" w:firstLineChars="0"/>
        <w:jc w:val="left"/>
        <w:rPr>
          <w:rFonts w:hint="eastAsia" w:ascii="仿宋_GB2312" w:eastAsia="仿宋_GB2312"/>
          <w:color w:val="000000"/>
          <w:sz w:val="32"/>
          <w:szCs w:val="30"/>
        </w:rPr>
      </w:pPr>
      <w:r>
        <w:rPr>
          <w:rFonts w:hint="eastAsia" w:ascii="仿宋_GB2312" w:eastAsia="仿宋_GB2312"/>
          <w:color w:val="000000"/>
          <w:sz w:val="32"/>
          <w:szCs w:val="30"/>
        </w:rPr>
        <w:t>绩效目标和指标</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（见附表：部门公开表10）</w:t>
      </w:r>
    </w:p>
    <w:p>
      <w:pPr>
        <w:pStyle w:val="2"/>
        <w:numPr>
          <w:ilvl w:val="0"/>
          <w:numId w:val="0"/>
        </w:numPr>
        <w:ind w:left="640" w:leftChars="0"/>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30" w:lineRule="atLeast"/>
        <w:ind w:left="0" w:right="0" w:firstLine="645"/>
        <w:jc w:val="both"/>
        <w:rPr>
          <w:rFonts w:hint="eastAsia" w:ascii="仿宋" w:hAnsi="仿宋" w:eastAsia="仿宋" w:cs="仿宋"/>
          <w:i w:val="0"/>
          <w:iCs w:val="0"/>
          <w:caps w:val="0"/>
          <w:color w:val="000000"/>
          <w:spacing w:val="0"/>
          <w:sz w:val="31"/>
          <w:szCs w:val="31"/>
          <w:shd w:val="clear" w:fill="FFFFFF"/>
          <w:lang w:eastAsia="zh-CN"/>
        </w:rPr>
      </w:pP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2021年市民政局“三公”经费年初预算安排29.9万元。其中：因公出国（境）费8万元，比上年增（减）0万元。</w:t>
      </w:r>
    </w:p>
    <w:p>
      <w:pPr>
        <w:pStyle w:val="2"/>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公务接待费14.13万元，比上年减少2.87万元，主要原因是殡葬管理处2021年度未安排公用经费预算，故没有公务接待费预算。</w:t>
      </w:r>
    </w:p>
    <w:p>
      <w:pPr>
        <w:pStyle w:val="2"/>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7.77</w:t>
      </w:r>
      <w:r>
        <w:rPr>
          <w:rFonts w:hint="eastAsia" w:ascii="仿宋_GB2312" w:hAnsi="宋体" w:eastAsia="仿宋_GB2312" w:cs="仿宋_GB2312"/>
          <w:sz w:val="32"/>
          <w:szCs w:val="32"/>
        </w:rPr>
        <w:t>万元，比上年减</w:t>
      </w:r>
      <w:r>
        <w:rPr>
          <w:rFonts w:hint="eastAsia" w:ascii="仿宋_GB2312" w:hAnsi="宋体" w:eastAsia="仿宋_GB2312" w:cs="仿宋_GB2312"/>
          <w:sz w:val="32"/>
          <w:szCs w:val="32"/>
          <w:lang w:eastAsia="zh-CN"/>
        </w:rPr>
        <w:t>少</w:t>
      </w:r>
      <w:r>
        <w:rPr>
          <w:rFonts w:hint="eastAsia" w:ascii="仿宋_GB2312" w:hAnsi="宋体" w:eastAsia="仿宋_GB2312" w:cs="仿宋_GB2312"/>
          <w:sz w:val="32"/>
          <w:szCs w:val="32"/>
          <w:lang w:val="en-US" w:eastAsia="zh-CN"/>
        </w:rPr>
        <w:t>37.59</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民政局本级</w:t>
      </w:r>
      <w:r>
        <w:rPr>
          <w:rFonts w:hint="eastAsia" w:ascii="仿宋_GB2312" w:hAnsi="宋体" w:eastAsia="仿宋_GB2312" w:cs="仿宋_GB2312"/>
          <w:sz w:val="32"/>
          <w:szCs w:val="32"/>
          <w:lang w:val="en-US" w:eastAsia="zh-CN"/>
        </w:rPr>
        <w:t>2020年收回一辆公车、殡葬管理处2021年度未安排公用经费预算，故没有公务用车运行维护费预算。</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rPr>
          <w:rFonts w:ascii="仿宋_GB2312" w:hAnsi="宋体" w:eastAsia="仿宋_GB2312" w:cs="仿宋_GB2312"/>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lang w:eastAsia="zh-CN"/>
        </w:rPr>
        <w:t>民政局</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 w:hAnsi="仿宋" w:eastAsia="仿宋" w:cs="仿宋"/>
          <w:sz w:val="32"/>
          <w:szCs w:val="32"/>
        </w:rPr>
      </w:pPr>
      <w:r>
        <w:rPr>
          <w:rFonts w:hint="eastAsia" w:ascii="仿宋" w:hAnsi="仿宋" w:eastAsia="仿宋" w:cs="仿宋"/>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val="en-US" w:eastAsia="zh-CN"/>
        </w:rPr>
        <w:t>2021</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w:t>
      </w:r>
      <w:r>
        <w:rPr>
          <w:rFonts w:hint="eastAsia" w:ascii="仿宋_GB2312" w:eastAsia="仿宋_GB2312"/>
          <w:color w:val="000000"/>
          <w:sz w:val="32"/>
          <w:szCs w:val="30"/>
          <w:lang w:val="en-US" w:eastAsia="zh-CN"/>
        </w:rPr>
        <w:t>2020</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b/>
          <w:bCs/>
          <w:color w:val="000000"/>
          <w:sz w:val="32"/>
          <w:szCs w:val="30"/>
        </w:rPr>
      </w:pPr>
      <w:r>
        <w:rPr>
          <w:rFonts w:hint="eastAsia" w:ascii="仿宋_GB2312" w:eastAsia="仿宋_GB2312"/>
          <w:b/>
          <w:bCs/>
          <w:color w:val="000000"/>
          <w:sz w:val="32"/>
          <w:szCs w:val="30"/>
        </w:rPr>
        <w:t>二、支出科目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val="en-US" w:eastAsia="zh-CN"/>
        </w:rPr>
        <w:t>2021</w:t>
      </w:r>
      <w:r>
        <w:rPr>
          <w:rFonts w:hint="eastAsia" w:ascii="仿宋_GB2312" w:eastAsia="仿宋_GB2312"/>
          <w:color w:val="000000"/>
          <w:sz w:val="32"/>
          <w:szCs w:val="30"/>
        </w:rPr>
        <w:t>年政府收支分类科目》的规范说明进行解释。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（一）社会保障和就业支出（类）民政管理事务（款）行政运行（项）：指民政局行政单位及参照公务员法管理的事业单位，用于保障机构正常运行、开展日常工作的基本支出。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（二）社会保障和就业支出（类）民政管理事务（款）一般行政管理事务（项）：指未单独设置项级科目的的其他项目支出。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（三）社会保障和就业支出（类）民政管理事务（款）行政区划和地名管理（项）：反应行政区划界限勘定、维护以及行政区划和地名管理支出。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四）社会保障和就业支出（类）民政管理事务（款）其他民政管理事务支出（项）：反应民政部门接待来访、法制建设、政策宣传方面的支出以及开展优抚安置、救灾减灾、社会救助、社会福利、社会事务、信息化建设等专项业务的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（五）社会保障和就业支出（类）行政事业单位离退休（款）机关事业单位基本养老保险缴费支出（项）：反映机关事业单位实施养老保险制度由单位缴纳的基本养老保险支出。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（六）社会保障和就业支出（类） 社会福利（款）儿童福利（项）：反应对儿童提供福利服务方面的支出。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（七）社会保障和就业支出（类） 社会福利（款）殡葬（项）：反应财政对民政部门的殡仪事业单位的补助支出。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（八）社会保障和就业支出（类） 社会福利（款）社会福利事业单位（项）：反应社会福利事业单位的支出。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（九）社会保障和就业支出（类） 社会福利（款）其他社会福利支出（项）：反应除上述外其他的社会福利方面的支出。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（十）社会保障和就业支出（类） 临时救助（款）临时救助支出（项）：反应城乡生活困难居民的临时救助支出。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（十一）社会保障和就业支出（类） 临时救助（款） 流浪乞讨人员救助支出（项）：反应用于生活无着的流浪乞讨人员的救助支出和救助管理机构的运转支出。</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（十二）住房保障支出（类） 住房改革支出（款）住房公积金（项）：住房公积金的支出。</w:t>
      </w:r>
    </w:p>
    <w:p>
      <w:pPr>
        <w:widowControl/>
        <w:spacing w:line="600" w:lineRule="exact"/>
        <w:ind w:firstLine="640"/>
        <w:jc w:val="left"/>
        <w:rPr>
          <w:rFonts w:ascii="仿宋_GB2312" w:eastAsia="仿宋_GB2312"/>
          <w:color w:val="000000"/>
          <w:sz w:val="32"/>
          <w:szCs w:val="30"/>
        </w:rPr>
      </w:pPr>
    </w:p>
    <w:p>
      <w:pPr>
        <w:widowControl/>
        <w:spacing w:line="600" w:lineRule="exact"/>
        <w:ind w:firstLine="640"/>
        <w:jc w:val="left"/>
        <w:rPr>
          <w:rFonts w:ascii="仿宋_GB2312" w:eastAsia="仿宋_GB2312"/>
          <w:color w:val="000000"/>
          <w:sz w:val="32"/>
          <w:szCs w:val="30"/>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59066"/>
    <w:multiLevelType w:val="singleLevel"/>
    <w:tmpl w:val="0AE59066"/>
    <w:lvl w:ilvl="0" w:tentative="0">
      <w:start w:val="3"/>
      <w:numFmt w:val="decimal"/>
      <w:suff w:val="nothing"/>
      <w:lvlText w:val="%1）"/>
      <w:lvlJc w:val="left"/>
    </w:lvl>
  </w:abstractNum>
  <w:abstractNum w:abstractNumId="1">
    <w:nsid w:val="77D3A0B0"/>
    <w:multiLevelType w:val="singleLevel"/>
    <w:tmpl w:val="77D3A0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DliOTY0N2RmYWFhOGUzM2IyNTlhM2ZhMmJhMDAifQ=="/>
  </w:docVars>
  <w:rsids>
    <w:rsidRoot w:val="19076E1D"/>
    <w:rsid w:val="000429DB"/>
    <w:rsid w:val="00066060"/>
    <w:rsid w:val="0045033D"/>
    <w:rsid w:val="00675E17"/>
    <w:rsid w:val="00683AC4"/>
    <w:rsid w:val="008110CC"/>
    <w:rsid w:val="00B358C5"/>
    <w:rsid w:val="00C04C9A"/>
    <w:rsid w:val="00CB427A"/>
    <w:rsid w:val="00F500B9"/>
    <w:rsid w:val="01992CBB"/>
    <w:rsid w:val="022502CD"/>
    <w:rsid w:val="04343B62"/>
    <w:rsid w:val="05EB1609"/>
    <w:rsid w:val="08EE0B31"/>
    <w:rsid w:val="0A326819"/>
    <w:rsid w:val="0CBF216E"/>
    <w:rsid w:val="0E4A5E31"/>
    <w:rsid w:val="0FA51207"/>
    <w:rsid w:val="0FCB58D0"/>
    <w:rsid w:val="11427CB1"/>
    <w:rsid w:val="139E3D52"/>
    <w:rsid w:val="162B4B72"/>
    <w:rsid w:val="18AC060B"/>
    <w:rsid w:val="19076E1D"/>
    <w:rsid w:val="1EBD751D"/>
    <w:rsid w:val="1F117155"/>
    <w:rsid w:val="204B45CE"/>
    <w:rsid w:val="22DF4A38"/>
    <w:rsid w:val="24404C94"/>
    <w:rsid w:val="253A1BDE"/>
    <w:rsid w:val="25705B71"/>
    <w:rsid w:val="2DBB222D"/>
    <w:rsid w:val="31D40AAE"/>
    <w:rsid w:val="32AF67E2"/>
    <w:rsid w:val="3410195A"/>
    <w:rsid w:val="381119B2"/>
    <w:rsid w:val="3BD871B8"/>
    <w:rsid w:val="3CF55A87"/>
    <w:rsid w:val="429A727D"/>
    <w:rsid w:val="4322216B"/>
    <w:rsid w:val="4C0B38BC"/>
    <w:rsid w:val="4C0B7195"/>
    <w:rsid w:val="4D3B293C"/>
    <w:rsid w:val="4E684668"/>
    <w:rsid w:val="512E2773"/>
    <w:rsid w:val="514A1507"/>
    <w:rsid w:val="51B14AB9"/>
    <w:rsid w:val="51B40312"/>
    <w:rsid w:val="57CC144D"/>
    <w:rsid w:val="62B20F12"/>
    <w:rsid w:val="641E7445"/>
    <w:rsid w:val="64BA3CBE"/>
    <w:rsid w:val="71452C49"/>
    <w:rsid w:val="73224148"/>
    <w:rsid w:val="74C50FC5"/>
    <w:rsid w:val="772860B1"/>
    <w:rsid w:val="7B4102B0"/>
    <w:rsid w:val="7DDB6C9A"/>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style>
  <w:style w:type="character" w:customStyle="1" w:styleId="11">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2">
    <w:name w:val="页脚 Char"/>
    <w:basedOn w:val="9"/>
    <w:link w:val="6"/>
    <w:semiHidden/>
    <w:qFormat/>
    <w:uiPriority w:val="99"/>
    <w:rPr>
      <w:rFonts w:cs="Calibri"/>
      <w:sz w:val="18"/>
      <w:szCs w:val="18"/>
    </w:rPr>
  </w:style>
  <w:style w:type="character" w:customStyle="1" w:styleId="13">
    <w:name w:val="批注框文本 Char"/>
    <w:basedOn w:val="9"/>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5285</Words>
  <Characters>5659</Characters>
  <Lines>3</Lines>
  <Paragraphs>5</Paragraphs>
  <TotalTime>185</TotalTime>
  <ScaleCrop>false</ScaleCrop>
  <LinksUpToDate>false</LinksUpToDate>
  <CharactersWithSpaces>5841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2022-10-27T08:42:51Z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45EFDE5957B249AF8BB8189B51AFD346</vt:lpwstr>
  </property>
</Properties>
</file>