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21459">
      <w:pPr>
        <w:pStyle w:val="3"/>
        <w:spacing w:before="0" w:after="0" w:line="240" w:lineRule="auto"/>
        <w:jc w:val="center"/>
        <w:rPr>
          <w:rFonts w:ascii="黑体" w:hAnsi="黑体" w:eastAsia="黑体" w:cs="黑体"/>
        </w:rPr>
      </w:pPr>
      <w:r>
        <w:rPr>
          <w:rFonts w:hint="eastAsia" w:ascii="黑体" w:hAnsi="黑体" w:eastAsia="黑体" w:cs="黑体"/>
        </w:rPr>
        <w:t>景德镇市中级人民法院2021年部门预算</w:t>
      </w:r>
    </w:p>
    <w:p w14:paraId="7554B4D5">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14:paraId="1A53DCB6">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黑体" w:eastAsia="黑体" w:cs="宋体"/>
          <w:color w:val="3D3D3D"/>
          <w:kern w:val="0"/>
          <w:sz w:val="35"/>
          <w:szCs w:val="35"/>
        </w:rPr>
        <w:t>中级人民法院</w:t>
      </w:r>
      <w:r>
        <w:rPr>
          <w:rFonts w:hint="eastAsia" w:ascii="黑体" w:hAnsi="宋体" w:eastAsia="黑体" w:cs="黑体"/>
          <w:sz w:val="32"/>
          <w:szCs w:val="32"/>
        </w:rPr>
        <w:t>概况</w:t>
      </w:r>
    </w:p>
    <w:p w14:paraId="460D1D60">
      <w:pPr>
        <w:ind w:firstLine="640" w:firstLineChars="200"/>
        <w:rPr>
          <w:rFonts w:ascii="仿宋_GB2312" w:hAnsi="宋体" w:eastAsia="仿宋_GB2312" w:cs="仿宋_GB2312"/>
          <w:sz w:val="32"/>
          <w:szCs w:val="32"/>
        </w:rPr>
      </w:pPr>
      <w:r>
        <w:rPr>
          <w:rFonts w:hint="eastAsia" w:ascii="仿宋" w:hAnsi="仿宋" w:eastAsia="仿宋" w:cs="仿宋"/>
          <w:color w:val="333333"/>
          <w:sz w:val="32"/>
          <w:szCs w:val="32"/>
          <w:shd w:val="clear" w:color="auto" w:fill="FFFFFF"/>
        </w:rPr>
        <w:t xml:space="preserve">     </w:t>
      </w:r>
      <w:r>
        <w:rPr>
          <w:rFonts w:hint="eastAsia" w:ascii="仿宋_GB2312" w:hAnsi="宋体" w:eastAsia="仿宋_GB2312" w:cs="仿宋_GB2312"/>
          <w:sz w:val="32"/>
          <w:szCs w:val="32"/>
        </w:rPr>
        <w:t>一、部门主要职责</w:t>
      </w:r>
    </w:p>
    <w:p w14:paraId="1CEFD58E">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二、部门机构设置情况</w:t>
      </w:r>
    </w:p>
    <w:p w14:paraId="39C8BFAF">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黑体" w:eastAsia="黑体" w:cs="宋体"/>
          <w:color w:val="3D3D3D"/>
          <w:kern w:val="0"/>
          <w:sz w:val="35"/>
          <w:szCs w:val="35"/>
        </w:rPr>
        <w:t>中级人民法院</w:t>
      </w:r>
      <w:r>
        <w:rPr>
          <w:rFonts w:hint="eastAsia" w:ascii="黑体" w:hAnsi="宋体" w:eastAsia="黑体" w:cs="黑体"/>
          <w:sz w:val="32"/>
          <w:szCs w:val="32"/>
        </w:rPr>
        <w:t>2021年部门预算情况说明</w:t>
      </w:r>
    </w:p>
    <w:p w14:paraId="433D5731">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ascii="仿宋_GB2312" w:hAnsi="宋体" w:eastAsia="仿宋_GB2312" w:cs="仿宋_GB2312"/>
          <w:sz w:val="32"/>
          <w:szCs w:val="32"/>
        </w:rPr>
        <w:t xml:space="preserve">  </w:t>
      </w:r>
      <w:r>
        <w:rPr>
          <w:rFonts w:ascii="仿宋_GB2312" w:hAnsi="微软雅黑" w:eastAsia="仿宋_GB2312" w:cs="仿宋_GB2312"/>
          <w:color w:val="000000"/>
          <w:kern w:val="0"/>
          <w:sz w:val="32"/>
          <w:szCs w:val="32"/>
          <w:shd w:val="clear" w:color="auto" w:fill="FFFFFF"/>
        </w:rPr>
        <w:t>一、20</w:t>
      </w:r>
      <w:r>
        <w:rPr>
          <w:rFonts w:hint="eastAsia" w:ascii="仿宋_GB2312" w:hAnsi="微软雅黑" w:eastAsia="仿宋_GB2312" w:cs="仿宋_GB2312"/>
          <w:color w:val="000000"/>
          <w:kern w:val="0"/>
          <w:sz w:val="32"/>
          <w:szCs w:val="32"/>
          <w:shd w:val="clear" w:color="auto" w:fill="FFFFFF"/>
        </w:rPr>
        <w:t>21</w:t>
      </w:r>
      <w:r>
        <w:rPr>
          <w:rFonts w:ascii="仿宋_GB2312" w:hAnsi="微软雅黑" w:eastAsia="仿宋_GB2312" w:cs="仿宋_GB2312"/>
          <w:color w:val="000000"/>
          <w:kern w:val="0"/>
          <w:sz w:val="32"/>
          <w:szCs w:val="32"/>
          <w:shd w:val="clear" w:color="auto" w:fill="FFFFFF"/>
        </w:rPr>
        <w:t>年部门预算收支情况说明</w:t>
      </w:r>
    </w:p>
    <w:p w14:paraId="462E50F5">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1、预算收入情况说明</w:t>
      </w:r>
    </w:p>
    <w:p w14:paraId="5F2A73E1">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2、预算支出情况说明</w:t>
      </w:r>
    </w:p>
    <w:p w14:paraId="37D65052">
      <w:pPr>
        <w:widowControl/>
        <w:shd w:val="clear" w:color="auto" w:fill="FFFFFF"/>
        <w:ind w:left="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3、经费拨款情况说明</w:t>
      </w:r>
    </w:p>
    <w:p w14:paraId="28115774">
      <w:pPr>
        <w:widowControl/>
        <w:shd w:val="clear" w:color="auto" w:fill="FFFFFF"/>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4、政府性基金收支情况说明</w:t>
      </w:r>
    </w:p>
    <w:p w14:paraId="4938B907">
      <w:pPr>
        <w:widowControl/>
        <w:shd w:val="clear" w:color="auto" w:fill="FFFFFF"/>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5、机关运行经费情况说明</w:t>
      </w:r>
    </w:p>
    <w:p w14:paraId="40F06107">
      <w:pPr>
        <w:widowControl/>
        <w:shd w:val="clear" w:color="auto" w:fill="FFFFFF"/>
        <w:ind w:left="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6、政府采购安排情况说明</w:t>
      </w:r>
    </w:p>
    <w:p w14:paraId="54D8488B">
      <w:pPr>
        <w:widowControl/>
        <w:shd w:val="clear" w:color="auto" w:fill="FFFFFF"/>
        <w:ind w:firstLine="1280" w:firstLineChars="4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7、</w:t>
      </w:r>
      <w:r>
        <w:rPr>
          <w:rFonts w:ascii="仿宋_GB2312" w:hAnsi="微软雅黑" w:eastAsia="仿宋_GB2312" w:cs="仿宋_GB2312"/>
          <w:color w:val="000000"/>
          <w:kern w:val="0"/>
          <w:sz w:val="32"/>
          <w:szCs w:val="32"/>
          <w:shd w:val="clear" w:color="auto" w:fill="FFFFFF"/>
        </w:rPr>
        <w:t>国有资产占用情况说明</w:t>
      </w:r>
    </w:p>
    <w:p w14:paraId="6F135E1B">
      <w:pPr>
        <w:widowControl/>
        <w:shd w:val="clear" w:color="auto" w:fill="FFFFFF"/>
        <w:ind w:firstLine="1280" w:firstLineChars="4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8、</w:t>
      </w:r>
      <w:r>
        <w:rPr>
          <w:rFonts w:ascii="仿宋_GB2312" w:hAnsi="微软雅黑" w:eastAsia="仿宋_GB2312" w:cs="仿宋_GB2312"/>
          <w:color w:val="000000"/>
          <w:kern w:val="0"/>
          <w:sz w:val="32"/>
          <w:szCs w:val="32"/>
          <w:shd w:val="clear" w:color="auto" w:fill="FFFFFF"/>
        </w:rPr>
        <w:t>预算绩效情况说明</w:t>
      </w:r>
    </w:p>
    <w:p w14:paraId="1E744F51">
      <w:pPr>
        <w:widowControl/>
        <w:shd w:val="clear" w:color="auto" w:fill="FFFFFF"/>
        <w:ind w:firstLine="960"/>
        <w:jc w:val="left"/>
        <w:rPr>
          <w:rFonts w:ascii="仿宋_GB2312" w:eastAsia="仿宋_GB2312" w:cs="Times New Roman"/>
          <w:sz w:val="32"/>
          <w:szCs w:val="32"/>
        </w:rPr>
      </w:pPr>
      <w:r>
        <w:rPr>
          <w:rFonts w:ascii="仿宋_GB2312" w:hAnsi="微软雅黑" w:eastAsia="仿宋_GB2312" w:cs="仿宋_GB2312"/>
          <w:color w:val="000000"/>
          <w:kern w:val="0"/>
          <w:sz w:val="32"/>
          <w:szCs w:val="32"/>
          <w:shd w:val="clear" w:color="auto" w:fill="FFFFFF"/>
        </w:rPr>
        <w:t>二、20</w:t>
      </w:r>
      <w:r>
        <w:rPr>
          <w:rFonts w:hint="eastAsia" w:ascii="仿宋_GB2312" w:hAnsi="微软雅黑" w:eastAsia="仿宋_GB2312" w:cs="仿宋_GB2312"/>
          <w:color w:val="000000"/>
          <w:kern w:val="0"/>
          <w:sz w:val="32"/>
          <w:szCs w:val="32"/>
          <w:shd w:val="clear" w:color="auto" w:fill="FFFFFF"/>
        </w:rPr>
        <w:t>21</w:t>
      </w:r>
      <w:r>
        <w:rPr>
          <w:rFonts w:ascii="仿宋_GB2312" w:hAnsi="微软雅黑" w:eastAsia="仿宋_GB2312" w:cs="仿宋_GB2312"/>
          <w:color w:val="000000"/>
          <w:kern w:val="0"/>
          <w:sz w:val="32"/>
          <w:szCs w:val="32"/>
          <w:shd w:val="clear" w:color="auto" w:fill="FFFFFF"/>
        </w:rPr>
        <w:t>年</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三公</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经费增减变化原因等说明</w:t>
      </w:r>
    </w:p>
    <w:p w14:paraId="0201855E">
      <w:pPr>
        <w:ind w:firstLine="640" w:firstLineChars="200"/>
        <w:rPr>
          <w:rFonts w:ascii="黑体" w:hAnsi="宋体" w:eastAsia="黑体" w:cs="Times New Roman"/>
          <w:sz w:val="32"/>
          <w:szCs w:val="32"/>
        </w:rPr>
      </w:pPr>
      <w:r>
        <w:rPr>
          <w:rFonts w:hint="eastAsia" w:ascii="黑体" w:hAnsi="宋体" w:eastAsia="黑体" w:cs="黑体"/>
          <w:sz w:val="32"/>
          <w:szCs w:val="32"/>
        </w:rPr>
        <w:t xml:space="preserve">第三部分 </w:t>
      </w:r>
      <w:r>
        <w:rPr>
          <w:rFonts w:hint="eastAsia" w:ascii="黑体" w:hAnsi="黑体" w:eastAsia="黑体" w:cs="宋体"/>
          <w:color w:val="3D3D3D"/>
          <w:kern w:val="0"/>
          <w:sz w:val="35"/>
          <w:szCs w:val="35"/>
        </w:rPr>
        <w:t>景德镇市中级人民法院</w:t>
      </w:r>
      <w:r>
        <w:rPr>
          <w:rFonts w:hint="eastAsia" w:ascii="黑体" w:hAnsi="宋体" w:eastAsia="黑体" w:cs="黑体"/>
          <w:sz w:val="32"/>
          <w:szCs w:val="32"/>
        </w:rPr>
        <w:t>2021年部门预算表</w:t>
      </w:r>
    </w:p>
    <w:p w14:paraId="4455F22B">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14:paraId="652C0363">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14:paraId="10E93533">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14:paraId="432BFF4E">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14:paraId="6171FB96">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14:paraId="2E02D4D6">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14:paraId="3A96A68A">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14:paraId="5F102C9C">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14:paraId="397C7649">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九、《部门整体绩效目标表》</w:t>
      </w:r>
    </w:p>
    <w:p w14:paraId="5ECC654A">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十、《一级项目绩效目标表》</w:t>
      </w:r>
    </w:p>
    <w:p w14:paraId="3D433732">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14:paraId="0F281A62">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黑体" w:eastAsia="黑体" w:cs="宋体"/>
          <w:color w:val="3D3D3D"/>
          <w:kern w:val="0"/>
          <w:sz w:val="35"/>
          <w:szCs w:val="35"/>
        </w:rPr>
        <w:t>中级人民法院</w:t>
      </w:r>
      <w:r>
        <w:rPr>
          <w:rFonts w:hint="eastAsia" w:ascii="黑体" w:hAnsi="宋体" w:eastAsia="黑体" w:cs="黑体"/>
          <w:sz w:val="32"/>
          <w:szCs w:val="32"/>
        </w:rPr>
        <w:t>概况</w:t>
      </w:r>
    </w:p>
    <w:p w14:paraId="7452FB76">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14:paraId="4E933B44">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景德镇市中级人民法院是国家审判机关，监督、指导基层人民法院的审判工作，对市人民</w:t>
      </w:r>
      <w:bookmarkStart w:id="0" w:name="_GoBack"/>
      <w:bookmarkEnd w:id="0"/>
      <w:r>
        <w:rPr>
          <w:rFonts w:hint="eastAsia" w:ascii="仿宋" w:hAnsi="仿宋" w:eastAsia="仿宋" w:cs="仿宋"/>
          <w:color w:val="3D3D3D"/>
          <w:kern w:val="0"/>
          <w:sz w:val="32"/>
          <w:szCs w:val="32"/>
        </w:rPr>
        <w:t>代表大会及其常务委员会负责并报告工作。</w:t>
      </w:r>
    </w:p>
    <w:p w14:paraId="4DAB5BCF">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本部门的主要职责是：</w:t>
      </w:r>
    </w:p>
    <w:p w14:paraId="20AE2C66">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1、依法审判第一、二审刑事、民事、行政案件和省高级人民法院交由审判的案件。</w:t>
      </w:r>
    </w:p>
    <w:p w14:paraId="26FB53B3">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2、依法决定国家赔偿。</w:t>
      </w:r>
    </w:p>
    <w:p w14:paraId="371BEC05">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3、依法按照审判监督程序审理当事人提出的申诉、申请再审和人民检察院提出抗诉的刑事、民事、行政案件；依法审理减刑假释案件。</w:t>
      </w:r>
    </w:p>
    <w:p w14:paraId="6ABEE0A4">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4、依法对下级人民法院管辖不明的案件指定管辖和审理管辖争议的案件。</w:t>
      </w:r>
    </w:p>
    <w:p w14:paraId="0F6492E2">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5、依法执行和协调执行已发生法律效力的判决、裁定和委托执行的案件以及国家行政机关依法申请的案件。</w:t>
      </w:r>
    </w:p>
    <w:p w14:paraId="7B2CF833">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6、指导、监督基层人民法院的审判工作。</w:t>
      </w:r>
    </w:p>
    <w:p w14:paraId="5E800061">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7、调查研究审判中适用法律、执行政策的疑难问题，提出解决问题的办法，意见和司法建议，开展司法统计工作，参与地方综合治理工作。</w:t>
      </w:r>
    </w:p>
    <w:p w14:paraId="7DF0941F">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8、指导基层人民法院的思想政治、教育培训、法制宣传和队伍建设工作；按照权限管理或协管法官的其他工作人员；协同机构编制主管部门管理全市法院的机构编制工作。</w:t>
      </w:r>
    </w:p>
    <w:p w14:paraId="2E38CDAC">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二、部门机构设置等基本情况</w:t>
      </w:r>
    </w:p>
    <w:p w14:paraId="686DA6FD">
      <w:pPr>
        <w:ind w:firstLine="640" w:firstLineChars="200"/>
        <w:rPr>
          <w:rFonts w:ascii="仿宋" w:hAnsi="仿宋" w:eastAsia="仿宋" w:cs="仿宋"/>
          <w:color w:val="3D3D3D"/>
          <w:kern w:val="0"/>
          <w:sz w:val="32"/>
          <w:szCs w:val="32"/>
        </w:rPr>
      </w:pPr>
      <w:r>
        <w:rPr>
          <w:rFonts w:hint="eastAsia" w:ascii="仿宋" w:hAnsi="仿宋" w:eastAsia="仿宋" w:cs="仿宋"/>
          <w:color w:val="3D3D3D"/>
          <w:kern w:val="0"/>
          <w:sz w:val="32"/>
          <w:szCs w:val="32"/>
        </w:rPr>
        <w:t>景德镇市中级人民法院共有预算单位1个，即部门本级。编制数为132人，其中行政编制118人、全额补助事业编制14人、部分补助事业编制0人、自收自支事业编制0人；实有人数181人，其中在职人数为128人，包括行政人员115人、全额补助事业人员13人、部分补助事业编人员0人、自收自支事业人员0人；离休人员0人；退休人员53人。在校学生0人，其中：高等学校0人、中等专业学校0人，其他0人。</w:t>
      </w:r>
    </w:p>
    <w:p w14:paraId="5A8A777D">
      <w:pPr>
        <w:rPr>
          <w:rFonts w:ascii="黑体" w:hAnsi="宋体" w:eastAsia="黑体" w:cs="黑体"/>
          <w:sz w:val="32"/>
          <w:szCs w:val="32"/>
        </w:rPr>
      </w:pPr>
    </w:p>
    <w:p w14:paraId="08E5CE4C">
      <w:pPr>
        <w:rPr>
          <w:rFonts w:ascii="黑体" w:hAnsi="宋体" w:eastAsia="黑体" w:cs="Times New Roman"/>
          <w:sz w:val="32"/>
          <w:szCs w:val="32"/>
        </w:rPr>
      </w:pPr>
      <w:r>
        <w:rPr>
          <w:rFonts w:hint="eastAsia" w:ascii="黑体" w:hAnsi="宋体" w:eastAsia="黑体" w:cs="黑体"/>
          <w:sz w:val="32"/>
          <w:szCs w:val="32"/>
        </w:rPr>
        <w:t xml:space="preserve">第二部分 </w:t>
      </w:r>
      <w:r>
        <w:rPr>
          <w:rFonts w:hint="eastAsia" w:ascii="黑体" w:hAnsi="黑体" w:eastAsia="黑体" w:cs="宋体"/>
          <w:color w:val="3D3D3D"/>
          <w:kern w:val="0"/>
          <w:sz w:val="35"/>
          <w:szCs w:val="35"/>
        </w:rPr>
        <w:t>景德镇市中级人民法</w:t>
      </w:r>
      <w:r>
        <w:rPr>
          <w:rFonts w:hint="eastAsia" w:ascii="黑体" w:hAnsi="宋体" w:eastAsia="黑体" w:cs="黑体"/>
          <w:sz w:val="32"/>
          <w:szCs w:val="32"/>
        </w:rPr>
        <w:t>2021年部门预算情况说明</w:t>
      </w:r>
    </w:p>
    <w:p w14:paraId="5AE3AD48">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14:paraId="67991123">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14:paraId="4B3ADE99">
      <w:pPr>
        <w:ind w:firstLine="640" w:firstLineChars="200"/>
        <w:rPr>
          <w:rFonts w:ascii="仿宋" w:hAnsi="仿宋" w:eastAsia="仿宋" w:cs="仿宋"/>
          <w:color w:val="3D3D3D"/>
          <w:kern w:val="0"/>
          <w:sz w:val="32"/>
          <w:szCs w:val="32"/>
        </w:rPr>
      </w:pPr>
      <w:r>
        <w:rPr>
          <w:rFonts w:hint="eastAsia" w:ascii="仿宋" w:hAnsi="仿宋" w:eastAsia="仿宋" w:cs="仿宋"/>
          <w:color w:val="3D3D3D"/>
          <w:kern w:val="0"/>
          <w:sz w:val="32"/>
          <w:szCs w:val="32"/>
        </w:rPr>
        <w:t>2021年景德镇市中级人民法院收入预算总额为3247.90万元，与上年预算相比</w:t>
      </w:r>
      <w:r>
        <w:rPr>
          <w:rFonts w:hint="eastAsia" w:ascii="仿宋" w:hAnsi="仿宋" w:eastAsia="仿宋" w:cs="仿宋"/>
          <w:kern w:val="0"/>
          <w:sz w:val="32"/>
          <w:szCs w:val="32"/>
        </w:rPr>
        <w:t>减少47.83%，2021年我部门作为零基预算试点单位进行管理，统计口径与上年不一致。</w:t>
      </w:r>
      <w:r>
        <w:rPr>
          <w:rFonts w:hint="eastAsia" w:ascii="仿宋" w:hAnsi="仿宋" w:eastAsia="仿宋" w:cs="仿宋"/>
          <w:color w:val="3D3D3D"/>
          <w:kern w:val="0"/>
          <w:sz w:val="32"/>
          <w:szCs w:val="32"/>
        </w:rPr>
        <w:t>其中：当年公共财政拨款收入3247.90万元，占收入预算总额的100%。</w:t>
      </w:r>
    </w:p>
    <w:p w14:paraId="4FD7F1BC">
      <w:pPr>
        <w:ind w:firstLine="482" w:firstLineChars="150"/>
        <w:rPr>
          <w:rFonts w:ascii="仿宋" w:hAnsi="仿宋" w:eastAsia="仿宋" w:cs="仿宋"/>
          <w:b/>
          <w:bCs/>
          <w:sz w:val="32"/>
          <w:szCs w:val="32"/>
        </w:rPr>
      </w:pPr>
      <w:r>
        <w:rPr>
          <w:rFonts w:hint="eastAsia" w:ascii="仿宋" w:hAnsi="仿宋" w:eastAsia="仿宋" w:cs="仿宋"/>
          <w:b/>
          <w:bCs/>
          <w:sz w:val="32"/>
          <w:szCs w:val="32"/>
        </w:rPr>
        <w:t>（二）预算支出情况</w:t>
      </w:r>
    </w:p>
    <w:p w14:paraId="4DA26695">
      <w:pPr>
        <w:ind w:firstLine="640" w:firstLineChars="200"/>
        <w:rPr>
          <w:rFonts w:ascii="仿宋" w:hAnsi="仿宋" w:eastAsia="仿宋" w:cs="仿宋"/>
          <w:color w:val="3D3D3D"/>
          <w:kern w:val="0"/>
          <w:sz w:val="32"/>
          <w:szCs w:val="32"/>
        </w:rPr>
      </w:pPr>
      <w:r>
        <w:rPr>
          <w:rFonts w:hint="eastAsia" w:ascii="仿宋" w:hAnsi="仿宋" w:eastAsia="仿宋" w:cs="仿宋"/>
          <w:color w:val="3D3D3D"/>
          <w:kern w:val="0"/>
          <w:sz w:val="32"/>
          <w:szCs w:val="32"/>
        </w:rPr>
        <w:t>2021年景德镇市中级人民法院支出预算总额为3247.90万元，与上年预算相比</w:t>
      </w:r>
      <w:r>
        <w:rPr>
          <w:rFonts w:hint="eastAsia" w:ascii="仿宋" w:hAnsi="仿宋" w:eastAsia="仿宋" w:cs="仿宋"/>
          <w:kern w:val="0"/>
          <w:sz w:val="32"/>
          <w:szCs w:val="32"/>
        </w:rPr>
        <w:t>减少47.83%，2021年我部门作为零基预算试点单位进行管理，统计口径与上年不一致。</w:t>
      </w:r>
      <w:r>
        <w:rPr>
          <w:rFonts w:hint="eastAsia" w:ascii="仿宋" w:hAnsi="仿宋" w:eastAsia="仿宋" w:cs="仿宋"/>
          <w:color w:val="3D3D3D"/>
          <w:kern w:val="0"/>
          <w:sz w:val="32"/>
          <w:szCs w:val="32"/>
        </w:rPr>
        <w:t>其中，按支出项目类别划分：基本支出3247.90万元，占支出预算总额的100.00%，包括工资福利支出2498.51万元、商品和服务支出746.15万元、对个人和家庭的补助3.24万元、其他资本性支出0万元。</w:t>
      </w:r>
    </w:p>
    <w:p w14:paraId="622BB21F">
      <w:pPr>
        <w:ind w:firstLine="640" w:firstLineChars="200"/>
        <w:rPr>
          <w:rFonts w:ascii="仿宋" w:hAnsi="仿宋" w:eastAsia="仿宋" w:cs="仿宋"/>
          <w:color w:val="3D3D3D"/>
          <w:kern w:val="0"/>
          <w:sz w:val="32"/>
          <w:szCs w:val="32"/>
        </w:rPr>
      </w:pPr>
      <w:r>
        <w:rPr>
          <w:rFonts w:hint="eastAsia" w:ascii="仿宋" w:hAnsi="仿宋" w:eastAsia="仿宋" w:cs="仿宋"/>
          <w:color w:val="3D3D3D"/>
          <w:kern w:val="0"/>
          <w:sz w:val="32"/>
          <w:szCs w:val="32"/>
        </w:rPr>
        <w:t>按支出功能项目科目划分：公共安全支出2764.72万元，占支出预算总额的85.12%；社会保障和就业支出158.71万元，占支出预算总额的4.89%；卫生健康支出124.82万元，占支出预算总额的3.84%；住房保障支出199.65万元，占支出预算总额的6.15%。</w:t>
      </w:r>
    </w:p>
    <w:p w14:paraId="62F6A4CB">
      <w:pPr>
        <w:ind w:firstLine="640" w:firstLineChars="200"/>
        <w:rPr>
          <w:rFonts w:ascii="仿宋" w:hAnsi="仿宋" w:eastAsia="仿宋" w:cs="仿宋"/>
          <w:color w:val="3D3D3D"/>
          <w:kern w:val="0"/>
          <w:sz w:val="32"/>
          <w:szCs w:val="32"/>
        </w:rPr>
      </w:pPr>
      <w:r>
        <w:rPr>
          <w:rFonts w:hint="eastAsia" w:ascii="仿宋" w:hAnsi="仿宋" w:eastAsia="仿宋" w:cs="仿宋"/>
          <w:color w:val="3D3D3D"/>
          <w:kern w:val="0"/>
          <w:sz w:val="32"/>
          <w:szCs w:val="32"/>
        </w:rPr>
        <w:t>按支出经济分类划分：工资福利支出2498.51万元，占支出预算总额的76.93%；商品和服务支出746.15万元，占支出预算总额的22.97%；对个人和家庭的补助3.24万元，占支出预算总额的0.10%。</w:t>
      </w:r>
    </w:p>
    <w:p w14:paraId="5563C3CC">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14:paraId="54E34338">
      <w:pPr>
        <w:ind w:firstLine="640" w:firstLineChars="200"/>
        <w:rPr>
          <w:rFonts w:ascii="仿宋" w:hAnsi="仿宋" w:eastAsia="仿宋" w:cs="仿宋"/>
          <w:color w:val="3D3D3D"/>
          <w:kern w:val="0"/>
          <w:sz w:val="32"/>
          <w:szCs w:val="32"/>
        </w:rPr>
      </w:pPr>
      <w:r>
        <w:rPr>
          <w:rFonts w:hint="eastAsia" w:ascii="仿宋" w:hAnsi="仿宋" w:eastAsia="仿宋" w:cs="仿宋"/>
          <w:color w:val="3D3D3D"/>
          <w:kern w:val="0"/>
          <w:sz w:val="32"/>
          <w:szCs w:val="32"/>
        </w:rPr>
        <w:t>2021年景德镇市中级人民法院财政拨款支出预算3247.90 万元，占支出预算总额的100%，与上年预算相比</w:t>
      </w:r>
      <w:r>
        <w:rPr>
          <w:rFonts w:hint="eastAsia" w:ascii="仿宋" w:hAnsi="仿宋" w:eastAsia="仿宋" w:cs="仿宋"/>
          <w:kern w:val="0"/>
          <w:sz w:val="32"/>
          <w:szCs w:val="32"/>
        </w:rPr>
        <w:t>减少14.89%，2021年我部门作为零基预算试点单位进行管理，统计口径与上年不一致，财政拨款收入减少。</w:t>
      </w:r>
      <w:r>
        <w:rPr>
          <w:rFonts w:hint="eastAsia" w:ascii="仿宋" w:hAnsi="仿宋" w:eastAsia="仿宋" w:cs="仿宋"/>
          <w:color w:val="3D3D3D"/>
          <w:kern w:val="0"/>
          <w:sz w:val="32"/>
          <w:szCs w:val="32"/>
        </w:rPr>
        <w:t>公共安全支出2764.72万元，占支出预算总额的85.12%；社会保障和就业支出158.71万元，占支出预算总额的4.89%；卫生健康支出124.82万元，占支出预算总额的3.84%；住房保障支出199.65万元，占支出预算总额的6.15%。</w:t>
      </w:r>
    </w:p>
    <w:p w14:paraId="00F5F9B3">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（四）政府基金收支情况</w:t>
      </w:r>
    </w:p>
    <w:p w14:paraId="10829164">
      <w:pPr>
        <w:ind w:left="420" w:leftChars="200" w:firstLine="640" w:firstLineChars="200"/>
        <w:rPr>
          <w:rFonts w:ascii="仿宋" w:hAnsi="仿宋" w:eastAsia="仿宋" w:cs="仿宋"/>
          <w:sz w:val="32"/>
          <w:szCs w:val="32"/>
        </w:rPr>
      </w:pPr>
      <w:r>
        <w:rPr>
          <w:rFonts w:hint="eastAsia" w:ascii="仿宋" w:hAnsi="仿宋" w:eastAsia="仿宋" w:cs="仿宋"/>
          <w:color w:val="3D3D3D"/>
          <w:kern w:val="0"/>
          <w:sz w:val="32"/>
          <w:szCs w:val="32"/>
        </w:rPr>
        <w:t>无政府基金收支预算。</w:t>
      </w:r>
    </w:p>
    <w:p w14:paraId="7232E08F">
      <w:pPr>
        <w:tabs>
          <w:tab w:val="left" w:pos="1162"/>
        </w:tabs>
        <w:ind w:left="420" w:leftChars="200" w:firstLine="321" w:firstLineChars="100"/>
        <w:rPr>
          <w:rFonts w:ascii="仿宋_GB2312" w:hAnsi="宋体" w:eastAsia="仿宋_GB2312" w:cs="仿宋_GB2312"/>
          <w:b/>
          <w:bCs/>
          <w:sz w:val="32"/>
          <w:szCs w:val="32"/>
        </w:rPr>
      </w:pPr>
      <w:r>
        <w:rPr>
          <w:rFonts w:hint="eastAsia" w:ascii="仿宋_GB2312" w:hAnsi="宋体" w:eastAsia="仿宋_GB2312" w:cs="仿宋_GB2312"/>
          <w:b/>
          <w:bCs/>
          <w:sz w:val="32"/>
          <w:szCs w:val="32"/>
        </w:rPr>
        <w:t>（五）机关运行经费情况说明</w:t>
      </w:r>
    </w:p>
    <w:p w14:paraId="2BD12866">
      <w:pPr>
        <w:ind w:firstLine="640" w:firstLineChars="200"/>
        <w:rPr>
          <w:rFonts w:ascii="仿宋" w:hAnsi="仿宋" w:eastAsia="仿宋" w:cs="仿宋"/>
          <w:color w:val="3D3D3D"/>
          <w:kern w:val="0"/>
          <w:sz w:val="32"/>
          <w:szCs w:val="32"/>
        </w:rPr>
      </w:pPr>
      <w:r>
        <w:rPr>
          <w:rFonts w:hint="eastAsia" w:ascii="仿宋" w:hAnsi="仿宋" w:eastAsia="仿宋" w:cs="仿宋"/>
          <w:color w:val="3D3D3D"/>
          <w:kern w:val="0"/>
          <w:sz w:val="32"/>
          <w:szCs w:val="32"/>
        </w:rPr>
        <w:t>2021年景德镇市中级人民法院机关运行经费预算746.15万元，与上年预算数相比</w:t>
      </w:r>
      <w:r>
        <w:rPr>
          <w:rFonts w:hint="eastAsia" w:ascii="仿宋" w:hAnsi="仿宋" w:eastAsia="仿宋" w:cs="仿宋"/>
          <w:kern w:val="0"/>
          <w:sz w:val="32"/>
          <w:szCs w:val="32"/>
        </w:rPr>
        <w:t>增加了 1.75 %，主要原因是人员数量增长、案件数增长、各项办案业务支出增加，日常维修费增加</w:t>
      </w:r>
      <w:r>
        <w:rPr>
          <w:rFonts w:hint="eastAsia" w:ascii="仿宋" w:hAnsi="仿宋" w:eastAsia="仿宋" w:cs="仿宋"/>
          <w:color w:val="FF0000"/>
          <w:kern w:val="0"/>
          <w:sz w:val="32"/>
          <w:szCs w:val="32"/>
        </w:rPr>
        <w:t>。</w:t>
      </w:r>
      <w:r>
        <w:rPr>
          <w:rFonts w:hint="eastAsia" w:ascii="仿宋" w:hAnsi="仿宋" w:eastAsia="仿宋" w:cs="仿宋"/>
          <w:color w:val="3D3D3D"/>
          <w:kern w:val="0"/>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641B40FA">
      <w:pPr>
        <w:tabs>
          <w:tab w:val="left" w:pos="1162"/>
        </w:tabs>
        <w:ind w:left="420" w:leftChars="200" w:firstLine="321" w:firstLineChars="100"/>
        <w:rPr>
          <w:rFonts w:ascii="仿宋_GB2312" w:hAnsi="宋体" w:eastAsia="仿宋_GB2312" w:cs="仿宋_GB2312"/>
          <w:b/>
          <w:bCs/>
          <w:color w:val="FF0000"/>
          <w:sz w:val="32"/>
          <w:szCs w:val="32"/>
        </w:rPr>
      </w:pPr>
      <w:r>
        <w:rPr>
          <w:rFonts w:hint="eastAsia" w:ascii="仿宋_GB2312" w:hAnsi="宋体" w:eastAsia="仿宋_GB2312" w:cs="仿宋_GB2312"/>
          <w:b/>
          <w:bCs/>
          <w:sz w:val="32"/>
          <w:szCs w:val="32"/>
        </w:rPr>
        <w:t>（六）政府采购预算情况</w:t>
      </w:r>
    </w:p>
    <w:p w14:paraId="6B191280">
      <w:pPr>
        <w:ind w:firstLine="640" w:firstLineChars="200"/>
        <w:rPr>
          <w:rFonts w:ascii="仿宋" w:hAnsi="仿宋" w:eastAsia="仿宋" w:cs="仿宋"/>
          <w:color w:val="FF0000"/>
          <w:sz w:val="32"/>
          <w:szCs w:val="32"/>
        </w:rPr>
      </w:pPr>
      <w:r>
        <w:rPr>
          <w:rFonts w:hint="eastAsia" w:ascii="仿宋" w:hAnsi="仿宋" w:eastAsia="仿宋" w:cs="仿宋"/>
          <w:kern w:val="0"/>
          <w:sz w:val="32"/>
          <w:szCs w:val="32"/>
        </w:rPr>
        <w:t>2021年景德镇市中级人民法院政府采购支出预算0元，与上年预算对比减少100%，主要原因是2021年我部门作为零基预算试点单位进行管理，统计口径与上年不一致，政府采购列入项目支出核算。</w:t>
      </w:r>
    </w:p>
    <w:p w14:paraId="5B1723C5">
      <w:pPr>
        <w:ind w:firstLine="710" w:firstLineChars="221"/>
        <w:rPr>
          <w:rFonts w:ascii="仿宋_GB2312" w:hAnsi="宋体" w:eastAsia="仿宋_GB2312" w:cs="仿宋_GB2312"/>
          <w:b/>
          <w:bCs/>
          <w:sz w:val="32"/>
          <w:szCs w:val="32"/>
        </w:rPr>
      </w:pPr>
      <w:r>
        <w:rPr>
          <w:rFonts w:hint="eastAsia" w:ascii="仿宋_GB2312" w:hAnsi="宋体" w:eastAsia="仿宋_GB2312" w:cs="仿宋_GB2312"/>
          <w:b/>
          <w:bCs/>
          <w:sz w:val="32"/>
          <w:szCs w:val="32"/>
        </w:rPr>
        <w:t>（七）国有资产占用情况说明</w:t>
      </w:r>
    </w:p>
    <w:p w14:paraId="6FFB73F8">
      <w:pPr>
        <w:ind w:firstLine="630"/>
        <w:jc w:val="left"/>
        <w:rPr>
          <w:rFonts w:ascii="仿宋" w:hAnsi="仿宋" w:eastAsia="仿宋" w:cs="仿宋"/>
          <w:kern w:val="0"/>
          <w:sz w:val="32"/>
          <w:szCs w:val="32"/>
        </w:rPr>
      </w:pPr>
      <w:r>
        <w:rPr>
          <w:rFonts w:hint="eastAsia" w:ascii="仿宋" w:hAnsi="仿宋" w:eastAsia="仿宋" w:cs="仿宋"/>
          <w:kern w:val="0"/>
          <w:sz w:val="32"/>
          <w:szCs w:val="32"/>
        </w:rPr>
        <w:t>2021年本部门共有车辆25辆；单位价值50万元以上通用设备0台（套）；单位价值100万元以上专用设备0台（套）。</w:t>
      </w:r>
    </w:p>
    <w:p w14:paraId="1AB4BC0F">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14:paraId="48F194C3">
      <w:pPr>
        <w:widowControl/>
        <w:spacing w:line="600" w:lineRule="exact"/>
        <w:ind w:firstLine="640" w:firstLineChars="200"/>
        <w:jc w:val="left"/>
        <w:rPr>
          <w:rFonts w:ascii="宋体" w:hAnsi="宋体" w:cs="宋体"/>
          <w:kern w:val="0"/>
          <w:sz w:val="27"/>
          <w:szCs w:val="27"/>
        </w:rPr>
      </w:pPr>
      <w:r>
        <w:rPr>
          <w:rFonts w:hint="eastAsia" w:ascii="仿宋" w:hAnsi="仿宋" w:eastAsia="仿宋" w:cs="仿宋"/>
          <w:kern w:val="0"/>
          <w:sz w:val="32"/>
          <w:szCs w:val="32"/>
        </w:rPr>
        <w:t>本单位没有绩效目标预算，不需要设置绩效目标。</w:t>
      </w:r>
    </w:p>
    <w:p w14:paraId="4506EE27">
      <w:pPr>
        <w:widowControl/>
        <w:jc w:val="left"/>
        <w:rPr>
          <w:rFonts w:ascii="仿宋_GB2312" w:eastAsia="仿宋_GB2312"/>
          <w:color w:val="000000"/>
          <w:sz w:val="32"/>
          <w:szCs w:val="30"/>
        </w:rPr>
      </w:pPr>
    </w:p>
    <w:p w14:paraId="79766D43">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二、2021年“三公”经费预算增减变化原因情况说明</w:t>
      </w:r>
    </w:p>
    <w:p w14:paraId="39B0C3D4">
      <w:pPr>
        <w:ind w:firstLine="640" w:firstLineChars="200"/>
        <w:rPr>
          <w:rFonts w:ascii="仿宋" w:hAnsi="仿宋" w:eastAsia="仿宋" w:cs="仿宋"/>
          <w:color w:val="3D3D3D"/>
          <w:kern w:val="0"/>
          <w:sz w:val="32"/>
          <w:szCs w:val="32"/>
        </w:rPr>
      </w:pPr>
      <w:r>
        <w:rPr>
          <w:rFonts w:hint="eastAsia" w:ascii="仿宋" w:hAnsi="仿宋" w:eastAsia="仿宋" w:cs="仿宋"/>
          <w:color w:val="3D3D3D"/>
          <w:kern w:val="0"/>
          <w:sz w:val="32"/>
          <w:szCs w:val="32"/>
        </w:rPr>
        <w:t>2021年市景德镇市中级人民法院“三公”经费年初预算安排130.57万元。其中：因公出国（境）费10万元，与上年预算数一致。</w:t>
      </w:r>
    </w:p>
    <w:p w14:paraId="6C1C4665">
      <w:pPr>
        <w:ind w:firstLine="640" w:firstLineChars="200"/>
        <w:rPr>
          <w:rFonts w:ascii="仿宋" w:hAnsi="仿宋" w:eastAsia="仿宋" w:cs="仿宋"/>
          <w:color w:val="3D3D3D"/>
          <w:kern w:val="0"/>
          <w:sz w:val="32"/>
          <w:szCs w:val="32"/>
        </w:rPr>
      </w:pPr>
      <w:r>
        <w:rPr>
          <w:rFonts w:hint="eastAsia" w:ascii="仿宋" w:hAnsi="仿宋" w:eastAsia="仿宋" w:cs="仿宋"/>
          <w:color w:val="3D3D3D"/>
          <w:kern w:val="0"/>
          <w:sz w:val="32"/>
          <w:szCs w:val="32"/>
        </w:rPr>
        <w:t>公务接待费61万元，比上年减少1万元，主要原因：继续严格贯彻中央八项规定，严格执行党政机关厉行节约反对浪费、国内公务接待等制度规定。</w:t>
      </w:r>
    </w:p>
    <w:p w14:paraId="5420E79A">
      <w:pPr>
        <w:ind w:firstLine="640" w:firstLineChars="200"/>
        <w:rPr>
          <w:rFonts w:ascii="仿宋" w:hAnsi="仿宋" w:eastAsia="仿宋" w:cs="仿宋"/>
          <w:color w:val="3D3D3D"/>
          <w:kern w:val="0"/>
          <w:sz w:val="32"/>
          <w:szCs w:val="32"/>
        </w:rPr>
      </w:pPr>
      <w:r>
        <w:rPr>
          <w:rFonts w:hint="eastAsia" w:ascii="仿宋" w:hAnsi="仿宋" w:eastAsia="仿宋" w:cs="仿宋"/>
          <w:color w:val="3D3D3D"/>
          <w:kern w:val="0"/>
          <w:sz w:val="32"/>
          <w:szCs w:val="32"/>
        </w:rPr>
        <w:t>公务用车运行维护费59.57万元，比上年减少3.43万元，主要原因：本着厉行节约的原则，进一步压缩公务用车运行维护费。</w:t>
      </w:r>
    </w:p>
    <w:p w14:paraId="5DD0CACA">
      <w:pPr>
        <w:ind w:firstLine="640" w:firstLineChars="200"/>
        <w:rPr>
          <w:rFonts w:ascii="仿宋" w:hAnsi="仿宋" w:eastAsia="仿宋" w:cs="仿宋"/>
          <w:color w:val="3D3D3D"/>
          <w:kern w:val="0"/>
          <w:sz w:val="32"/>
          <w:szCs w:val="32"/>
        </w:rPr>
      </w:pPr>
      <w:r>
        <w:rPr>
          <w:rFonts w:hint="eastAsia" w:ascii="仿宋" w:hAnsi="仿宋" w:eastAsia="仿宋" w:cs="仿宋"/>
          <w:color w:val="3D3D3D"/>
          <w:kern w:val="0"/>
          <w:sz w:val="32"/>
          <w:szCs w:val="32"/>
        </w:rPr>
        <w:t>公务用车购置费0万元，与上年预算数一致。</w:t>
      </w:r>
    </w:p>
    <w:p w14:paraId="701BE072">
      <w:pPr>
        <w:rPr>
          <w:rFonts w:ascii="仿宋_GB2312" w:hAnsi="宋体" w:eastAsia="仿宋_GB2312" w:cs="仿宋_GB2312"/>
          <w:sz w:val="32"/>
          <w:szCs w:val="32"/>
        </w:rPr>
      </w:pPr>
    </w:p>
    <w:p w14:paraId="2E832408">
      <w:pPr>
        <w:rPr>
          <w:rFonts w:ascii="仿宋_GB2312" w:hAnsi="宋体" w:eastAsia="仿宋_GB2312" w:cs="仿宋_GB2312"/>
          <w:sz w:val="32"/>
          <w:szCs w:val="32"/>
        </w:rPr>
      </w:pPr>
    </w:p>
    <w:p w14:paraId="68BBE0F7">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景德镇市中级人民法院</w:t>
      </w:r>
      <w:r>
        <w:rPr>
          <w:rFonts w:hint="eastAsia" w:ascii="黑体" w:hAnsi="宋体" w:eastAsia="黑体" w:cs="黑体"/>
          <w:sz w:val="32"/>
          <w:szCs w:val="32"/>
        </w:rPr>
        <w:t>2021年部门预算表</w:t>
      </w:r>
    </w:p>
    <w:p w14:paraId="571C9CDF">
      <w:pPr>
        <w:rPr>
          <w:rFonts w:ascii="仿宋_GB2312" w:hAnsi="宋体" w:eastAsia="仿宋_GB2312" w:cs="仿宋_GB2312"/>
          <w:sz w:val="32"/>
          <w:szCs w:val="32"/>
        </w:rPr>
      </w:pPr>
      <w:r>
        <w:rPr>
          <w:rFonts w:ascii="仿宋_GB2312" w:hAnsi="宋体" w:eastAsia="仿宋_GB2312" w:cs="仿宋_GB2312"/>
          <w:sz w:val="32"/>
          <w:szCs w:val="32"/>
        </w:rPr>
        <w:drawing>
          <wp:inline distT="0" distB="0" distL="0" distR="0">
            <wp:extent cx="5274310" cy="3012440"/>
            <wp:effectExtent l="19050" t="0" r="2540" b="0"/>
            <wp:docPr id="1" name="图片 0" descr="微信图片_20210705095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10705095711.png"/>
                    <pic:cNvPicPr>
                      <a:picLocks noChangeAspect="1"/>
                    </pic:cNvPicPr>
                  </pic:nvPicPr>
                  <pic:blipFill>
                    <a:blip r:embed="rId5"/>
                    <a:stretch>
                      <a:fillRect/>
                    </a:stretch>
                  </pic:blipFill>
                  <pic:spPr>
                    <a:xfrm>
                      <a:off x="0" y="0"/>
                      <a:ext cx="5274310" cy="3012440"/>
                    </a:xfrm>
                    <a:prstGeom prst="rect">
                      <a:avLst/>
                    </a:prstGeom>
                  </pic:spPr>
                </pic:pic>
              </a:graphicData>
            </a:graphic>
          </wp:inline>
        </w:drawing>
      </w:r>
    </w:p>
    <w:p w14:paraId="5E7E0A23">
      <w:pPr>
        <w:rPr>
          <w:rFonts w:ascii="仿宋_GB2312" w:hAnsi="宋体" w:eastAsia="仿宋_GB2312" w:cs="仿宋_GB2312"/>
          <w:sz w:val="32"/>
          <w:szCs w:val="32"/>
        </w:rPr>
      </w:pPr>
      <w:r>
        <w:rPr>
          <w:rFonts w:ascii="仿宋_GB2312" w:hAnsi="宋体" w:eastAsia="仿宋_GB2312" w:cs="仿宋_GB2312"/>
          <w:sz w:val="32"/>
          <w:szCs w:val="32"/>
        </w:rPr>
        <w:drawing>
          <wp:inline distT="0" distB="0" distL="0" distR="0">
            <wp:extent cx="5274310" cy="2732405"/>
            <wp:effectExtent l="19050" t="0" r="2540" b="0"/>
            <wp:docPr id="2" name="图片 1" descr="微信图片_20210705095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10705095733.png"/>
                    <pic:cNvPicPr>
                      <a:picLocks noChangeAspect="1"/>
                    </pic:cNvPicPr>
                  </pic:nvPicPr>
                  <pic:blipFill>
                    <a:blip r:embed="rId6"/>
                    <a:stretch>
                      <a:fillRect/>
                    </a:stretch>
                  </pic:blipFill>
                  <pic:spPr>
                    <a:xfrm>
                      <a:off x="0" y="0"/>
                      <a:ext cx="5274310" cy="2732405"/>
                    </a:xfrm>
                    <a:prstGeom prst="rect">
                      <a:avLst/>
                    </a:prstGeom>
                  </pic:spPr>
                </pic:pic>
              </a:graphicData>
            </a:graphic>
          </wp:inline>
        </w:drawing>
      </w:r>
    </w:p>
    <w:p w14:paraId="706834B1">
      <w:pPr>
        <w:rPr>
          <w:rFonts w:ascii="仿宋_GB2312" w:hAnsi="宋体" w:eastAsia="仿宋_GB2312" w:cs="仿宋_GB2312"/>
          <w:sz w:val="32"/>
          <w:szCs w:val="32"/>
        </w:rPr>
      </w:pPr>
      <w:r>
        <w:rPr>
          <w:rFonts w:ascii="仿宋_GB2312" w:hAnsi="宋体" w:eastAsia="仿宋_GB2312" w:cs="仿宋_GB2312"/>
          <w:sz w:val="32"/>
          <w:szCs w:val="32"/>
        </w:rPr>
        <w:drawing>
          <wp:inline distT="0" distB="0" distL="0" distR="0">
            <wp:extent cx="5274310" cy="2473960"/>
            <wp:effectExtent l="19050" t="0" r="2540" b="0"/>
            <wp:docPr id="3" name="图片 2" descr="微信图片_20210705095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10705095835.png"/>
                    <pic:cNvPicPr>
                      <a:picLocks noChangeAspect="1"/>
                    </pic:cNvPicPr>
                  </pic:nvPicPr>
                  <pic:blipFill>
                    <a:blip r:embed="rId7"/>
                    <a:stretch>
                      <a:fillRect/>
                    </a:stretch>
                  </pic:blipFill>
                  <pic:spPr>
                    <a:xfrm>
                      <a:off x="0" y="0"/>
                      <a:ext cx="5274310" cy="2473960"/>
                    </a:xfrm>
                    <a:prstGeom prst="rect">
                      <a:avLst/>
                    </a:prstGeom>
                  </pic:spPr>
                </pic:pic>
              </a:graphicData>
            </a:graphic>
          </wp:inline>
        </w:drawing>
      </w:r>
    </w:p>
    <w:p w14:paraId="3AF8F5B9">
      <w:pPr>
        <w:rPr>
          <w:rFonts w:ascii="仿宋_GB2312" w:hAnsi="宋体" w:eastAsia="仿宋_GB2312" w:cs="仿宋_GB2312"/>
          <w:sz w:val="32"/>
          <w:szCs w:val="32"/>
        </w:rPr>
      </w:pPr>
      <w:r>
        <w:rPr>
          <w:rFonts w:ascii="仿宋_GB2312" w:hAnsi="宋体" w:eastAsia="仿宋_GB2312" w:cs="仿宋_GB2312"/>
          <w:sz w:val="32"/>
          <w:szCs w:val="32"/>
        </w:rPr>
        <w:drawing>
          <wp:inline distT="0" distB="0" distL="0" distR="0">
            <wp:extent cx="5274310" cy="2944495"/>
            <wp:effectExtent l="19050" t="0" r="2540" b="0"/>
            <wp:docPr id="4" name="图片 3" descr="微信图片_20210705095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10705095920.png"/>
                    <pic:cNvPicPr>
                      <a:picLocks noChangeAspect="1"/>
                    </pic:cNvPicPr>
                  </pic:nvPicPr>
                  <pic:blipFill>
                    <a:blip r:embed="rId8"/>
                    <a:stretch>
                      <a:fillRect/>
                    </a:stretch>
                  </pic:blipFill>
                  <pic:spPr>
                    <a:xfrm>
                      <a:off x="0" y="0"/>
                      <a:ext cx="5274310" cy="2944495"/>
                    </a:xfrm>
                    <a:prstGeom prst="rect">
                      <a:avLst/>
                    </a:prstGeom>
                  </pic:spPr>
                </pic:pic>
              </a:graphicData>
            </a:graphic>
          </wp:inline>
        </w:drawing>
      </w:r>
    </w:p>
    <w:p w14:paraId="049DFD62">
      <w:pPr>
        <w:rPr>
          <w:rFonts w:ascii="仿宋_GB2312" w:hAnsi="宋体" w:eastAsia="仿宋_GB2312" w:cs="仿宋_GB2312"/>
          <w:sz w:val="32"/>
          <w:szCs w:val="32"/>
        </w:rPr>
      </w:pPr>
      <w:r>
        <w:rPr>
          <w:rFonts w:ascii="仿宋_GB2312" w:hAnsi="宋体" w:eastAsia="仿宋_GB2312" w:cs="仿宋_GB2312"/>
          <w:sz w:val="32"/>
          <w:szCs w:val="32"/>
        </w:rPr>
        <w:drawing>
          <wp:inline distT="0" distB="0" distL="0" distR="0">
            <wp:extent cx="5274310" cy="2814955"/>
            <wp:effectExtent l="19050" t="0" r="2540" b="0"/>
            <wp:docPr id="5" name="图片 4" descr="微信图片_20210705100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10705100114.png"/>
                    <pic:cNvPicPr>
                      <a:picLocks noChangeAspect="1"/>
                    </pic:cNvPicPr>
                  </pic:nvPicPr>
                  <pic:blipFill>
                    <a:blip r:embed="rId9"/>
                    <a:stretch>
                      <a:fillRect/>
                    </a:stretch>
                  </pic:blipFill>
                  <pic:spPr>
                    <a:xfrm>
                      <a:off x="0" y="0"/>
                      <a:ext cx="5274310" cy="2814955"/>
                    </a:xfrm>
                    <a:prstGeom prst="rect">
                      <a:avLst/>
                    </a:prstGeom>
                  </pic:spPr>
                </pic:pic>
              </a:graphicData>
            </a:graphic>
          </wp:inline>
        </w:drawing>
      </w:r>
    </w:p>
    <w:p w14:paraId="74AEBC83">
      <w:pPr>
        <w:rPr>
          <w:rFonts w:ascii="仿宋_GB2312" w:hAnsi="宋体" w:eastAsia="仿宋_GB2312" w:cs="仿宋_GB2312"/>
          <w:sz w:val="32"/>
          <w:szCs w:val="32"/>
        </w:rPr>
      </w:pPr>
      <w:r>
        <w:rPr>
          <w:rFonts w:ascii="仿宋_GB2312" w:hAnsi="宋体" w:eastAsia="仿宋_GB2312" w:cs="仿宋_GB2312"/>
          <w:sz w:val="32"/>
          <w:szCs w:val="32"/>
        </w:rPr>
        <w:drawing>
          <wp:inline distT="0" distB="0" distL="0" distR="0">
            <wp:extent cx="5274310" cy="5090160"/>
            <wp:effectExtent l="19050" t="0" r="2540" b="0"/>
            <wp:docPr id="6" name="图片 5" descr="微信图片_20210705100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微信图片_20210705100144.png"/>
                    <pic:cNvPicPr>
                      <a:picLocks noChangeAspect="1"/>
                    </pic:cNvPicPr>
                  </pic:nvPicPr>
                  <pic:blipFill>
                    <a:blip r:embed="rId10"/>
                    <a:stretch>
                      <a:fillRect/>
                    </a:stretch>
                  </pic:blipFill>
                  <pic:spPr>
                    <a:xfrm>
                      <a:off x="0" y="0"/>
                      <a:ext cx="5274310" cy="5090160"/>
                    </a:xfrm>
                    <a:prstGeom prst="rect">
                      <a:avLst/>
                    </a:prstGeom>
                  </pic:spPr>
                </pic:pic>
              </a:graphicData>
            </a:graphic>
          </wp:inline>
        </w:drawing>
      </w:r>
    </w:p>
    <w:p w14:paraId="4C3570FC">
      <w:pPr>
        <w:rPr>
          <w:rFonts w:ascii="仿宋_GB2312" w:hAnsi="宋体" w:eastAsia="仿宋_GB2312" w:cs="仿宋_GB2312"/>
          <w:sz w:val="32"/>
          <w:szCs w:val="32"/>
        </w:rPr>
      </w:pPr>
      <w:r>
        <w:rPr>
          <w:rFonts w:ascii="仿宋_GB2312" w:hAnsi="宋体" w:eastAsia="仿宋_GB2312" w:cs="仿宋_GB2312"/>
          <w:sz w:val="32"/>
          <w:szCs w:val="32"/>
        </w:rPr>
        <w:drawing>
          <wp:inline distT="0" distB="0" distL="0" distR="0">
            <wp:extent cx="5274310" cy="1028700"/>
            <wp:effectExtent l="19050" t="0" r="2540" b="0"/>
            <wp:docPr id="7" name="图片 6" descr="微信图片_20210705100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微信图片_20210705100349.png"/>
                    <pic:cNvPicPr>
                      <a:picLocks noChangeAspect="1"/>
                    </pic:cNvPicPr>
                  </pic:nvPicPr>
                  <pic:blipFill>
                    <a:blip r:embed="rId11"/>
                    <a:stretch>
                      <a:fillRect/>
                    </a:stretch>
                  </pic:blipFill>
                  <pic:spPr>
                    <a:xfrm>
                      <a:off x="0" y="0"/>
                      <a:ext cx="5274310" cy="1028700"/>
                    </a:xfrm>
                    <a:prstGeom prst="rect">
                      <a:avLst/>
                    </a:prstGeom>
                  </pic:spPr>
                </pic:pic>
              </a:graphicData>
            </a:graphic>
          </wp:inline>
        </w:drawing>
      </w:r>
    </w:p>
    <w:p w14:paraId="36B332FC">
      <w:pPr>
        <w:rPr>
          <w:rFonts w:ascii="仿宋_GB2312" w:hAnsi="宋体" w:eastAsia="仿宋_GB2312" w:cs="仿宋_GB2312"/>
          <w:sz w:val="32"/>
          <w:szCs w:val="32"/>
        </w:rPr>
      </w:pPr>
      <w:r>
        <w:rPr>
          <w:rFonts w:ascii="仿宋_GB2312" w:hAnsi="宋体" w:eastAsia="仿宋_GB2312" w:cs="仿宋_GB2312"/>
          <w:sz w:val="32"/>
          <w:szCs w:val="32"/>
        </w:rPr>
        <w:drawing>
          <wp:inline distT="0" distB="0" distL="0" distR="0">
            <wp:extent cx="5274310" cy="1077595"/>
            <wp:effectExtent l="19050" t="0" r="2540" b="0"/>
            <wp:docPr id="11" name="图片 10" descr="微信图片_20210705101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微信图片_20210705101942.png"/>
                    <pic:cNvPicPr>
                      <a:picLocks noChangeAspect="1"/>
                    </pic:cNvPicPr>
                  </pic:nvPicPr>
                  <pic:blipFill>
                    <a:blip r:embed="rId12"/>
                    <a:stretch>
                      <a:fillRect/>
                    </a:stretch>
                  </pic:blipFill>
                  <pic:spPr>
                    <a:xfrm>
                      <a:off x="0" y="0"/>
                      <a:ext cx="5274310" cy="1077595"/>
                    </a:xfrm>
                    <a:prstGeom prst="rect">
                      <a:avLst/>
                    </a:prstGeom>
                  </pic:spPr>
                </pic:pic>
              </a:graphicData>
            </a:graphic>
          </wp:inline>
        </w:drawing>
      </w:r>
    </w:p>
    <w:p w14:paraId="408FA044">
      <w:pPr>
        <w:rPr>
          <w:rFonts w:ascii="仿宋_GB2312" w:hAnsi="宋体" w:eastAsia="仿宋_GB2312" w:cs="仿宋_GB2312"/>
          <w:sz w:val="32"/>
          <w:szCs w:val="32"/>
        </w:rPr>
      </w:pPr>
      <w:r>
        <w:rPr>
          <w:rFonts w:ascii="仿宋_GB2312" w:hAnsi="宋体" w:eastAsia="仿宋_GB2312" w:cs="仿宋_GB2312"/>
          <w:sz w:val="32"/>
          <w:szCs w:val="32"/>
        </w:rPr>
        <w:drawing>
          <wp:inline distT="0" distB="0" distL="0" distR="0">
            <wp:extent cx="4674235" cy="8863330"/>
            <wp:effectExtent l="19050" t="0" r="0" b="0"/>
            <wp:docPr id="13" name="图片 12" descr="微信图片_20210705102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微信图片_20210705102217.png"/>
                    <pic:cNvPicPr>
                      <a:picLocks noChangeAspect="1"/>
                    </pic:cNvPicPr>
                  </pic:nvPicPr>
                  <pic:blipFill>
                    <a:blip r:embed="rId13"/>
                    <a:stretch>
                      <a:fillRect/>
                    </a:stretch>
                  </pic:blipFill>
                  <pic:spPr>
                    <a:xfrm>
                      <a:off x="0" y="0"/>
                      <a:ext cx="4674235" cy="8863330"/>
                    </a:xfrm>
                    <a:prstGeom prst="rect">
                      <a:avLst/>
                    </a:prstGeom>
                  </pic:spPr>
                </pic:pic>
              </a:graphicData>
            </a:graphic>
          </wp:inline>
        </w:drawing>
      </w:r>
    </w:p>
    <w:p w14:paraId="2E6D6BDC">
      <w:pPr>
        <w:rPr>
          <w:rFonts w:ascii="仿宋_GB2312" w:hAnsi="宋体" w:eastAsia="仿宋_GB2312" w:cs="仿宋_GB2312"/>
          <w:sz w:val="32"/>
          <w:szCs w:val="32"/>
        </w:rPr>
      </w:pPr>
      <w:r>
        <w:rPr>
          <w:rFonts w:ascii="仿宋_GB2312" w:hAnsi="宋体" w:eastAsia="仿宋_GB2312" w:cs="仿宋_GB2312"/>
          <w:sz w:val="32"/>
          <w:szCs w:val="32"/>
        </w:rPr>
        <w:drawing>
          <wp:inline distT="0" distB="0" distL="0" distR="0">
            <wp:extent cx="5274310" cy="7068820"/>
            <wp:effectExtent l="19050" t="0" r="2540" b="0"/>
            <wp:docPr id="14" name="图片 1" descr="C:\Users\ray\AppData\Local\Temp\WeChat Files\e83aca89fa475a5f493df85e43ba0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ray\AppData\Local\Temp\WeChat Files\e83aca89fa475a5f493df85e43ba0be.png"/>
                    <pic:cNvPicPr>
                      <a:picLocks noChangeAspect="1" noChangeArrowheads="1"/>
                    </pic:cNvPicPr>
                  </pic:nvPicPr>
                  <pic:blipFill>
                    <a:blip r:embed="rId14"/>
                    <a:srcRect/>
                    <a:stretch>
                      <a:fillRect/>
                    </a:stretch>
                  </pic:blipFill>
                  <pic:spPr>
                    <a:xfrm>
                      <a:off x="0" y="0"/>
                      <a:ext cx="5274310" cy="7069052"/>
                    </a:xfrm>
                    <a:prstGeom prst="rect">
                      <a:avLst/>
                    </a:prstGeom>
                    <a:noFill/>
                    <a:ln w="9525">
                      <a:noFill/>
                      <a:miter lim="800000"/>
                      <a:headEnd/>
                      <a:tailEnd/>
                    </a:ln>
                  </pic:spPr>
                </pic:pic>
              </a:graphicData>
            </a:graphic>
          </wp:inline>
        </w:drawing>
      </w:r>
    </w:p>
    <w:p w14:paraId="3B6A8F95">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14:paraId="78A098BE">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14:paraId="497D0E13">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（一）财政拨款：指市级财政当年拨付的资金。</w:t>
      </w:r>
    </w:p>
    <w:p w14:paraId="520C2997">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（二）事业收入：指事业单位开展专业业务活动及辅助活动取得的收入。</w:t>
      </w:r>
    </w:p>
    <w:p w14:paraId="1C629309">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（三）事业单位经营收入：指事业单位在专业业务活动及辅助活动之外开展非独立核算经营活动取得的收入。</w:t>
      </w:r>
    </w:p>
    <w:p w14:paraId="56F64892">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（四）其他收入：指除财政拨款、事业收入、事业单位经营收入等以外的各项收入。</w:t>
      </w:r>
    </w:p>
    <w:p w14:paraId="653B0AD4">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（五）附属单位上缴收入：反映事业单位附属的独立核算单位按规定标准或比例缴纳的各项收入。包括附属的事业单位上缴的收入和附属的企业上缴的利润等。</w:t>
      </w:r>
    </w:p>
    <w:p w14:paraId="3895FC64">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（六）上级补助收入：反映事业单位从主管部门和上级单位取得的非财政补助收入。</w:t>
      </w:r>
    </w:p>
    <w:p w14:paraId="21F8FC6F">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（七）用事业基金弥补收支差额：填列事业单位用事业基金弥补2021年收支差额的数额。</w:t>
      </w:r>
    </w:p>
    <w:p w14:paraId="4D555E51">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（八）上年结转和结余：填列2020年全部结转和结余的资金数，包括当年结转结余资金和历年滚存结转结余资金。</w:t>
      </w:r>
    </w:p>
    <w:p w14:paraId="59B7566C">
      <w:pPr>
        <w:widowControl/>
        <w:spacing w:line="600" w:lineRule="exact"/>
        <w:ind w:firstLine="640"/>
        <w:jc w:val="left"/>
        <w:rPr>
          <w:rFonts w:ascii="仿宋_GB2312" w:eastAsia="仿宋_GB2312"/>
          <w:color w:val="000000"/>
          <w:sz w:val="32"/>
          <w:szCs w:val="30"/>
        </w:rPr>
      </w:pPr>
    </w:p>
    <w:p w14:paraId="1CD15CBC">
      <w:pPr>
        <w:widowControl/>
        <w:spacing w:line="600" w:lineRule="exact"/>
        <w:jc w:val="left"/>
        <w:rPr>
          <w:rFonts w:ascii="仿宋_GB2312" w:eastAsia="仿宋_GB2312"/>
          <w:color w:val="000000"/>
          <w:sz w:val="32"/>
          <w:szCs w:val="30"/>
        </w:rPr>
      </w:pPr>
      <w:r>
        <w:rPr>
          <w:rFonts w:hint="eastAsia" w:ascii="仿宋_GB2312" w:eastAsia="仿宋_GB2312"/>
          <w:color w:val="000000"/>
          <w:sz w:val="32"/>
          <w:szCs w:val="30"/>
        </w:rPr>
        <w:t>二、支出科目</w:t>
      </w:r>
    </w:p>
    <w:p w14:paraId="7EC0DA0C">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（一）一般公共安全(类)法院(款)</w:t>
      </w:r>
    </w:p>
    <w:p w14:paraId="05B4710D">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行政运行(项)：指用于保障机构正常运行、开展日常工作的基本支出。</w:t>
      </w:r>
    </w:p>
    <w:p w14:paraId="7A2CF1AC">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其他法院支出(项)：指反映除上述项目以外其他拥有法院方面的支出。</w:t>
      </w:r>
    </w:p>
    <w:p w14:paraId="3056C8B2">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（二）社会保障和就业支出(类)行政事业单位养老支出(款)</w:t>
      </w:r>
    </w:p>
    <w:p w14:paraId="5A1D97C8">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机关事业单位基本养老保险缴费支出(项)：指反映机关事业单位实施养老保险制度由单位缴纳的基本养老保险费支出。</w:t>
      </w:r>
    </w:p>
    <w:p w14:paraId="1D50403B">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（三）卫生健康支出支出(类)行政事业单位医疗(款)</w:t>
      </w:r>
    </w:p>
    <w:p w14:paraId="75A6661F">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其他行政事业单位医疗支出(项)：指反映财政部门集中安排的行政单位基本医疗保险缴费经费，未参加医疗保险的行政单位的公费医疗经费，按国家规定享受离休人员、红军战士待遇人员的医疗经费。</w:t>
      </w:r>
    </w:p>
    <w:p w14:paraId="6B577C69">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（四）住房保障支出(类)住房改革支出(款)</w:t>
      </w:r>
    </w:p>
    <w:p w14:paraId="76C6D3E1">
      <w:pPr>
        <w:widowControl/>
        <w:shd w:val="clear" w:color="auto" w:fill="FFFFFF"/>
        <w:spacing w:line="402" w:lineRule="atLeast"/>
        <w:ind w:firstLine="703"/>
        <w:jc w:val="left"/>
        <w:rPr>
          <w:rFonts w:ascii="仿宋" w:hAnsi="仿宋" w:eastAsia="仿宋" w:cs="仿宋"/>
          <w:color w:val="3D3D3D"/>
          <w:kern w:val="0"/>
          <w:sz w:val="32"/>
          <w:szCs w:val="32"/>
        </w:rPr>
      </w:pPr>
      <w:r>
        <w:rPr>
          <w:rFonts w:hint="eastAsia" w:ascii="仿宋" w:hAnsi="仿宋" w:eastAsia="仿宋" w:cs="仿宋"/>
          <w:color w:val="3D3D3D"/>
          <w:kern w:val="0"/>
          <w:sz w:val="32"/>
          <w:szCs w:val="32"/>
        </w:rPr>
        <w:t>住房公积金(项)：指反映行政事业单位按人力资源和社会保障部、财政部规定的基本工资和津贴补贴以及规定比例为职工缴纳的住房公积金。</w:t>
      </w:r>
    </w:p>
    <w:p w14:paraId="4AD3EFBA">
      <w:pPr>
        <w:widowControl/>
        <w:shd w:val="clear" w:color="auto" w:fill="FFFFFF"/>
        <w:spacing w:line="402" w:lineRule="atLeast"/>
        <w:ind w:firstLine="703"/>
        <w:jc w:val="left"/>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“三公”经费：三公经费是指财政拨款支出安排的出国（境）费、车辆购置及运行费、公务接待费这三项经费。其中，因公出国（境）</w:t>
      </w:r>
      <w:r>
        <w:rPr>
          <w:rFonts w:eastAsia="仿宋"/>
          <w:color w:val="3D3D3D"/>
          <w:kern w:val="0"/>
          <w:sz w:val="32"/>
          <w:szCs w:val="32"/>
        </w:rPr>
        <w:t> </w:t>
      </w:r>
      <w:r>
        <w:rPr>
          <w:rFonts w:hint="eastAsia" w:ascii="仿宋" w:hAnsi="仿宋" w:eastAsia="仿宋" w:cs="仿宋"/>
          <w:color w:val="3D3D3D"/>
          <w:kern w:val="0"/>
          <w:sz w:val="32"/>
          <w:szCs w:val="32"/>
        </w:rPr>
        <w:t>费反映单位公务出国（境）的国际旅费、国外城市间交通费、</w:t>
      </w:r>
      <w:r>
        <w:rPr>
          <w:rFonts w:eastAsia="仿宋"/>
          <w:color w:val="3D3D3D"/>
          <w:kern w:val="0"/>
          <w:sz w:val="32"/>
          <w:szCs w:val="32"/>
        </w:rPr>
        <w:t> </w:t>
      </w:r>
      <w:r>
        <w:rPr>
          <w:rFonts w:hint="eastAsia" w:ascii="仿宋" w:hAnsi="仿宋" w:eastAsia="仿宋" w:cs="仿宋"/>
          <w:color w:val="3D3D3D"/>
          <w:kern w:val="0"/>
          <w:sz w:val="32"/>
          <w:szCs w:val="32"/>
        </w:rPr>
        <w:t>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10E23">
    <w:pPr>
      <w:pStyle w:val="5"/>
      <w:framePr w:wrap="around" w:vAnchor="text" w:hAnchor="margin" w:xAlign="center" w:y="1"/>
      <w:rPr>
        <w:rStyle w:val="11"/>
        <w:rFonts w:cs="Times New Roman"/>
      </w:rPr>
    </w:pPr>
    <w:r>
      <w:rPr>
        <w:rStyle w:val="11"/>
      </w:rPr>
      <w:fldChar w:fldCharType="begin"/>
    </w:r>
    <w:r>
      <w:rPr>
        <w:rStyle w:val="11"/>
      </w:rPr>
      <w:instrText xml:space="preserve">PAGE  </w:instrText>
    </w:r>
    <w:r>
      <w:rPr>
        <w:rStyle w:val="11"/>
      </w:rPr>
      <w:fldChar w:fldCharType="separate"/>
    </w:r>
    <w:r>
      <w:rPr>
        <w:rStyle w:val="11"/>
      </w:rPr>
      <w:t>12</w:t>
    </w:r>
    <w:r>
      <w:rPr>
        <w:rStyle w:val="11"/>
      </w:rPr>
      <w:fldChar w:fldCharType="end"/>
    </w:r>
  </w:p>
  <w:p w14:paraId="2D52A3CD">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WY5NzI1MThhZDljY2U3MzkwYzYyOTljZjg5ZmIifQ=="/>
  </w:docVars>
  <w:rsids>
    <w:rsidRoot w:val="19076E1D"/>
    <w:rsid w:val="000071F5"/>
    <w:rsid w:val="00027AE5"/>
    <w:rsid w:val="000429DB"/>
    <w:rsid w:val="00061A30"/>
    <w:rsid w:val="00066060"/>
    <w:rsid w:val="00091805"/>
    <w:rsid w:val="00092EEA"/>
    <w:rsid w:val="001657C8"/>
    <w:rsid w:val="002D6BA1"/>
    <w:rsid w:val="002E5247"/>
    <w:rsid w:val="00301C11"/>
    <w:rsid w:val="00324788"/>
    <w:rsid w:val="00365F87"/>
    <w:rsid w:val="00380C91"/>
    <w:rsid w:val="003C3760"/>
    <w:rsid w:val="003C4214"/>
    <w:rsid w:val="004919C1"/>
    <w:rsid w:val="00570BB7"/>
    <w:rsid w:val="00630F65"/>
    <w:rsid w:val="006342FC"/>
    <w:rsid w:val="00675E17"/>
    <w:rsid w:val="00683AC4"/>
    <w:rsid w:val="007329E6"/>
    <w:rsid w:val="0073439A"/>
    <w:rsid w:val="0077387C"/>
    <w:rsid w:val="007B54B3"/>
    <w:rsid w:val="008110CC"/>
    <w:rsid w:val="00837ED2"/>
    <w:rsid w:val="0087708F"/>
    <w:rsid w:val="00920DC3"/>
    <w:rsid w:val="00931650"/>
    <w:rsid w:val="00946117"/>
    <w:rsid w:val="00A13463"/>
    <w:rsid w:val="00A220DD"/>
    <w:rsid w:val="00A34F47"/>
    <w:rsid w:val="00A37AFF"/>
    <w:rsid w:val="00A5014E"/>
    <w:rsid w:val="00B358C5"/>
    <w:rsid w:val="00B6244E"/>
    <w:rsid w:val="00BF4A84"/>
    <w:rsid w:val="00C04C9A"/>
    <w:rsid w:val="00C948BC"/>
    <w:rsid w:val="00C967FE"/>
    <w:rsid w:val="00CA02C9"/>
    <w:rsid w:val="00CB427A"/>
    <w:rsid w:val="00D52D8A"/>
    <w:rsid w:val="00D74EF2"/>
    <w:rsid w:val="00D91D10"/>
    <w:rsid w:val="00DE3AE9"/>
    <w:rsid w:val="00E61348"/>
    <w:rsid w:val="00E91AE3"/>
    <w:rsid w:val="00EF1F72"/>
    <w:rsid w:val="00F500B9"/>
    <w:rsid w:val="00F76925"/>
    <w:rsid w:val="00FA7909"/>
    <w:rsid w:val="00FD6B72"/>
    <w:rsid w:val="01992CBB"/>
    <w:rsid w:val="022502CD"/>
    <w:rsid w:val="05EB1609"/>
    <w:rsid w:val="07EF6A79"/>
    <w:rsid w:val="08C75001"/>
    <w:rsid w:val="08EE0B31"/>
    <w:rsid w:val="0A326819"/>
    <w:rsid w:val="0CBF216E"/>
    <w:rsid w:val="0FCB58D0"/>
    <w:rsid w:val="11427CB1"/>
    <w:rsid w:val="139E3D52"/>
    <w:rsid w:val="162B4B72"/>
    <w:rsid w:val="18AC060B"/>
    <w:rsid w:val="19076E1D"/>
    <w:rsid w:val="1EBD751D"/>
    <w:rsid w:val="1F117155"/>
    <w:rsid w:val="204B45CE"/>
    <w:rsid w:val="22DF4A38"/>
    <w:rsid w:val="25705B71"/>
    <w:rsid w:val="26EA11B3"/>
    <w:rsid w:val="2DBB222D"/>
    <w:rsid w:val="306E3471"/>
    <w:rsid w:val="31D40AAE"/>
    <w:rsid w:val="381119B2"/>
    <w:rsid w:val="3BD871B8"/>
    <w:rsid w:val="3CF55A87"/>
    <w:rsid w:val="402F16CB"/>
    <w:rsid w:val="429A727D"/>
    <w:rsid w:val="4322216B"/>
    <w:rsid w:val="4C0B38BC"/>
    <w:rsid w:val="4C0B7195"/>
    <w:rsid w:val="4D3B293C"/>
    <w:rsid w:val="51B40312"/>
    <w:rsid w:val="57CC144D"/>
    <w:rsid w:val="62B20F12"/>
    <w:rsid w:val="641E7445"/>
    <w:rsid w:val="65652067"/>
    <w:rsid w:val="71452C49"/>
    <w:rsid w:val="73224148"/>
    <w:rsid w:val="772860B1"/>
    <w:rsid w:val="79E06C03"/>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2"/>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line="540" w:lineRule="exact"/>
      <w:jc w:val="left"/>
    </w:pPr>
    <w:rPr>
      <w:rFonts w:ascii="宋体" w:hAnsi="宋体" w:cs="宋体"/>
      <w:snapToGrid w:val="0"/>
      <w:kern w:val="0"/>
      <w:sz w:val="24"/>
      <w:szCs w:val="24"/>
    </w:rPr>
  </w:style>
  <w:style w:type="table" w:styleId="9">
    <w:name w:val="Table Grid"/>
    <w:basedOn w:val="8"/>
    <w:qFormat/>
    <w:uiPriority w:val="59"/>
    <w:rPr>
      <w:rFonts w:eastAsia="微软雅黑" w:asciiTheme="minorHAnsi" w:hAnsiTheme="minorHAnsi" w:cstheme="minorBid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character" w:customStyle="1" w:styleId="12">
    <w:name w:val="标题 2 字符"/>
    <w:basedOn w:val="10"/>
    <w:link w:val="2"/>
    <w:semiHidden/>
    <w:qFormat/>
    <w:uiPriority w:val="9"/>
    <w:rPr>
      <w:rFonts w:asciiTheme="majorHAnsi" w:hAnsiTheme="majorHAnsi" w:eastAsiaTheme="majorEastAsia" w:cstheme="majorBidi"/>
      <w:b/>
      <w:bCs/>
      <w:sz w:val="32"/>
      <w:szCs w:val="32"/>
    </w:rPr>
  </w:style>
  <w:style w:type="character" w:customStyle="1" w:styleId="13">
    <w:name w:val="页脚 字符"/>
    <w:basedOn w:val="10"/>
    <w:link w:val="5"/>
    <w:semiHidden/>
    <w:qFormat/>
    <w:uiPriority w:val="99"/>
    <w:rPr>
      <w:rFonts w:cs="Calibri"/>
      <w:sz w:val="18"/>
      <w:szCs w:val="18"/>
    </w:rPr>
  </w:style>
  <w:style w:type="character" w:customStyle="1" w:styleId="14">
    <w:name w:val="批注框文本 字符"/>
    <w:basedOn w:val="10"/>
    <w:link w:val="4"/>
    <w:semiHidden/>
    <w:qFormat/>
    <w:uiPriority w:val="99"/>
    <w:rPr>
      <w:rFonts w:ascii="Calibri" w:hAnsi="Calibri" w:cs="Calibri"/>
      <w:kern w:val="2"/>
      <w:sz w:val="18"/>
      <w:szCs w:val="18"/>
    </w:rPr>
  </w:style>
  <w:style w:type="character" w:customStyle="1" w:styleId="15">
    <w:name w:val="页眉 字符"/>
    <w:basedOn w:val="10"/>
    <w:link w:val="6"/>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3171</Words>
  <Characters>3454</Characters>
  <Lines>25</Lines>
  <Paragraphs>7</Paragraphs>
  <TotalTime>189</TotalTime>
  <ScaleCrop>false</ScaleCrop>
  <LinksUpToDate>false</LinksUpToDate>
  <CharactersWithSpaces>3517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嘟嘟</cp:lastModifiedBy>
  <cp:lastPrinted>2021-05-26T02:23:00Z</cp:lastPrinted>
  <dcterms:modified xsi:type="dcterms:W3CDTF">2025-10-09T03:29:06Z</dcterms:modified>
  <dc:title>附件2：2018年市级部门预算说明和预算公开表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38CBCE6688E84430B98B9889B26A591C</vt:lpwstr>
  </property>
  <property fmtid="{D5CDD505-2E9C-101B-9397-08002B2CF9AE}" pid="4" name="KSOTemplateDocerSaveRecord">
    <vt:lpwstr>eyJoZGlkIjoiMjE2YWY5NzI1MThhZDljY2U3MzkwYzYyOTljZjg5ZmIiLCJ1c2VySWQiOiI0MjQ5NjU3NjUifQ==</vt:lpwstr>
  </property>
</Properties>
</file>