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3E2A8">
      <w:pPr>
        <w:pStyle w:val="3"/>
        <w:spacing w:before="0" w:after="0" w:line="240" w:lineRule="auto"/>
        <w:jc w:val="center"/>
        <w:rPr>
          <w:rFonts w:ascii="黑体" w:hAnsi="黑体" w:eastAsia="黑体" w:cs="黑体"/>
        </w:rPr>
      </w:pPr>
      <w:r>
        <w:rPr>
          <w:rFonts w:hint="eastAsia" w:ascii="黑体" w:hAnsi="黑体" w:eastAsia="黑体" w:cs="黑体"/>
        </w:rPr>
        <w:t>景德镇市归国华侨联合会2021年部门预算</w:t>
      </w:r>
    </w:p>
    <w:p w14:paraId="54FF6BB3">
      <w:pPr>
        <w:spacing w:before="240"/>
        <w:jc w:val="center"/>
        <w:rPr>
          <w:rFonts w:ascii="仿宋_GB2312" w:hAnsi="仿宋" w:eastAsia="仿宋_GB2312" w:cs="Times New Roman"/>
          <w:b/>
          <w:bCs/>
          <w:sz w:val="32"/>
          <w:szCs w:val="32"/>
        </w:rPr>
      </w:pPr>
      <w:r>
        <w:rPr>
          <w:rFonts w:hint="eastAsia" w:ascii="仿宋_GB2312" w:hAnsi="仿宋" w:eastAsia="仿宋_GB2312" w:cs="仿宋_GB2312"/>
          <w:b/>
          <w:bCs/>
          <w:sz w:val="32"/>
          <w:szCs w:val="32"/>
        </w:rPr>
        <w:t>目</w:t>
      </w:r>
      <w:r>
        <w:rPr>
          <w:rFonts w:ascii="仿宋_GB2312" w:hAnsi="仿宋" w:eastAsia="仿宋_GB2312" w:cs="仿宋_GB2312"/>
          <w:b/>
          <w:bCs/>
          <w:sz w:val="32"/>
          <w:szCs w:val="32"/>
        </w:rPr>
        <w:t xml:space="preserve">   </w:t>
      </w:r>
      <w:r>
        <w:rPr>
          <w:rFonts w:hint="eastAsia" w:ascii="仿宋_GB2312" w:hAnsi="仿宋" w:eastAsia="仿宋_GB2312" w:cs="仿宋_GB2312"/>
          <w:b/>
          <w:bCs/>
          <w:sz w:val="32"/>
          <w:szCs w:val="32"/>
        </w:rPr>
        <w:t>录</w:t>
      </w:r>
    </w:p>
    <w:p w14:paraId="287F57D6">
      <w:pPr>
        <w:ind w:firstLine="640" w:firstLineChars="200"/>
        <w:rPr>
          <w:rFonts w:ascii="黑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景德镇市归国华侨联合会概况</w:t>
      </w:r>
    </w:p>
    <w:p w14:paraId="745C92AE">
      <w:pPr>
        <w:ind w:firstLine="640" w:firstLineChars="200"/>
        <w:rPr>
          <w:rFonts w:ascii="仿宋_GB2312" w:hAnsi="宋体" w:eastAsia="仿宋_GB2312" w:cs="仿宋_GB2312"/>
          <w:sz w:val="32"/>
          <w:szCs w:val="32"/>
        </w:rPr>
      </w:pPr>
      <w:r>
        <w:rPr>
          <w:rFonts w:hint="eastAsia" w:ascii="仿宋" w:hAnsi="仿宋" w:eastAsia="仿宋" w:cs="仿宋"/>
          <w:color w:val="333333"/>
          <w:sz w:val="32"/>
          <w:szCs w:val="32"/>
          <w:shd w:val="clear" w:color="auto" w:fill="FFFFFF"/>
        </w:rPr>
        <w:t xml:space="preserve">      </w:t>
      </w:r>
      <w:r>
        <w:rPr>
          <w:rFonts w:hint="eastAsia" w:ascii="仿宋_GB2312" w:hAnsi="宋体" w:eastAsia="仿宋_GB2312" w:cs="仿宋_GB2312"/>
          <w:sz w:val="32"/>
          <w:szCs w:val="32"/>
        </w:rPr>
        <w:t>一、部门主要职责</w:t>
      </w:r>
    </w:p>
    <w:p w14:paraId="6AD147DA">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  二、部门机构设置情况</w:t>
      </w:r>
    </w:p>
    <w:p w14:paraId="1DDB57E8">
      <w:pPr>
        <w:ind w:firstLine="640" w:firstLineChars="200"/>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景德镇市归国华侨联合会2021年部门预算情况说明</w:t>
      </w:r>
    </w:p>
    <w:p w14:paraId="21B5837F">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ascii="仿宋_GB2312" w:hAnsi="宋体" w:eastAsia="仿宋_GB2312" w:cs="仿宋_GB2312"/>
          <w:sz w:val="32"/>
          <w:szCs w:val="32"/>
        </w:rPr>
        <w:t xml:space="preserve">  </w:t>
      </w:r>
      <w:r>
        <w:rPr>
          <w:rFonts w:hint="eastAsia" w:ascii="仿宋" w:hAnsi="仿宋" w:eastAsia="仿宋" w:cs="仿宋"/>
          <w:color w:val="333333"/>
          <w:sz w:val="32"/>
          <w:szCs w:val="32"/>
          <w:shd w:val="clear" w:color="auto" w:fill="FFFFFF"/>
        </w:rPr>
        <w:t> </w:t>
      </w:r>
      <w:r>
        <w:rPr>
          <w:rFonts w:ascii="仿宋_GB2312" w:hAnsi="微软雅黑" w:eastAsia="仿宋_GB2312" w:cs="仿宋_GB2312"/>
          <w:color w:val="000000"/>
          <w:kern w:val="0"/>
          <w:sz w:val="32"/>
          <w:szCs w:val="32"/>
          <w:shd w:val="clear" w:color="auto" w:fill="FFFFFF"/>
        </w:rPr>
        <w:t>一、20</w:t>
      </w:r>
      <w:r>
        <w:rPr>
          <w:rFonts w:hint="eastAsia" w:ascii="仿宋_GB2312" w:hAnsi="微软雅黑" w:eastAsia="仿宋_GB2312" w:cs="仿宋_GB2312"/>
          <w:color w:val="000000"/>
          <w:kern w:val="0"/>
          <w:sz w:val="32"/>
          <w:szCs w:val="32"/>
          <w:shd w:val="clear" w:color="auto" w:fill="FFFFFF"/>
        </w:rPr>
        <w:t>21</w:t>
      </w:r>
      <w:r>
        <w:rPr>
          <w:rFonts w:ascii="仿宋_GB2312" w:hAnsi="微软雅黑" w:eastAsia="仿宋_GB2312" w:cs="仿宋_GB2312"/>
          <w:color w:val="000000"/>
          <w:kern w:val="0"/>
          <w:sz w:val="32"/>
          <w:szCs w:val="32"/>
          <w:shd w:val="clear" w:color="auto" w:fill="FFFFFF"/>
        </w:rPr>
        <w:t>年部门预算收支情况说明</w:t>
      </w:r>
    </w:p>
    <w:p w14:paraId="36FE1993">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1、预算收入情况说明</w:t>
      </w:r>
    </w:p>
    <w:p w14:paraId="4038CAD2">
      <w:pPr>
        <w:widowControl/>
        <w:shd w:val="clear" w:color="auto" w:fill="FFFFFF"/>
        <w:ind w:firstLine="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2、预算支出情况说明</w:t>
      </w:r>
    </w:p>
    <w:p w14:paraId="30AD1171">
      <w:pPr>
        <w:widowControl/>
        <w:shd w:val="clear" w:color="auto" w:fill="FFFFFF"/>
        <w:ind w:left="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3、经费拨款情况说明</w:t>
      </w:r>
    </w:p>
    <w:p w14:paraId="411A8F07">
      <w:pPr>
        <w:widowControl/>
        <w:shd w:val="clear" w:color="auto" w:fill="FFFFFF"/>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4、政府性基金收支情况说明</w:t>
      </w:r>
    </w:p>
    <w:p w14:paraId="13E3EEB1">
      <w:pPr>
        <w:widowControl/>
        <w:shd w:val="clear" w:color="auto" w:fill="FFFFFF"/>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5、机关运行经费情况说明</w:t>
      </w:r>
    </w:p>
    <w:p w14:paraId="0F9358DC">
      <w:pPr>
        <w:widowControl/>
        <w:shd w:val="clear" w:color="auto" w:fill="FFFFFF"/>
        <w:ind w:left="96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6、政府采购安排情况说明</w:t>
      </w:r>
    </w:p>
    <w:p w14:paraId="0A0B3AD3">
      <w:pPr>
        <w:widowControl/>
        <w:shd w:val="clear" w:color="auto" w:fill="FFFFFF"/>
        <w:ind w:firstLine="1280" w:firstLineChars="40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7、</w:t>
      </w:r>
      <w:r>
        <w:rPr>
          <w:rFonts w:ascii="仿宋_GB2312" w:hAnsi="微软雅黑" w:eastAsia="仿宋_GB2312" w:cs="仿宋_GB2312"/>
          <w:color w:val="000000"/>
          <w:kern w:val="0"/>
          <w:sz w:val="32"/>
          <w:szCs w:val="32"/>
          <w:shd w:val="clear" w:color="auto" w:fill="FFFFFF"/>
        </w:rPr>
        <w:t>国有资产占用情况说明</w:t>
      </w:r>
    </w:p>
    <w:p w14:paraId="5652C37C">
      <w:pPr>
        <w:widowControl/>
        <w:shd w:val="clear" w:color="auto" w:fill="FFFFFF"/>
        <w:ind w:firstLine="1280" w:firstLineChars="400"/>
        <w:jc w:val="left"/>
        <w:rPr>
          <w:rFonts w:ascii="仿宋_GB2312" w:hAnsi="微软雅黑" w:eastAsia="仿宋_GB2312" w:cs="仿宋_GB2312"/>
          <w:color w:val="000000"/>
          <w:kern w:val="0"/>
          <w:sz w:val="32"/>
          <w:szCs w:val="32"/>
          <w:shd w:val="clear" w:color="auto" w:fill="FFFFFF"/>
        </w:rPr>
      </w:pPr>
      <w:r>
        <w:rPr>
          <w:rFonts w:hint="eastAsia" w:ascii="仿宋_GB2312" w:hAnsi="微软雅黑" w:eastAsia="仿宋_GB2312" w:cs="仿宋_GB2312"/>
          <w:color w:val="000000"/>
          <w:kern w:val="0"/>
          <w:sz w:val="32"/>
          <w:szCs w:val="32"/>
          <w:shd w:val="clear" w:color="auto" w:fill="FFFFFF"/>
        </w:rPr>
        <w:t xml:space="preserve"> 8、</w:t>
      </w:r>
      <w:r>
        <w:rPr>
          <w:rFonts w:ascii="仿宋_GB2312" w:hAnsi="微软雅黑" w:eastAsia="仿宋_GB2312" w:cs="仿宋_GB2312"/>
          <w:color w:val="000000"/>
          <w:kern w:val="0"/>
          <w:sz w:val="32"/>
          <w:szCs w:val="32"/>
          <w:shd w:val="clear" w:color="auto" w:fill="FFFFFF"/>
        </w:rPr>
        <w:t>预算绩效情况说明</w:t>
      </w:r>
    </w:p>
    <w:p w14:paraId="36097D10">
      <w:pPr>
        <w:widowControl/>
        <w:shd w:val="clear" w:color="auto" w:fill="FFFFFF"/>
        <w:ind w:firstLine="960"/>
        <w:jc w:val="left"/>
        <w:rPr>
          <w:rFonts w:ascii="仿宋_GB2312" w:eastAsia="仿宋_GB2312" w:cs="Times New Roman"/>
          <w:sz w:val="32"/>
          <w:szCs w:val="32"/>
        </w:rPr>
      </w:pPr>
      <w:r>
        <w:rPr>
          <w:rFonts w:ascii="仿宋_GB2312" w:hAnsi="微软雅黑" w:eastAsia="仿宋_GB2312" w:cs="仿宋_GB2312"/>
          <w:color w:val="000000"/>
          <w:kern w:val="0"/>
          <w:sz w:val="32"/>
          <w:szCs w:val="32"/>
          <w:shd w:val="clear" w:color="auto" w:fill="FFFFFF"/>
        </w:rPr>
        <w:t>二、20</w:t>
      </w:r>
      <w:r>
        <w:rPr>
          <w:rFonts w:hint="eastAsia" w:ascii="仿宋_GB2312" w:hAnsi="微软雅黑" w:eastAsia="仿宋_GB2312" w:cs="仿宋_GB2312"/>
          <w:color w:val="000000"/>
          <w:kern w:val="0"/>
          <w:sz w:val="32"/>
          <w:szCs w:val="32"/>
          <w:shd w:val="clear" w:color="auto" w:fill="FFFFFF"/>
        </w:rPr>
        <w:t>21</w:t>
      </w:r>
      <w:r>
        <w:rPr>
          <w:rFonts w:ascii="仿宋_GB2312" w:hAnsi="微软雅黑" w:eastAsia="仿宋_GB2312" w:cs="仿宋_GB2312"/>
          <w:color w:val="000000"/>
          <w:kern w:val="0"/>
          <w:sz w:val="32"/>
          <w:szCs w:val="32"/>
          <w:shd w:val="clear" w:color="auto" w:fill="FFFFFF"/>
        </w:rPr>
        <w:t>年</w:t>
      </w:r>
      <w:r>
        <w:rPr>
          <w:rFonts w:hint="eastAsia" w:ascii="仿宋_GB2312" w:hAnsi="微软雅黑" w:eastAsia="仿宋_GB2312" w:cs="仿宋_GB2312"/>
          <w:color w:val="000000"/>
          <w:kern w:val="0"/>
          <w:sz w:val="32"/>
          <w:szCs w:val="32"/>
          <w:shd w:val="clear" w:color="auto" w:fill="FFFFFF"/>
        </w:rPr>
        <w:t>“</w:t>
      </w:r>
      <w:r>
        <w:rPr>
          <w:rFonts w:ascii="仿宋_GB2312" w:hAnsi="微软雅黑" w:eastAsia="仿宋_GB2312" w:cs="仿宋_GB2312"/>
          <w:color w:val="000000"/>
          <w:kern w:val="0"/>
          <w:sz w:val="32"/>
          <w:szCs w:val="32"/>
          <w:shd w:val="clear" w:color="auto" w:fill="FFFFFF"/>
        </w:rPr>
        <w:t>三公</w:t>
      </w:r>
      <w:r>
        <w:rPr>
          <w:rFonts w:hint="eastAsia" w:ascii="仿宋_GB2312" w:hAnsi="微软雅黑" w:eastAsia="仿宋_GB2312" w:cs="仿宋_GB2312"/>
          <w:color w:val="000000"/>
          <w:kern w:val="0"/>
          <w:sz w:val="32"/>
          <w:szCs w:val="32"/>
          <w:shd w:val="clear" w:color="auto" w:fill="FFFFFF"/>
        </w:rPr>
        <w:t>”</w:t>
      </w:r>
      <w:r>
        <w:rPr>
          <w:rFonts w:ascii="仿宋_GB2312" w:hAnsi="微软雅黑" w:eastAsia="仿宋_GB2312" w:cs="仿宋_GB2312"/>
          <w:color w:val="000000"/>
          <w:kern w:val="0"/>
          <w:sz w:val="32"/>
          <w:szCs w:val="32"/>
          <w:shd w:val="clear" w:color="auto" w:fill="FFFFFF"/>
        </w:rPr>
        <w:t>经费增减变化原因等说明</w:t>
      </w:r>
    </w:p>
    <w:p w14:paraId="78676142">
      <w:pPr>
        <w:ind w:firstLine="640" w:firstLineChars="200"/>
        <w:rPr>
          <w:rFonts w:ascii="黑体" w:hAnsi="宋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景德镇市归国华侨联合会2021年部门预算表</w:t>
      </w:r>
    </w:p>
    <w:p w14:paraId="34DB750C">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一、《收支预算总表》</w:t>
      </w:r>
    </w:p>
    <w:p w14:paraId="06E2AA33">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二、《部门收入总表》</w:t>
      </w:r>
    </w:p>
    <w:p w14:paraId="249FE8A4">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三、《部门支出总表》</w:t>
      </w:r>
    </w:p>
    <w:p w14:paraId="2E4D5443">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四、《财政拨款收支总表》</w:t>
      </w:r>
    </w:p>
    <w:p w14:paraId="7E2DBA71">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五、《一般公共预算支出表》</w:t>
      </w:r>
    </w:p>
    <w:p w14:paraId="223D568A">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六、《一般公共预算基本支出表》</w:t>
      </w:r>
    </w:p>
    <w:p w14:paraId="0444A475">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七、《一般公共预算“三公”经费支出表》</w:t>
      </w:r>
    </w:p>
    <w:p w14:paraId="17F96CB6">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八、《政府性基金预算支出表》</w:t>
      </w:r>
    </w:p>
    <w:p w14:paraId="0D1547CB">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九、《部门整体绩效目标表》</w:t>
      </w:r>
    </w:p>
    <w:p w14:paraId="7B1BE707">
      <w:pPr>
        <w:ind w:firstLine="1280" w:firstLineChars="400"/>
        <w:rPr>
          <w:rFonts w:ascii="仿宋_GB2312" w:hAnsi="宋体" w:eastAsia="仿宋_GB2312" w:cs="仿宋_GB2312"/>
          <w:sz w:val="32"/>
          <w:szCs w:val="32"/>
        </w:rPr>
      </w:pPr>
      <w:r>
        <w:rPr>
          <w:rFonts w:hint="eastAsia" w:ascii="仿宋_GB2312" w:hAnsi="宋体" w:eastAsia="仿宋_GB2312" w:cs="仿宋_GB2312"/>
          <w:sz w:val="32"/>
          <w:szCs w:val="32"/>
        </w:rPr>
        <w:t>十、《一级项目绩效目标表》</w:t>
      </w:r>
    </w:p>
    <w:p w14:paraId="7D5C6B04">
      <w:pPr>
        <w:rPr>
          <w:rFonts w:ascii="仿宋_GB2312" w:eastAsia="仿宋_GB2312" w:cs="Times New Roman"/>
          <w:b/>
          <w:bCs/>
          <w:sz w:val="32"/>
          <w:szCs w:val="32"/>
        </w:rPr>
      </w:pPr>
      <w:r>
        <w:rPr>
          <w:rFonts w:ascii="仿宋_GB2312" w:hAnsi="宋体" w:eastAsia="仿宋_GB2312" w:cs="仿宋_GB2312"/>
          <w:sz w:val="32"/>
          <w:szCs w:val="32"/>
        </w:rPr>
        <w:t xml:space="preserve">   </w:t>
      </w: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14:paraId="2DA5AC49">
      <w:pPr>
        <w:rPr>
          <w:rFonts w:ascii="黑体" w:hAnsi="宋体" w:eastAsia="黑体" w:cs="黑体"/>
          <w:sz w:val="32"/>
          <w:szCs w:val="32"/>
        </w:rPr>
      </w:pPr>
    </w:p>
    <w:p w14:paraId="35297CEC">
      <w:pPr>
        <w:rPr>
          <w:rFonts w:ascii="黑体" w:hAnsi="宋体" w:eastAsia="黑体" w:cs="黑体"/>
          <w:sz w:val="32"/>
          <w:szCs w:val="32"/>
        </w:rPr>
      </w:pPr>
    </w:p>
    <w:p w14:paraId="57BEA2E4">
      <w:pPr>
        <w:rPr>
          <w:rFonts w:ascii="黑体" w:hAnsi="宋体" w:eastAsia="黑体" w:cs="黑体"/>
          <w:sz w:val="32"/>
          <w:szCs w:val="32"/>
        </w:rPr>
      </w:pPr>
    </w:p>
    <w:p w14:paraId="5C6D773E">
      <w:pPr>
        <w:rPr>
          <w:rFonts w:ascii="黑体" w:hAnsi="宋体" w:eastAsia="黑体" w:cs="黑体"/>
          <w:sz w:val="32"/>
          <w:szCs w:val="32"/>
        </w:rPr>
      </w:pPr>
    </w:p>
    <w:p w14:paraId="10AAC45A">
      <w:pPr>
        <w:rPr>
          <w:rFonts w:ascii="黑体" w:hAnsi="宋体" w:eastAsia="黑体" w:cs="黑体"/>
          <w:sz w:val="32"/>
          <w:szCs w:val="32"/>
        </w:rPr>
      </w:pPr>
    </w:p>
    <w:p w14:paraId="15B81A65">
      <w:pPr>
        <w:rPr>
          <w:rFonts w:ascii="黑体" w:hAnsi="宋体" w:eastAsia="黑体" w:cs="黑体"/>
          <w:sz w:val="32"/>
          <w:szCs w:val="32"/>
        </w:rPr>
      </w:pPr>
    </w:p>
    <w:p w14:paraId="4E87E47E">
      <w:pPr>
        <w:rPr>
          <w:rFonts w:ascii="黑体" w:hAnsi="宋体" w:eastAsia="黑体" w:cs="黑体"/>
          <w:sz w:val="32"/>
          <w:szCs w:val="32"/>
        </w:rPr>
      </w:pPr>
    </w:p>
    <w:p w14:paraId="4E38F1C3">
      <w:pPr>
        <w:rPr>
          <w:rFonts w:ascii="黑体" w:hAnsi="宋体" w:eastAsia="黑体" w:cs="黑体"/>
          <w:sz w:val="32"/>
          <w:szCs w:val="32"/>
        </w:rPr>
      </w:pPr>
    </w:p>
    <w:p w14:paraId="5F8CF5E7">
      <w:pPr>
        <w:rPr>
          <w:rFonts w:ascii="黑体" w:hAnsi="宋体" w:eastAsia="黑体" w:cs="黑体"/>
          <w:sz w:val="32"/>
          <w:szCs w:val="32"/>
        </w:rPr>
      </w:pPr>
    </w:p>
    <w:p w14:paraId="149DCFAA">
      <w:pPr>
        <w:rPr>
          <w:rFonts w:ascii="黑体" w:hAnsi="宋体" w:eastAsia="黑体" w:cs="黑体"/>
          <w:sz w:val="32"/>
          <w:szCs w:val="32"/>
        </w:rPr>
      </w:pPr>
    </w:p>
    <w:p w14:paraId="39FD1D22">
      <w:pPr>
        <w:rPr>
          <w:rFonts w:ascii="黑体" w:hAnsi="宋体" w:eastAsia="黑体" w:cs="黑体"/>
          <w:sz w:val="32"/>
          <w:szCs w:val="32"/>
        </w:rPr>
      </w:pPr>
    </w:p>
    <w:p w14:paraId="39A19891">
      <w:pPr>
        <w:rPr>
          <w:rFonts w:ascii="黑体" w:hAnsi="宋体" w:eastAsia="黑体" w:cs="黑体"/>
          <w:sz w:val="32"/>
          <w:szCs w:val="32"/>
        </w:rPr>
      </w:pPr>
    </w:p>
    <w:p w14:paraId="2D84F35C">
      <w:pPr>
        <w:rPr>
          <w:rFonts w:ascii="黑体" w:hAnsi="宋体" w:eastAsia="黑体" w:cs="黑体"/>
          <w:sz w:val="32"/>
          <w:szCs w:val="32"/>
        </w:rPr>
      </w:pPr>
    </w:p>
    <w:p w14:paraId="63801AAF">
      <w:pPr>
        <w:rPr>
          <w:rFonts w:ascii="黑体" w:hAnsi="宋体" w:eastAsia="黑体" w:cs="黑体"/>
          <w:sz w:val="32"/>
          <w:szCs w:val="32"/>
        </w:rPr>
      </w:pPr>
    </w:p>
    <w:p w14:paraId="587B8AC5">
      <w:pPr>
        <w:rPr>
          <w:rFonts w:ascii="黑体" w:hAnsi="宋体" w:eastAsia="黑体" w:cs="黑体"/>
          <w:sz w:val="32"/>
          <w:szCs w:val="32"/>
        </w:rPr>
      </w:pPr>
    </w:p>
    <w:p w14:paraId="430B0293">
      <w:pPr>
        <w:rPr>
          <w:rFonts w:ascii="黑体" w:hAnsi="宋体" w:eastAsia="黑体" w:cs="Times New Roman"/>
          <w:sz w:val="32"/>
          <w:szCs w:val="32"/>
        </w:rPr>
      </w:pPr>
      <w:r>
        <w:rPr>
          <w:rFonts w:hint="eastAsia" w:ascii="黑体" w:hAnsi="宋体" w:eastAsia="黑体" w:cs="黑体"/>
          <w:sz w:val="32"/>
          <w:szCs w:val="32"/>
        </w:rPr>
        <w:t>第一部分</w:t>
      </w:r>
      <w:r>
        <w:rPr>
          <w:rFonts w:ascii="黑体" w:hAnsi="宋体" w:eastAsia="黑体" w:cs="黑体"/>
          <w:sz w:val="32"/>
          <w:szCs w:val="32"/>
        </w:rPr>
        <w:t xml:space="preserve">  </w:t>
      </w:r>
      <w:r>
        <w:rPr>
          <w:rFonts w:hint="eastAsia" w:ascii="黑体" w:hAnsi="宋体" w:eastAsia="黑体" w:cs="黑体"/>
          <w:sz w:val="32"/>
          <w:szCs w:val="32"/>
        </w:rPr>
        <w:t>景德镇市归国华侨联合会概况</w:t>
      </w:r>
    </w:p>
    <w:p w14:paraId="4F7B5911">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一、部门主要职责</w:t>
      </w:r>
    </w:p>
    <w:p w14:paraId="517005DC">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（一）坚持解放思想、实事求是、与时俱进、求真务实，做好归侨、侨眷的思想政治工作。</w:t>
      </w:r>
    </w:p>
    <w:p w14:paraId="41C6AF7D">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二）广泛团结和动员归侨、侨眷和海外侨胞投身改革开放和现代化建设；积极为引进海外人才、资金、技术和智力服务，促进海内外经贸合作和科技交流；努力为归侨、侨眷兴办企事业和海外侨胞来华工作服务；引导侨资侨智在服务国内企业走出去方面发挥积极作用。</w:t>
      </w:r>
    </w:p>
    <w:p w14:paraId="448BE17B">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（三）参与国家政治、经济、文化和社会事务活动，参与社会管理和公共服务，反映归侨、侨眷和海外侨胞的意愿和要求；参与政治协商，发挥民主监督作用。</w:t>
      </w:r>
    </w:p>
    <w:p w14:paraId="049EEFC0">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（四）宣传贯彻党和国家关于侨务工作的方针、政策和法律、法规。</w:t>
      </w:r>
    </w:p>
    <w:p w14:paraId="5671D076">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（五）密切与海外侨胞及其社团的联系，促进海外侨胞关系的和谐。</w:t>
      </w:r>
    </w:p>
    <w:p w14:paraId="245F40AD">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（六）引导和鼓励归侨、侨眷弘扬以爱国主义为核心的民族精神和以改革创新为核心的时代精神，维护各族人民大团结。</w:t>
      </w:r>
    </w:p>
    <w:p w14:paraId="6722C017">
      <w:pPr>
        <w:ind w:firstLine="630" w:firstLineChars="196"/>
        <w:rPr>
          <w:rFonts w:ascii="仿宋_GB2312" w:eastAsia="仿宋_GB2312" w:cs="Times New Roman"/>
          <w:b/>
          <w:bCs/>
          <w:sz w:val="32"/>
          <w:szCs w:val="32"/>
        </w:rPr>
      </w:pPr>
      <w:r>
        <w:rPr>
          <w:rFonts w:hint="eastAsia" w:ascii="仿宋_GB2312" w:hAnsi="宋体" w:eastAsia="仿宋_GB2312" w:cs="仿宋_GB2312"/>
          <w:b/>
          <w:bCs/>
          <w:sz w:val="32"/>
          <w:szCs w:val="32"/>
        </w:rPr>
        <w:t>二、部门机构设置等基本情况</w:t>
      </w:r>
    </w:p>
    <w:p w14:paraId="028E8578">
      <w:pPr>
        <w:ind w:firstLine="627" w:firstLineChars="196"/>
        <w:rPr>
          <w:rFonts w:ascii="仿宋_GB2312" w:hAnsi="宋体" w:eastAsia="仿宋_GB2312" w:cs="仿宋_GB2312"/>
          <w:sz w:val="32"/>
          <w:szCs w:val="32"/>
        </w:rPr>
      </w:pPr>
      <w:r>
        <w:rPr>
          <w:rFonts w:hint="eastAsia" w:ascii="仿宋_GB2312" w:hAnsi="宋体" w:eastAsia="仿宋_GB2312" w:cs="仿宋_GB2312"/>
          <w:sz w:val="32"/>
          <w:szCs w:val="32"/>
        </w:rPr>
        <w:t>本部门共有预算单位1个，即部门本级。编制数为5人，其中参照公务员管理事业编制5人。实有人数7人，其中在职5人，参照公务员管理4人、全额补助1人；退休2人。</w:t>
      </w:r>
    </w:p>
    <w:p w14:paraId="46F9663C">
      <w:pPr>
        <w:ind w:firstLine="627" w:firstLineChars="196"/>
        <w:rPr>
          <w:rFonts w:ascii="仿宋_GB2312" w:hAnsi="宋体" w:eastAsia="仿宋_GB2312" w:cs="仿宋_GB2312"/>
          <w:sz w:val="32"/>
          <w:szCs w:val="32"/>
        </w:rPr>
      </w:pPr>
    </w:p>
    <w:p w14:paraId="3BB5BB6B">
      <w:pPr>
        <w:rPr>
          <w:rFonts w:ascii="黑体" w:hAnsi="宋体" w:eastAsia="黑体" w:cs="Times New Roman"/>
          <w:sz w:val="32"/>
          <w:szCs w:val="32"/>
        </w:rPr>
      </w:pPr>
      <w:r>
        <w:rPr>
          <w:rFonts w:hint="eastAsia" w:ascii="黑体" w:hAnsi="宋体" w:eastAsia="黑体" w:cs="黑体"/>
          <w:sz w:val="32"/>
          <w:szCs w:val="32"/>
        </w:rPr>
        <w:t>第二部分</w:t>
      </w:r>
      <w:r>
        <w:rPr>
          <w:rFonts w:ascii="黑体" w:hAnsi="宋体" w:eastAsia="黑体" w:cs="黑体"/>
          <w:sz w:val="32"/>
          <w:szCs w:val="32"/>
        </w:rPr>
        <w:t xml:space="preserve"> </w:t>
      </w:r>
      <w:r>
        <w:rPr>
          <w:rFonts w:hint="eastAsia" w:ascii="黑体" w:hAnsi="宋体" w:eastAsia="黑体" w:cs="黑体"/>
          <w:sz w:val="32"/>
          <w:szCs w:val="32"/>
        </w:rPr>
        <w:t>景德镇市归国华侨联合会2021年部门预算情况说明</w:t>
      </w:r>
    </w:p>
    <w:p w14:paraId="7A24D6AB">
      <w:pPr>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一、2021年部门预算收支情况说明</w:t>
      </w:r>
    </w:p>
    <w:p w14:paraId="7B2069E9">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（一）预算收入情况</w:t>
      </w:r>
    </w:p>
    <w:p w14:paraId="2EFAFE79">
      <w:pPr>
        <w:ind w:firstLine="600"/>
        <w:rPr>
          <w:rFonts w:ascii="仿宋_GB2312" w:eastAsia="仿宋_GB2312" w:cs="Times New Roman"/>
          <w:sz w:val="32"/>
          <w:szCs w:val="32"/>
        </w:rPr>
      </w:pPr>
      <w:r>
        <w:rPr>
          <w:rFonts w:hint="eastAsia" w:ascii="仿宋_GB2312" w:hAnsi="宋体" w:eastAsia="仿宋_GB2312" w:cs="仿宋_GB2312"/>
          <w:sz w:val="32"/>
          <w:szCs w:val="32"/>
        </w:rPr>
        <w:t>2021年景德镇市归国华侨联合会收入预算总额为</w:t>
      </w:r>
      <w:r>
        <w:rPr>
          <w:rFonts w:ascii="仿宋_GB2312" w:hAnsi="宋体" w:eastAsia="仿宋_GB2312" w:cs="仿宋_GB2312"/>
          <w:sz w:val="32"/>
          <w:szCs w:val="32"/>
        </w:rPr>
        <w:t>141.15</w:t>
      </w:r>
      <w:r>
        <w:rPr>
          <w:rFonts w:hint="eastAsia" w:ascii="仿宋_GB2312" w:hAnsi="宋体" w:eastAsia="仿宋_GB2312" w:cs="仿宋_GB2312"/>
          <w:sz w:val="32"/>
          <w:szCs w:val="32"/>
        </w:rPr>
        <w:t>万元，与上年预算相比下降30.58万元，主要原因是财政过紧日子需要。其中：当年公共财政拨款收入</w:t>
      </w:r>
      <w:r>
        <w:rPr>
          <w:rFonts w:ascii="仿宋_GB2312" w:hAnsi="宋体" w:eastAsia="仿宋_GB2312" w:cs="仿宋_GB2312"/>
          <w:sz w:val="32"/>
          <w:szCs w:val="32"/>
        </w:rPr>
        <w:t>111.43</w:t>
      </w:r>
      <w:r>
        <w:rPr>
          <w:rFonts w:hint="eastAsia" w:ascii="仿宋_GB2312" w:hAnsi="宋体" w:eastAsia="仿宋_GB2312" w:cs="仿宋_GB2312"/>
          <w:sz w:val="32"/>
          <w:szCs w:val="32"/>
        </w:rPr>
        <w:t>万元，占收入预算总额的78.94</w:t>
      </w:r>
      <w:r>
        <w:rPr>
          <w:rFonts w:ascii="仿宋_GB2312" w:hAnsi="宋体" w:eastAsia="仿宋_GB2312" w:cs="仿宋_GB2312"/>
          <w:sz w:val="32"/>
          <w:szCs w:val="32"/>
        </w:rPr>
        <w:t>%</w:t>
      </w:r>
      <w:r>
        <w:rPr>
          <w:rFonts w:hint="eastAsia" w:ascii="仿宋_GB2312" w:hAnsi="宋体" w:eastAsia="仿宋_GB2312" w:cs="仿宋_GB2312"/>
          <w:sz w:val="32"/>
          <w:szCs w:val="32"/>
        </w:rPr>
        <w:t>；上年结余结转收入</w:t>
      </w:r>
      <w:r>
        <w:rPr>
          <w:rFonts w:ascii="仿宋_GB2312" w:hAnsi="宋体" w:eastAsia="仿宋_GB2312" w:cs="仿宋_GB2312"/>
          <w:sz w:val="32"/>
          <w:szCs w:val="32"/>
        </w:rPr>
        <w:t>29.72</w:t>
      </w:r>
      <w:r>
        <w:rPr>
          <w:rFonts w:hint="eastAsia" w:ascii="仿宋_GB2312" w:hAnsi="宋体" w:eastAsia="仿宋_GB2312" w:cs="仿宋_GB2312"/>
          <w:sz w:val="32"/>
          <w:szCs w:val="32"/>
        </w:rPr>
        <w:t>万元，占收入预算总额的21.06</w:t>
      </w:r>
      <w:r>
        <w:rPr>
          <w:rFonts w:ascii="仿宋_GB2312" w:hAnsi="宋体" w:eastAsia="仿宋_GB2312" w:cs="仿宋_GB2312"/>
          <w:sz w:val="32"/>
          <w:szCs w:val="32"/>
        </w:rPr>
        <w:t>%</w:t>
      </w:r>
      <w:r>
        <w:rPr>
          <w:rFonts w:hint="eastAsia" w:ascii="仿宋_GB2312" w:hAnsi="宋体" w:eastAsia="仿宋_GB2312" w:cs="仿宋_GB2312"/>
          <w:sz w:val="32"/>
          <w:szCs w:val="32"/>
        </w:rPr>
        <w:t>。</w:t>
      </w:r>
    </w:p>
    <w:p w14:paraId="357DCFEA">
      <w:pPr>
        <w:ind w:firstLine="482" w:firstLineChars="150"/>
        <w:rPr>
          <w:rFonts w:ascii="仿宋_GB2312" w:eastAsia="仿宋_GB2312" w:cs="Times New Roman"/>
          <w:b/>
          <w:bCs/>
          <w:sz w:val="32"/>
          <w:szCs w:val="32"/>
        </w:rPr>
      </w:pPr>
      <w:r>
        <w:rPr>
          <w:rFonts w:hint="eastAsia" w:ascii="仿宋_GB2312" w:hAnsi="宋体" w:eastAsia="仿宋_GB2312" w:cs="仿宋_GB2312"/>
          <w:b/>
          <w:bCs/>
          <w:sz w:val="32"/>
          <w:szCs w:val="32"/>
        </w:rPr>
        <w:t>（二）预算支出情况</w:t>
      </w:r>
    </w:p>
    <w:p w14:paraId="6B66B684">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2021年景德镇市归国华侨联合会支出预算总额为</w:t>
      </w:r>
      <w:r>
        <w:rPr>
          <w:rFonts w:ascii="仿宋_GB2312" w:hAnsi="宋体" w:eastAsia="仿宋_GB2312" w:cs="仿宋_GB2312"/>
          <w:sz w:val="32"/>
          <w:szCs w:val="32"/>
        </w:rPr>
        <w:t>141.15</w:t>
      </w:r>
      <w:r>
        <w:rPr>
          <w:rFonts w:hint="eastAsia" w:ascii="仿宋_GB2312" w:hAnsi="宋体" w:eastAsia="仿宋_GB2312" w:cs="仿宋_GB2312"/>
          <w:sz w:val="32"/>
          <w:szCs w:val="32"/>
        </w:rPr>
        <w:t>万元，与上年预算相比下降30.58万元，主要原因是财政过紧日子需要。其中：按支出项目类别划分：基本支出</w:t>
      </w:r>
      <w:r>
        <w:rPr>
          <w:rFonts w:ascii="仿宋_GB2312" w:hAnsi="宋体" w:eastAsia="仿宋_GB2312" w:cs="仿宋_GB2312"/>
          <w:sz w:val="32"/>
          <w:szCs w:val="32"/>
        </w:rPr>
        <w:t>111.43</w:t>
      </w:r>
      <w:r>
        <w:rPr>
          <w:rFonts w:hint="eastAsia" w:ascii="仿宋_GB2312" w:hAnsi="宋体" w:eastAsia="仿宋_GB2312" w:cs="仿宋_GB2312"/>
          <w:sz w:val="32"/>
          <w:szCs w:val="32"/>
        </w:rPr>
        <w:t>万元，占支出预算总额的78.94</w:t>
      </w:r>
      <w:r>
        <w:rPr>
          <w:rFonts w:ascii="仿宋_GB2312" w:hAnsi="宋体" w:eastAsia="仿宋_GB2312" w:cs="仿宋_GB2312"/>
          <w:sz w:val="32"/>
          <w:szCs w:val="32"/>
        </w:rPr>
        <w:t>%</w:t>
      </w:r>
      <w:r>
        <w:rPr>
          <w:rFonts w:hint="eastAsia" w:ascii="仿宋_GB2312" w:hAnsi="宋体" w:eastAsia="仿宋_GB2312" w:cs="仿宋_GB2312"/>
          <w:sz w:val="32"/>
          <w:szCs w:val="32"/>
        </w:rPr>
        <w:t>，包括工资福利支出</w:t>
      </w:r>
      <w:r>
        <w:rPr>
          <w:rFonts w:ascii="仿宋_GB2312" w:hAnsi="宋体" w:eastAsia="仿宋_GB2312" w:cs="仿宋_GB2312"/>
          <w:sz w:val="32"/>
          <w:szCs w:val="32"/>
        </w:rPr>
        <w:t>94.78</w:t>
      </w:r>
      <w:r>
        <w:rPr>
          <w:rFonts w:hint="eastAsia" w:ascii="仿宋_GB2312" w:hAnsi="宋体" w:eastAsia="仿宋_GB2312" w:cs="仿宋_GB2312"/>
          <w:sz w:val="32"/>
          <w:szCs w:val="32"/>
        </w:rPr>
        <w:t>万元、商品和服务支出</w:t>
      </w:r>
      <w:r>
        <w:rPr>
          <w:rFonts w:ascii="仿宋_GB2312" w:hAnsi="宋体" w:eastAsia="仿宋_GB2312" w:cs="仿宋_GB2312"/>
          <w:sz w:val="32"/>
          <w:szCs w:val="32"/>
        </w:rPr>
        <w:t>16.41</w:t>
      </w:r>
      <w:r>
        <w:rPr>
          <w:rFonts w:hint="eastAsia" w:ascii="仿宋_GB2312" w:hAnsi="宋体" w:eastAsia="仿宋_GB2312" w:cs="仿宋_GB2312"/>
          <w:sz w:val="32"/>
          <w:szCs w:val="32"/>
        </w:rPr>
        <w:t>万元、对个人和家庭的补助</w:t>
      </w:r>
      <w:r>
        <w:rPr>
          <w:rFonts w:ascii="仿宋_GB2312" w:hAnsi="宋体" w:eastAsia="仿宋_GB2312" w:cs="仿宋_GB2312"/>
          <w:sz w:val="32"/>
          <w:szCs w:val="32"/>
        </w:rPr>
        <w:t>0.24</w:t>
      </w:r>
      <w:r>
        <w:rPr>
          <w:rFonts w:hint="eastAsia" w:ascii="仿宋_GB2312" w:hAnsi="宋体" w:eastAsia="仿宋_GB2312" w:cs="仿宋_GB2312"/>
          <w:sz w:val="32"/>
          <w:szCs w:val="32"/>
        </w:rPr>
        <w:t>万元、；项目支出</w:t>
      </w:r>
      <w:r>
        <w:rPr>
          <w:rFonts w:ascii="仿宋_GB2312" w:hAnsi="宋体" w:eastAsia="仿宋_GB2312" w:cs="仿宋_GB2312"/>
          <w:sz w:val="32"/>
          <w:szCs w:val="32"/>
        </w:rPr>
        <w:t>29.72</w:t>
      </w:r>
      <w:r>
        <w:rPr>
          <w:rFonts w:hint="eastAsia" w:ascii="仿宋_GB2312" w:hAnsi="宋体" w:eastAsia="仿宋_GB2312" w:cs="仿宋_GB2312"/>
          <w:sz w:val="32"/>
          <w:szCs w:val="32"/>
        </w:rPr>
        <w:t>万元，占支出总额的21.06</w:t>
      </w:r>
      <w:r>
        <w:rPr>
          <w:rFonts w:ascii="仿宋_GB2312" w:hAnsi="宋体" w:eastAsia="仿宋_GB2312" w:cs="仿宋_GB2312"/>
          <w:sz w:val="32"/>
          <w:szCs w:val="32"/>
        </w:rPr>
        <w:t>%</w:t>
      </w:r>
      <w:r>
        <w:rPr>
          <w:rFonts w:hint="eastAsia" w:ascii="仿宋_GB2312" w:hAnsi="宋体" w:eastAsia="仿宋_GB2312" w:cs="仿宋_GB2312"/>
          <w:sz w:val="32"/>
          <w:szCs w:val="32"/>
        </w:rPr>
        <w:t>。</w:t>
      </w:r>
    </w:p>
    <w:p w14:paraId="76985FD3">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按支出功能项目科目划分：一般公共服务</w:t>
      </w:r>
      <w:r>
        <w:rPr>
          <w:rFonts w:ascii="仿宋_GB2312" w:hAnsi="宋体" w:eastAsia="仿宋_GB2312" w:cs="仿宋_GB2312"/>
          <w:sz w:val="32"/>
          <w:szCs w:val="32"/>
        </w:rPr>
        <w:t>122.10</w:t>
      </w:r>
      <w:r>
        <w:rPr>
          <w:rFonts w:hint="eastAsia" w:ascii="仿宋_GB2312" w:hAnsi="宋体" w:eastAsia="仿宋_GB2312" w:cs="仿宋_GB2312"/>
          <w:sz w:val="32"/>
          <w:szCs w:val="32"/>
        </w:rPr>
        <w:t>万元，占支出预算总额的86.50</w:t>
      </w:r>
      <w:r>
        <w:rPr>
          <w:rFonts w:ascii="仿宋_GB2312" w:hAnsi="宋体" w:eastAsia="仿宋_GB2312" w:cs="仿宋_GB2312"/>
          <w:sz w:val="32"/>
          <w:szCs w:val="32"/>
        </w:rPr>
        <w:t>%</w:t>
      </w:r>
      <w:r>
        <w:rPr>
          <w:rFonts w:hint="eastAsia" w:ascii="仿宋_GB2312" w:hAnsi="宋体" w:eastAsia="仿宋_GB2312" w:cs="仿宋_GB2312"/>
          <w:sz w:val="32"/>
          <w:szCs w:val="32"/>
        </w:rPr>
        <w:t>；社会保障和就业支出6.30万元，占支出预算总额的4.46%；卫生健康支出4.84万元，占支出预算总额的3.43%；住房保障支出7.91万元，占支出预算总额的5.60%。</w:t>
      </w:r>
    </w:p>
    <w:p w14:paraId="233AE6D9">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按支出经济分类划分：工资福利支出</w:t>
      </w:r>
      <w:r>
        <w:rPr>
          <w:rFonts w:ascii="仿宋_GB2312" w:hAnsi="宋体" w:eastAsia="仿宋_GB2312" w:cs="仿宋_GB2312"/>
          <w:sz w:val="32"/>
          <w:szCs w:val="32"/>
        </w:rPr>
        <w:t>94.78</w:t>
      </w:r>
      <w:r>
        <w:rPr>
          <w:rFonts w:hint="eastAsia" w:ascii="仿宋_GB2312" w:hAnsi="宋体" w:eastAsia="仿宋_GB2312" w:cs="仿宋_GB2312"/>
          <w:sz w:val="32"/>
          <w:szCs w:val="32"/>
        </w:rPr>
        <w:t>万元，占支出预算总额的67.15</w:t>
      </w:r>
      <w:r>
        <w:rPr>
          <w:rFonts w:ascii="仿宋_GB2312" w:hAnsi="宋体" w:eastAsia="仿宋_GB2312" w:cs="仿宋_GB2312"/>
          <w:sz w:val="32"/>
          <w:szCs w:val="32"/>
        </w:rPr>
        <w:t>%</w:t>
      </w:r>
      <w:r>
        <w:rPr>
          <w:rFonts w:hint="eastAsia" w:ascii="仿宋_GB2312" w:hAnsi="宋体" w:eastAsia="仿宋_GB2312" w:cs="仿宋_GB2312"/>
          <w:sz w:val="32"/>
          <w:szCs w:val="32"/>
        </w:rPr>
        <w:t>；商品和服务支出</w:t>
      </w:r>
      <w:r>
        <w:rPr>
          <w:rFonts w:ascii="仿宋_GB2312" w:hAnsi="宋体" w:eastAsia="仿宋_GB2312" w:cs="仿宋_GB2312"/>
          <w:sz w:val="32"/>
          <w:szCs w:val="32"/>
        </w:rPr>
        <w:t>16.41</w:t>
      </w:r>
      <w:r>
        <w:rPr>
          <w:rFonts w:hint="eastAsia" w:ascii="仿宋_GB2312" w:hAnsi="宋体" w:eastAsia="仿宋_GB2312" w:cs="仿宋_GB2312"/>
          <w:sz w:val="32"/>
          <w:szCs w:val="32"/>
        </w:rPr>
        <w:t>万元，占支出预算总额的11.63</w:t>
      </w:r>
      <w:r>
        <w:rPr>
          <w:rFonts w:ascii="仿宋_GB2312" w:hAnsi="宋体" w:eastAsia="仿宋_GB2312" w:cs="仿宋_GB2312"/>
          <w:sz w:val="32"/>
          <w:szCs w:val="32"/>
        </w:rPr>
        <w:t>%</w:t>
      </w:r>
      <w:r>
        <w:rPr>
          <w:rFonts w:hint="eastAsia" w:ascii="仿宋_GB2312" w:hAnsi="宋体" w:eastAsia="仿宋_GB2312" w:cs="仿宋_GB2312"/>
          <w:sz w:val="32"/>
          <w:szCs w:val="32"/>
        </w:rPr>
        <w:t>。</w:t>
      </w:r>
    </w:p>
    <w:p w14:paraId="05AD32A5">
      <w:pPr>
        <w:widowControl/>
        <w:spacing w:line="600" w:lineRule="exact"/>
        <w:ind w:firstLine="640"/>
        <w:jc w:val="left"/>
        <w:rPr>
          <w:rFonts w:ascii="仿宋_GB2312" w:eastAsia="仿宋_GB2312"/>
          <w:b/>
          <w:color w:val="000000"/>
          <w:sz w:val="32"/>
          <w:szCs w:val="30"/>
        </w:rPr>
      </w:pPr>
      <w:r>
        <w:rPr>
          <w:rFonts w:hint="eastAsia" w:ascii="仿宋_GB2312" w:hAnsi="宋体" w:eastAsia="仿宋_GB2312" w:cs="仿宋_GB2312"/>
          <w:b/>
          <w:bCs/>
          <w:sz w:val="32"/>
          <w:szCs w:val="32"/>
        </w:rPr>
        <w:t>（三）</w:t>
      </w:r>
      <w:r>
        <w:rPr>
          <w:rFonts w:hint="eastAsia" w:ascii="仿宋_GB2312" w:eastAsia="仿宋_GB2312"/>
          <w:b/>
          <w:color w:val="000000"/>
          <w:sz w:val="32"/>
          <w:szCs w:val="30"/>
        </w:rPr>
        <w:t>财政拨款支出情况</w:t>
      </w:r>
    </w:p>
    <w:p w14:paraId="1BAF6C85">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2021年景德镇市归国华侨联合会财政拨款支出预算</w:t>
      </w:r>
      <w:r>
        <w:rPr>
          <w:rFonts w:ascii="仿宋_GB2312" w:hAnsi="宋体" w:eastAsia="仿宋_GB2312" w:cs="仿宋_GB2312"/>
          <w:sz w:val="32"/>
          <w:szCs w:val="32"/>
        </w:rPr>
        <w:t xml:space="preserve">111.43 </w:t>
      </w:r>
      <w:r>
        <w:rPr>
          <w:rFonts w:hint="eastAsia" w:ascii="仿宋_GB2312" w:hAnsi="宋体" w:eastAsia="仿宋_GB2312" w:cs="仿宋_GB2312"/>
          <w:sz w:val="32"/>
          <w:szCs w:val="32"/>
        </w:rPr>
        <w:t>万元，占支出预算总额的100.00</w:t>
      </w:r>
      <w:r>
        <w:rPr>
          <w:rFonts w:ascii="仿宋_GB2312" w:hAnsi="宋体" w:eastAsia="仿宋_GB2312" w:cs="仿宋_GB2312"/>
          <w:sz w:val="32"/>
          <w:szCs w:val="32"/>
        </w:rPr>
        <w:t>%</w:t>
      </w:r>
      <w:r>
        <w:rPr>
          <w:rFonts w:hint="eastAsia" w:ascii="仿宋_GB2312" w:hAnsi="宋体" w:eastAsia="仿宋_GB2312" w:cs="仿宋_GB2312"/>
          <w:sz w:val="32"/>
          <w:szCs w:val="32"/>
        </w:rPr>
        <w:t>，与上年预算相比增加25.33万元，主要原因是本年较上年人员有所增加。具体支出情况是：一般公共服务支出92.38万元，占财政拨款支出的82.90</w:t>
      </w:r>
      <w:r>
        <w:rPr>
          <w:rFonts w:ascii="仿宋_GB2312" w:hAnsi="宋体" w:eastAsia="仿宋_GB2312" w:cs="仿宋_GB2312"/>
          <w:sz w:val="32"/>
          <w:szCs w:val="32"/>
        </w:rPr>
        <w:t>%</w:t>
      </w:r>
      <w:r>
        <w:rPr>
          <w:rFonts w:hint="eastAsia" w:ascii="仿宋_GB2312" w:hAnsi="宋体" w:eastAsia="仿宋_GB2312" w:cs="仿宋_GB2312"/>
          <w:sz w:val="32"/>
          <w:szCs w:val="32"/>
        </w:rPr>
        <w:t>；社会保障和就业支出6.30万元，占财政拨款支出的5.65</w:t>
      </w:r>
      <w:r>
        <w:rPr>
          <w:rFonts w:ascii="仿宋_GB2312" w:hAnsi="宋体" w:eastAsia="仿宋_GB2312" w:cs="仿宋_GB2312"/>
          <w:sz w:val="32"/>
          <w:szCs w:val="32"/>
        </w:rPr>
        <w:t>%</w:t>
      </w:r>
      <w:r>
        <w:rPr>
          <w:rFonts w:hint="eastAsia" w:ascii="仿宋_GB2312" w:hAnsi="宋体" w:eastAsia="仿宋_GB2312" w:cs="仿宋_GB2312"/>
          <w:sz w:val="32"/>
          <w:szCs w:val="32"/>
        </w:rPr>
        <w:t>；卫生健康支出4.84万元，占财政拨款支出的4.34%；住房保障支出7.91万元，占财政拨款支出的7.10%。</w:t>
      </w:r>
    </w:p>
    <w:p w14:paraId="07A7C37A">
      <w:pPr>
        <w:tabs>
          <w:tab w:val="left" w:pos="1162"/>
        </w:tabs>
        <w:ind w:left="420" w:leftChars="200" w:firstLine="321" w:firstLineChars="100"/>
        <w:rPr>
          <w:rFonts w:ascii="仿宋_GB2312" w:eastAsia="仿宋_GB2312" w:cs="Times New Roman"/>
          <w:b/>
          <w:bCs/>
          <w:sz w:val="32"/>
          <w:szCs w:val="32"/>
        </w:rPr>
      </w:pPr>
      <w:r>
        <w:rPr>
          <w:rFonts w:hint="eastAsia" w:ascii="仿宋_GB2312" w:hAnsi="宋体" w:eastAsia="仿宋_GB2312" w:cs="仿宋_GB2312"/>
          <w:b/>
          <w:bCs/>
          <w:sz w:val="32"/>
          <w:szCs w:val="32"/>
        </w:rPr>
        <w:t>（四）政府基金收支情况</w:t>
      </w:r>
    </w:p>
    <w:p w14:paraId="5650B1CD">
      <w:pPr>
        <w:ind w:left="420" w:leftChars="200"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2021年无政府基金收支预算支出。</w:t>
      </w:r>
    </w:p>
    <w:p w14:paraId="052E2ED5">
      <w:pPr>
        <w:tabs>
          <w:tab w:val="left" w:pos="1162"/>
        </w:tabs>
        <w:ind w:left="420" w:leftChars="200" w:firstLine="321" w:firstLineChars="100"/>
        <w:rPr>
          <w:rFonts w:ascii="仿宋_GB2312" w:hAnsi="宋体" w:eastAsia="仿宋_GB2312" w:cs="仿宋_GB2312"/>
          <w:b/>
          <w:bCs/>
          <w:sz w:val="32"/>
          <w:szCs w:val="32"/>
        </w:rPr>
      </w:pPr>
      <w:r>
        <w:rPr>
          <w:rFonts w:hint="eastAsia" w:ascii="仿宋_GB2312" w:hAnsi="宋体" w:eastAsia="仿宋_GB2312" w:cs="仿宋_GB2312"/>
          <w:b/>
          <w:bCs/>
          <w:sz w:val="32"/>
          <w:szCs w:val="32"/>
        </w:rPr>
        <w:t>（五）机关运行经费情况说明</w:t>
      </w:r>
    </w:p>
    <w:p w14:paraId="65C5ECE9">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2021年景德镇市归国华侨联合会机关运行经费预算8.39万元，与上年预算数相比增加了 67.80 %，主要原因是</w:t>
      </w:r>
      <w:bookmarkStart w:id="0" w:name="_GoBack"/>
      <w:bookmarkEnd w:id="0"/>
      <w:r>
        <w:rPr>
          <w:rFonts w:hint="eastAsia" w:ascii="仿宋_GB2312" w:hAnsi="宋体" w:eastAsia="仿宋_GB2312" w:cs="仿宋_GB2312"/>
          <w:sz w:val="32"/>
          <w:szCs w:val="32"/>
        </w:rPr>
        <w:t>人员较上年有所增加。</w:t>
      </w:r>
    </w:p>
    <w:p w14:paraId="74D3FD2C">
      <w:pPr>
        <w:tabs>
          <w:tab w:val="left" w:pos="1162"/>
        </w:tabs>
        <w:ind w:left="420" w:leftChars="200" w:firstLine="321" w:firstLineChars="100"/>
        <w:rPr>
          <w:rFonts w:ascii="仿宋_GB2312" w:hAnsi="宋体" w:eastAsia="仿宋_GB2312" w:cs="仿宋_GB2312"/>
          <w:b/>
          <w:bCs/>
          <w:sz w:val="32"/>
          <w:szCs w:val="32"/>
        </w:rPr>
      </w:pPr>
      <w:r>
        <w:rPr>
          <w:rFonts w:hint="eastAsia" w:ascii="仿宋_GB2312" w:hAnsi="宋体" w:eastAsia="仿宋_GB2312" w:cs="仿宋_GB2312"/>
          <w:b/>
          <w:bCs/>
          <w:sz w:val="32"/>
          <w:szCs w:val="32"/>
        </w:rPr>
        <w:t>（六）政府采购预算情况</w:t>
      </w:r>
    </w:p>
    <w:p w14:paraId="1E7EA767">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2021年度无政府采购预算。</w:t>
      </w:r>
    </w:p>
    <w:p w14:paraId="24A35035">
      <w:pPr>
        <w:tabs>
          <w:tab w:val="left" w:pos="1162"/>
        </w:tabs>
        <w:ind w:left="420" w:leftChars="200" w:firstLine="321" w:firstLineChars="100"/>
        <w:rPr>
          <w:rFonts w:ascii="仿宋_GB2312" w:hAnsi="宋体" w:eastAsia="仿宋_GB2312" w:cs="仿宋_GB2312"/>
          <w:b/>
          <w:bCs/>
          <w:sz w:val="32"/>
          <w:szCs w:val="32"/>
        </w:rPr>
      </w:pPr>
      <w:r>
        <w:rPr>
          <w:rFonts w:hint="eastAsia" w:ascii="仿宋_GB2312" w:hAnsi="宋体" w:eastAsia="仿宋_GB2312" w:cs="仿宋_GB2312"/>
          <w:b/>
          <w:bCs/>
          <w:sz w:val="32"/>
          <w:szCs w:val="32"/>
        </w:rPr>
        <w:t>（七）国有资产占用情况说明</w:t>
      </w:r>
    </w:p>
    <w:p w14:paraId="18430164">
      <w:pPr>
        <w:ind w:firstLine="630"/>
        <w:jc w:val="left"/>
        <w:rPr>
          <w:rFonts w:ascii="仿宋_GB2312" w:hAnsi="宋体" w:eastAsia="仿宋_GB2312" w:cs="仿宋_GB2312"/>
          <w:sz w:val="32"/>
          <w:szCs w:val="32"/>
        </w:rPr>
      </w:pPr>
      <w:r>
        <w:rPr>
          <w:rFonts w:hint="eastAsia" w:ascii="仿宋_GB2312" w:hAnsi="宋体" w:eastAsia="仿宋_GB2312" w:cs="仿宋_GB2312"/>
          <w:sz w:val="32"/>
          <w:szCs w:val="32"/>
        </w:rPr>
        <w:t>本部门共有车辆0辆，单位价值50万元以上通用设备0台（套）；单位价值100万元以上专用设备0台（套）。</w:t>
      </w:r>
    </w:p>
    <w:p w14:paraId="5B65A877">
      <w:pPr>
        <w:widowControl/>
        <w:spacing w:line="600" w:lineRule="exact"/>
        <w:ind w:firstLine="643" w:firstLineChars="200"/>
        <w:jc w:val="left"/>
        <w:rPr>
          <w:rFonts w:ascii="仿宋_GB2312" w:eastAsia="仿宋_GB2312"/>
          <w:b/>
          <w:color w:val="000000"/>
          <w:sz w:val="32"/>
          <w:szCs w:val="30"/>
        </w:rPr>
      </w:pPr>
      <w:r>
        <w:rPr>
          <w:rFonts w:hint="eastAsia" w:ascii="仿宋_GB2312" w:hAnsi="宋体" w:eastAsia="仿宋_GB2312" w:cs="仿宋_GB2312"/>
          <w:b/>
          <w:bCs/>
          <w:sz w:val="32"/>
          <w:szCs w:val="32"/>
        </w:rPr>
        <w:t>（八）</w:t>
      </w:r>
      <w:r>
        <w:rPr>
          <w:rFonts w:hint="eastAsia" w:ascii="仿宋_GB2312" w:eastAsia="仿宋_GB2312"/>
          <w:b/>
          <w:bCs/>
          <w:color w:val="000000"/>
          <w:sz w:val="32"/>
          <w:szCs w:val="30"/>
        </w:rPr>
        <w:t>整体</w:t>
      </w:r>
      <w:r>
        <w:rPr>
          <w:rFonts w:hint="eastAsia" w:ascii="仿宋_GB2312" w:eastAsia="仿宋_GB2312"/>
          <w:b/>
          <w:color w:val="000000"/>
          <w:sz w:val="32"/>
          <w:szCs w:val="30"/>
        </w:rPr>
        <w:t>绩效目标设置情况</w:t>
      </w:r>
    </w:p>
    <w:tbl>
      <w:tblPr>
        <w:tblStyle w:val="7"/>
        <w:tblW w:w="8114" w:type="dxa"/>
        <w:tblInd w:w="95" w:type="dxa"/>
        <w:tblLayout w:type="autofit"/>
        <w:tblCellMar>
          <w:top w:w="0" w:type="dxa"/>
          <w:left w:w="108" w:type="dxa"/>
          <w:bottom w:w="0" w:type="dxa"/>
          <w:right w:w="108" w:type="dxa"/>
        </w:tblCellMar>
      </w:tblPr>
      <w:tblGrid>
        <w:gridCol w:w="1536"/>
        <w:gridCol w:w="1278"/>
        <w:gridCol w:w="2733"/>
        <w:gridCol w:w="2567"/>
      </w:tblGrid>
      <w:tr w14:paraId="18DFE1FA">
        <w:trPr>
          <w:trHeight w:val="601" w:hRule="atLeast"/>
        </w:trPr>
        <w:tc>
          <w:tcPr>
            <w:tcW w:w="0" w:type="auto"/>
            <w:gridSpan w:val="4"/>
            <w:tcBorders>
              <w:top w:val="nil"/>
              <w:left w:val="nil"/>
              <w:bottom w:val="single" w:color="auto" w:sz="4" w:space="0"/>
              <w:right w:val="nil"/>
            </w:tcBorders>
            <w:shd w:val="clear" w:color="auto" w:fill="auto"/>
            <w:noWrap/>
            <w:vAlign w:val="center"/>
          </w:tcPr>
          <w:p w14:paraId="7FDEC912">
            <w:pPr>
              <w:widowControl/>
              <w:jc w:val="center"/>
              <w:rPr>
                <w:rFonts w:ascii="宋体" w:hAnsi="宋体" w:cs="Arial"/>
                <w:b/>
                <w:bCs/>
                <w:color w:val="000000"/>
                <w:kern w:val="0"/>
                <w:sz w:val="32"/>
                <w:szCs w:val="32"/>
              </w:rPr>
            </w:pPr>
            <w:r>
              <w:rPr>
                <w:rFonts w:hint="eastAsia" w:ascii="宋体" w:hAnsi="宋体" w:cs="Arial"/>
                <w:b/>
                <w:bCs/>
                <w:color w:val="000000"/>
                <w:kern w:val="0"/>
                <w:sz w:val="32"/>
                <w:szCs w:val="32"/>
              </w:rPr>
              <w:t>2021年部门整体绩效目标表</w:t>
            </w:r>
          </w:p>
        </w:tc>
      </w:tr>
      <w:tr w14:paraId="45390D6D">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8BF8A21">
            <w:pPr>
              <w:widowControl/>
              <w:jc w:val="center"/>
              <w:rPr>
                <w:rFonts w:ascii="宋体" w:hAnsi="宋体" w:cs="Arial"/>
                <w:color w:val="000000"/>
                <w:kern w:val="0"/>
                <w:sz w:val="22"/>
                <w:szCs w:val="22"/>
              </w:rPr>
            </w:pPr>
            <w:r>
              <w:rPr>
                <w:rFonts w:hint="eastAsia" w:ascii="宋体" w:hAnsi="宋体" w:cs="Arial"/>
                <w:color w:val="000000"/>
                <w:kern w:val="0"/>
                <w:sz w:val="22"/>
                <w:szCs w:val="22"/>
              </w:rPr>
              <w:t>部门名称</w:t>
            </w:r>
          </w:p>
        </w:tc>
        <w:tc>
          <w:tcPr>
            <w:tcW w:w="0" w:type="auto"/>
            <w:gridSpan w:val="3"/>
            <w:tcBorders>
              <w:top w:val="single" w:color="auto" w:sz="4" w:space="0"/>
              <w:left w:val="nil"/>
              <w:bottom w:val="single" w:color="auto" w:sz="4" w:space="0"/>
              <w:right w:val="single" w:color="000000" w:sz="4" w:space="0"/>
            </w:tcBorders>
            <w:shd w:val="clear" w:color="auto" w:fill="auto"/>
            <w:noWrap/>
            <w:vAlign w:val="center"/>
          </w:tcPr>
          <w:p w14:paraId="52F39874">
            <w:pPr>
              <w:widowControl/>
              <w:jc w:val="center"/>
              <w:rPr>
                <w:rFonts w:ascii="宋体" w:hAnsi="宋体" w:cs="Arial"/>
                <w:color w:val="000000"/>
                <w:kern w:val="0"/>
                <w:sz w:val="22"/>
                <w:szCs w:val="22"/>
              </w:rPr>
            </w:pPr>
            <w:r>
              <w:rPr>
                <w:rFonts w:hint="eastAsia" w:ascii="宋体" w:hAnsi="宋体" w:cs="Arial"/>
                <w:color w:val="000000"/>
                <w:kern w:val="0"/>
                <w:sz w:val="22"/>
                <w:szCs w:val="22"/>
              </w:rPr>
              <w:t>景德镇市归国华侨联合会</w:t>
            </w:r>
          </w:p>
        </w:tc>
      </w:tr>
      <w:tr w14:paraId="2064F8A2">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A2B1305">
            <w:pPr>
              <w:widowControl/>
              <w:jc w:val="center"/>
              <w:rPr>
                <w:rFonts w:ascii="宋体" w:hAnsi="宋体" w:cs="Arial"/>
                <w:color w:val="000000"/>
                <w:kern w:val="0"/>
                <w:sz w:val="22"/>
                <w:szCs w:val="22"/>
              </w:rPr>
            </w:pPr>
            <w:r>
              <w:rPr>
                <w:rFonts w:hint="eastAsia" w:ascii="宋体" w:hAnsi="宋体" w:cs="Arial"/>
                <w:color w:val="000000"/>
                <w:kern w:val="0"/>
                <w:sz w:val="22"/>
                <w:szCs w:val="22"/>
              </w:rPr>
              <w:t>联系人</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1D9D6803">
            <w:pPr>
              <w:widowControl/>
              <w:jc w:val="center"/>
              <w:rPr>
                <w:rFonts w:ascii="宋体" w:hAnsi="宋体" w:cs="Arial"/>
                <w:color w:val="000000"/>
                <w:kern w:val="0"/>
                <w:sz w:val="22"/>
                <w:szCs w:val="22"/>
              </w:rPr>
            </w:pPr>
            <w:r>
              <w:rPr>
                <w:rFonts w:hint="eastAsia" w:ascii="宋体" w:hAnsi="宋体" w:cs="Arial"/>
                <w:color w:val="000000"/>
                <w:kern w:val="0"/>
                <w:sz w:val="22"/>
                <w:szCs w:val="22"/>
              </w:rPr>
              <w:t>程秋盛</w:t>
            </w:r>
          </w:p>
        </w:tc>
        <w:tc>
          <w:tcPr>
            <w:tcW w:w="0" w:type="auto"/>
            <w:tcBorders>
              <w:top w:val="nil"/>
              <w:left w:val="nil"/>
              <w:bottom w:val="single" w:color="auto" w:sz="4" w:space="0"/>
              <w:right w:val="single" w:color="auto" w:sz="4" w:space="0"/>
            </w:tcBorders>
            <w:shd w:val="clear" w:color="auto" w:fill="auto"/>
            <w:noWrap/>
            <w:vAlign w:val="center"/>
          </w:tcPr>
          <w:p w14:paraId="615E54A2">
            <w:pPr>
              <w:widowControl/>
              <w:jc w:val="center"/>
              <w:rPr>
                <w:rFonts w:ascii="宋体" w:hAnsi="宋体" w:cs="Arial"/>
                <w:color w:val="000000"/>
                <w:kern w:val="0"/>
                <w:sz w:val="22"/>
                <w:szCs w:val="22"/>
              </w:rPr>
            </w:pPr>
            <w:r>
              <w:rPr>
                <w:rFonts w:hint="eastAsia" w:ascii="宋体" w:hAnsi="宋体" w:cs="Arial"/>
                <w:color w:val="000000"/>
                <w:kern w:val="0"/>
                <w:sz w:val="22"/>
                <w:szCs w:val="22"/>
              </w:rPr>
              <w:t>联系电话</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35F1C3B">
            <w:pPr>
              <w:widowControl/>
              <w:jc w:val="center"/>
              <w:rPr>
                <w:rFonts w:ascii="宋体" w:hAnsi="宋体" w:cs="Arial"/>
                <w:color w:val="000000"/>
                <w:kern w:val="0"/>
                <w:sz w:val="22"/>
                <w:szCs w:val="22"/>
              </w:rPr>
            </w:pPr>
            <w:r>
              <w:rPr>
                <w:rFonts w:hint="eastAsia" w:ascii="宋体" w:hAnsi="宋体" w:cs="Arial"/>
                <w:color w:val="000000"/>
                <w:kern w:val="0"/>
                <w:sz w:val="22"/>
                <w:szCs w:val="22"/>
              </w:rPr>
              <w:t>18079879345</w:t>
            </w:r>
          </w:p>
        </w:tc>
      </w:tr>
      <w:tr w14:paraId="20C1D3F5">
        <w:tblPrEx>
          <w:tblCellMar>
            <w:top w:w="0" w:type="dxa"/>
            <w:left w:w="108" w:type="dxa"/>
            <w:bottom w:w="0" w:type="dxa"/>
            <w:right w:w="108" w:type="dxa"/>
          </w:tblCellMar>
        </w:tblPrEx>
        <w:trPr>
          <w:trHeight w:val="435"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24A4221">
            <w:pPr>
              <w:widowControl/>
              <w:jc w:val="center"/>
              <w:rPr>
                <w:rFonts w:ascii="宋体" w:hAnsi="宋体" w:cs="Arial"/>
                <w:color w:val="000000"/>
                <w:kern w:val="0"/>
                <w:sz w:val="22"/>
                <w:szCs w:val="22"/>
              </w:rPr>
            </w:pPr>
            <w:r>
              <w:rPr>
                <w:rFonts w:hint="eastAsia" w:ascii="宋体" w:hAnsi="宋体" w:cs="Arial"/>
                <w:color w:val="000000"/>
                <w:kern w:val="0"/>
                <w:sz w:val="22"/>
                <w:szCs w:val="22"/>
              </w:rPr>
              <w:t>部门基本信息</w:t>
            </w:r>
          </w:p>
        </w:tc>
      </w:tr>
      <w:tr w14:paraId="6F69077D">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524922D">
            <w:pPr>
              <w:widowControl/>
              <w:jc w:val="center"/>
              <w:rPr>
                <w:rFonts w:ascii="宋体" w:hAnsi="宋体" w:cs="Arial"/>
                <w:color w:val="000000"/>
                <w:kern w:val="0"/>
                <w:sz w:val="22"/>
                <w:szCs w:val="22"/>
              </w:rPr>
            </w:pPr>
            <w:r>
              <w:rPr>
                <w:rFonts w:hint="eastAsia" w:ascii="宋体" w:hAnsi="宋体" w:cs="Arial"/>
                <w:color w:val="000000"/>
                <w:kern w:val="0"/>
                <w:sz w:val="22"/>
                <w:szCs w:val="22"/>
              </w:rPr>
              <w:t>部门所属领域</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41D9A23">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c>
          <w:tcPr>
            <w:tcW w:w="0" w:type="auto"/>
            <w:tcBorders>
              <w:top w:val="nil"/>
              <w:left w:val="nil"/>
              <w:bottom w:val="single" w:color="auto" w:sz="4" w:space="0"/>
              <w:right w:val="single" w:color="auto" w:sz="4" w:space="0"/>
            </w:tcBorders>
            <w:shd w:val="clear" w:color="auto" w:fill="auto"/>
            <w:noWrap/>
            <w:vAlign w:val="center"/>
          </w:tcPr>
          <w:p w14:paraId="7E44BD63">
            <w:pPr>
              <w:widowControl/>
              <w:jc w:val="center"/>
              <w:rPr>
                <w:rFonts w:ascii="宋体" w:hAnsi="宋体" w:cs="Arial"/>
                <w:color w:val="000000"/>
                <w:kern w:val="0"/>
                <w:sz w:val="22"/>
                <w:szCs w:val="22"/>
              </w:rPr>
            </w:pPr>
            <w:r>
              <w:rPr>
                <w:rFonts w:hint="eastAsia" w:ascii="宋体" w:hAnsi="宋体" w:cs="Arial"/>
                <w:color w:val="000000"/>
                <w:kern w:val="0"/>
                <w:sz w:val="22"/>
                <w:szCs w:val="22"/>
              </w:rPr>
              <w:t>直属单位包括</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4E8F2CD">
            <w:pPr>
              <w:widowControl/>
              <w:jc w:val="center"/>
              <w:rPr>
                <w:rFonts w:ascii="宋体" w:hAnsi="宋体" w:cs="Arial"/>
                <w:color w:val="000000"/>
                <w:kern w:val="0"/>
                <w:sz w:val="22"/>
                <w:szCs w:val="22"/>
              </w:rPr>
            </w:pPr>
            <w:r>
              <w:rPr>
                <w:rFonts w:hint="eastAsia" w:ascii="宋体" w:hAnsi="宋体" w:cs="Arial"/>
                <w:color w:val="000000"/>
                <w:kern w:val="0"/>
                <w:sz w:val="22"/>
                <w:szCs w:val="22"/>
              </w:rPr>
              <w:t>无　</w:t>
            </w:r>
          </w:p>
        </w:tc>
      </w:tr>
      <w:tr w14:paraId="01DC9B08">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B6DBD0E">
            <w:pPr>
              <w:widowControl/>
              <w:jc w:val="center"/>
              <w:rPr>
                <w:rFonts w:ascii="宋体" w:hAnsi="宋体" w:cs="Arial"/>
                <w:color w:val="000000"/>
                <w:kern w:val="0"/>
                <w:sz w:val="22"/>
                <w:szCs w:val="22"/>
              </w:rPr>
            </w:pPr>
            <w:r>
              <w:rPr>
                <w:rFonts w:hint="eastAsia" w:ascii="宋体" w:hAnsi="宋体" w:cs="Arial"/>
                <w:color w:val="000000"/>
                <w:kern w:val="0"/>
                <w:sz w:val="22"/>
                <w:szCs w:val="22"/>
              </w:rPr>
              <w:t>内设职能部门</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0AF89208">
            <w:pPr>
              <w:widowControl/>
              <w:jc w:val="center"/>
              <w:rPr>
                <w:rFonts w:ascii="宋体" w:hAnsi="宋体" w:cs="Arial"/>
                <w:color w:val="000000"/>
                <w:kern w:val="0"/>
                <w:sz w:val="22"/>
                <w:szCs w:val="22"/>
              </w:rPr>
            </w:pPr>
            <w:r>
              <w:rPr>
                <w:rFonts w:hint="eastAsia" w:ascii="宋体" w:hAnsi="宋体" w:cs="Arial"/>
                <w:color w:val="000000"/>
                <w:kern w:val="0"/>
                <w:sz w:val="22"/>
                <w:szCs w:val="22"/>
              </w:rPr>
              <w:t>1个</w:t>
            </w:r>
          </w:p>
        </w:tc>
        <w:tc>
          <w:tcPr>
            <w:tcW w:w="0" w:type="auto"/>
            <w:tcBorders>
              <w:top w:val="nil"/>
              <w:left w:val="nil"/>
              <w:bottom w:val="single" w:color="auto" w:sz="4" w:space="0"/>
              <w:right w:val="single" w:color="auto" w:sz="4" w:space="0"/>
            </w:tcBorders>
            <w:shd w:val="clear" w:color="auto" w:fill="auto"/>
            <w:noWrap/>
            <w:vAlign w:val="center"/>
          </w:tcPr>
          <w:p w14:paraId="1018FFC5">
            <w:pPr>
              <w:widowControl/>
              <w:jc w:val="center"/>
              <w:rPr>
                <w:rFonts w:ascii="宋体" w:hAnsi="宋体" w:cs="Arial"/>
                <w:color w:val="000000"/>
                <w:kern w:val="0"/>
                <w:sz w:val="22"/>
                <w:szCs w:val="22"/>
              </w:rPr>
            </w:pPr>
            <w:r>
              <w:rPr>
                <w:rFonts w:hint="eastAsia" w:ascii="宋体" w:hAnsi="宋体" w:cs="Arial"/>
                <w:color w:val="000000"/>
                <w:kern w:val="0"/>
                <w:sz w:val="22"/>
                <w:szCs w:val="22"/>
              </w:rPr>
              <w:t>编制控制数</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91A465A">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r>
      <w:tr w14:paraId="7AB77753">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64DDBD4">
            <w:pPr>
              <w:widowControl/>
              <w:jc w:val="center"/>
              <w:rPr>
                <w:rFonts w:ascii="宋体" w:hAnsi="宋体" w:cs="Arial"/>
                <w:color w:val="000000"/>
                <w:kern w:val="0"/>
                <w:sz w:val="22"/>
                <w:szCs w:val="22"/>
              </w:rPr>
            </w:pPr>
            <w:r>
              <w:rPr>
                <w:rFonts w:hint="eastAsia" w:ascii="宋体" w:hAnsi="宋体" w:cs="Arial"/>
                <w:color w:val="000000"/>
                <w:kern w:val="0"/>
                <w:sz w:val="22"/>
                <w:szCs w:val="22"/>
              </w:rPr>
              <w:t>在职人员总数</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89E8C1E">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c>
          <w:tcPr>
            <w:tcW w:w="0" w:type="auto"/>
            <w:tcBorders>
              <w:top w:val="nil"/>
              <w:left w:val="nil"/>
              <w:bottom w:val="single" w:color="auto" w:sz="4" w:space="0"/>
              <w:right w:val="single" w:color="auto" w:sz="4" w:space="0"/>
            </w:tcBorders>
            <w:shd w:val="clear" w:color="auto" w:fill="auto"/>
            <w:noWrap/>
            <w:vAlign w:val="center"/>
          </w:tcPr>
          <w:p w14:paraId="58169F8D">
            <w:pPr>
              <w:widowControl/>
              <w:jc w:val="center"/>
              <w:rPr>
                <w:rFonts w:ascii="宋体" w:hAnsi="宋体" w:cs="Arial"/>
                <w:color w:val="000000"/>
                <w:kern w:val="0"/>
                <w:sz w:val="22"/>
                <w:szCs w:val="22"/>
              </w:rPr>
            </w:pPr>
            <w:r>
              <w:rPr>
                <w:rFonts w:hint="eastAsia" w:ascii="宋体" w:hAnsi="宋体" w:cs="Arial"/>
                <w:color w:val="000000"/>
                <w:kern w:val="0"/>
                <w:sz w:val="22"/>
                <w:szCs w:val="22"/>
              </w:rPr>
              <w:t>其中：行政编织人数</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F5E970E">
            <w:pPr>
              <w:widowControl/>
              <w:jc w:val="center"/>
              <w:rPr>
                <w:rFonts w:ascii="宋体" w:hAnsi="宋体" w:cs="Arial"/>
                <w:color w:val="000000"/>
                <w:kern w:val="0"/>
                <w:sz w:val="22"/>
                <w:szCs w:val="22"/>
              </w:rPr>
            </w:pPr>
            <w:r>
              <w:rPr>
                <w:rFonts w:hint="eastAsia" w:ascii="宋体" w:hAnsi="宋体" w:cs="Arial"/>
                <w:color w:val="000000"/>
                <w:kern w:val="0"/>
                <w:sz w:val="22"/>
                <w:szCs w:val="22"/>
              </w:rPr>
              <w:t>5</w:t>
            </w:r>
          </w:p>
        </w:tc>
      </w:tr>
      <w:tr w14:paraId="5C4F2F84">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CDA3AB9">
            <w:pPr>
              <w:widowControl/>
              <w:jc w:val="center"/>
              <w:rPr>
                <w:rFonts w:ascii="宋体" w:hAnsi="宋体" w:cs="Arial"/>
                <w:color w:val="000000"/>
                <w:kern w:val="0"/>
                <w:sz w:val="22"/>
                <w:szCs w:val="22"/>
              </w:rPr>
            </w:pPr>
            <w:r>
              <w:rPr>
                <w:rFonts w:hint="eastAsia" w:ascii="宋体" w:hAnsi="宋体" w:cs="Arial"/>
                <w:color w:val="000000"/>
                <w:kern w:val="0"/>
                <w:sz w:val="22"/>
                <w:szCs w:val="22"/>
              </w:rPr>
              <w:t>事业编制人数</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52767E3">
            <w:pPr>
              <w:widowControl/>
              <w:jc w:val="center"/>
              <w:rPr>
                <w:rFonts w:ascii="宋体" w:hAnsi="宋体" w:cs="Arial"/>
                <w:color w:val="000000"/>
                <w:kern w:val="0"/>
                <w:sz w:val="22"/>
                <w:szCs w:val="22"/>
              </w:rPr>
            </w:pPr>
            <w:r>
              <w:rPr>
                <w:rFonts w:hint="eastAsia" w:ascii="宋体" w:hAnsi="宋体" w:cs="Arial"/>
                <w:color w:val="000000"/>
                <w:kern w:val="0"/>
                <w:sz w:val="22"/>
                <w:szCs w:val="22"/>
              </w:rPr>
              <w:t>0</w:t>
            </w:r>
          </w:p>
        </w:tc>
        <w:tc>
          <w:tcPr>
            <w:tcW w:w="0" w:type="auto"/>
            <w:tcBorders>
              <w:top w:val="nil"/>
              <w:left w:val="nil"/>
              <w:bottom w:val="single" w:color="auto" w:sz="4" w:space="0"/>
              <w:right w:val="single" w:color="auto" w:sz="4" w:space="0"/>
            </w:tcBorders>
            <w:shd w:val="clear" w:color="auto" w:fill="auto"/>
            <w:noWrap/>
            <w:vAlign w:val="center"/>
          </w:tcPr>
          <w:p w14:paraId="1D65D527">
            <w:pPr>
              <w:widowControl/>
              <w:jc w:val="center"/>
              <w:rPr>
                <w:rFonts w:ascii="宋体" w:hAnsi="宋体" w:cs="Arial"/>
                <w:color w:val="000000"/>
                <w:kern w:val="0"/>
                <w:sz w:val="22"/>
                <w:szCs w:val="22"/>
              </w:rPr>
            </w:pPr>
            <w:r>
              <w:rPr>
                <w:rFonts w:hint="eastAsia" w:ascii="宋体" w:hAnsi="宋体" w:cs="Arial"/>
                <w:color w:val="000000"/>
                <w:kern w:val="0"/>
                <w:sz w:val="22"/>
                <w:szCs w:val="22"/>
              </w:rPr>
              <w:t>编外人数</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5E0668A">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14:paraId="2FB914F1">
        <w:tblPrEx>
          <w:tblCellMar>
            <w:top w:w="0" w:type="dxa"/>
            <w:left w:w="108" w:type="dxa"/>
            <w:bottom w:w="0" w:type="dxa"/>
            <w:right w:w="108" w:type="dxa"/>
          </w:tblCellMar>
        </w:tblPrEx>
        <w:trPr>
          <w:trHeight w:val="435"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629BB5B4">
            <w:pPr>
              <w:widowControl/>
              <w:jc w:val="center"/>
              <w:rPr>
                <w:rFonts w:ascii="宋体" w:hAnsi="宋体" w:cs="Arial"/>
                <w:color w:val="000000"/>
                <w:kern w:val="0"/>
                <w:sz w:val="22"/>
                <w:szCs w:val="22"/>
              </w:rPr>
            </w:pPr>
            <w:r>
              <w:rPr>
                <w:rFonts w:hint="eastAsia" w:ascii="宋体" w:hAnsi="宋体" w:cs="Arial"/>
                <w:color w:val="000000"/>
                <w:kern w:val="0"/>
                <w:sz w:val="22"/>
                <w:szCs w:val="22"/>
              </w:rPr>
              <w:t>当年预算情况（万元）</w:t>
            </w:r>
          </w:p>
        </w:tc>
      </w:tr>
      <w:tr w14:paraId="06E80FBA">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EB98063">
            <w:pPr>
              <w:widowControl/>
              <w:jc w:val="center"/>
              <w:rPr>
                <w:rFonts w:ascii="宋体" w:hAnsi="宋体" w:cs="Arial"/>
                <w:color w:val="000000"/>
                <w:kern w:val="0"/>
                <w:sz w:val="22"/>
                <w:szCs w:val="22"/>
              </w:rPr>
            </w:pPr>
            <w:r>
              <w:rPr>
                <w:rFonts w:hint="eastAsia" w:ascii="宋体" w:hAnsi="宋体" w:cs="Arial"/>
                <w:color w:val="000000"/>
                <w:kern w:val="0"/>
                <w:sz w:val="22"/>
                <w:szCs w:val="22"/>
              </w:rPr>
              <w:t>收入预算合计</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7DC4C6F1">
            <w:pPr>
              <w:widowControl/>
              <w:jc w:val="center"/>
              <w:rPr>
                <w:rFonts w:ascii="宋体" w:hAnsi="宋体" w:cs="Arial"/>
                <w:color w:val="000000"/>
                <w:kern w:val="0"/>
                <w:sz w:val="22"/>
                <w:szCs w:val="22"/>
              </w:rPr>
            </w:pPr>
            <w:r>
              <w:rPr>
                <w:rFonts w:hint="eastAsia" w:ascii="宋体" w:hAnsi="宋体" w:cs="Arial"/>
                <w:color w:val="000000"/>
                <w:kern w:val="0"/>
                <w:sz w:val="22"/>
                <w:szCs w:val="22"/>
              </w:rPr>
              <w:t>141.15</w:t>
            </w:r>
          </w:p>
        </w:tc>
        <w:tc>
          <w:tcPr>
            <w:tcW w:w="0" w:type="auto"/>
            <w:tcBorders>
              <w:top w:val="nil"/>
              <w:left w:val="nil"/>
              <w:bottom w:val="single" w:color="auto" w:sz="4" w:space="0"/>
              <w:right w:val="single" w:color="auto" w:sz="4" w:space="0"/>
            </w:tcBorders>
            <w:shd w:val="clear" w:color="auto" w:fill="auto"/>
            <w:noWrap/>
            <w:vAlign w:val="center"/>
          </w:tcPr>
          <w:p w14:paraId="42B13863">
            <w:pPr>
              <w:widowControl/>
              <w:jc w:val="center"/>
              <w:rPr>
                <w:rFonts w:ascii="宋体" w:hAnsi="宋体" w:cs="Arial"/>
                <w:color w:val="000000"/>
                <w:kern w:val="0"/>
                <w:sz w:val="22"/>
                <w:szCs w:val="22"/>
              </w:rPr>
            </w:pPr>
            <w:r>
              <w:rPr>
                <w:rFonts w:hint="eastAsia" w:ascii="宋体" w:hAnsi="宋体" w:cs="Arial"/>
                <w:color w:val="000000"/>
                <w:kern w:val="0"/>
                <w:sz w:val="22"/>
                <w:szCs w:val="22"/>
              </w:rPr>
              <w:t>其中：上级财政拨款</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56060E16">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14:paraId="063DBAA7">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337AC285">
            <w:pPr>
              <w:widowControl/>
              <w:jc w:val="center"/>
              <w:rPr>
                <w:rFonts w:ascii="宋体" w:hAnsi="宋体" w:cs="Arial"/>
                <w:color w:val="000000"/>
                <w:kern w:val="0"/>
                <w:sz w:val="22"/>
                <w:szCs w:val="22"/>
              </w:rPr>
            </w:pPr>
            <w:r>
              <w:rPr>
                <w:rFonts w:hint="eastAsia" w:ascii="宋体" w:hAnsi="宋体" w:cs="Arial"/>
                <w:color w:val="000000"/>
                <w:kern w:val="0"/>
                <w:sz w:val="22"/>
                <w:szCs w:val="22"/>
              </w:rPr>
              <w:t>本级财政安排</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4B15BD6D">
            <w:pPr>
              <w:widowControl/>
              <w:jc w:val="center"/>
              <w:rPr>
                <w:rFonts w:ascii="宋体" w:hAnsi="宋体" w:cs="Arial"/>
                <w:color w:val="000000"/>
                <w:kern w:val="0"/>
                <w:sz w:val="22"/>
                <w:szCs w:val="22"/>
              </w:rPr>
            </w:pPr>
            <w:r>
              <w:rPr>
                <w:rFonts w:hint="eastAsia" w:ascii="宋体" w:hAnsi="宋体" w:cs="Arial"/>
                <w:color w:val="000000"/>
                <w:kern w:val="0"/>
                <w:sz w:val="22"/>
                <w:szCs w:val="22"/>
              </w:rPr>
              <w:t>111.43</w:t>
            </w:r>
          </w:p>
        </w:tc>
        <w:tc>
          <w:tcPr>
            <w:tcW w:w="0" w:type="auto"/>
            <w:tcBorders>
              <w:top w:val="nil"/>
              <w:left w:val="nil"/>
              <w:bottom w:val="single" w:color="auto" w:sz="4" w:space="0"/>
              <w:right w:val="single" w:color="auto" w:sz="4" w:space="0"/>
            </w:tcBorders>
            <w:shd w:val="clear" w:color="auto" w:fill="auto"/>
            <w:noWrap/>
            <w:vAlign w:val="center"/>
          </w:tcPr>
          <w:p w14:paraId="6B1D5D35">
            <w:pPr>
              <w:widowControl/>
              <w:jc w:val="center"/>
              <w:rPr>
                <w:rFonts w:ascii="宋体" w:hAnsi="宋体" w:cs="Arial"/>
                <w:color w:val="000000"/>
                <w:kern w:val="0"/>
                <w:sz w:val="22"/>
                <w:szCs w:val="22"/>
              </w:rPr>
            </w:pPr>
            <w:r>
              <w:rPr>
                <w:rFonts w:hint="eastAsia" w:ascii="宋体" w:hAnsi="宋体" w:cs="Arial"/>
                <w:color w:val="000000"/>
                <w:kern w:val="0"/>
                <w:sz w:val="22"/>
                <w:szCs w:val="22"/>
              </w:rPr>
              <w:t>其他资金</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22E2E920">
            <w:pPr>
              <w:widowControl/>
              <w:jc w:val="center"/>
              <w:rPr>
                <w:rFonts w:ascii="宋体" w:hAnsi="宋体" w:cs="Arial"/>
                <w:color w:val="000000"/>
                <w:kern w:val="0"/>
                <w:sz w:val="22"/>
                <w:szCs w:val="22"/>
              </w:rPr>
            </w:pPr>
            <w:r>
              <w:rPr>
                <w:rFonts w:hint="eastAsia" w:ascii="宋体" w:hAnsi="宋体" w:cs="Arial"/>
                <w:color w:val="000000"/>
                <w:kern w:val="0"/>
                <w:sz w:val="22"/>
                <w:szCs w:val="22"/>
              </w:rPr>
              <w:t>22.8</w:t>
            </w:r>
          </w:p>
        </w:tc>
      </w:tr>
      <w:tr w14:paraId="708E3864">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041D96C2">
            <w:pPr>
              <w:widowControl/>
              <w:jc w:val="center"/>
              <w:rPr>
                <w:rFonts w:ascii="宋体" w:hAnsi="宋体" w:cs="Arial"/>
                <w:color w:val="000000"/>
                <w:kern w:val="0"/>
                <w:sz w:val="22"/>
                <w:szCs w:val="22"/>
              </w:rPr>
            </w:pPr>
            <w:r>
              <w:rPr>
                <w:rFonts w:hint="eastAsia" w:ascii="宋体" w:hAnsi="宋体" w:cs="Arial"/>
                <w:color w:val="000000"/>
                <w:kern w:val="0"/>
                <w:sz w:val="22"/>
                <w:szCs w:val="22"/>
              </w:rPr>
              <w:t>支出预算合计</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80AA47F">
            <w:pPr>
              <w:widowControl/>
              <w:jc w:val="center"/>
              <w:rPr>
                <w:rFonts w:ascii="宋体" w:hAnsi="宋体" w:cs="Arial"/>
                <w:color w:val="000000"/>
                <w:kern w:val="0"/>
                <w:sz w:val="22"/>
                <w:szCs w:val="22"/>
              </w:rPr>
            </w:pPr>
            <w:r>
              <w:rPr>
                <w:rFonts w:hint="eastAsia" w:ascii="宋体" w:hAnsi="宋体" w:cs="Arial"/>
                <w:color w:val="000000"/>
                <w:kern w:val="0"/>
                <w:sz w:val="22"/>
                <w:szCs w:val="22"/>
              </w:rPr>
              <w:t>141.15</w:t>
            </w:r>
          </w:p>
        </w:tc>
        <w:tc>
          <w:tcPr>
            <w:tcW w:w="0" w:type="auto"/>
            <w:tcBorders>
              <w:top w:val="nil"/>
              <w:left w:val="nil"/>
              <w:bottom w:val="single" w:color="auto" w:sz="4" w:space="0"/>
              <w:right w:val="single" w:color="auto" w:sz="4" w:space="0"/>
            </w:tcBorders>
            <w:shd w:val="clear" w:color="auto" w:fill="auto"/>
            <w:noWrap/>
            <w:vAlign w:val="center"/>
          </w:tcPr>
          <w:p w14:paraId="35C755AE">
            <w:pPr>
              <w:widowControl/>
              <w:jc w:val="center"/>
              <w:rPr>
                <w:rFonts w:ascii="宋体" w:hAnsi="宋体" w:cs="Arial"/>
                <w:color w:val="000000"/>
                <w:kern w:val="0"/>
                <w:sz w:val="22"/>
                <w:szCs w:val="22"/>
              </w:rPr>
            </w:pPr>
            <w:r>
              <w:rPr>
                <w:rFonts w:hint="eastAsia" w:ascii="宋体" w:hAnsi="宋体" w:cs="Arial"/>
                <w:color w:val="000000"/>
                <w:kern w:val="0"/>
                <w:sz w:val="22"/>
                <w:szCs w:val="22"/>
              </w:rPr>
              <w:t>其中：人员经费</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6706A96F">
            <w:pPr>
              <w:widowControl/>
              <w:jc w:val="center"/>
              <w:rPr>
                <w:rFonts w:ascii="宋体" w:hAnsi="宋体" w:cs="Arial"/>
                <w:color w:val="000000"/>
                <w:kern w:val="0"/>
                <w:sz w:val="22"/>
                <w:szCs w:val="22"/>
              </w:rPr>
            </w:pPr>
            <w:r>
              <w:rPr>
                <w:rFonts w:hint="eastAsia" w:ascii="宋体" w:hAnsi="宋体" w:cs="Arial"/>
                <w:color w:val="000000"/>
                <w:kern w:val="0"/>
                <w:sz w:val="22"/>
                <w:szCs w:val="22"/>
              </w:rPr>
              <w:t>95.02</w:t>
            </w:r>
          </w:p>
        </w:tc>
      </w:tr>
      <w:tr w14:paraId="275BA8B1">
        <w:tblPrEx>
          <w:tblCellMar>
            <w:top w:w="0" w:type="dxa"/>
            <w:left w:w="108" w:type="dxa"/>
            <w:bottom w:w="0" w:type="dxa"/>
            <w:right w:w="108" w:type="dxa"/>
          </w:tblCellMar>
        </w:tblPrEx>
        <w:trPr>
          <w:trHeight w:val="435" w:hRule="atLeast"/>
        </w:trPr>
        <w:tc>
          <w:tcPr>
            <w:tcW w:w="0" w:type="auto"/>
            <w:tcBorders>
              <w:top w:val="nil"/>
              <w:left w:val="single" w:color="auto" w:sz="4" w:space="0"/>
              <w:bottom w:val="single" w:color="auto" w:sz="4" w:space="0"/>
              <w:right w:val="single" w:color="auto" w:sz="4" w:space="0"/>
            </w:tcBorders>
            <w:shd w:val="clear" w:color="auto" w:fill="auto"/>
            <w:noWrap/>
            <w:vAlign w:val="center"/>
          </w:tcPr>
          <w:p w14:paraId="74D4BF64">
            <w:pPr>
              <w:widowControl/>
              <w:jc w:val="center"/>
              <w:rPr>
                <w:rFonts w:ascii="宋体" w:hAnsi="宋体" w:cs="Arial"/>
                <w:color w:val="000000"/>
                <w:kern w:val="0"/>
                <w:sz w:val="22"/>
                <w:szCs w:val="22"/>
              </w:rPr>
            </w:pPr>
            <w:r>
              <w:rPr>
                <w:rFonts w:hint="eastAsia" w:ascii="宋体" w:hAnsi="宋体" w:cs="Arial"/>
                <w:color w:val="000000"/>
                <w:kern w:val="0"/>
                <w:sz w:val="22"/>
                <w:szCs w:val="22"/>
              </w:rPr>
              <w:t>公用经费</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7AFC21AA">
            <w:pPr>
              <w:widowControl/>
              <w:jc w:val="center"/>
              <w:rPr>
                <w:rFonts w:ascii="宋体" w:hAnsi="宋体" w:cs="Arial"/>
                <w:color w:val="000000"/>
                <w:kern w:val="0"/>
                <w:sz w:val="22"/>
                <w:szCs w:val="22"/>
              </w:rPr>
            </w:pPr>
            <w:r>
              <w:rPr>
                <w:rFonts w:hint="eastAsia" w:ascii="宋体" w:hAnsi="宋体" w:cs="Arial"/>
                <w:color w:val="000000"/>
                <w:kern w:val="0"/>
                <w:sz w:val="22"/>
                <w:szCs w:val="22"/>
              </w:rPr>
              <w:t>16.41</w:t>
            </w:r>
          </w:p>
        </w:tc>
        <w:tc>
          <w:tcPr>
            <w:tcW w:w="0" w:type="auto"/>
            <w:tcBorders>
              <w:top w:val="nil"/>
              <w:left w:val="nil"/>
              <w:bottom w:val="single" w:color="auto" w:sz="4" w:space="0"/>
              <w:right w:val="single" w:color="auto" w:sz="4" w:space="0"/>
            </w:tcBorders>
            <w:shd w:val="clear" w:color="auto" w:fill="auto"/>
            <w:noWrap/>
            <w:vAlign w:val="center"/>
          </w:tcPr>
          <w:p w14:paraId="3F7A5B15">
            <w:pPr>
              <w:widowControl/>
              <w:jc w:val="center"/>
              <w:rPr>
                <w:rFonts w:ascii="宋体" w:hAnsi="宋体" w:cs="Arial"/>
                <w:color w:val="000000"/>
                <w:kern w:val="0"/>
                <w:sz w:val="22"/>
                <w:szCs w:val="22"/>
              </w:rPr>
            </w:pPr>
            <w:r>
              <w:rPr>
                <w:rFonts w:hint="eastAsia" w:ascii="宋体" w:hAnsi="宋体" w:cs="Arial"/>
                <w:color w:val="000000"/>
                <w:kern w:val="0"/>
                <w:sz w:val="22"/>
                <w:szCs w:val="22"/>
              </w:rPr>
              <w:t>项目经费</w:t>
            </w:r>
          </w:p>
        </w:tc>
        <w:tc>
          <w:tcPr>
            <w:tcW w:w="0" w:type="auto"/>
            <w:tcBorders>
              <w:top w:val="single" w:color="auto" w:sz="4" w:space="0"/>
              <w:left w:val="nil"/>
              <w:bottom w:val="single" w:color="auto" w:sz="4" w:space="0"/>
              <w:right w:val="single" w:color="auto" w:sz="4" w:space="0"/>
            </w:tcBorders>
            <w:shd w:val="clear" w:color="auto" w:fill="auto"/>
            <w:noWrap/>
            <w:vAlign w:val="center"/>
          </w:tcPr>
          <w:p w14:paraId="3342CF9A">
            <w:pPr>
              <w:widowControl/>
              <w:jc w:val="center"/>
              <w:rPr>
                <w:rFonts w:ascii="宋体" w:hAnsi="宋体" w:cs="Arial"/>
                <w:color w:val="000000"/>
                <w:kern w:val="0"/>
                <w:sz w:val="22"/>
                <w:szCs w:val="22"/>
              </w:rPr>
            </w:pPr>
            <w:r>
              <w:rPr>
                <w:rFonts w:hint="eastAsia" w:ascii="宋体" w:hAnsi="宋体" w:cs="Arial"/>
                <w:color w:val="000000"/>
                <w:kern w:val="0"/>
                <w:sz w:val="22"/>
                <w:szCs w:val="22"/>
              </w:rPr>
              <w:t>29.72</w:t>
            </w:r>
          </w:p>
        </w:tc>
      </w:tr>
      <w:tr w14:paraId="27421D2B">
        <w:tblPrEx>
          <w:tblCellMar>
            <w:top w:w="0" w:type="dxa"/>
            <w:left w:w="108" w:type="dxa"/>
            <w:bottom w:w="0" w:type="dxa"/>
            <w:right w:w="108" w:type="dxa"/>
          </w:tblCellMar>
        </w:tblPrEx>
        <w:trPr>
          <w:trHeight w:val="435"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24F00C">
            <w:pPr>
              <w:widowControl/>
              <w:jc w:val="center"/>
              <w:rPr>
                <w:rFonts w:ascii="宋体" w:hAnsi="宋体" w:cs="Arial"/>
                <w:color w:val="000000"/>
                <w:kern w:val="0"/>
                <w:sz w:val="22"/>
                <w:szCs w:val="22"/>
              </w:rPr>
            </w:pPr>
            <w:r>
              <w:rPr>
                <w:rFonts w:hint="eastAsia" w:ascii="宋体" w:hAnsi="宋体" w:cs="Arial"/>
                <w:color w:val="000000"/>
                <w:kern w:val="0"/>
                <w:sz w:val="22"/>
                <w:szCs w:val="22"/>
              </w:rPr>
              <w:t>年度绩效目标</w:t>
            </w:r>
          </w:p>
        </w:tc>
      </w:tr>
      <w:tr w14:paraId="5C1F78C1">
        <w:tblPrEx>
          <w:tblCellMar>
            <w:top w:w="0" w:type="dxa"/>
            <w:left w:w="108" w:type="dxa"/>
            <w:bottom w:w="0" w:type="dxa"/>
            <w:right w:w="108" w:type="dxa"/>
          </w:tblCellMar>
        </w:tblPrEx>
        <w:trPr>
          <w:trHeight w:val="435" w:hRule="atLeast"/>
        </w:trPr>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14:paraId="0C6F7B8A">
            <w:pPr>
              <w:widowControl/>
              <w:jc w:val="center"/>
              <w:rPr>
                <w:rFonts w:ascii="宋体" w:hAnsi="宋体" w:cs="Arial"/>
                <w:color w:val="000000"/>
                <w:kern w:val="0"/>
                <w:sz w:val="22"/>
                <w:szCs w:val="22"/>
              </w:rPr>
            </w:pPr>
            <w:r>
              <w:rPr>
                <w:rFonts w:hint="eastAsia" w:ascii="宋体" w:hAnsi="宋体" w:cs="Arial"/>
                <w:color w:val="000000"/>
                <w:kern w:val="0"/>
                <w:sz w:val="22"/>
                <w:szCs w:val="22"/>
              </w:rPr>
              <w:t>　</w:t>
            </w:r>
          </w:p>
        </w:tc>
      </w:tr>
      <w:tr w14:paraId="240E0CA6">
        <w:tblPrEx>
          <w:tblCellMar>
            <w:top w:w="0" w:type="dxa"/>
            <w:left w:w="108" w:type="dxa"/>
            <w:bottom w:w="0" w:type="dxa"/>
            <w:right w:w="108" w:type="dxa"/>
          </w:tblCellMar>
        </w:tblPrEx>
        <w:trPr>
          <w:trHeight w:val="43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166DFC">
            <w:pPr>
              <w:widowControl/>
              <w:jc w:val="center"/>
              <w:rPr>
                <w:rFonts w:ascii="宋体" w:hAnsi="宋体" w:cs="Arial"/>
                <w:color w:val="000000"/>
                <w:kern w:val="0"/>
                <w:sz w:val="22"/>
                <w:szCs w:val="22"/>
              </w:rPr>
            </w:pPr>
            <w:r>
              <w:rPr>
                <w:rFonts w:hint="eastAsia" w:ascii="宋体" w:hAnsi="宋体" w:cs="Arial"/>
                <w:color w:val="000000"/>
                <w:kern w:val="0"/>
                <w:sz w:val="22"/>
                <w:szCs w:val="22"/>
              </w:rPr>
              <w:t>一级指标</w:t>
            </w:r>
          </w:p>
        </w:tc>
        <w:tc>
          <w:tcPr>
            <w:tcW w:w="0" w:type="auto"/>
            <w:tcBorders>
              <w:top w:val="nil"/>
              <w:left w:val="nil"/>
              <w:bottom w:val="single" w:color="auto" w:sz="4" w:space="0"/>
              <w:right w:val="single" w:color="auto" w:sz="4" w:space="0"/>
            </w:tcBorders>
            <w:shd w:val="clear" w:color="auto" w:fill="auto"/>
            <w:vAlign w:val="center"/>
          </w:tcPr>
          <w:p w14:paraId="69341E2C">
            <w:pPr>
              <w:widowControl/>
              <w:jc w:val="center"/>
              <w:rPr>
                <w:rFonts w:ascii="宋体" w:hAnsi="宋体" w:cs="Arial"/>
                <w:color w:val="000000"/>
                <w:kern w:val="0"/>
                <w:sz w:val="22"/>
                <w:szCs w:val="22"/>
              </w:rPr>
            </w:pPr>
            <w:r>
              <w:rPr>
                <w:rFonts w:hint="eastAsia" w:ascii="宋体" w:hAnsi="宋体" w:cs="Arial"/>
                <w:color w:val="000000"/>
                <w:kern w:val="0"/>
                <w:sz w:val="22"/>
                <w:szCs w:val="22"/>
              </w:rPr>
              <w:t>二级指标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3CD98A80">
            <w:pPr>
              <w:widowControl/>
              <w:jc w:val="center"/>
              <w:rPr>
                <w:rFonts w:ascii="宋体" w:hAnsi="宋体" w:cs="Arial"/>
                <w:color w:val="000000"/>
                <w:kern w:val="0"/>
                <w:sz w:val="22"/>
                <w:szCs w:val="22"/>
              </w:rPr>
            </w:pPr>
            <w:r>
              <w:rPr>
                <w:rFonts w:hint="eastAsia" w:ascii="宋体" w:hAnsi="宋体" w:cs="Arial"/>
                <w:color w:val="000000"/>
                <w:kern w:val="0"/>
                <w:sz w:val="22"/>
                <w:szCs w:val="22"/>
              </w:rPr>
              <w:t>三级指标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6A77C830">
            <w:pPr>
              <w:widowControl/>
              <w:jc w:val="center"/>
              <w:rPr>
                <w:rFonts w:ascii="宋体" w:hAnsi="宋体" w:cs="Arial"/>
                <w:color w:val="000000"/>
                <w:kern w:val="0"/>
                <w:sz w:val="22"/>
                <w:szCs w:val="22"/>
              </w:rPr>
            </w:pPr>
            <w:r>
              <w:rPr>
                <w:rFonts w:hint="eastAsia" w:ascii="宋体" w:hAnsi="宋体" w:cs="Arial"/>
                <w:color w:val="000000"/>
                <w:kern w:val="0"/>
                <w:sz w:val="22"/>
                <w:szCs w:val="22"/>
              </w:rPr>
              <w:t>年度指标值</w:t>
            </w:r>
          </w:p>
        </w:tc>
      </w:tr>
      <w:tr w14:paraId="47278EB7">
        <w:tblPrEx>
          <w:tblCellMar>
            <w:top w:w="0" w:type="dxa"/>
            <w:left w:w="108" w:type="dxa"/>
            <w:bottom w:w="0" w:type="dxa"/>
            <w:right w:w="108" w:type="dxa"/>
          </w:tblCellMar>
        </w:tblPrEx>
        <w:trPr>
          <w:trHeight w:val="435" w:hRule="atLeast"/>
        </w:trPr>
        <w:tc>
          <w:tcPr>
            <w:tcW w:w="0" w:type="auto"/>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40522CC">
            <w:pPr>
              <w:widowControl/>
              <w:jc w:val="center"/>
              <w:rPr>
                <w:rFonts w:ascii="宋体" w:hAnsi="宋体" w:cs="Arial"/>
                <w:color w:val="000000"/>
                <w:kern w:val="0"/>
                <w:sz w:val="22"/>
                <w:szCs w:val="22"/>
              </w:rPr>
            </w:pPr>
            <w:r>
              <w:rPr>
                <w:rFonts w:hint="eastAsia" w:ascii="宋体" w:hAnsi="宋体" w:cs="Arial"/>
                <w:color w:val="000000"/>
                <w:kern w:val="0"/>
                <w:sz w:val="22"/>
                <w:szCs w:val="22"/>
              </w:rPr>
              <w:t>产出指标</w:t>
            </w:r>
          </w:p>
        </w:tc>
        <w:tc>
          <w:tcPr>
            <w:tcW w:w="0" w:type="auto"/>
            <w:tcBorders>
              <w:top w:val="nil"/>
              <w:left w:val="nil"/>
              <w:bottom w:val="single" w:color="auto" w:sz="4" w:space="0"/>
              <w:right w:val="single" w:color="auto" w:sz="4" w:space="0"/>
            </w:tcBorders>
            <w:shd w:val="clear" w:color="auto" w:fill="auto"/>
            <w:vAlign w:val="center"/>
          </w:tcPr>
          <w:p w14:paraId="2DFF0FC9">
            <w:pPr>
              <w:widowControl/>
              <w:jc w:val="center"/>
              <w:rPr>
                <w:rFonts w:ascii="宋体" w:hAnsi="宋体" w:cs="Arial"/>
                <w:color w:val="000000"/>
                <w:kern w:val="0"/>
                <w:sz w:val="22"/>
                <w:szCs w:val="22"/>
              </w:rPr>
            </w:pPr>
            <w:r>
              <w:rPr>
                <w:rFonts w:hint="eastAsia" w:ascii="宋体" w:hAnsi="宋体" w:cs="Arial"/>
                <w:color w:val="000000"/>
                <w:kern w:val="0"/>
                <w:sz w:val="22"/>
                <w:szCs w:val="22"/>
              </w:rPr>
              <w:t>数量指标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2BAB2D89">
            <w:pPr>
              <w:widowControl/>
              <w:jc w:val="left"/>
              <w:rPr>
                <w:rFonts w:ascii="宋体" w:hAnsi="宋体" w:cs="Arial"/>
                <w:color w:val="000000"/>
                <w:kern w:val="0"/>
                <w:sz w:val="22"/>
                <w:szCs w:val="22"/>
              </w:rPr>
            </w:pPr>
            <w:r>
              <w:rPr>
                <w:rFonts w:hint="eastAsia" w:ascii="宋体" w:hAnsi="宋体" w:cs="Arial"/>
                <w:color w:val="000000"/>
                <w:kern w:val="0"/>
                <w:sz w:val="22"/>
                <w:szCs w:val="22"/>
              </w:rPr>
              <w:t>举办涉侨宣传活动</w:t>
            </w:r>
          </w:p>
        </w:tc>
        <w:tc>
          <w:tcPr>
            <w:tcW w:w="0" w:type="auto"/>
            <w:tcBorders>
              <w:top w:val="single" w:color="auto" w:sz="4" w:space="0"/>
              <w:left w:val="nil"/>
              <w:bottom w:val="single" w:color="auto" w:sz="4" w:space="0"/>
              <w:right w:val="single" w:color="auto" w:sz="4" w:space="0"/>
            </w:tcBorders>
            <w:shd w:val="clear" w:color="auto" w:fill="auto"/>
            <w:vAlign w:val="center"/>
          </w:tcPr>
          <w:p w14:paraId="679BBC5C">
            <w:pPr>
              <w:widowControl/>
              <w:jc w:val="center"/>
              <w:rPr>
                <w:rFonts w:ascii="宋体" w:hAnsi="宋体" w:cs="Arial"/>
                <w:color w:val="000000"/>
                <w:kern w:val="0"/>
                <w:sz w:val="22"/>
                <w:szCs w:val="22"/>
              </w:rPr>
            </w:pPr>
            <w:r>
              <w:rPr>
                <w:rFonts w:hint="eastAsia" w:ascii="宋体" w:hAnsi="宋体" w:cs="Arial"/>
                <w:color w:val="000000"/>
                <w:kern w:val="0"/>
                <w:sz w:val="22"/>
                <w:szCs w:val="22"/>
              </w:rPr>
              <w:t>&gt;=2次</w:t>
            </w:r>
          </w:p>
        </w:tc>
      </w:tr>
      <w:tr w14:paraId="23E35153">
        <w:tblPrEx>
          <w:tblCellMar>
            <w:top w:w="0" w:type="dxa"/>
            <w:left w:w="108" w:type="dxa"/>
            <w:bottom w:w="0" w:type="dxa"/>
            <w:right w:w="108" w:type="dxa"/>
          </w:tblCellMar>
        </w:tblPrEx>
        <w:trPr>
          <w:trHeight w:val="53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D3F98CA">
            <w:pPr>
              <w:widowControl/>
              <w:jc w:val="left"/>
              <w:rPr>
                <w:rFonts w:ascii="宋体" w:hAnsi="宋体" w:cs="Arial"/>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2A37921F">
            <w:pPr>
              <w:widowControl/>
              <w:jc w:val="center"/>
              <w:rPr>
                <w:rFonts w:ascii="宋体" w:hAnsi="宋体" w:cs="Arial"/>
                <w:color w:val="000000"/>
                <w:kern w:val="0"/>
                <w:sz w:val="22"/>
                <w:szCs w:val="22"/>
              </w:rPr>
            </w:pPr>
            <w:r>
              <w:rPr>
                <w:rFonts w:hint="eastAsia" w:ascii="宋体" w:hAnsi="宋体" w:cs="Arial"/>
                <w:color w:val="000000"/>
                <w:kern w:val="0"/>
                <w:sz w:val="22"/>
                <w:szCs w:val="22"/>
              </w:rPr>
              <w:t>质量指标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2F9E1878">
            <w:pPr>
              <w:widowControl/>
              <w:jc w:val="left"/>
              <w:rPr>
                <w:rFonts w:ascii="宋体" w:hAnsi="宋体" w:cs="Arial"/>
                <w:color w:val="000000"/>
                <w:kern w:val="0"/>
                <w:sz w:val="22"/>
                <w:szCs w:val="22"/>
              </w:rPr>
            </w:pPr>
            <w:r>
              <w:rPr>
                <w:rFonts w:hint="eastAsia" w:ascii="宋体" w:hAnsi="宋体" w:cs="Arial"/>
                <w:color w:val="000000"/>
                <w:kern w:val="0"/>
                <w:sz w:val="22"/>
                <w:szCs w:val="22"/>
              </w:rPr>
              <w:t>相关活动在主流媒体报道次数</w:t>
            </w:r>
          </w:p>
        </w:tc>
        <w:tc>
          <w:tcPr>
            <w:tcW w:w="0" w:type="auto"/>
            <w:tcBorders>
              <w:top w:val="single" w:color="auto" w:sz="4" w:space="0"/>
              <w:left w:val="nil"/>
              <w:bottom w:val="single" w:color="auto" w:sz="4" w:space="0"/>
              <w:right w:val="single" w:color="auto" w:sz="4" w:space="0"/>
            </w:tcBorders>
            <w:shd w:val="clear" w:color="auto" w:fill="auto"/>
            <w:vAlign w:val="center"/>
          </w:tcPr>
          <w:p w14:paraId="2D186566">
            <w:pPr>
              <w:widowControl/>
              <w:jc w:val="center"/>
              <w:rPr>
                <w:rFonts w:ascii="宋体" w:hAnsi="宋体" w:cs="Arial"/>
                <w:color w:val="000000"/>
                <w:kern w:val="0"/>
                <w:sz w:val="22"/>
                <w:szCs w:val="22"/>
              </w:rPr>
            </w:pPr>
            <w:r>
              <w:rPr>
                <w:rFonts w:hint="eastAsia" w:ascii="宋体" w:hAnsi="宋体" w:cs="Arial"/>
                <w:color w:val="000000"/>
                <w:kern w:val="0"/>
                <w:sz w:val="22"/>
                <w:szCs w:val="22"/>
              </w:rPr>
              <w:t>&gt;=2次</w:t>
            </w:r>
          </w:p>
        </w:tc>
      </w:tr>
      <w:tr w14:paraId="22E9243C">
        <w:tblPrEx>
          <w:tblCellMar>
            <w:top w:w="0" w:type="dxa"/>
            <w:left w:w="108" w:type="dxa"/>
            <w:bottom w:w="0" w:type="dxa"/>
            <w:right w:w="108" w:type="dxa"/>
          </w:tblCellMar>
        </w:tblPrEx>
        <w:trPr>
          <w:trHeight w:val="43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58CBEF1">
            <w:pPr>
              <w:widowControl/>
              <w:jc w:val="left"/>
              <w:rPr>
                <w:rFonts w:ascii="宋体" w:hAnsi="宋体" w:cs="Arial"/>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0EE3AE51">
            <w:pPr>
              <w:widowControl/>
              <w:jc w:val="center"/>
              <w:rPr>
                <w:rFonts w:ascii="宋体" w:hAnsi="宋体" w:cs="Arial"/>
                <w:color w:val="000000"/>
                <w:kern w:val="0"/>
                <w:sz w:val="22"/>
                <w:szCs w:val="22"/>
              </w:rPr>
            </w:pPr>
            <w:r>
              <w:rPr>
                <w:rFonts w:hint="eastAsia" w:ascii="宋体" w:hAnsi="宋体" w:cs="Arial"/>
                <w:color w:val="000000"/>
                <w:kern w:val="0"/>
                <w:sz w:val="22"/>
                <w:szCs w:val="22"/>
              </w:rPr>
              <w:t>时效指标</w:t>
            </w:r>
          </w:p>
        </w:tc>
        <w:tc>
          <w:tcPr>
            <w:tcW w:w="0" w:type="auto"/>
            <w:tcBorders>
              <w:top w:val="single" w:color="auto" w:sz="4" w:space="0"/>
              <w:left w:val="nil"/>
              <w:bottom w:val="single" w:color="auto" w:sz="4" w:space="0"/>
              <w:right w:val="single" w:color="000000" w:sz="4" w:space="0"/>
            </w:tcBorders>
            <w:shd w:val="clear" w:color="auto" w:fill="auto"/>
            <w:vAlign w:val="center"/>
          </w:tcPr>
          <w:p w14:paraId="4A8E2E62">
            <w:pPr>
              <w:widowControl/>
              <w:jc w:val="left"/>
              <w:rPr>
                <w:rFonts w:ascii="宋体" w:hAnsi="宋体" w:cs="Arial"/>
                <w:color w:val="000000"/>
                <w:kern w:val="0"/>
                <w:sz w:val="22"/>
                <w:szCs w:val="22"/>
              </w:rPr>
            </w:pPr>
            <w:r>
              <w:rPr>
                <w:rFonts w:hint="eastAsia" w:ascii="宋体" w:hAnsi="宋体" w:cs="Arial"/>
                <w:color w:val="000000"/>
                <w:kern w:val="0"/>
                <w:sz w:val="22"/>
                <w:szCs w:val="22"/>
              </w:rPr>
              <w:t>本年度完成</w:t>
            </w:r>
          </w:p>
        </w:tc>
        <w:tc>
          <w:tcPr>
            <w:tcW w:w="0" w:type="auto"/>
            <w:tcBorders>
              <w:top w:val="single" w:color="auto" w:sz="4" w:space="0"/>
              <w:left w:val="nil"/>
              <w:bottom w:val="single" w:color="auto" w:sz="4" w:space="0"/>
              <w:right w:val="single" w:color="000000" w:sz="4" w:space="0"/>
            </w:tcBorders>
            <w:shd w:val="clear" w:color="auto" w:fill="auto"/>
            <w:vAlign w:val="center"/>
          </w:tcPr>
          <w:p w14:paraId="6FC8B589">
            <w:pPr>
              <w:widowControl/>
              <w:jc w:val="center"/>
              <w:rPr>
                <w:rFonts w:ascii="宋体" w:hAnsi="宋体" w:cs="Arial"/>
                <w:color w:val="000000"/>
                <w:kern w:val="0"/>
                <w:sz w:val="22"/>
                <w:szCs w:val="22"/>
              </w:rPr>
            </w:pPr>
            <w:r>
              <w:rPr>
                <w:rFonts w:hint="eastAsia" w:ascii="宋体" w:hAnsi="宋体" w:cs="Arial"/>
                <w:color w:val="000000"/>
                <w:kern w:val="0"/>
                <w:sz w:val="22"/>
                <w:szCs w:val="22"/>
              </w:rPr>
              <w:t>2021年12月31日</w:t>
            </w:r>
          </w:p>
        </w:tc>
      </w:tr>
      <w:tr w14:paraId="1F282107">
        <w:tblPrEx>
          <w:tblCellMar>
            <w:top w:w="0" w:type="dxa"/>
            <w:left w:w="108" w:type="dxa"/>
            <w:bottom w:w="0" w:type="dxa"/>
            <w:right w:w="108" w:type="dxa"/>
          </w:tblCellMar>
        </w:tblPrEx>
        <w:trPr>
          <w:trHeight w:val="43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7D7478FE">
            <w:pPr>
              <w:widowControl/>
              <w:jc w:val="left"/>
              <w:rPr>
                <w:rFonts w:ascii="宋体" w:hAnsi="宋体" w:cs="Arial"/>
                <w:color w:val="000000"/>
                <w:kern w:val="0"/>
                <w:sz w:val="22"/>
                <w:szCs w:val="22"/>
              </w:rPr>
            </w:pPr>
          </w:p>
        </w:tc>
        <w:tc>
          <w:tcPr>
            <w:tcW w:w="0" w:type="auto"/>
            <w:tcBorders>
              <w:top w:val="nil"/>
              <w:left w:val="nil"/>
              <w:bottom w:val="single" w:color="auto" w:sz="4" w:space="0"/>
              <w:right w:val="single" w:color="auto" w:sz="4" w:space="0"/>
            </w:tcBorders>
            <w:shd w:val="clear" w:color="auto" w:fill="auto"/>
            <w:vAlign w:val="center"/>
          </w:tcPr>
          <w:p w14:paraId="603E52C0">
            <w:pPr>
              <w:widowControl/>
              <w:jc w:val="center"/>
              <w:rPr>
                <w:rFonts w:ascii="宋体" w:hAnsi="宋体" w:cs="Arial"/>
                <w:color w:val="000000"/>
                <w:kern w:val="0"/>
                <w:sz w:val="22"/>
                <w:szCs w:val="22"/>
              </w:rPr>
            </w:pPr>
            <w:r>
              <w:rPr>
                <w:rFonts w:hint="eastAsia" w:ascii="宋体" w:hAnsi="宋体" w:cs="Arial"/>
                <w:color w:val="000000"/>
                <w:kern w:val="0"/>
                <w:sz w:val="22"/>
                <w:szCs w:val="22"/>
              </w:rPr>
              <w:t>成本指标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6E07BB53">
            <w:pPr>
              <w:widowControl/>
              <w:jc w:val="left"/>
              <w:rPr>
                <w:rFonts w:ascii="宋体" w:hAnsi="宋体" w:cs="Arial"/>
                <w:color w:val="000000"/>
                <w:kern w:val="0"/>
                <w:sz w:val="22"/>
                <w:szCs w:val="22"/>
              </w:rPr>
            </w:pPr>
            <w:r>
              <w:rPr>
                <w:rFonts w:hint="eastAsia" w:ascii="宋体" w:hAnsi="宋体" w:cs="Arial"/>
                <w:color w:val="000000"/>
                <w:kern w:val="0"/>
                <w:sz w:val="22"/>
                <w:szCs w:val="22"/>
              </w:rPr>
              <w:t>控制预算率（%）</w:t>
            </w:r>
          </w:p>
        </w:tc>
        <w:tc>
          <w:tcPr>
            <w:tcW w:w="0" w:type="auto"/>
            <w:tcBorders>
              <w:top w:val="single" w:color="auto" w:sz="4" w:space="0"/>
              <w:left w:val="nil"/>
              <w:bottom w:val="single" w:color="auto" w:sz="4" w:space="0"/>
              <w:right w:val="single" w:color="auto" w:sz="4" w:space="0"/>
            </w:tcBorders>
            <w:shd w:val="clear" w:color="auto" w:fill="auto"/>
            <w:vAlign w:val="center"/>
          </w:tcPr>
          <w:p w14:paraId="26EC037D">
            <w:pPr>
              <w:widowControl/>
              <w:jc w:val="center"/>
              <w:rPr>
                <w:rFonts w:ascii="宋体" w:hAnsi="宋体" w:cs="Arial"/>
                <w:color w:val="000000"/>
                <w:kern w:val="0"/>
                <w:sz w:val="22"/>
                <w:szCs w:val="22"/>
              </w:rPr>
            </w:pPr>
            <w:r>
              <w:rPr>
                <w:rFonts w:hint="eastAsia" w:ascii="宋体" w:hAnsi="宋体" w:cs="Arial"/>
                <w:color w:val="000000"/>
                <w:kern w:val="0"/>
                <w:sz w:val="22"/>
                <w:szCs w:val="22"/>
              </w:rPr>
              <w:t>不超预算</w:t>
            </w:r>
          </w:p>
        </w:tc>
      </w:tr>
      <w:tr w14:paraId="4FFD837B">
        <w:tblPrEx>
          <w:tblCellMar>
            <w:top w:w="0" w:type="dxa"/>
            <w:left w:w="108" w:type="dxa"/>
            <w:bottom w:w="0" w:type="dxa"/>
            <w:right w:w="108" w:type="dxa"/>
          </w:tblCellMar>
        </w:tblPrEx>
        <w:trPr>
          <w:trHeight w:val="52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A0B6A11">
            <w:pPr>
              <w:widowControl/>
              <w:jc w:val="center"/>
              <w:rPr>
                <w:rFonts w:ascii="宋体" w:hAnsi="宋体" w:cs="Arial"/>
                <w:color w:val="000000"/>
                <w:kern w:val="0"/>
                <w:sz w:val="22"/>
                <w:szCs w:val="22"/>
              </w:rPr>
            </w:pPr>
            <w:r>
              <w:rPr>
                <w:rFonts w:hint="eastAsia" w:ascii="宋体" w:hAnsi="宋体" w:cs="Arial"/>
                <w:color w:val="000000"/>
                <w:kern w:val="0"/>
                <w:sz w:val="22"/>
                <w:szCs w:val="22"/>
              </w:rPr>
              <w:t>效益指标</w:t>
            </w:r>
          </w:p>
        </w:tc>
        <w:tc>
          <w:tcPr>
            <w:tcW w:w="0" w:type="auto"/>
            <w:tcBorders>
              <w:top w:val="nil"/>
              <w:left w:val="nil"/>
              <w:bottom w:val="single" w:color="auto" w:sz="4" w:space="0"/>
              <w:right w:val="single" w:color="auto" w:sz="4" w:space="0"/>
            </w:tcBorders>
            <w:shd w:val="clear" w:color="auto" w:fill="auto"/>
            <w:vAlign w:val="center"/>
          </w:tcPr>
          <w:p w14:paraId="47408BA7">
            <w:pPr>
              <w:widowControl/>
              <w:jc w:val="center"/>
              <w:rPr>
                <w:rFonts w:ascii="宋体" w:hAnsi="宋体" w:cs="Arial"/>
                <w:color w:val="000000"/>
                <w:kern w:val="0"/>
                <w:sz w:val="22"/>
                <w:szCs w:val="22"/>
              </w:rPr>
            </w:pPr>
            <w:r>
              <w:rPr>
                <w:rFonts w:hint="eastAsia" w:ascii="宋体" w:hAnsi="宋体" w:cs="Arial"/>
                <w:color w:val="000000"/>
                <w:kern w:val="0"/>
                <w:sz w:val="22"/>
                <w:szCs w:val="22"/>
              </w:rPr>
              <w:t>经济效益指标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770D377A">
            <w:pPr>
              <w:widowControl/>
              <w:jc w:val="left"/>
              <w:rPr>
                <w:rFonts w:ascii="宋体" w:hAnsi="宋体" w:cs="Arial"/>
                <w:color w:val="000000"/>
                <w:kern w:val="0"/>
                <w:sz w:val="22"/>
                <w:szCs w:val="22"/>
              </w:rPr>
            </w:pPr>
            <w:r>
              <w:rPr>
                <w:rFonts w:hint="eastAsia" w:ascii="宋体" w:hAnsi="宋体" w:cs="Arial"/>
                <w:color w:val="000000"/>
                <w:kern w:val="0"/>
                <w:sz w:val="22"/>
                <w:szCs w:val="22"/>
              </w:rPr>
              <w:t>着力服务大局，服务侨胞</w:t>
            </w:r>
          </w:p>
        </w:tc>
        <w:tc>
          <w:tcPr>
            <w:tcW w:w="0" w:type="auto"/>
            <w:tcBorders>
              <w:top w:val="single" w:color="auto" w:sz="4" w:space="0"/>
              <w:left w:val="nil"/>
              <w:bottom w:val="single" w:color="auto" w:sz="4" w:space="0"/>
              <w:right w:val="single" w:color="auto" w:sz="4" w:space="0"/>
            </w:tcBorders>
            <w:shd w:val="clear" w:color="auto" w:fill="auto"/>
            <w:vAlign w:val="center"/>
          </w:tcPr>
          <w:p w14:paraId="2AED037C">
            <w:pPr>
              <w:widowControl/>
              <w:jc w:val="center"/>
              <w:rPr>
                <w:rFonts w:ascii="宋体" w:hAnsi="宋体" w:cs="Arial"/>
                <w:color w:val="000000"/>
                <w:kern w:val="0"/>
                <w:sz w:val="22"/>
                <w:szCs w:val="22"/>
              </w:rPr>
            </w:pPr>
            <w:r>
              <w:rPr>
                <w:rFonts w:hint="eastAsia" w:ascii="宋体" w:hAnsi="宋体" w:cs="Arial"/>
                <w:color w:val="000000"/>
                <w:kern w:val="0"/>
                <w:sz w:val="22"/>
                <w:szCs w:val="22"/>
              </w:rPr>
              <w:t>引导侨界群众参与和谐瓷都建设</w:t>
            </w:r>
          </w:p>
        </w:tc>
      </w:tr>
      <w:tr w14:paraId="6FE022B2">
        <w:tblPrEx>
          <w:tblCellMar>
            <w:top w:w="0" w:type="dxa"/>
            <w:left w:w="108" w:type="dxa"/>
            <w:bottom w:w="0" w:type="dxa"/>
            <w:right w:w="108" w:type="dxa"/>
          </w:tblCellMar>
        </w:tblPrEx>
        <w:trPr>
          <w:trHeight w:val="43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268076A">
            <w:pPr>
              <w:widowControl/>
              <w:jc w:val="center"/>
              <w:rPr>
                <w:rFonts w:ascii="宋体" w:hAnsi="宋体" w:cs="Arial"/>
                <w:color w:val="000000"/>
                <w:kern w:val="0"/>
                <w:sz w:val="22"/>
                <w:szCs w:val="22"/>
              </w:rPr>
            </w:pPr>
            <w:r>
              <w:rPr>
                <w:rFonts w:hint="eastAsia" w:ascii="宋体" w:hAnsi="宋体" w:cs="Arial"/>
                <w:color w:val="000000"/>
                <w:kern w:val="0"/>
                <w:sz w:val="22"/>
                <w:szCs w:val="22"/>
              </w:rPr>
              <w:t>满意度指标</w:t>
            </w:r>
          </w:p>
        </w:tc>
        <w:tc>
          <w:tcPr>
            <w:tcW w:w="0" w:type="auto"/>
            <w:tcBorders>
              <w:top w:val="nil"/>
              <w:left w:val="nil"/>
              <w:bottom w:val="single" w:color="auto" w:sz="4" w:space="0"/>
              <w:right w:val="single" w:color="auto" w:sz="4" w:space="0"/>
            </w:tcBorders>
            <w:shd w:val="clear" w:color="auto" w:fill="auto"/>
            <w:vAlign w:val="center"/>
          </w:tcPr>
          <w:p w14:paraId="71F2423A">
            <w:pPr>
              <w:widowControl/>
              <w:jc w:val="center"/>
              <w:rPr>
                <w:rFonts w:ascii="宋体" w:hAnsi="宋体" w:cs="Arial"/>
                <w:color w:val="000000"/>
                <w:kern w:val="0"/>
                <w:sz w:val="22"/>
                <w:szCs w:val="22"/>
              </w:rPr>
            </w:pPr>
            <w:r>
              <w:rPr>
                <w:rFonts w:hint="eastAsia" w:ascii="宋体" w:hAnsi="宋体" w:cs="Arial"/>
                <w:color w:val="000000"/>
                <w:kern w:val="0"/>
                <w:sz w:val="22"/>
                <w:szCs w:val="22"/>
              </w:rPr>
              <w:t>满意度指标</w:t>
            </w:r>
          </w:p>
        </w:tc>
        <w:tc>
          <w:tcPr>
            <w:tcW w:w="0" w:type="auto"/>
            <w:tcBorders>
              <w:top w:val="single" w:color="auto" w:sz="4" w:space="0"/>
              <w:left w:val="nil"/>
              <w:bottom w:val="single" w:color="auto" w:sz="4" w:space="0"/>
              <w:right w:val="single" w:color="auto" w:sz="4" w:space="0"/>
            </w:tcBorders>
            <w:shd w:val="clear" w:color="auto" w:fill="auto"/>
            <w:vAlign w:val="center"/>
          </w:tcPr>
          <w:p w14:paraId="6E81B591">
            <w:pPr>
              <w:widowControl/>
              <w:jc w:val="center"/>
              <w:rPr>
                <w:rFonts w:ascii="宋体" w:hAnsi="宋体" w:cs="Arial"/>
                <w:color w:val="000000"/>
                <w:kern w:val="0"/>
                <w:sz w:val="22"/>
                <w:szCs w:val="22"/>
              </w:rPr>
            </w:pPr>
            <w:r>
              <w:rPr>
                <w:rFonts w:hint="eastAsia" w:ascii="宋体" w:hAnsi="宋体" w:cs="Arial"/>
                <w:color w:val="000000"/>
                <w:kern w:val="0"/>
                <w:sz w:val="22"/>
                <w:szCs w:val="22"/>
              </w:rPr>
              <w:t>服务对象满意度</w:t>
            </w:r>
          </w:p>
        </w:tc>
        <w:tc>
          <w:tcPr>
            <w:tcW w:w="0" w:type="auto"/>
            <w:tcBorders>
              <w:top w:val="single" w:color="auto" w:sz="4" w:space="0"/>
              <w:left w:val="nil"/>
              <w:bottom w:val="single" w:color="auto" w:sz="4" w:space="0"/>
              <w:right w:val="single" w:color="auto" w:sz="4" w:space="0"/>
            </w:tcBorders>
            <w:shd w:val="clear" w:color="auto" w:fill="auto"/>
            <w:vAlign w:val="center"/>
          </w:tcPr>
          <w:p w14:paraId="36D39F8A">
            <w:pPr>
              <w:widowControl/>
              <w:jc w:val="center"/>
              <w:rPr>
                <w:rFonts w:ascii="宋体" w:hAnsi="宋体" w:cs="Arial"/>
                <w:color w:val="000000"/>
                <w:kern w:val="0"/>
                <w:sz w:val="22"/>
                <w:szCs w:val="22"/>
              </w:rPr>
            </w:pPr>
            <w:r>
              <w:rPr>
                <w:rFonts w:hint="eastAsia" w:ascii="宋体" w:hAnsi="宋体" w:cs="Arial"/>
                <w:color w:val="000000"/>
                <w:kern w:val="0"/>
                <w:sz w:val="22"/>
                <w:szCs w:val="22"/>
              </w:rPr>
              <w:t>&gt;=95%</w:t>
            </w:r>
          </w:p>
        </w:tc>
      </w:tr>
    </w:tbl>
    <w:p w14:paraId="53210AFD">
      <w:pPr>
        <w:tabs>
          <w:tab w:val="left" w:pos="1113"/>
        </w:tabs>
        <w:ind w:firstLine="643" w:firstLineChars="200"/>
        <w:rPr>
          <w:rFonts w:ascii="仿宋_GB2312" w:hAnsi="宋体" w:eastAsia="仿宋_GB2312" w:cs="仿宋_GB2312"/>
          <w:b/>
          <w:bCs/>
          <w:sz w:val="32"/>
          <w:szCs w:val="32"/>
        </w:rPr>
      </w:pPr>
    </w:p>
    <w:p w14:paraId="139A542F">
      <w:pPr>
        <w:tabs>
          <w:tab w:val="left" w:pos="1113"/>
        </w:tabs>
        <w:ind w:firstLine="643" w:firstLineChars="200"/>
        <w:rPr>
          <w:rFonts w:ascii="仿宋_GB2312" w:eastAsia="仿宋_GB2312" w:cs="Times New Roman"/>
          <w:b/>
          <w:bCs/>
          <w:sz w:val="32"/>
          <w:szCs w:val="32"/>
        </w:rPr>
      </w:pPr>
      <w:r>
        <w:rPr>
          <w:rFonts w:hint="eastAsia" w:ascii="仿宋_GB2312" w:hAnsi="宋体" w:eastAsia="仿宋_GB2312" w:cs="仿宋_GB2312"/>
          <w:b/>
          <w:bCs/>
          <w:sz w:val="32"/>
          <w:szCs w:val="32"/>
        </w:rPr>
        <w:t>二、2021年“三公”经费预算增减变化原因情况说明</w:t>
      </w:r>
    </w:p>
    <w:p w14:paraId="350BA7CD">
      <w:pPr>
        <w:ind w:firstLine="640" w:firstLineChars="200"/>
        <w:rPr>
          <w:rFonts w:hint="eastAsia" w:ascii="仿宋_GB2312" w:hAnsi="宋体" w:eastAsia="仿宋_GB2312" w:cs="仿宋_GB2312"/>
          <w:sz w:val="32"/>
          <w:szCs w:val="32"/>
        </w:rPr>
      </w:pPr>
      <w:r>
        <w:rPr>
          <w:rFonts w:hint="eastAsia" w:ascii="仿宋_GB2312" w:hAnsi="宋体" w:eastAsia="仿宋_GB2312" w:cs="仿宋_GB2312"/>
          <w:sz w:val="32"/>
          <w:szCs w:val="32"/>
        </w:rPr>
        <w:t>2021年景德镇市归国华侨联合会 “三公”经费年初预算安排0.00万元。较上年减少3.00万元。</w:t>
      </w:r>
    </w:p>
    <w:p w14:paraId="07411142">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其中：因公出国（境）费</w:t>
      </w:r>
      <w:r>
        <w:rPr>
          <w:rFonts w:ascii="仿宋_GB2312" w:hAnsi="宋体" w:eastAsia="仿宋_GB2312" w:cs="仿宋_GB2312"/>
          <w:sz w:val="32"/>
          <w:szCs w:val="32"/>
        </w:rPr>
        <w:t>0.00</w:t>
      </w:r>
      <w:r>
        <w:rPr>
          <w:rFonts w:hint="eastAsia" w:ascii="仿宋_GB2312" w:hAnsi="宋体" w:eastAsia="仿宋_GB2312" w:cs="仿宋_GB2312"/>
          <w:sz w:val="32"/>
          <w:szCs w:val="32"/>
        </w:rPr>
        <w:t>万元，与上年预算数一致。</w:t>
      </w:r>
    </w:p>
    <w:p w14:paraId="775643CD">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公务接待费0.00万元，与上年预算数相比减少3.00万元，主要原因是：厉行节约。</w:t>
      </w:r>
    </w:p>
    <w:p w14:paraId="2A430416">
      <w:pPr>
        <w:ind w:firstLine="640" w:firstLineChars="200"/>
        <w:rPr>
          <w:rFonts w:ascii="仿宋_GB2312" w:eastAsia="仿宋_GB2312" w:cs="Times New Roman"/>
          <w:sz w:val="32"/>
          <w:szCs w:val="32"/>
        </w:rPr>
      </w:pPr>
      <w:r>
        <w:rPr>
          <w:rFonts w:hint="eastAsia" w:ascii="仿宋_GB2312" w:hAnsi="宋体" w:eastAsia="仿宋_GB2312" w:cs="仿宋_GB2312"/>
          <w:sz w:val="32"/>
          <w:szCs w:val="32"/>
        </w:rPr>
        <w:t>公务用车运行维护费0.00万元，上年预算数一致。</w:t>
      </w:r>
    </w:p>
    <w:p w14:paraId="3AA91AC8">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公务用车购置费</w:t>
      </w:r>
      <w:r>
        <w:rPr>
          <w:rFonts w:ascii="仿宋_GB2312" w:hAnsi="宋体" w:eastAsia="仿宋_GB2312" w:cs="仿宋_GB2312"/>
          <w:sz w:val="32"/>
          <w:szCs w:val="32"/>
        </w:rPr>
        <w:t>0</w:t>
      </w:r>
      <w:r>
        <w:rPr>
          <w:rFonts w:hint="eastAsia" w:ascii="仿宋_GB2312" w:hAnsi="宋体" w:eastAsia="仿宋_GB2312" w:cs="仿宋_GB2312"/>
          <w:sz w:val="32"/>
          <w:szCs w:val="32"/>
        </w:rPr>
        <w:t>.00万元，与上年预算数一致。</w:t>
      </w:r>
    </w:p>
    <w:p w14:paraId="5894CE30">
      <w:pPr>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w:t>
      </w:r>
    </w:p>
    <w:p w14:paraId="2F39D524">
      <w:pPr>
        <w:rPr>
          <w:rFonts w:ascii="黑体" w:hAnsi="宋体" w:eastAsia="黑体" w:cs="黑体"/>
          <w:sz w:val="32"/>
          <w:szCs w:val="32"/>
        </w:rPr>
      </w:pPr>
    </w:p>
    <w:p w14:paraId="26518F7D">
      <w:pPr>
        <w:rPr>
          <w:rFonts w:ascii="黑体" w:eastAsia="黑体" w:cs="Times New Roman"/>
          <w:sz w:val="32"/>
          <w:szCs w:val="32"/>
        </w:rPr>
      </w:pPr>
      <w:r>
        <w:rPr>
          <w:rFonts w:hint="eastAsia" w:ascii="黑体" w:hAnsi="宋体" w:eastAsia="黑体" w:cs="黑体"/>
          <w:sz w:val="32"/>
          <w:szCs w:val="32"/>
        </w:rPr>
        <w:t>第三部分</w:t>
      </w:r>
      <w:r>
        <w:rPr>
          <w:rFonts w:ascii="黑体" w:hAnsi="宋体" w:eastAsia="黑体" w:cs="黑体"/>
          <w:sz w:val="32"/>
          <w:szCs w:val="32"/>
        </w:rPr>
        <w:t xml:space="preserve">  </w:t>
      </w:r>
      <w:r>
        <w:rPr>
          <w:rFonts w:hint="eastAsia" w:ascii="黑体" w:hAnsi="宋体" w:eastAsia="黑体" w:cs="黑体"/>
          <w:sz w:val="32"/>
          <w:szCs w:val="32"/>
        </w:rPr>
        <w:t>景德镇市</w:t>
      </w:r>
      <w:r>
        <w:rPr>
          <w:rFonts w:ascii="黑体" w:hAnsi="宋体" w:eastAsia="黑体" w:cs="黑体"/>
          <w:sz w:val="32"/>
          <w:szCs w:val="32"/>
        </w:rPr>
        <w:t xml:space="preserve"> </w:t>
      </w:r>
      <w:r>
        <w:rPr>
          <w:rFonts w:hint="eastAsia" w:ascii="黑体" w:hAnsi="宋体" w:eastAsia="黑体" w:cs="黑体"/>
          <w:sz w:val="32"/>
          <w:szCs w:val="32"/>
        </w:rPr>
        <w:t>归国华侨联合会2021年部门预算表</w:t>
      </w:r>
    </w:p>
    <w:p w14:paraId="73F6C35B">
      <w:pPr>
        <w:rPr>
          <w:rFonts w:ascii="仿宋_GB2312" w:hAnsi="宋体" w:eastAsia="仿宋_GB2312" w:cs="仿宋_GB2312"/>
          <w:sz w:val="32"/>
          <w:szCs w:val="32"/>
        </w:rPr>
      </w:pPr>
      <w:r>
        <w:rPr>
          <w:rFonts w:hint="eastAsia" w:ascii="仿宋_GB2312" w:hAnsi="宋体" w:eastAsia="仿宋_GB2312" w:cs="仿宋_GB2312"/>
          <w:sz w:val="32"/>
          <w:szCs w:val="32"/>
        </w:rPr>
        <w:t>（详见附表）</w:t>
      </w:r>
    </w:p>
    <w:p w14:paraId="685B93FD">
      <w:pPr>
        <w:rPr>
          <w:rFonts w:ascii="仿宋_GB2312" w:hAnsi="宋体" w:eastAsia="仿宋_GB2312" w:cs="仿宋_GB2312"/>
          <w:sz w:val="32"/>
          <w:szCs w:val="32"/>
          <w:shd w:val="clear" w:color="FFFFFF" w:fill="D9D9D9"/>
        </w:rPr>
      </w:pPr>
    </w:p>
    <w:p w14:paraId="5DCD32EA">
      <w:pPr>
        <w:rPr>
          <w:rFonts w:ascii="仿宋_GB2312" w:hAnsi="宋体" w:eastAsia="仿宋_GB2312" w:cs="仿宋_GB2312"/>
          <w:sz w:val="32"/>
          <w:szCs w:val="32"/>
          <w:shd w:val="clear" w:color="FFFFFF" w:fill="D9D9D9"/>
        </w:rPr>
      </w:pPr>
    </w:p>
    <w:p w14:paraId="4827FA68">
      <w:pPr>
        <w:rPr>
          <w:rFonts w:hint="eastAsia" w:ascii="黑体" w:hAnsi="宋体" w:eastAsia="黑体" w:cs="黑体"/>
          <w:sz w:val="32"/>
          <w:szCs w:val="32"/>
        </w:rPr>
      </w:pPr>
      <w:r>
        <w:rPr>
          <w:rFonts w:hint="eastAsia" w:ascii="黑体" w:hAnsi="宋体" w:eastAsia="黑体" w:cs="黑体"/>
          <w:sz w:val="32"/>
          <w:szCs w:val="32"/>
        </w:rPr>
        <w:t>第四部分</w:t>
      </w:r>
      <w:r>
        <w:rPr>
          <w:rFonts w:ascii="黑体" w:hAnsi="宋体" w:eastAsia="黑体" w:cs="黑体"/>
          <w:sz w:val="32"/>
          <w:szCs w:val="32"/>
        </w:rPr>
        <w:t xml:space="preserve">  </w:t>
      </w:r>
      <w:r>
        <w:rPr>
          <w:rFonts w:hint="eastAsia" w:ascii="黑体" w:hAnsi="宋体" w:eastAsia="黑体" w:cs="黑体"/>
          <w:sz w:val="32"/>
          <w:szCs w:val="32"/>
        </w:rPr>
        <w:t>名词解释</w:t>
      </w:r>
    </w:p>
    <w:p w14:paraId="195005B1">
      <w:pPr>
        <w:rPr>
          <w:rFonts w:hint="eastAsia" w:ascii="仿宋_GB2312" w:eastAsia="仿宋_GB2312" w:cs="Times New Roman"/>
          <w:bCs/>
          <w:sz w:val="32"/>
          <w:szCs w:val="32"/>
        </w:rPr>
      </w:pPr>
      <w:r>
        <w:rPr>
          <w:rFonts w:hint="eastAsia" w:ascii="仿宋_GB2312" w:eastAsia="仿宋_GB2312" w:cs="Times New Roman"/>
          <w:bCs/>
          <w:sz w:val="32"/>
          <w:szCs w:val="32"/>
        </w:rPr>
        <w:t>（一）财政拨款：指市级财政当年拨付的资金。</w:t>
      </w:r>
    </w:p>
    <w:p w14:paraId="11A73D20">
      <w:pPr>
        <w:rPr>
          <w:rFonts w:hint="eastAsia" w:ascii="仿宋_GB2312" w:eastAsia="仿宋_GB2312" w:cs="Times New Roman"/>
          <w:bCs/>
          <w:sz w:val="32"/>
          <w:szCs w:val="32"/>
        </w:rPr>
      </w:pPr>
      <w:r>
        <w:rPr>
          <w:rFonts w:hint="eastAsia" w:ascii="仿宋_GB2312" w:eastAsia="仿宋_GB2312" w:cs="Times New Roman"/>
          <w:bCs/>
          <w:sz w:val="32"/>
          <w:szCs w:val="32"/>
        </w:rPr>
        <w:t>（二）事业收入：指事业单位开展专业业务活动及辅助活动取得的收入。</w:t>
      </w:r>
    </w:p>
    <w:p w14:paraId="60AAE399">
      <w:pPr>
        <w:rPr>
          <w:rFonts w:hint="eastAsia" w:ascii="仿宋_GB2312" w:eastAsia="仿宋_GB2312" w:cs="Times New Roman"/>
          <w:bCs/>
          <w:sz w:val="32"/>
          <w:szCs w:val="32"/>
        </w:rPr>
      </w:pPr>
      <w:r>
        <w:rPr>
          <w:rFonts w:hint="eastAsia" w:ascii="仿宋_GB2312" w:eastAsia="仿宋_GB2312" w:cs="Times New Roman"/>
          <w:bCs/>
          <w:sz w:val="32"/>
          <w:szCs w:val="32"/>
        </w:rPr>
        <w:t>（三）事业单位经营收入：指事业单位在专业业务活动及辅助活动之外开展非独立核算经营活动取得的收入。</w:t>
      </w:r>
    </w:p>
    <w:p w14:paraId="724D108A">
      <w:pPr>
        <w:rPr>
          <w:rFonts w:hint="eastAsia" w:ascii="仿宋_GB2312" w:eastAsia="仿宋_GB2312" w:cs="Times New Roman"/>
          <w:bCs/>
          <w:sz w:val="32"/>
          <w:szCs w:val="32"/>
        </w:rPr>
      </w:pPr>
      <w:r>
        <w:rPr>
          <w:rFonts w:hint="eastAsia" w:ascii="仿宋_GB2312" w:eastAsia="仿宋_GB2312" w:cs="Times New Roman"/>
          <w:bCs/>
          <w:sz w:val="32"/>
          <w:szCs w:val="32"/>
        </w:rPr>
        <w:t>（四）其他收入：指除财政拨款、事业收入、事业单位经营收入等以外的各项收入。</w:t>
      </w:r>
    </w:p>
    <w:p w14:paraId="23495DA3">
      <w:pPr>
        <w:rPr>
          <w:rFonts w:hint="eastAsia" w:ascii="仿宋_GB2312" w:eastAsia="仿宋_GB2312" w:cs="Times New Roman"/>
          <w:bCs/>
          <w:sz w:val="32"/>
          <w:szCs w:val="32"/>
        </w:rPr>
      </w:pPr>
      <w:r>
        <w:rPr>
          <w:rFonts w:hint="eastAsia" w:ascii="仿宋_GB2312" w:eastAsia="仿宋_GB2312" w:cs="Times New Roman"/>
          <w:bCs/>
          <w:sz w:val="32"/>
          <w:szCs w:val="32"/>
        </w:rPr>
        <w:t>（五）附属单位上缴收入：反映事业单位附属的独立核算单位按规定标准或比例缴纳的各项收入。包括附属的事业单位上缴的收入和附属的企业上缴的利润等。</w:t>
      </w:r>
    </w:p>
    <w:p w14:paraId="40BDF450">
      <w:pPr>
        <w:rPr>
          <w:rFonts w:hint="eastAsia" w:ascii="仿宋_GB2312" w:eastAsia="仿宋_GB2312" w:cs="Times New Roman"/>
          <w:bCs/>
          <w:sz w:val="32"/>
          <w:szCs w:val="32"/>
        </w:rPr>
      </w:pPr>
      <w:r>
        <w:rPr>
          <w:rFonts w:hint="eastAsia" w:ascii="仿宋_GB2312" w:eastAsia="仿宋_GB2312" w:cs="Times New Roman"/>
          <w:bCs/>
          <w:sz w:val="32"/>
          <w:szCs w:val="32"/>
        </w:rPr>
        <w:t>（六）上级补助收入：反映事业单位从主管部门和上级单位取得的非财政补助收入。</w:t>
      </w:r>
    </w:p>
    <w:p w14:paraId="33C85D5D">
      <w:pPr>
        <w:rPr>
          <w:rFonts w:hint="eastAsia" w:ascii="仿宋_GB2312" w:eastAsia="仿宋_GB2312" w:cs="Times New Roman"/>
          <w:bCs/>
          <w:sz w:val="32"/>
          <w:szCs w:val="32"/>
        </w:rPr>
      </w:pPr>
      <w:r>
        <w:rPr>
          <w:rFonts w:hint="eastAsia" w:ascii="仿宋_GB2312" w:eastAsia="仿宋_GB2312" w:cs="Times New Roman"/>
          <w:bCs/>
          <w:sz w:val="32"/>
          <w:szCs w:val="32"/>
        </w:rPr>
        <w:t>（七）用事业基金弥补收支差额：填列事业单位用事业基金弥补2021年收支差额的数额。</w:t>
      </w:r>
    </w:p>
    <w:p w14:paraId="1B2693EC">
      <w:pPr>
        <w:rPr>
          <w:rFonts w:hint="eastAsia" w:ascii="仿宋_GB2312" w:eastAsia="仿宋_GB2312" w:cs="Times New Roman"/>
          <w:bCs/>
          <w:sz w:val="32"/>
          <w:szCs w:val="32"/>
        </w:rPr>
      </w:pPr>
      <w:r>
        <w:rPr>
          <w:rFonts w:hint="eastAsia" w:ascii="仿宋_GB2312" w:eastAsia="仿宋_GB2312" w:cs="Times New Roman"/>
          <w:bCs/>
          <w:sz w:val="32"/>
          <w:szCs w:val="32"/>
        </w:rPr>
        <w:t>（八）上年结转和结余：填列2020年全部结转和结余的资金数，包括当年结转结余资金和历年滚存结转结余资金。</w:t>
      </w:r>
    </w:p>
    <w:p w14:paraId="029BE64F">
      <w:pPr>
        <w:rPr>
          <w:rFonts w:hint="eastAsia" w:ascii="仿宋_GB2312" w:eastAsia="仿宋_GB2312" w:cs="Times New Roman"/>
          <w:bCs/>
          <w:sz w:val="32"/>
          <w:szCs w:val="32"/>
        </w:rPr>
      </w:pPr>
      <w:r>
        <w:rPr>
          <w:rFonts w:hint="eastAsia" w:ascii="仿宋_GB2312" w:eastAsia="仿宋_GB2312" w:cs="Times New Roman"/>
          <w:bCs/>
          <w:sz w:val="32"/>
          <w:szCs w:val="32"/>
        </w:rPr>
        <w:t xml:space="preserve">(九)一般公共预算财政拨款"三公"经费:指当年一般公共 </w:t>
      </w:r>
    </w:p>
    <w:p w14:paraId="5C940582">
      <w:pPr>
        <w:rPr>
          <w:rFonts w:hint="eastAsia" w:ascii="仿宋_GB2312" w:eastAsia="仿宋_GB2312" w:cs="Times New Roman"/>
          <w:bCs/>
          <w:sz w:val="32"/>
          <w:szCs w:val="32"/>
        </w:rPr>
      </w:pPr>
      <w:r>
        <w:rPr>
          <w:rFonts w:hint="eastAsia" w:ascii="仿宋_GB2312" w:eastAsia="仿宋_GB2312" w:cs="Times New Roman"/>
          <w:bCs/>
          <w:sz w:val="32"/>
          <w:szCs w:val="32"/>
        </w:rPr>
        <w:t xml:space="preserve">预算财政拨款及上年结转财政拨款支出数。 </w:t>
      </w:r>
    </w:p>
    <w:p w14:paraId="37CC1D15">
      <w:pPr>
        <w:rPr>
          <w:rFonts w:ascii="仿宋_GB2312" w:eastAsia="仿宋_GB2312" w:cs="Times New Roman"/>
          <w:bCs/>
          <w:sz w:val="32"/>
          <w:szCs w:val="32"/>
        </w:rPr>
      </w:pPr>
      <w:r>
        <w:rPr>
          <w:rFonts w:hint="eastAsia" w:ascii="仿宋_GB2312" w:eastAsia="仿宋_GB2312" w:cs="Times New Roman"/>
          <w:bCs/>
          <w:sz w:val="32"/>
          <w:szCs w:val="32"/>
        </w:rPr>
        <w:t>(十)机关运行经费:指行政单位和参照公务员法管理事业单位财政拨款基本支出中商品服务及资本性支出合计支出数。</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DB8B5">
    <w:pPr>
      <w:pStyle w:val="5"/>
      <w:framePr w:wrap="around" w:vAnchor="text" w:hAnchor="margin" w:xAlign="center" w:y="1"/>
      <w:rPr>
        <w:rStyle w:val="9"/>
        <w:rFonts w:cs="Times New Roman"/>
      </w:rPr>
    </w:pPr>
    <w:r>
      <w:rPr>
        <w:rStyle w:val="9"/>
      </w:rPr>
      <w:fldChar w:fldCharType="begin"/>
    </w:r>
    <w:r>
      <w:rPr>
        <w:rStyle w:val="9"/>
      </w:rPr>
      <w:instrText xml:space="preserve">PAGE  </w:instrText>
    </w:r>
    <w:r>
      <w:rPr>
        <w:rStyle w:val="9"/>
      </w:rPr>
      <w:fldChar w:fldCharType="separate"/>
    </w:r>
    <w:r>
      <w:rPr>
        <w:rStyle w:val="9"/>
      </w:rPr>
      <w:t>6</w:t>
    </w:r>
    <w:r>
      <w:rPr>
        <w:rStyle w:val="9"/>
      </w:rPr>
      <w:fldChar w:fldCharType="end"/>
    </w:r>
  </w:p>
  <w:p w14:paraId="09508A00">
    <w:pPr>
      <w:pStyle w:val="5"/>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0D27B3"/>
    <w:rsid w:val="0014306D"/>
    <w:rsid w:val="00150563"/>
    <w:rsid w:val="00166708"/>
    <w:rsid w:val="001956F2"/>
    <w:rsid w:val="001E5D5E"/>
    <w:rsid w:val="002205ED"/>
    <w:rsid w:val="00230030"/>
    <w:rsid w:val="0026626C"/>
    <w:rsid w:val="002825C8"/>
    <w:rsid w:val="00282CA9"/>
    <w:rsid w:val="003B7536"/>
    <w:rsid w:val="004B202B"/>
    <w:rsid w:val="004E6022"/>
    <w:rsid w:val="00507544"/>
    <w:rsid w:val="0053377D"/>
    <w:rsid w:val="00550295"/>
    <w:rsid w:val="00581430"/>
    <w:rsid w:val="005E726C"/>
    <w:rsid w:val="00675E17"/>
    <w:rsid w:val="00683AC4"/>
    <w:rsid w:val="006B6FFE"/>
    <w:rsid w:val="008110CC"/>
    <w:rsid w:val="00975285"/>
    <w:rsid w:val="00982D2E"/>
    <w:rsid w:val="00A77DCD"/>
    <w:rsid w:val="00AB7AB7"/>
    <w:rsid w:val="00AE48DB"/>
    <w:rsid w:val="00AF4A2D"/>
    <w:rsid w:val="00B358C5"/>
    <w:rsid w:val="00B775F8"/>
    <w:rsid w:val="00C04C9A"/>
    <w:rsid w:val="00C145F7"/>
    <w:rsid w:val="00C750D1"/>
    <w:rsid w:val="00CA0F0C"/>
    <w:rsid w:val="00CB427A"/>
    <w:rsid w:val="00CC28A8"/>
    <w:rsid w:val="00D80195"/>
    <w:rsid w:val="00E02143"/>
    <w:rsid w:val="00E02D7B"/>
    <w:rsid w:val="00EC2756"/>
    <w:rsid w:val="00F500B9"/>
    <w:rsid w:val="01992CBB"/>
    <w:rsid w:val="022502CD"/>
    <w:rsid w:val="05EB1609"/>
    <w:rsid w:val="08EE0B31"/>
    <w:rsid w:val="0A326819"/>
    <w:rsid w:val="0CBF216E"/>
    <w:rsid w:val="0FCB58D0"/>
    <w:rsid w:val="11427CB1"/>
    <w:rsid w:val="139E3D52"/>
    <w:rsid w:val="162B4B72"/>
    <w:rsid w:val="18AC060B"/>
    <w:rsid w:val="19076E1D"/>
    <w:rsid w:val="1D4833F9"/>
    <w:rsid w:val="1EBD751D"/>
    <w:rsid w:val="1F117155"/>
    <w:rsid w:val="204B45CE"/>
    <w:rsid w:val="22DF4A38"/>
    <w:rsid w:val="25705B71"/>
    <w:rsid w:val="2DBB222D"/>
    <w:rsid w:val="2E362E98"/>
    <w:rsid w:val="31D40AAE"/>
    <w:rsid w:val="381119B2"/>
    <w:rsid w:val="3BD871B8"/>
    <w:rsid w:val="3CF55A87"/>
    <w:rsid w:val="429A727D"/>
    <w:rsid w:val="4322216B"/>
    <w:rsid w:val="4C0B38BC"/>
    <w:rsid w:val="4C0B7195"/>
    <w:rsid w:val="4D3B293C"/>
    <w:rsid w:val="51B40312"/>
    <w:rsid w:val="57CC144D"/>
    <w:rsid w:val="62B20F12"/>
    <w:rsid w:val="641E7445"/>
    <w:rsid w:val="71452C49"/>
    <w:rsid w:val="73224148"/>
    <w:rsid w:val="772860B1"/>
    <w:rsid w:val="7B4102B0"/>
    <w:rsid w:val="7F0C5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paragraph" w:styleId="3">
    <w:name w:val="heading 3"/>
    <w:basedOn w:val="1"/>
    <w:next w:val="1"/>
    <w:unhideWhenUsed/>
    <w:qFormat/>
    <w:locked/>
    <w:uiPriority w:val="0"/>
    <w:pPr>
      <w:keepNext/>
      <w:keepLines/>
      <w:spacing w:before="260" w:after="260" w:line="413" w:lineRule="auto"/>
      <w:outlineLvl w:val="2"/>
    </w:pPr>
    <w:rPr>
      <w:b/>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rPr>
      <w:sz w:val="18"/>
      <w:szCs w:val="18"/>
    </w:rPr>
  </w:style>
  <w:style w:type="paragraph" w:styleId="5">
    <w:name w:val="footer"/>
    <w:basedOn w:val="1"/>
    <w:link w:val="11"/>
    <w:qFormat/>
    <w:uiPriority w:val="99"/>
    <w:pPr>
      <w:tabs>
        <w:tab w:val="center" w:pos="4153"/>
        <w:tab w:val="right" w:pos="8306"/>
      </w:tabs>
      <w:snapToGrid w:val="0"/>
      <w:jc w:val="left"/>
    </w:pPr>
    <w:rPr>
      <w:sz w:val="18"/>
      <w:szCs w:val="18"/>
    </w:rPr>
  </w:style>
  <w:style w:type="paragraph" w:styleId="6">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99"/>
  </w:style>
  <w:style w:type="character" w:customStyle="1" w:styleId="10">
    <w:name w:val="标题 2 Char"/>
    <w:basedOn w:val="8"/>
    <w:link w:val="2"/>
    <w:semiHidden/>
    <w:qFormat/>
    <w:uiPriority w:val="9"/>
    <w:rPr>
      <w:rFonts w:asciiTheme="majorHAnsi" w:hAnsiTheme="majorHAnsi" w:eastAsiaTheme="majorEastAsia" w:cstheme="majorBidi"/>
      <w:b/>
      <w:bCs/>
      <w:sz w:val="32"/>
      <w:szCs w:val="32"/>
    </w:rPr>
  </w:style>
  <w:style w:type="character" w:customStyle="1" w:styleId="11">
    <w:name w:val="页脚 Char"/>
    <w:basedOn w:val="8"/>
    <w:link w:val="5"/>
    <w:semiHidden/>
    <w:qFormat/>
    <w:uiPriority w:val="99"/>
    <w:rPr>
      <w:rFonts w:cs="Calibri"/>
      <w:sz w:val="18"/>
      <w:szCs w:val="18"/>
    </w:rPr>
  </w:style>
  <w:style w:type="character" w:customStyle="1" w:styleId="12">
    <w:name w:val="批注框文本 Char"/>
    <w:basedOn w:val="8"/>
    <w:link w:val="4"/>
    <w:semiHidden/>
    <w:qFormat/>
    <w:uiPriority w:val="99"/>
    <w:rPr>
      <w:rFonts w:ascii="Calibri" w:hAnsi="Calibri" w:cs="Calibri"/>
      <w:kern w:val="2"/>
      <w:sz w:val="18"/>
      <w:szCs w:val="18"/>
    </w:rPr>
  </w:style>
  <w:style w:type="character" w:customStyle="1" w:styleId="13">
    <w:name w:val="页眉 Char"/>
    <w:basedOn w:val="8"/>
    <w:link w:val="6"/>
    <w:semiHidden/>
    <w:uiPriority w:val="99"/>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8</Pages>
  <Words>2552</Words>
  <Characters>2854</Characters>
  <Lines>22</Lines>
  <Paragraphs>6</Paragraphs>
  <TotalTime>4</TotalTime>
  <ScaleCrop>false</ScaleCrop>
  <LinksUpToDate>false</LinksUpToDate>
  <CharactersWithSpaces>2926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2022-08-29T07:40:00Z</dcterms:created>
  <dc:creator>Administrator</dc:creator>
  <cp:lastModifiedBy>L</cp:lastModifiedBy>
  <cp:lastPrinted>2021-05-26T02:23:00Z</cp:lastPrinted>
  <dcterms:modified xsi:type="dcterms:W3CDTF">2025-06-30T09:05:10Z</dcterms:modified>
  <dc:title>附件2：2018年市级部门预算说明和预算公开表</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994575C4473E4D11B001E9DFBE42AFDE</vt:lpwstr>
  </property>
  <property fmtid="{D5CDD505-2E9C-101B-9397-08002B2CF9AE}" pid="4" name="KSOTemplateDocerSaveRecord">
    <vt:lpwstr>eyJoZGlkIjoiMjE2YWY5NzI1MThhZDljY2U3MzkwYzYyOTljZjg5ZmIiLCJ1c2VySWQiOiI0OTI4NTc5NzEifQ==</vt:lpwstr>
  </property>
</Properties>
</file>