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01CD8">
      <w:pPr>
        <w:spacing w:line="1" w:lineRule="exact"/>
        <w:rPr>
          <w:rFonts w:ascii="Arial" w:hAnsi="Arial" w:eastAsia="Arial" w:cs="Arial"/>
          <w:sz w:val="10"/>
        </w:rPr>
      </w:pPr>
    </w:p>
    <w:p w14:paraId="2F7BB1ED">
      <w:pPr>
        <w:spacing w:line="200" w:lineRule="exact"/>
        <w:rPr>
          <w:rFonts w:ascii="宋体" w:hAnsi="宋体" w:eastAsia="宋体" w:cs="宋体"/>
          <w:sz w:val="20"/>
        </w:rPr>
      </w:pPr>
    </w:p>
    <w:p w14:paraId="5BFA3566">
      <w:pPr>
        <w:spacing w:line="200" w:lineRule="exact"/>
        <w:rPr>
          <w:rFonts w:ascii="宋体" w:hAnsi="宋体" w:eastAsia="宋体" w:cs="宋体"/>
          <w:sz w:val="20"/>
        </w:rPr>
      </w:pPr>
    </w:p>
    <w:p w14:paraId="0834CEF4">
      <w:pPr>
        <w:spacing w:line="200" w:lineRule="exact"/>
        <w:rPr>
          <w:rFonts w:ascii="宋体" w:hAnsi="宋体" w:eastAsia="宋体" w:cs="宋体"/>
          <w:sz w:val="20"/>
        </w:rPr>
      </w:pPr>
    </w:p>
    <w:p w14:paraId="62802BDD">
      <w:pPr>
        <w:spacing w:line="200" w:lineRule="exact"/>
        <w:rPr>
          <w:rFonts w:ascii="宋体" w:hAnsi="宋体" w:eastAsia="宋体" w:cs="宋体"/>
          <w:sz w:val="20"/>
        </w:rPr>
      </w:pPr>
    </w:p>
    <w:p w14:paraId="4F48136B">
      <w:pPr>
        <w:spacing w:line="200" w:lineRule="exact"/>
        <w:rPr>
          <w:rFonts w:ascii="宋体" w:hAnsi="宋体" w:eastAsia="宋体" w:cs="宋体"/>
          <w:sz w:val="20"/>
        </w:rPr>
      </w:pPr>
    </w:p>
    <w:p w14:paraId="553BB1D9">
      <w:pPr>
        <w:spacing w:line="200" w:lineRule="exact"/>
        <w:rPr>
          <w:rFonts w:ascii="宋体" w:hAnsi="宋体" w:eastAsia="宋体" w:cs="宋体"/>
          <w:sz w:val="20"/>
        </w:rPr>
      </w:pPr>
    </w:p>
    <w:p w14:paraId="097975B1">
      <w:pPr>
        <w:spacing w:line="200" w:lineRule="exact"/>
        <w:rPr>
          <w:rFonts w:ascii="宋体" w:hAnsi="宋体" w:eastAsia="宋体" w:cs="宋体"/>
          <w:sz w:val="20"/>
        </w:rPr>
      </w:pPr>
    </w:p>
    <w:p w14:paraId="6F7085FF">
      <w:pPr>
        <w:autoSpaceDE w:val="0"/>
        <w:autoSpaceDN w:val="0"/>
        <w:spacing w:line="520" w:lineRule="exact"/>
        <w:ind w:left="1500"/>
        <w:jc w:val="both"/>
      </w:pPr>
      <w:r>
        <w:rPr>
          <w:rFonts w:hint="eastAsia" w:ascii="宋体" w:hAnsi="宋体" w:eastAsia="宋体" w:cs="宋体"/>
          <w:b/>
          <w:sz w:val="43"/>
        </w:rPr>
        <w:t>景德镇市人民政府驻上海联络处</w:t>
      </w:r>
    </w:p>
    <w:p w14:paraId="0CC90B00">
      <w:pPr>
        <w:autoSpaceDE w:val="0"/>
        <w:autoSpaceDN w:val="0"/>
        <w:spacing w:line="600" w:lineRule="exact"/>
        <w:ind w:left="2760"/>
        <w:jc w:val="both"/>
      </w:pPr>
      <w:r>
        <w:rPr>
          <w:rFonts w:hint="eastAsia" w:ascii="宋体" w:hAnsi="宋体" w:eastAsia="宋体" w:cs="宋体"/>
          <w:b/>
          <w:sz w:val="43"/>
        </w:rPr>
        <w:t>2020年度部门决算</w:t>
      </w:r>
      <w:r>
        <w:pict>
          <v:rect id="shape1" o:spid="_x0000_s1027" o:spt="1" style="position:absolute;left:0pt;margin-left:167pt;margin-top:64pt;height:24pt;width:89pt;mso-position-vertical-relative:line;z-index:251669504;mso-width-relative:page;mso-height-relative:page;" stroked="f" coordsize="21600,21600">
            <v:path/>
            <v:fill focussize="0,0"/>
            <v:stroke on="f"/>
            <v:imagedata o:title=""/>
            <o:lock v:ext="edit"/>
            <v:textbox inset="0mm,0mm,0mm,0mm" style="mso-fit-shape-to-text:t;">
              <w:txbxContent>
                <w:p w14:paraId="46033B90">
                  <w:pPr>
                    <w:tabs>
                      <w:tab w:val="left" w:pos="1200"/>
                    </w:tabs>
                    <w:spacing w:line="440" w:lineRule="exact"/>
                    <w:jc w:val="both"/>
                  </w:pPr>
                  <w:r>
                    <w:rPr>
                      <w:rFonts w:hint="eastAsia" w:ascii="宋体" w:hAnsi="宋体" w:eastAsia="宋体" w:cs="宋体"/>
                      <w:b/>
                      <w:sz w:val="40"/>
                    </w:rPr>
                    <w:t>目</w:t>
                  </w:r>
                  <w:r>
                    <w:tab/>
                  </w:r>
                  <w:r>
                    <w:rPr>
                      <w:rFonts w:hint="eastAsia" w:ascii="宋体" w:hAnsi="宋体" w:eastAsia="宋体" w:cs="宋体"/>
                      <w:b/>
                      <w:sz w:val="40"/>
                    </w:rPr>
                    <w:t>录</w:t>
                  </w:r>
                </w:p>
              </w:txbxContent>
            </v:textbox>
          </v:rect>
        </w:pict>
      </w:r>
    </w:p>
    <w:p w14:paraId="3F7A4BDA">
      <w:pPr>
        <w:spacing w:line="200" w:lineRule="exact"/>
        <w:rPr>
          <w:rFonts w:ascii="宋体" w:hAnsi="宋体" w:eastAsia="宋体" w:cs="宋体"/>
          <w:sz w:val="20"/>
        </w:rPr>
      </w:pPr>
    </w:p>
    <w:p w14:paraId="152A306D">
      <w:pPr>
        <w:spacing w:line="200" w:lineRule="exact"/>
        <w:rPr>
          <w:rFonts w:ascii="宋体" w:hAnsi="宋体" w:eastAsia="宋体" w:cs="宋体"/>
          <w:sz w:val="20"/>
        </w:rPr>
      </w:pPr>
    </w:p>
    <w:p w14:paraId="5F2891A3">
      <w:pPr>
        <w:spacing w:line="200" w:lineRule="exact"/>
        <w:rPr>
          <w:rFonts w:ascii="宋体" w:hAnsi="宋体" w:eastAsia="宋体" w:cs="宋体"/>
          <w:sz w:val="20"/>
        </w:rPr>
      </w:pPr>
    </w:p>
    <w:p w14:paraId="0A75DF1D">
      <w:pPr>
        <w:spacing w:line="200" w:lineRule="exact"/>
        <w:rPr>
          <w:rFonts w:ascii="宋体" w:hAnsi="宋体" w:eastAsia="宋体" w:cs="宋体"/>
          <w:sz w:val="20"/>
        </w:rPr>
      </w:pPr>
    </w:p>
    <w:p w14:paraId="14E259BC">
      <w:pPr>
        <w:spacing w:line="200" w:lineRule="exact"/>
        <w:rPr>
          <w:rFonts w:ascii="宋体" w:hAnsi="宋体" w:eastAsia="宋体" w:cs="宋体"/>
          <w:sz w:val="20"/>
        </w:rPr>
      </w:pPr>
    </w:p>
    <w:p w14:paraId="1334C702">
      <w:pPr>
        <w:spacing w:line="200" w:lineRule="exact"/>
        <w:rPr>
          <w:rFonts w:ascii="宋体" w:hAnsi="宋体" w:eastAsia="宋体" w:cs="宋体"/>
          <w:sz w:val="20"/>
        </w:rPr>
      </w:pPr>
    </w:p>
    <w:p w14:paraId="01FC9FF3">
      <w:pPr>
        <w:spacing w:line="200" w:lineRule="exact"/>
        <w:rPr>
          <w:rFonts w:ascii="宋体" w:hAnsi="宋体" w:eastAsia="宋体" w:cs="宋体"/>
          <w:sz w:val="20"/>
        </w:rPr>
      </w:pPr>
    </w:p>
    <w:p w14:paraId="32FAC349">
      <w:pPr>
        <w:spacing w:line="200" w:lineRule="exact"/>
        <w:rPr>
          <w:rFonts w:ascii="宋体" w:hAnsi="宋体" w:eastAsia="宋体" w:cs="宋体"/>
          <w:sz w:val="20"/>
        </w:rPr>
      </w:pPr>
    </w:p>
    <w:p w14:paraId="2DBA08DD">
      <w:pPr>
        <w:spacing w:line="200" w:lineRule="exact"/>
        <w:rPr>
          <w:rFonts w:ascii="宋体" w:hAnsi="宋体" w:eastAsia="宋体" w:cs="宋体"/>
          <w:sz w:val="20"/>
        </w:rPr>
      </w:pPr>
    </w:p>
    <w:p w14:paraId="77155711">
      <w:pPr>
        <w:spacing w:line="200" w:lineRule="exact"/>
        <w:rPr>
          <w:rFonts w:ascii="宋体" w:hAnsi="宋体" w:eastAsia="宋体" w:cs="宋体"/>
          <w:sz w:val="20"/>
        </w:rPr>
      </w:pPr>
    </w:p>
    <w:p w14:paraId="6B4332AD">
      <w:pPr>
        <w:autoSpaceDE w:val="0"/>
        <w:autoSpaceDN w:val="0"/>
        <w:spacing w:line="400" w:lineRule="exact"/>
        <w:ind w:left="360"/>
        <w:jc w:val="both"/>
      </w:pPr>
      <w:r>
        <w:rPr>
          <w:rFonts w:hint="eastAsia" w:ascii="黑体" w:hAnsi="黑体" w:eastAsia="黑体" w:cs="黑体"/>
          <w:sz w:val="31"/>
        </w:rPr>
        <w:t>第一部分 景德镇市人民政府驻上海联络处概况</w:t>
      </w:r>
    </w:p>
    <w:p w14:paraId="19F3D3B3">
      <w:pPr>
        <w:autoSpaceDE w:val="0"/>
        <w:autoSpaceDN w:val="0"/>
        <w:spacing w:line="600" w:lineRule="exact"/>
        <w:ind w:left="1000"/>
        <w:jc w:val="both"/>
      </w:pPr>
      <w:r>
        <w:rPr>
          <w:rFonts w:hint="eastAsia" w:ascii="仿宋" w:hAnsi="仿宋" w:eastAsia="仿宋" w:cs="仿宋"/>
          <w:sz w:val="31"/>
        </w:rPr>
        <w:t>一、部门主要职责</w:t>
      </w:r>
    </w:p>
    <w:p w14:paraId="20F7A8B2">
      <w:pPr>
        <w:autoSpaceDE w:val="0"/>
        <w:autoSpaceDN w:val="0"/>
        <w:spacing w:line="600" w:lineRule="exact"/>
        <w:ind w:left="1000"/>
        <w:jc w:val="both"/>
      </w:pPr>
      <w:r>
        <w:rPr>
          <w:rFonts w:hint="eastAsia" w:ascii="仿宋" w:hAnsi="仿宋" w:eastAsia="仿宋" w:cs="仿宋"/>
          <w:sz w:val="31"/>
        </w:rPr>
        <w:t>二、部门基本情况</w:t>
      </w:r>
    </w:p>
    <w:p w14:paraId="1F616BF2">
      <w:pPr>
        <w:autoSpaceDE w:val="0"/>
        <w:autoSpaceDN w:val="0"/>
        <w:spacing w:line="600" w:lineRule="exact"/>
        <w:ind w:left="360"/>
        <w:jc w:val="both"/>
      </w:pPr>
      <w:r>
        <w:rPr>
          <w:rFonts w:hint="eastAsia" w:ascii="黑体" w:hAnsi="黑体" w:eastAsia="黑体" w:cs="黑体"/>
          <w:sz w:val="31"/>
        </w:rPr>
        <w:t>第二部分 2020年度部门决算表</w:t>
      </w:r>
    </w:p>
    <w:p w14:paraId="2D60C5A7">
      <w:pPr>
        <w:autoSpaceDE w:val="0"/>
        <w:autoSpaceDN w:val="0"/>
        <w:spacing w:line="600" w:lineRule="exact"/>
        <w:ind w:left="1000"/>
        <w:jc w:val="both"/>
      </w:pPr>
      <w:r>
        <w:rPr>
          <w:rFonts w:hint="eastAsia" w:ascii="仿宋" w:hAnsi="仿宋" w:eastAsia="仿宋" w:cs="仿宋"/>
          <w:sz w:val="31"/>
        </w:rPr>
        <w:t>一、收入支出决算总表</w:t>
      </w:r>
    </w:p>
    <w:p w14:paraId="125380DC">
      <w:pPr>
        <w:autoSpaceDE w:val="0"/>
        <w:autoSpaceDN w:val="0"/>
        <w:spacing w:line="600" w:lineRule="exact"/>
        <w:ind w:left="1000"/>
        <w:jc w:val="both"/>
      </w:pPr>
      <w:r>
        <w:rPr>
          <w:rFonts w:hint="eastAsia" w:ascii="仿宋" w:hAnsi="仿宋" w:eastAsia="仿宋" w:cs="仿宋"/>
          <w:sz w:val="31"/>
        </w:rPr>
        <w:t>二、收入决算表</w:t>
      </w:r>
    </w:p>
    <w:p w14:paraId="3414A106">
      <w:pPr>
        <w:autoSpaceDE w:val="0"/>
        <w:autoSpaceDN w:val="0"/>
        <w:spacing w:line="600" w:lineRule="exact"/>
        <w:ind w:left="1000"/>
        <w:jc w:val="both"/>
      </w:pPr>
      <w:r>
        <w:rPr>
          <w:rFonts w:hint="eastAsia" w:ascii="仿宋" w:hAnsi="仿宋" w:eastAsia="仿宋" w:cs="仿宋"/>
          <w:sz w:val="31"/>
        </w:rPr>
        <w:t>三、支出决算表</w:t>
      </w:r>
    </w:p>
    <w:p w14:paraId="003D6C2F">
      <w:pPr>
        <w:autoSpaceDE w:val="0"/>
        <w:autoSpaceDN w:val="0"/>
        <w:spacing w:line="600" w:lineRule="exact"/>
        <w:ind w:left="1000"/>
        <w:jc w:val="both"/>
      </w:pPr>
      <w:r>
        <w:rPr>
          <w:rFonts w:hint="eastAsia" w:ascii="仿宋" w:hAnsi="仿宋" w:eastAsia="仿宋" w:cs="仿宋"/>
          <w:sz w:val="31"/>
        </w:rPr>
        <w:t>四、财政拨款收入支出决算总表</w:t>
      </w:r>
    </w:p>
    <w:p w14:paraId="27C21F01">
      <w:pPr>
        <w:autoSpaceDE w:val="0"/>
        <w:autoSpaceDN w:val="0"/>
        <w:spacing w:line="600" w:lineRule="exact"/>
        <w:ind w:left="1000"/>
        <w:jc w:val="both"/>
      </w:pPr>
      <w:r>
        <w:rPr>
          <w:rFonts w:hint="eastAsia" w:ascii="仿宋" w:hAnsi="仿宋" w:eastAsia="仿宋" w:cs="仿宋"/>
          <w:sz w:val="31"/>
        </w:rPr>
        <w:t>五、一般公共预算财政拨款支出决算表</w:t>
      </w:r>
    </w:p>
    <w:p w14:paraId="39D736C8">
      <w:pPr>
        <w:autoSpaceDE w:val="0"/>
        <w:autoSpaceDN w:val="0"/>
        <w:spacing w:line="600" w:lineRule="exact"/>
        <w:ind w:left="1000"/>
        <w:jc w:val="both"/>
      </w:pPr>
      <w:r>
        <w:rPr>
          <w:rFonts w:hint="eastAsia" w:ascii="仿宋" w:hAnsi="仿宋" w:eastAsia="仿宋" w:cs="仿宋"/>
          <w:sz w:val="31"/>
        </w:rPr>
        <w:t>六、一般公共预算财政拨款基本支出决算表</w:t>
      </w:r>
    </w:p>
    <w:p w14:paraId="11FC4A0A">
      <w:pPr>
        <w:autoSpaceDE w:val="0"/>
        <w:autoSpaceDN w:val="0"/>
        <w:spacing w:line="600" w:lineRule="exact"/>
        <w:ind w:left="1000"/>
        <w:jc w:val="both"/>
      </w:pPr>
      <w:r>
        <w:rPr>
          <w:rFonts w:hint="eastAsia" w:ascii="仿宋" w:hAnsi="仿宋" w:eastAsia="仿宋" w:cs="仿宋"/>
          <w:sz w:val="31"/>
        </w:rPr>
        <w:t>七、一般公共预算财政拨款“三公”经费支出决算表</w:t>
      </w:r>
    </w:p>
    <w:p w14:paraId="15DE37A1">
      <w:pPr>
        <w:autoSpaceDE w:val="0"/>
        <w:autoSpaceDN w:val="0"/>
        <w:spacing w:line="600" w:lineRule="exact"/>
        <w:ind w:left="1000"/>
        <w:jc w:val="both"/>
      </w:pPr>
      <w:r>
        <w:rPr>
          <w:rFonts w:hint="eastAsia" w:ascii="仿宋" w:hAnsi="仿宋" w:eastAsia="仿宋" w:cs="仿宋"/>
          <w:sz w:val="31"/>
        </w:rPr>
        <w:t>八、政府性基金预算财政拨款收入支出决算表</w:t>
      </w:r>
    </w:p>
    <w:p w14:paraId="0F1EE8B3">
      <w:pPr>
        <w:autoSpaceDE w:val="0"/>
        <w:autoSpaceDN w:val="0"/>
        <w:spacing w:line="600" w:lineRule="exact"/>
        <w:ind w:left="1000"/>
        <w:jc w:val="both"/>
      </w:pPr>
      <w:r>
        <w:rPr>
          <w:rFonts w:hint="eastAsia" w:ascii="仿宋" w:hAnsi="仿宋" w:eastAsia="仿宋" w:cs="仿宋"/>
          <w:sz w:val="31"/>
        </w:rPr>
        <w:t>九、国有资本经营预算财政拨款支出决算表</w:t>
      </w:r>
    </w:p>
    <w:p w14:paraId="427927ED">
      <w:pPr>
        <w:autoSpaceDE w:val="0"/>
        <w:autoSpaceDN w:val="0"/>
        <w:spacing w:line="600" w:lineRule="exact"/>
        <w:ind w:left="1000"/>
        <w:jc w:val="both"/>
      </w:pPr>
      <w:r>
        <w:rPr>
          <w:rFonts w:hint="eastAsia" w:ascii="仿宋" w:hAnsi="仿宋" w:eastAsia="仿宋" w:cs="仿宋"/>
          <w:sz w:val="31"/>
        </w:rPr>
        <w:t>十、国有资产占用情况表</w:t>
      </w:r>
    </w:p>
    <w:p w14:paraId="5FB42167">
      <w:pPr>
        <w:autoSpaceDE w:val="0"/>
        <w:autoSpaceDN w:val="0"/>
        <w:spacing w:line="600" w:lineRule="exact"/>
        <w:ind w:left="360"/>
        <w:jc w:val="both"/>
      </w:pPr>
      <w:r>
        <w:rPr>
          <w:rFonts w:hint="eastAsia" w:ascii="黑体" w:hAnsi="黑体" w:eastAsia="黑体" w:cs="黑体"/>
          <w:sz w:val="31"/>
        </w:rPr>
        <w:t>第三部分 2020年度部门决算情况说明</w:t>
      </w:r>
    </w:p>
    <w:p w14:paraId="7C8D3E1E">
      <w:pPr>
        <w:autoSpaceDE w:val="0"/>
        <w:autoSpaceDN w:val="0"/>
        <w:spacing w:line="600" w:lineRule="exact"/>
        <w:ind w:left="1000"/>
        <w:jc w:val="both"/>
      </w:pPr>
      <w:r>
        <w:rPr>
          <w:rFonts w:hint="eastAsia" w:ascii="仿宋" w:hAnsi="仿宋" w:eastAsia="仿宋" w:cs="仿宋"/>
          <w:sz w:val="31"/>
        </w:rPr>
        <w:t>一、收入决算情况说明</w:t>
      </w:r>
    </w:p>
    <w:p w14:paraId="4A827D11">
      <w:pPr>
        <w:autoSpaceDE w:val="0"/>
        <w:autoSpaceDN w:val="0"/>
        <w:spacing w:line="600" w:lineRule="exact"/>
        <w:ind w:left="1000"/>
        <w:jc w:val="both"/>
      </w:pPr>
      <w:r>
        <w:rPr>
          <w:rFonts w:hint="eastAsia" w:ascii="仿宋" w:hAnsi="仿宋" w:eastAsia="仿宋" w:cs="仿宋"/>
          <w:sz w:val="31"/>
        </w:rPr>
        <w:t>二、支出决算情况说明</w:t>
      </w:r>
    </w:p>
    <w:p w14:paraId="59D64604">
      <w:pPr>
        <w:autoSpaceDE w:val="0"/>
        <w:autoSpaceDN w:val="0"/>
        <w:spacing w:line="600" w:lineRule="exact"/>
        <w:ind w:left="1000"/>
        <w:jc w:val="both"/>
      </w:pPr>
      <w:r>
        <w:rPr>
          <w:rFonts w:hint="eastAsia" w:ascii="仿宋" w:hAnsi="仿宋" w:eastAsia="仿宋" w:cs="仿宋"/>
          <w:sz w:val="31"/>
        </w:rPr>
        <w:t>三、财政拨款支出决算情况说明</w:t>
      </w:r>
    </w:p>
    <w:p w14:paraId="513C23B3">
      <w:pPr>
        <w:sectPr>
          <w:type w:val="continuous"/>
          <w:pgSz w:w="11900" w:h="16840"/>
          <w:pgMar w:top="0" w:right="1600" w:bottom="0" w:left="1800" w:header="720" w:footer="720" w:gutter="0"/>
          <w:cols w:space="720" w:num="1"/>
        </w:sectPr>
      </w:pPr>
    </w:p>
    <w:p w14:paraId="4A54205A">
      <w:pPr>
        <w:spacing w:line="1" w:lineRule="exact"/>
        <w:rPr>
          <w:rFonts w:ascii="Arial" w:hAnsi="Arial" w:eastAsia="Arial" w:cs="Arial"/>
          <w:sz w:val="10"/>
        </w:rPr>
      </w:pPr>
    </w:p>
    <w:p w14:paraId="32795CC8">
      <w:pPr>
        <w:spacing w:line="200" w:lineRule="exact"/>
        <w:rPr>
          <w:rFonts w:ascii="宋体" w:hAnsi="宋体" w:eastAsia="宋体" w:cs="宋体"/>
          <w:sz w:val="20"/>
        </w:rPr>
      </w:pPr>
    </w:p>
    <w:p w14:paraId="5901AC5A">
      <w:pPr>
        <w:spacing w:line="200" w:lineRule="exact"/>
        <w:rPr>
          <w:rFonts w:ascii="宋体" w:hAnsi="宋体" w:eastAsia="宋体" w:cs="宋体"/>
          <w:sz w:val="20"/>
        </w:rPr>
      </w:pPr>
    </w:p>
    <w:p w14:paraId="21D736B8">
      <w:pPr>
        <w:spacing w:line="200" w:lineRule="exact"/>
        <w:rPr>
          <w:rFonts w:ascii="宋体" w:hAnsi="宋体" w:eastAsia="宋体" w:cs="宋体"/>
          <w:sz w:val="20"/>
        </w:rPr>
      </w:pPr>
    </w:p>
    <w:p w14:paraId="07CE8E18">
      <w:pPr>
        <w:spacing w:line="200" w:lineRule="exact"/>
        <w:rPr>
          <w:rFonts w:ascii="宋体" w:hAnsi="宋体" w:eastAsia="宋体" w:cs="宋体"/>
          <w:sz w:val="20"/>
        </w:rPr>
      </w:pPr>
    </w:p>
    <w:p w14:paraId="498D9ABA">
      <w:pPr>
        <w:spacing w:line="200" w:lineRule="exact"/>
        <w:rPr>
          <w:rFonts w:ascii="宋体" w:hAnsi="宋体" w:eastAsia="宋体" w:cs="宋体"/>
          <w:sz w:val="20"/>
        </w:rPr>
      </w:pPr>
    </w:p>
    <w:p w14:paraId="2B06CBE3">
      <w:pPr>
        <w:spacing w:line="200" w:lineRule="exact"/>
        <w:rPr>
          <w:rFonts w:ascii="宋体" w:hAnsi="宋体" w:eastAsia="宋体" w:cs="宋体"/>
          <w:sz w:val="20"/>
        </w:rPr>
      </w:pPr>
    </w:p>
    <w:p w14:paraId="63EFCB6A">
      <w:pPr>
        <w:spacing w:line="200" w:lineRule="exact"/>
        <w:rPr>
          <w:rFonts w:ascii="宋体" w:hAnsi="宋体" w:eastAsia="宋体" w:cs="宋体"/>
          <w:sz w:val="20"/>
        </w:rPr>
      </w:pPr>
    </w:p>
    <w:p w14:paraId="535AD4DF">
      <w:pPr>
        <w:spacing w:line="200" w:lineRule="exact"/>
        <w:rPr>
          <w:rFonts w:ascii="宋体" w:hAnsi="宋体" w:eastAsia="宋体" w:cs="宋体"/>
          <w:sz w:val="20"/>
        </w:rPr>
      </w:pPr>
    </w:p>
    <w:p w14:paraId="194A4491">
      <w:pPr>
        <w:autoSpaceDE w:val="0"/>
        <w:autoSpaceDN w:val="0"/>
        <w:spacing w:line="320" w:lineRule="exact"/>
        <w:ind w:left="1340"/>
        <w:jc w:val="both"/>
      </w:pPr>
      <w:r>
        <w:rPr>
          <w:rFonts w:hint="eastAsia" w:ascii="仿宋" w:hAnsi="仿宋" w:eastAsia="仿宋" w:cs="仿宋"/>
          <w:sz w:val="31"/>
        </w:rPr>
        <w:t>四、一般公共预算财政拨款基本支出决算情况说明</w:t>
      </w:r>
    </w:p>
    <w:p w14:paraId="18FD4EFF">
      <w:pPr>
        <w:autoSpaceDE w:val="0"/>
        <w:autoSpaceDN w:val="0"/>
        <w:spacing w:line="600" w:lineRule="exact"/>
        <w:ind w:left="1340"/>
        <w:jc w:val="both"/>
      </w:pPr>
      <w:r>
        <w:rPr>
          <w:rFonts w:hint="eastAsia" w:ascii="仿宋" w:hAnsi="仿宋" w:eastAsia="仿宋" w:cs="仿宋"/>
          <w:sz w:val="31"/>
        </w:rPr>
        <w:t>五、一般公共预算财政拨款“三公”经费支出决算情况</w:t>
      </w:r>
      <w:r>
        <w:pict>
          <v:rect id="shape2" o:spid="_x0000_s1026" o:spt="1" style="position:absolute;left:0pt;margin-left:3pt;margin-top:37pt;height:21pt;width:39pt;mso-position-vertical-relative:line;z-index:251670528;mso-width-relative:page;mso-height-relative:page;" stroked="f" coordsize="21600,21600">
            <v:path/>
            <v:fill focussize="0,0"/>
            <v:stroke on="f"/>
            <v:imagedata o:title=""/>
            <o:lock v:ext="edit"/>
            <v:textbox inset="0mm,0mm,0mm,0mm" style="mso-fit-shape-to-text:t;">
              <w:txbxContent>
                <w:p w14:paraId="3EF668F7">
                  <w:pPr>
                    <w:spacing w:line="380" w:lineRule="exact"/>
                    <w:jc w:val="both"/>
                  </w:pPr>
                  <w:r>
                    <w:rPr>
                      <w:rFonts w:hint="eastAsia" w:ascii="仿宋" w:hAnsi="仿宋" w:eastAsia="仿宋" w:cs="仿宋"/>
                      <w:sz w:val="31"/>
                    </w:rPr>
                    <w:t>说明</w:t>
                  </w:r>
                </w:p>
              </w:txbxContent>
            </v:textbox>
          </v:rect>
        </w:pict>
      </w:r>
    </w:p>
    <w:p w14:paraId="3776288F">
      <w:pPr>
        <w:spacing w:line="200" w:lineRule="exact"/>
        <w:rPr>
          <w:rFonts w:ascii="宋体" w:hAnsi="宋体" w:eastAsia="宋体" w:cs="宋体"/>
          <w:sz w:val="20"/>
        </w:rPr>
      </w:pPr>
    </w:p>
    <w:p w14:paraId="5B7F6C62">
      <w:pPr>
        <w:spacing w:line="200" w:lineRule="exact"/>
        <w:rPr>
          <w:rFonts w:ascii="宋体" w:hAnsi="宋体" w:eastAsia="宋体" w:cs="宋体"/>
          <w:sz w:val="20"/>
        </w:rPr>
      </w:pPr>
    </w:p>
    <w:p w14:paraId="578701E4">
      <w:pPr>
        <w:spacing w:line="200" w:lineRule="exact"/>
        <w:rPr>
          <w:rFonts w:ascii="宋体" w:hAnsi="宋体" w:eastAsia="宋体" w:cs="宋体"/>
          <w:sz w:val="20"/>
        </w:rPr>
      </w:pPr>
    </w:p>
    <w:p w14:paraId="58B69D61">
      <w:pPr>
        <w:spacing w:line="200" w:lineRule="exact"/>
        <w:rPr>
          <w:rFonts w:ascii="宋体" w:hAnsi="宋体" w:eastAsia="宋体" w:cs="宋体"/>
          <w:sz w:val="20"/>
        </w:rPr>
      </w:pPr>
    </w:p>
    <w:p w14:paraId="77ECFC38">
      <w:pPr>
        <w:autoSpaceDE w:val="0"/>
        <w:autoSpaceDN w:val="0"/>
        <w:spacing w:line="400" w:lineRule="exact"/>
        <w:ind w:left="1340"/>
        <w:jc w:val="both"/>
      </w:pPr>
      <w:r>
        <w:rPr>
          <w:rFonts w:hint="eastAsia" w:ascii="仿宋" w:hAnsi="仿宋" w:eastAsia="仿宋" w:cs="仿宋"/>
          <w:sz w:val="31"/>
        </w:rPr>
        <w:t>六、机关运行经费支出情况说明</w:t>
      </w:r>
    </w:p>
    <w:p w14:paraId="109F145E">
      <w:pPr>
        <w:autoSpaceDE w:val="0"/>
        <w:autoSpaceDN w:val="0"/>
        <w:spacing w:line="600" w:lineRule="exact"/>
        <w:ind w:left="1340"/>
        <w:jc w:val="both"/>
      </w:pPr>
      <w:r>
        <w:rPr>
          <w:rFonts w:hint="eastAsia" w:ascii="仿宋" w:hAnsi="仿宋" w:eastAsia="仿宋" w:cs="仿宋"/>
          <w:sz w:val="31"/>
        </w:rPr>
        <w:t>七、政府采购支出情况说明</w:t>
      </w:r>
    </w:p>
    <w:p w14:paraId="6D53CBFD">
      <w:pPr>
        <w:autoSpaceDE w:val="0"/>
        <w:autoSpaceDN w:val="0"/>
        <w:spacing w:line="600" w:lineRule="exact"/>
        <w:ind w:left="1340"/>
        <w:jc w:val="both"/>
      </w:pPr>
      <w:r>
        <w:rPr>
          <w:rFonts w:hint="eastAsia" w:ascii="仿宋" w:hAnsi="仿宋" w:eastAsia="仿宋" w:cs="仿宋"/>
          <w:sz w:val="31"/>
        </w:rPr>
        <w:t>八、国有资产占用情况说明</w:t>
      </w:r>
    </w:p>
    <w:p w14:paraId="435309CF">
      <w:pPr>
        <w:autoSpaceDE w:val="0"/>
        <w:autoSpaceDN w:val="0"/>
        <w:spacing w:line="600" w:lineRule="exact"/>
        <w:ind w:left="1340"/>
        <w:jc w:val="both"/>
        <w:rPr>
          <w:lang w:eastAsia="zh-CN"/>
        </w:rPr>
      </w:pPr>
      <w:r>
        <w:rPr>
          <w:rFonts w:hint="eastAsia" w:ascii="仿宋" w:hAnsi="仿宋" w:eastAsia="仿宋" w:cs="仿宋"/>
          <w:sz w:val="31"/>
        </w:rPr>
        <w:t>九、预算绩效情况说</w:t>
      </w:r>
      <w:r>
        <w:rPr>
          <w:rFonts w:hint="eastAsia" w:ascii="仿宋" w:hAnsi="仿宋" w:eastAsia="仿宋" w:cs="仿宋"/>
          <w:sz w:val="31"/>
          <w:lang w:eastAsia="zh-CN"/>
        </w:rPr>
        <w:t>明</w:t>
      </w:r>
    </w:p>
    <w:p w14:paraId="45A83F8F">
      <w:pPr>
        <w:autoSpaceDE w:val="0"/>
        <w:autoSpaceDN w:val="0"/>
        <w:spacing w:line="600" w:lineRule="exact"/>
        <w:ind w:left="700"/>
        <w:jc w:val="both"/>
      </w:pPr>
      <w:r>
        <w:rPr>
          <w:rFonts w:hint="eastAsia" w:ascii="黑体" w:hAnsi="黑体" w:eastAsia="黑体" w:cs="黑体"/>
          <w:sz w:val="31"/>
        </w:rPr>
        <w:t>第四部分 名词解释</w:t>
      </w:r>
    </w:p>
    <w:p w14:paraId="67A73755">
      <w:pPr>
        <w:spacing w:line="20" w:lineRule="exact"/>
        <w:rPr>
          <w:rFonts w:ascii="宋体" w:hAnsi="宋体" w:eastAsia="宋体" w:cs="宋体"/>
          <w:sz w:val="20"/>
        </w:rPr>
      </w:pPr>
      <w:r>
        <w:br w:type="page"/>
      </w:r>
    </w:p>
    <w:p w14:paraId="5ADD411C">
      <w:pPr>
        <w:spacing w:line="1" w:lineRule="exact"/>
        <w:rPr>
          <w:rFonts w:ascii="Arial" w:hAnsi="Arial" w:eastAsia="Arial" w:cs="Arial"/>
          <w:sz w:val="10"/>
        </w:rPr>
      </w:pPr>
    </w:p>
    <w:p w14:paraId="5EE48A26">
      <w:pPr>
        <w:spacing w:line="200" w:lineRule="exact"/>
        <w:rPr>
          <w:rFonts w:ascii="宋体" w:hAnsi="宋体" w:eastAsia="宋体" w:cs="宋体"/>
          <w:sz w:val="20"/>
        </w:rPr>
      </w:pPr>
    </w:p>
    <w:p w14:paraId="280ADF21">
      <w:pPr>
        <w:spacing w:line="200" w:lineRule="exact"/>
        <w:rPr>
          <w:rFonts w:ascii="宋体" w:hAnsi="宋体" w:eastAsia="宋体" w:cs="宋体"/>
          <w:sz w:val="20"/>
        </w:rPr>
      </w:pPr>
    </w:p>
    <w:p w14:paraId="7D479B16">
      <w:pPr>
        <w:spacing w:line="200" w:lineRule="exact"/>
        <w:rPr>
          <w:rFonts w:ascii="宋体" w:hAnsi="宋体" w:eastAsia="宋体" w:cs="宋体"/>
          <w:sz w:val="20"/>
        </w:rPr>
      </w:pPr>
    </w:p>
    <w:p w14:paraId="5ABF3F15">
      <w:pPr>
        <w:spacing w:line="200" w:lineRule="exact"/>
        <w:rPr>
          <w:rFonts w:ascii="宋体" w:hAnsi="宋体" w:eastAsia="宋体" w:cs="宋体"/>
          <w:sz w:val="20"/>
        </w:rPr>
      </w:pPr>
    </w:p>
    <w:p w14:paraId="1F0AE140">
      <w:pPr>
        <w:spacing w:line="200" w:lineRule="exact"/>
        <w:rPr>
          <w:rFonts w:ascii="宋体" w:hAnsi="宋体" w:eastAsia="宋体" w:cs="宋体"/>
          <w:sz w:val="20"/>
        </w:rPr>
      </w:pPr>
    </w:p>
    <w:p w14:paraId="776DF39F">
      <w:pPr>
        <w:spacing w:line="200" w:lineRule="exact"/>
        <w:rPr>
          <w:rFonts w:ascii="宋体" w:hAnsi="宋体" w:eastAsia="宋体" w:cs="宋体"/>
          <w:sz w:val="20"/>
        </w:rPr>
      </w:pPr>
    </w:p>
    <w:p w14:paraId="236B8A32">
      <w:pPr>
        <w:spacing w:line="200" w:lineRule="exact"/>
        <w:rPr>
          <w:rFonts w:ascii="宋体" w:hAnsi="宋体" w:eastAsia="宋体" w:cs="宋体"/>
          <w:sz w:val="20"/>
        </w:rPr>
      </w:pPr>
    </w:p>
    <w:p w14:paraId="1922AC78">
      <w:pPr>
        <w:spacing w:line="200" w:lineRule="exact"/>
        <w:rPr>
          <w:rFonts w:ascii="宋体" w:hAnsi="宋体" w:eastAsia="宋体" w:cs="宋体"/>
          <w:sz w:val="20"/>
        </w:rPr>
      </w:pPr>
    </w:p>
    <w:p w14:paraId="15B78393">
      <w:pPr>
        <w:spacing w:line="200" w:lineRule="exact"/>
        <w:rPr>
          <w:rFonts w:ascii="宋体" w:hAnsi="宋体" w:eastAsia="宋体" w:cs="宋体"/>
          <w:sz w:val="20"/>
        </w:rPr>
      </w:pPr>
    </w:p>
    <w:p w14:paraId="43E4A431">
      <w:pPr>
        <w:spacing w:line="200" w:lineRule="exact"/>
        <w:rPr>
          <w:rFonts w:ascii="宋体" w:hAnsi="宋体" w:eastAsia="宋体" w:cs="宋体"/>
          <w:sz w:val="20"/>
        </w:rPr>
      </w:pPr>
    </w:p>
    <w:p w14:paraId="5A304ACC">
      <w:pPr>
        <w:spacing w:line="200" w:lineRule="exact"/>
        <w:rPr>
          <w:rFonts w:ascii="宋体" w:hAnsi="宋体" w:eastAsia="宋体" w:cs="宋体"/>
          <w:sz w:val="20"/>
        </w:rPr>
      </w:pPr>
    </w:p>
    <w:p w14:paraId="2D619E3E">
      <w:pPr>
        <w:autoSpaceDE w:val="0"/>
        <w:autoSpaceDN w:val="0"/>
        <w:spacing w:line="340" w:lineRule="exact"/>
        <w:ind w:left="1120"/>
        <w:jc w:val="both"/>
      </w:pPr>
      <w:r>
        <w:rPr>
          <w:rFonts w:hint="eastAsia" w:ascii="宋体" w:hAnsi="宋体" w:eastAsia="宋体" w:cs="宋体"/>
          <w:b/>
          <w:sz w:val="31"/>
        </w:rPr>
        <w:t>第一部分 景德镇市人民政府驻上海联络处概况</w:t>
      </w:r>
    </w:p>
    <w:p w14:paraId="7EC61C08">
      <w:pPr>
        <w:spacing w:line="200" w:lineRule="exact"/>
        <w:rPr>
          <w:rFonts w:ascii="宋体" w:hAnsi="宋体" w:eastAsia="宋体" w:cs="宋体"/>
          <w:sz w:val="20"/>
        </w:rPr>
      </w:pPr>
    </w:p>
    <w:p w14:paraId="2FAD520B">
      <w:pPr>
        <w:spacing w:line="200" w:lineRule="exact"/>
        <w:rPr>
          <w:rFonts w:ascii="宋体" w:hAnsi="宋体" w:eastAsia="宋体" w:cs="宋体"/>
          <w:sz w:val="20"/>
        </w:rPr>
      </w:pPr>
    </w:p>
    <w:p w14:paraId="41C38BBC">
      <w:pPr>
        <w:spacing w:line="200" w:lineRule="exact"/>
        <w:rPr>
          <w:rFonts w:ascii="宋体" w:hAnsi="宋体" w:eastAsia="宋体" w:cs="宋体"/>
          <w:sz w:val="20"/>
        </w:rPr>
      </w:pPr>
    </w:p>
    <w:p w14:paraId="5926577F">
      <w:pPr>
        <w:spacing w:line="200" w:lineRule="exact"/>
        <w:rPr>
          <w:rFonts w:ascii="宋体" w:hAnsi="宋体" w:eastAsia="宋体" w:cs="宋体"/>
          <w:sz w:val="20"/>
        </w:rPr>
      </w:pPr>
    </w:p>
    <w:p w14:paraId="37E87534">
      <w:pPr>
        <w:autoSpaceDE w:val="0"/>
        <w:autoSpaceDN w:val="0"/>
        <w:spacing w:line="360" w:lineRule="exact"/>
        <w:ind w:left="700"/>
        <w:jc w:val="both"/>
      </w:pPr>
      <w:r>
        <w:rPr>
          <w:rFonts w:hint="eastAsia" w:ascii="黑体" w:hAnsi="黑体" w:eastAsia="黑体" w:cs="黑体"/>
          <w:sz w:val="31"/>
        </w:rPr>
        <w:t>一、部门主要职能</w:t>
      </w:r>
    </w:p>
    <w:p w14:paraId="457000C2">
      <w:pPr>
        <w:autoSpaceDE w:val="0"/>
        <w:autoSpaceDN w:val="0"/>
        <w:spacing w:line="620" w:lineRule="exact"/>
        <w:ind w:left="700"/>
        <w:jc w:val="both"/>
      </w:pPr>
      <w:r>
        <w:rPr>
          <w:rFonts w:hint="eastAsia" w:ascii="仿宋" w:hAnsi="仿宋" w:eastAsia="仿宋" w:cs="仿宋"/>
          <w:sz w:val="30"/>
        </w:rPr>
        <w:t>（一）负责我市在上海的重大政务、经济以及其他活动的组织、</w:t>
      </w:r>
    </w:p>
    <w:p w14:paraId="15B868FF">
      <w:pPr>
        <w:autoSpaceDE w:val="0"/>
        <w:autoSpaceDN w:val="0"/>
        <w:spacing w:line="620" w:lineRule="exact"/>
        <w:ind w:left="60"/>
        <w:jc w:val="both"/>
      </w:pPr>
      <w:r>
        <w:rPr>
          <w:rFonts w:hint="eastAsia" w:ascii="仿宋" w:hAnsi="仿宋" w:eastAsia="仿宋" w:cs="仿宋"/>
          <w:sz w:val="30"/>
        </w:rPr>
        <w:t>联络、协作工作。</w:t>
      </w:r>
    </w:p>
    <w:p w14:paraId="7581ACF5">
      <w:pPr>
        <w:autoSpaceDE w:val="0"/>
        <w:autoSpaceDN w:val="0"/>
        <w:spacing w:line="620" w:lineRule="exact"/>
        <w:ind w:left="700"/>
        <w:jc w:val="both"/>
      </w:pPr>
      <w:r>
        <w:rPr>
          <w:rFonts w:hint="eastAsia" w:ascii="仿宋" w:hAnsi="仿宋" w:eastAsia="仿宋" w:cs="仿宋"/>
          <w:sz w:val="30"/>
        </w:rPr>
        <w:t>（二）建立信息网络，接受市政府及有关部门委托进行专题调</w:t>
      </w:r>
    </w:p>
    <w:p w14:paraId="5E3FA7A9">
      <w:pPr>
        <w:autoSpaceDE w:val="0"/>
        <w:autoSpaceDN w:val="0"/>
        <w:spacing w:line="620" w:lineRule="exact"/>
        <w:ind w:left="60" w:right="40"/>
        <w:jc w:val="both"/>
      </w:pPr>
      <w:r>
        <w:rPr>
          <w:rFonts w:hint="eastAsia" w:ascii="仿宋" w:hAnsi="仿宋" w:eastAsia="仿宋" w:cs="仿宋"/>
          <w:sz w:val="30"/>
        </w:rPr>
        <w:t>研和信息采集及咨询，沟通两地信息，为市领导及其他有关部门科学决策，提供信息参考和咨询服务。</w:t>
      </w:r>
    </w:p>
    <w:p w14:paraId="1572C3E6">
      <w:pPr>
        <w:autoSpaceDE w:val="0"/>
        <w:autoSpaceDN w:val="0"/>
        <w:spacing w:line="620" w:lineRule="exact"/>
        <w:ind w:left="700"/>
        <w:jc w:val="both"/>
      </w:pPr>
      <w:r>
        <w:rPr>
          <w:rFonts w:hint="eastAsia" w:ascii="仿宋" w:hAnsi="仿宋" w:eastAsia="仿宋" w:cs="仿宋"/>
          <w:sz w:val="30"/>
        </w:rPr>
        <w:t>（三）同驻在地上海的外商、外资机构进行业务联系，广泛联络</w:t>
      </w:r>
    </w:p>
    <w:p w14:paraId="181658DE">
      <w:pPr>
        <w:autoSpaceDE w:val="0"/>
        <w:autoSpaceDN w:val="0"/>
        <w:spacing w:line="620" w:lineRule="exact"/>
        <w:ind w:left="60"/>
        <w:jc w:val="both"/>
      </w:pPr>
      <w:r>
        <w:rPr>
          <w:rFonts w:hint="eastAsia" w:ascii="仿宋" w:hAnsi="仿宋" w:eastAsia="仿宋" w:cs="仿宋"/>
          <w:w w:val="97"/>
          <w:sz w:val="30"/>
        </w:rPr>
        <w:t>上海各方面人士，发挥景德镇籍和曾在景德镇工作过人士的作用。</w:t>
      </w:r>
    </w:p>
    <w:p w14:paraId="00F6EF49">
      <w:pPr>
        <w:autoSpaceDE w:val="0"/>
        <w:autoSpaceDN w:val="0"/>
        <w:spacing w:line="620" w:lineRule="exact"/>
        <w:ind w:left="700"/>
        <w:jc w:val="both"/>
      </w:pPr>
      <w:r>
        <w:rPr>
          <w:rFonts w:hint="eastAsia" w:ascii="仿宋" w:hAnsi="仿宋" w:eastAsia="仿宋" w:cs="仿宋"/>
          <w:sz w:val="30"/>
        </w:rPr>
        <w:t>（四）负责我市领导及离退休老同志来沪的接待服务及承办市</w:t>
      </w:r>
    </w:p>
    <w:p w14:paraId="5789584B">
      <w:pPr>
        <w:autoSpaceDE w:val="0"/>
        <w:autoSpaceDN w:val="0"/>
        <w:spacing w:line="640" w:lineRule="exact"/>
        <w:ind w:left="60"/>
        <w:jc w:val="both"/>
      </w:pPr>
      <w:r>
        <w:rPr>
          <w:rFonts w:hint="eastAsia" w:ascii="仿宋" w:hAnsi="仿宋" w:eastAsia="仿宋" w:cs="仿宋"/>
          <w:sz w:val="30"/>
        </w:rPr>
        <w:t>政府交办的其他事项。</w:t>
      </w:r>
    </w:p>
    <w:p w14:paraId="73C3FC6C">
      <w:pPr>
        <w:autoSpaceDE w:val="0"/>
        <w:autoSpaceDN w:val="0"/>
        <w:spacing w:line="620" w:lineRule="exact"/>
        <w:ind w:left="700"/>
        <w:jc w:val="both"/>
      </w:pPr>
      <w:r>
        <w:rPr>
          <w:rFonts w:hint="eastAsia" w:ascii="黑体" w:hAnsi="黑体" w:eastAsia="黑体" w:cs="黑体"/>
          <w:sz w:val="30"/>
        </w:rPr>
        <w:t>二、部门基本情况</w:t>
      </w:r>
    </w:p>
    <w:p w14:paraId="47C9C9FE">
      <w:pPr>
        <w:autoSpaceDE w:val="0"/>
        <w:autoSpaceDN w:val="0"/>
        <w:spacing w:line="620" w:lineRule="exact"/>
        <w:ind w:left="700"/>
        <w:jc w:val="both"/>
      </w:pPr>
      <w:r>
        <w:rPr>
          <w:rFonts w:hint="eastAsia" w:ascii="仿宋" w:hAnsi="仿宋" w:eastAsia="仿宋" w:cs="仿宋"/>
          <w:sz w:val="30"/>
        </w:rPr>
        <w:t>纳入本套部门决算汇编范围的单位共1个，即景德镇市人民政</w:t>
      </w:r>
    </w:p>
    <w:p w14:paraId="52651E62">
      <w:pPr>
        <w:autoSpaceDE w:val="0"/>
        <w:autoSpaceDN w:val="0"/>
        <w:spacing w:line="620" w:lineRule="exact"/>
        <w:ind w:left="60"/>
        <w:jc w:val="both"/>
      </w:pPr>
      <w:r>
        <w:rPr>
          <w:rFonts w:hint="eastAsia" w:ascii="仿宋" w:hAnsi="仿宋" w:eastAsia="仿宋" w:cs="仿宋"/>
          <w:sz w:val="30"/>
        </w:rPr>
        <w:t>府驻上海联络处（本级）。</w:t>
      </w:r>
    </w:p>
    <w:p w14:paraId="08833A6A">
      <w:pPr>
        <w:autoSpaceDE w:val="0"/>
        <w:autoSpaceDN w:val="0"/>
        <w:spacing w:line="620" w:lineRule="exact"/>
        <w:ind w:left="700"/>
        <w:jc w:val="both"/>
      </w:pPr>
      <w:r>
        <w:rPr>
          <w:rFonts w:hint="eastAsia" w:ascii="仿宋" w:hAnsi="仿宋" w:eastAsia="仿宋" w:cs="仿宋"/>
          <w:sz w:val="30"/>
        </w:rPr>
        <w:t>本部门2020年年末编制人数7人，其中行政编制4人，事业编</w:t>
      </w:r>
    </w:p>
    <w:p w14:paraId="1B52052D">
      <w:pPr>
        <w:autoSpaceDE w:val="0"/>
        <w:autoSpaceDN w:val="0"/>
        <w:spacing w:line="620" w:lineRule="exact"/>
        <w:ind w:left="60" w:right="260"/>
        <w:jc w:val="both"/>
      </w:pPr>
      <w:r>
        <w:rPr>
          <w:rFonts w:hint="eastAsia" w:ascii="仿宋" w:hAnsi="仿宋" w:eastAsia="仿宋" w:cs="仿宋"/>
          <w:sz w:val="30"/>
        </w:rPr>
        <w:t>制3人；年末实有人数8人，其中在职人员8人，离休人员0人，退休人员3人；年末学生人数0人。</w:t>
      </w:r>
    </w:p>
    <w:p w14:paraId="189AAA66">
      <w:pPr>
        <w:sectPr>
          <w:pgSz w:w="11900" w:h="16840"/>
          <w:pgMar w:top="0" w:right="1400" w:bottom="0" w:left="1460" w:header="720" w:footer="720" w:gutter="0"/>
          <w:cols w:space="720" w:num="1"/>
        </w:sectPr>
      </w:pPr>
    </w:p>
    <w:p w14:paraId="36493BAC">
      <w:pPr>
        <w:spacing w:line="1" w:lineRule="exact"/>
        <w:rPr>
          <w:rFonts w:ascii="Arial" w:hAnsi="Arial" w:eastAsia="Arial" w:cs="Arial"/>
          <w:sz w:val="10"/>
        </w:rPr>
      </w:pPr>
    </w:p>
    <w:p w14:paraId="23A9FF18">
      <w:pPr>
        <w:sectPr>
          <w:pgSz w:w="11900" w:h="16840"/>
          <w:pgMar w:top="0" w:right="0" w:bottom="0" w:left="0" w:header="720" w:footer="720" w:gutter="0"/>
          <w:cols w:space="720" w:num="1"/>
        </w:sectPr>
      </w:pPr>
    </w:p>
    <w:p w14:paraId="56C35D47">
      <w:pPr>
        <w:spacing w:line="1" w:lineRule="exact"/>
        <w:rPr>
          <w:rFonts w:ascii="Arial" w:hAnsi="Arial" w:eastAsia="Arial" w:cs="Arial"/>
          <w:sz w:val="10"/>
        </w:rPr>
      </w:pPr>
    </w:p>
    <w:p w14:paraId="5552645A">
      <w:pPr>
        <w:spacing w:line="200" w:lineRule="exact"/>
        <w:rPr>
          <w:rFonts w:ascii="宋体" w:hAnsi="宋体" w:eastAsia="宋体" w:cs="宋体"/>
          <w:sz w:val="20"/>
        </w:rPr>
      </w:pPr>
    </w:p>
    <w:p w14:paraId="633A040C">
      <w:pPr>
        <w:spacing w:line="200" w:lineRule="exact"/>
        <w:rPr>
          <w:rFonts w:ascii="宋体" w:hAnsi="宋体" w:eastAsia="宋体" w:cs="宋体"/>
          <w:sz w:val="20"/>
        </w:rPr>
      </w:pPr>
    </w:p>
    <w:p w14:paraId="5DE6D97C">
      <w:pPr>
        <w:spacing w:line="200" w:lineRule="exact"/>
        <w:rPr>
          <w:rFonts w:ascii="宋体" w:hAnsi="宋体" w:eastAsia="宋体" w:cs="宋体"/>
          <w:sz w:val="20"/>
        </w:rPr>
      </w:pPr>
    </w:p>
    <w:p w14:paraId="49FA72F1">
      <w:pPr>
        <w:spacing w:line="200" w:lineRule="exact"/>
        <w:rPr>
          <w:rFonts w:ascii="宋体" w:hAnsi="宋体" w:eastAsia="宋体" w:cs="宋体"/>
          <w:sz w:val="20"/>
        </w:rPr>
      </w:pPr>
    </w:p>
    <w:p w14:paraId="244438AF">
      <w:pPr>
        <w:spacing w:line="200" w:lineRule="exact"/>
        <w:rPr>
          <w:rFonts w:ascii="宋体" w:hAnsi="宋体" w:eastAsia="宋体" w:cs="宋体"/>
          <w:sz w:val="20"/>
        </w:rPr>
      </w:pPr>
    </w:p>
    <w:p w14:paraId="1A7D8159">
      <w:pPr>
        <w:spacing w:line="200" w:lineRule="exact"/>
        <w:rPr>
          <w:rFonts w:ascii="宋体" w:hAnsi="宋体" w:eastAsia="宋体" w:cs="宋体"/>
          <w:sz w:val="20"/>
        </w:rPr>
      </w:pPr>
    </w:p>
    <w:p w14:paraId="31C42C86">
      <w:pPr>
        <w:spacing w:line="200" w:lineRule="exact"/>
        <w:rPr>
          <w:rFonts w:ascii="宋体" w:hAnsi="宋体" w:eastAsia="宋体" w:cs="宋体"/>
          <w:sz w:val="20"/>
        </w:rPr>
      </w:pPr>
    </w:p>
    <w:p w14:paraId="19885415">
      <w:pPr>
        <w:spacing w:line="200" w:lineRule="exact"/>
        <w:rPr>
          <w:rFonts w:ascii="宋体" w:hAnsi="宋体" w:eastAsia="宋体" w:cs="宋体"/>
          <w:sz w:val="20"/>
        </w:rPr>
      </w:pPr>
    </w:p>
    <w:p w14:paraId="5EB89C24">
      <w:pPr>
        <w:autoSpaceDE w:val="0"/>
        <w:autoSpaceDN w:val="0"/>
        <w:spacing w:line="320" w:lineRule="exact"/>
        <w:ind w:left="2180"/>
        <w:jc w:val="both"/>
      </w:pPr>
      <w:r>
        <w:rPr>
          <w:rFonts w:hint="eastAsia" w:ascii="宋体" w:hAnsi="宋体" w:eastAsia="宋体" w:cs="宋体"/>
          <w:b/>
          <w:sz w:val="31"/>
          <w:lang w:eastAsia="zh-CN"/>
        </w:rPr>
        <w:drawing>
          <wp:anchor distT="0" distB="0" distL="0" distR="0" simplePos="0" relativeHeight="251668480" behindDoc="0" locked="0" layoutInCell="1" allowOverlap="1">
            <wp:simplePos x="0" y="0"/>
            <wp:positionH relativeFrom="column">
              <wp:posOffset>-171450</wp:posOffset>
            </wp:positionH>
            <wp:positionV relativeFrom="line">
              <wp:posOffset>707390</wp:posOffset>
            </wp:positionV>
            <wp:extent cx="6426835" cy="6553200"/>
            <wp:effectExtent l="19050" t="0" r="0" b="0"/>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pic:cNvPicPr>
                  </pic:nvPicPr>
                  <pic:blipFill>
                    <a:blip r:embed="rId6" cstate="print"/>
                    <a:stretch>
                      <a:fillRect/>
                    </a:stretch>
                  </pic:blipFill>
                  <pic:spPr>
                    <a:xfrm>
                      <a:off x="0" y="0"/>
                      <a:ext cx="6426835" cy="6553200"/>
                    </a:xfrm>
                    <a:prstGeom prst="rect">
                      <a:avLst/>
                    </a:prstGeom>
                    <a:noFill/>
                  </pic:spPr>
                </pic:pic>
              </a:graphicData>
            </a:graphic>
          </wp:anchor>
        </w:drawing>
      </w:r>
      <w:r>
        <w:rPr>
          <w:rFonts w:hint="eastAsia" w:ascii="宋体" w:hAnsi="宋体" w:eastAsia="宋体" w:cs="宋体"/>
          <w:b/>
          <w:sz w:val="31"/>
        </w:rPr>
        <w:t>第二部分 2020年度部门决算表</w:t>
      </w:r>
    </w:p>
    <w:p w14:paraId="54C452F4">
      <w:pPr>
        <w:sectPr>
          <w:pgSz w:w="11900" w:h="16840"/>
          <w:pgMar w:top="0" w:right="1800" w:bottom="0" w:left="1800" w:header="720" w:footer="720" w:gutter="0"/>
          <w:cols w:space="720" w:num="1"/>
        </w:sectPr>
      </w:pPr>
    </w:p>
    <w:p w14:paraId="4DFD87DE">
      <w:pPr>
        <w:spacing w:line="1" w:lineRule="exact"/>
        <w:rPr>
          <w:rFonts w:ascii="Arial" w:hAnsi="Arial" w:eastAsia="Arial" w:cs="Arial"/>
          <w:sz w:val="10"/>
        </w:rPr>
      </w:pPr>
    </w:p>
    <w:p w14:paraId="086CBB58">
      <w:pPr>
        <w:spacing w:line="20" w:lineRule="exact"/>
        <w:rPr>
          <w:rFonts w:ascii="宋体" w:hAnsi="宋体" w:eastAsia="宋体" w:cs="宋体"/>
          <w:sz w:val="20"/>
        </w:rPr>
      </w:pPr>
      <w:r>
        <w:rPr>
          <w:lang w:eastAsia="zh-CN"/>
        </w:rPr>
        <w:drawing>
          <wp:anchor distT="0" distB="0" distL="0" distR="0" simplePos="0" relativeHeight="251665408" behindDoc="0" locked="0" layoutInCell="1" allowOverlap="1">
            <wp:simplePos x="0" y="0"/>
            <wp:positionH relativeFrom="column">
              <wp:posOffset>971550</wp:posOffset>
            </wp:positionH>
            <wp:positionV relativeFrom="line">
              <wp:posOffset>5885180</wp:posOffset>
            </wp:positionV>
            <wp:extent cx="6409055" cy="3533140"/>
            <wp:effectExtent l="19050" t="0" r="0" b="0"/>
            <wp:wrapNone/>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pic:cNvPicPr>
                  </pic:nvPicPr>
                  <pic:blipFill>
                    <a:blip r:embed="rId7" cstate="print"/>
                    <a:stretch>
                      <a:fillRect/>
                    </a:stretch>
                  </pic:blipFill>
                  <pic:spPr>
                    <a:xfrm>
                      <a:off x="0" y="0"/>
                      <a:ext cx="6409055" cy="3533140"/>
                    </a:xfrm>
                    <a:prstGeom prst="rect">
                      <a:avLst/>
                    </a:prstGeom>
                    <a:noFill/>
                  </pic:spPr>
                </pic:pic>
              </a:graphicData>
            </a:graphic>
          </wp:anchor>
        </w:drawing>
      </w:r>
      <w:r>
        <w:rPr>
          <w:lang w:eastAsia="zh-CN"/>
        </w:rPr>
        <w:drawing>
          <wp:anchor distT="0" distB="0" distL="0" distR="0" simplePos="0" relativeHeight="251659264" behindDoc="0" locked="0" layoutInCell="1" allowOverlap="1">
            <wp:simplePos x="0" y="0"/>
            <wp:positionH relativeFrom="column">
              <wp:posOffset>971550</wp:posOffset>
            </wp:positionH>
            <wp:positionV relativeFrom="line">
              <wp:posOffset>1065530</wp:posOffset>
            </wp:positionV>
            <wp:extent cx="6415405" cy="4302760"/>
            <wp:effectExtent l="19050" t="0" r="4445" b="0"/>
            <wp:wrapNone/>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pic:cNvPicPr>
                  </pic:nvPicPr>
                  <pic:blipFill>
                    <a:blip r:embed="rId8" cstate="print"/>
                    <a:stretch>
                      <a:fillRect/>
                    </a:stretch>
                  </pic:blipFill>
                  <pic:spPr>
                    <a:xfrm>
                      <a:off x="0" y="0"/>
                      <a:ext cx="6415405" cy="4302760"/>
                    </a:xfrm>
                    <a:prstGeom prst="rect">
                      <a:avLst/>
                    </a:prstGeom>
                    <a:noFill/>
                  </pic:spPr>
                </pic:pic>
              </a:graphicData>
            </a:graphic>
          </wp:anchor>
        </w:drawing>
      </w:r>
      <w:r>
        <w:br w:type="page"/>
      </w:r>
    </w:p>
    <w:p w14:paraId="69B93CC8">
      <w:pPr>
        <w:spacing w:line="1" w:lineRule="exact"/>
        <w:rPr>
          <w:rFonts w:ascii="Arial" w:hAnsi="Arial" w:eastAsia="Arial" w:cs="Arial"/>
          <w:sz w:val="10"/>
        </w:rPr>
      </w:pPr>
    </w:p>
    <w:p w14:paraId="761A8898">
      <w:pPr>
        <w:spacing w:line="20" w:lineRule="exact"/>
        <w:rPr>
          <w:rFonts w:ascii="宋体" w:hAnsi="宋体" w:eastAsia="宋体" w:cs="宋体"/>
          <w:sz w:val="20"/>
        </w:rPr>
      </w:pPr>
      <w:r>
        <w:rPr>
          <w:lang w:eastAsia="zh-CN"/>
        </w:rPr>
        <w:drawing>
          <wp:anchor distT="0" distB="0" distL="0" distR="0" simplePos="0" relativeHeight="251660288" behindDoc="0" locked="0" layoutInCell="1" allowOverlap="1">
            <wp:simplePos x="0" y="0"/>
            <wp:positionH relativeFrom="column">
              <wp:posOffset>971550</wp:posOffset>
            </wp:positionH>
            <wp:positionV relativeFrom="line">
              <wp:posOffset>2047240</wp:posOffset>
            </wp:positionV>
            <wp:extent cx="6367145" cy="6010275"/>
            <wp:effectExtent l="19050" t="0" r="0" b="0"/>
            <wp:wrapNone/>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pic:cNvPicPr>
                  </pic:nvPicPr>
                  <pic:blipFill>
                    <a:blip r:embed="rId9" cstate="print"/>
                    <a:stretch>
                      <a:fillRect/>
                    </a:stretch>
                  </pic:blipFill>
                  <pic:spPr>
                    <a:xfrm>
                      <a:off x="0" y="0"/>
                      <a:ext cx="6367145" cy="6010275"/>
                    </a:xfrm>
                    <a:prstGeom prst="rect">
                      <a:avLst/>
                    </a:prstGeom>
                    <a:noFill/>
                  </pic:spPr>
                </pic:pic>
              </a:graphicData>
            </a:graphic>
          </wp:anchor>
        </w:drawing>
      </w:r>
      <w:r>
        <w:br w:type="page"/>
      </w:r>
    </w:p>
    <w:p w14:paraId="530692C0">
      <w:pPr>
        <w:spacing w:line="1" w:lineRule="exact"/>
        <w:rPr>
          <w:rFonts w:ascii="Arial" w:hAnsi="Arial" w:eastAsia="Arial" w:cs="Arial"/>
          <w:sz w:val="10"/>
        </w:rPr>
      </w:pPr>
    </w:p>
    <w:p w14:paraId="3E4037B4">
      <w:pPr>
        <w:spacing w:line="20" w:lineRule="exact"/>
        <w:rPr>
          <w:rFonts w:ascii="宋体" w:hAnsi="宋体" w:eastAsia="宋体" w:cs="宋体"/>
          <w:sz w:val="20"/>
        </w:rPr>
      </w:pPr>
      <w:r>
        <w:rPr>
          <w:lang w:eastAsia="zh-CN"/>
        </w:rPr>
        <w:drawing>
          <wp:anchor distT="0" distB="0" distL="0" distR="0" simplePos="0" relativeHeight="251661312" behindDoc="0" locked="0" layoutInCell="1" allowOverlap="1">
            <wp:simplePos x="0" y="0"/>
            <wp:positionH relativeFrom="column">
              <wp:posOffset>971550</wp:posOffset>
            </wp:positionH>
            <wp:positionV relativeFrom="line">
              <wp:posOffset>2047240</wp:posOffset>
            </wp:positionV>
            <wp:extent cx="6266815" cy="4406265"/>
            <wp:effectExtent l="19050" t="0" r="635" b="0"/>
            <wp:wrapNone/>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pic:cNvPicPr>
                  </pic:nvPicPr>
                  <pic:blipFill>
                    <a:blip r:embed="rId10" cstate="print"/>
                    <a:stretch>
                      <a:fillRect/>
                    </a:stretch>
                  </pic:blipFill>
                  <pic:spPr>
                    <a:xfrm>
                      <a:off x="0" y="0"/>
                      <a:ext cx="6266815" cy="4406265"/>
                    </a:xfrm>
                    <a:prstGeom prst="rect">
                      <a:avLst/>
                    </a:prstGeom>
                    <a:noFill/>
                  </pic:spPr>
                </pic:pic>
              </a:graphicData>
            </a:graphic>
          </wp:anchor>
        </w:drawing>
      </w:r>
      <w:r>
        <w:br w:type="page"/>
      </w:r>
    </w:p>
    <w:p w14:paraId="59612C41">
      <w:pPr>
        <w:spacing w:line="1" w:lineRule="exact"/>
        <w:rPr>
          <w:rFonts w:ascii="Arial" w:hAnsi="Arial" w:eastAsia="Arial" w:cs="Arial"/>
          <w:sz w:val="10"/>
        </w:rPr>
      </w:pPr>
    </w:p>
    <w:p w14:paraId="5E9E5026">
      <w:pPr>
        <w:spacing w:line="20" w:lineRule="exact"/>
        <w:rPr>
          <w:rFonts w:ascii="宋体" w:hAnsi="宋体" w:eastAsia="宋体" w:cs="宋体"/>
          <w:sz w:val="20"/>
        </w:rPr>
      </w:pPr>
      <w:r>
        <w:rPr>
          <w:lang w:eastAsia="zh-CN"/>
        </w:rPr>
        <w:drawing>
          <wp:anchor distT="0" distB="0" distL="0" distR="0" simplePos="0" relativeHeight="251662336" behindDoc="0" locked="0" layoutInCell="1" allowOverlap="1">
            <wp:simplePos x="0" y="0"/>
            <wp:positionH relativeFrom="column">
              <wp:posOffset>971550</wp:posOffset>
            </wp:positionH>
            <wp:positionV relativeFrom="line">
              <wp:posOffset>980440</wp:posOffset>
            </wp:positionV>
            <wp:extent cx="5939790" cy="8204200"/>
            <wp:effectExtent l="19050" t="0" r="3810" b="0"/>
            <wp:wrapNone/>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pic:cNvPicPr>
                  </pic:nvPicPr>
                  <pic:blipFill>
                    <a:blip r:embed="rId11" cstate="print"/>
                    <a:stretch>
                      <a:fillRect/>
                    </a:stretch>
                  </pic:blipFill>
                  <pic:spPr>
                    <a:xfrm>
                      <a:off x="0" y="0"/>
                      <a:ext cx="5939790" cy="8204200"/>
                    </a:xfrm>
                    <a:prstGeom prst="rect">
                      <a:avLst/>
                    </a:prstGeom>
                    <a:noFill/>
                  </pic:spPr>
                </pic:pic>
              </a:graphicData>
            </a:graphic>
          </wp:anchor>
        </w:drawing>
      </w:r>
      <w:r>
        <w:br w:type="page"/>
      </w:r>
    </w:p>
    <w:p w14:paraId="31EA3A99">
      <w:pPr>
        <w:spacing w:line="1" w:lineRule="exact"/>
        <w:rPr>
          <w:rFonts w:ascii="Arial" w:hAnsi="Arial" w:eastAsia="Arial" w:cs="Arial"/>
          <w:sz w:val="10"/>
        </w:rPr>
      </w:pPr>
      <w:r>
        <w:rPr>
          <w:lang w:eastAsia="zh-CN"/>
        </w:rPr>
        <w:drawing>
          <wp:anchor distT="0" distB="0" distL="0" distR="0" simplePos="0" relativeHeight="251666432" behindDoc="0" locked="0" layoutInCell="1" allowOverlap="1">
            <wp:simplePos x="0" y="0"/>
            <wp:positionH relativeFrom="column">
              <wp:posOffset>973455</wp:posOffset>
            </wp:positionH>
            <wp:positionV relativeFrom="line">
              <wp:posOffset>6672580</wp:posOffset>
            </wp:positionV>
            <wp:extent cx="6243955" cy="2313305"/>
            <wp:effectExtent l="0" t="0" r="0" b="0"/>
            <wp:wrapNone/>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pic:cNvPicPr>
                  </pic:nvPicPr>
                  <pic:blipFill>
                    <a:blip r:embed="rId12" cstate="print"/>
                    <a:stretch>
                      <a:fillRect/>
                    </a:stretch>
                  </pic:blipFill>
                  <pic:spPr>
                    <a:xfrm>
                      <a:off x="0" y="0"/>
                      <a:ext cx="6243828" cy="2313432"/>
                    </a:xfrm>
                    <a:prstGeom prst="rect">
                      <a:avLst/>
                    </a:prstGeom>
                    <a:noFill/>
                  </pic:spPr>
                </pic:pic>
              </a:graphicData>
            </a:graphic>
          </wp:anchor>
        </w:drawing>
      </w:r>
    </w:p>
    <w:p w14:paraId="0B1A4225">
      <w:pPr>
        <w:spacing w:line="20" w:lineRule="exact"/>
        <w:rPr>
          <w:rFonts w:ascii="宋体" w:hAnsi="宋体" w:eastAsia="宋体" w:cs="宋体"/>
          <w:sz w:val="20"/>
        </w:rPr>
      </w:pPr>
      <w:r>
        <w:rPr>
          <w:lang w:eastAsia="zh-CN"/>
        </w:rPr>
        <w:drawing>
          <wp:anchor distT="0" distB="0" distL="0" distR="0" simplePos="0" relativeHeight="251663360" behindDoc="0" locked="0" layoutInCell="1" allowOverlap="1">
            <wp:simplePos x="0" y="0"/>
            <wp:positionH relativeFrom="column">
              <wp:posOffset>971550</wp:posOffset>
            </wp:positionH>
            <wp:positionV relativeFrom="line">
              <wp:posOffset>1265555</wp:posOffset>
            </wp:positionV>
            <wp:extent cx="6096000" cy="5038090"/>
            <wp:effectExtent l="19050" t="0" r="0" b="0"/>
            <wp:wrapNone/>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pic:cNvPicPr>
                  </pic:nvPicPr>
                  <pic:blipFill>
                    <a:blip r:embed="rId13" cstate="print"/>
                    <a:stretch>
                      <a:fillRect/>
                    </a:stretch>
                  </pic:blipFill>
                  <pic:spPr>
                    <a:xfrm>
                      <a:off x="0" y="0"/>
                      <a:ext cx="6096000" cy="5038090"/>
                    </a:xfrm>
                    <a:prstGeom prst="rect">
                      <a:avLst/>
                    </a:prstGeom>
                    <a:noFill/>
                  </pic:spPr>
                </pic:pic>
              </a:graphicData>
            </a:graphic>
          </wp:anchor>
        </w:drawing>
      </w:r>
      <w:r>
        <w:br w:type="page"/>
      </w:r>
    </w:p>
    <w:p w14:paraId="62D315C8">
      <w:pPr>
        <w:spacing w:line="1" w:lineRule="exact"/>
        <w:rPr>
          <w:rFonts w:ascii="Arial" w:hAnsi="Arial" w:eastAsia="Arial" w:cs="Arial"/>
          <w:sz w:val="10"/>
        </w:rPr>
      </w:pPr>
      <w:r>
        <w:rPr>
          <w:lang w:eastAsia="zh-CN"/>
        </w:rPr>
        <w:drawing>
          <wp:anchor distT="0" distB="0" distL="0" distR="0" simplePos="0" relativeHeight="251667456" behindDoc="0" locked="0" layoutInCell="1" allowOverlap="1">
            <wp:simplePos x="0" y="0"/>
            <wp:positionH relativeFrom="column">
              <wp:posOffset>971550</wp:posOffset>
            </wp:positionH>
            <wp:positionV relativeFrom="line">
              <wp:posOffset>4257040</wp:posOffset>
            </wp:positionV>
            <wp:extent cx="6227445" cy="3819525"/>
            <wp:effectExtent l="19050" t="0" r="2082" b="0"/>
            <wp:wrapNone/>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pic:cNvPicPr>
                  </pic:nvPicPr>
                  <pic:blipFill>
                    <a:blip r:embed="rId14" cstate="print"/>
                    <a:stretch>
                      <a:fillRect/>
                    </a:stretch>
                  </pic:blipFill>
                  <pic:spPr>
                    <a:xfrm>
                      <a:off x="0" y="0"/>
                      <a:ext cx="6227268" cy="3819525"/>
                    </a:xfrm>
                    <a:prstGeom prst="rect">
                      <a:avLst/>
                    </a:prstGeom>
                    <a:noFill/>
                  </pic:spPr>
                </pic:pic>
              </a:graphicData>
            </a:graphic>
          </wp:anchor>
        </w:drawing>
      </w:r>
      <w:r>
        <w:rPr>
          <w:lang w:eastAsia="zh-CN"/>
        </w:rPr>
        <w:drawing>
          <wp:anchor distT="0" distB="0" distL="0" distR="0" simplePos="0" relativeHeight="251664384" behindDoc="0" locked="0" layoutInCell="1" allowOverlap="1">
            <wp:simplePos x="0" y="0"/>
            <wp:positionH relativeFrom="column">
              <wp:posOffset>974725</wp:posOffset>
            </wp:positionH>
            <wp:positionV relativeFrom="line">
              <wp:posOffset>1196975</wp:posOffset>
            </wp:positionV>
            <wp:extent cx="6330950" cy="2368550"/>
            <wp:effectExtent l="0" t="0" r="0" b="0"/>
            <wp:wrapNone/>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pic:cNvPicPr>
                  </pic:nvPicPr>
                  <pic:blipFill>
                    <a:blip r:embed="rId15" cstate="print"/>
                    <a:stretch>
                      <a:fillRect/>
                    </a:stretch>
                  </pic:blipFill>
                  <pic:spPr>
                    <a:xfrm>
                      <a:off x="0" y="0"/>
                      <a:ext cx="6330696" cy="2368295"/>
                    </a:xfrm>
                    <a:prstGeom prst="rect">
                      <a:avLst/>
                    </a:prstGeom>
                    <a:noFill/>
                  </pic:spPr>
                </pic:pic>
              </a:graphicData>
            </a:graphic>
          </wp:anchor>
        </w:drawing>
      </w:r>
    </w:p>
    <w:p w14:paraId="445ECB55">
      <w:pPr>
        <w:sectPr>
          <w:pgSz w:w="11900" w:h="16840"/>
          <w:pgMar w:top="0" w:right="0" w:bottom="0" w:left="0" w:header="720" w:footer="720" w:gutter="0"/>
          <w:cols w:space="720" w:num="1"/>
        </w:sectPr>
      </w:pPr>
    </w:p>
    <w:p w14:paraId="74AC3ECF">
      <w:pPr>
        <w:spacing w:line="1" w:lineRule="exact"/>
        <w:rPr>
          <w:rFonts w:ascii="Arial" w:hAnsi="Arial" w:eastAsia="Arial" w:cs="Arial"/>
          <w:sz w:val="10"/>
        </w:rPr>
      </w:pPr>
    </w:p>
    <w:p w14:paraId="3BA7CD5C">
      <w:pPr>
        <w:spacing w:line="200" w:lineRule="exact"/>
        <w:rPr>
          <w:rFonts w:ascii="宋体" w:hAnsi="宋体" w:eastAsia="宋体" w:cs="宋体"/>
          <w:sz w:val="20"/>
        </w:rPr>
      </w:pPr>
    </w:p>
    <w:p w14:paraId="5843DA20">
      <w:pPr>
        <w:spacing w:line="200" w:lineRule="exact"/>
        <w:rPr>
          <w:rFonts w:ascii="宋体" w:hAnsi="宋体" w:eastAsia="宋体" w:cs="宋体"/>
          <w:sz w:val="20"/>
        </w:rPr>
      </w:pPr>
    </w:p>
    <w:p w14:paraId="602FA9EB">
      <w:pPr>
        <w:spacing w:line="200" w:lineRule="exact"/>
        <w:rPr>
          <w:rFonts w:ascii="宋体" w:hAnsi="宋体" w:eastAsia="宋体" w:cs="宋体"/>
          <w:sz w:val="20"/>
        </w:rPr>
      </w:pPr>
    </w:p>
    <w:p w14:paraId="167CBF65">
      <w:pPr>
        <w:spacing w:line="200" w:lineRule="exact"/>
        <w:rPr>
          <w:rFonts w:ascii="宋体" w:hAnsi="宋体" w:eastAsia="宋体" w:cs="宋体"/>
          <w:sz w:val="20"/>
        </w:rPr>
      </w:pPr>
    </w:p>
    <w:p w14:paraId="58588DAF">
      <w:pPr>
        <w:spacing w:line="200" w:lineRule="exact"/>
        <w:rPr>
          <w:rFonts w:ascii="宋体" w:hAnsi="宋体" w:eastAsia="宋体" w:cs="宋体"/>
          <w:sz w:val="20"/>
        </w:rPr>
      </w:pPr>
    </w:p>
    <w:p w14:paraId="61A69147">
      <w:pPr>
        <w:spacing w:line="200" w:lineRule="exact"/>
        <w:rPr>
          <w:rFonts w:ascii="宋体" w:hAnsi="宋体" w:eastAsia="宋体" w:cs="宋体"/>
          <w:sz w:val="20"/>
        </w:rPr>
      </w:pPr>
    </w:p>
    <w:p w14:paraId="0E17BAFA">
      <w:pPr>
        <w:spacing w:line="200" w:lineRule="exact"/>
        <w:rPr>
          <w:rFonts w:ascii="宋体" w:hAnsi="宋体" w:eastAsia="宋体" w:cs="宋体"/>
          <w:sz w:val="20"/>
        </w:rPr>
      </w:pPr>
    </w:p>
    <w:p w14:paraId="5D21B1F2">
      <w:pPr>
        <w:spacing w:line="200" w:lineRule="exact"/>
        <w:rPr>
          <w:rFonts w:ascii="宋体" w:hAnsi="宋体" w:eastAsia="宋体" w:cs="宋体"/>
          <w:sz w:val="20"/>
        </w:rPr>
      </w:pPr>
    </w:p>
    <w:p w14:paraId="60C7ACC1">
      <w:pPr>
        <w:autoSpaceDE w:val="0"/>
        <w:autoSpaceDN w:val="0"/>
        <w:spacing w:line="320" w:lineRule="exact"/>
        <w:ind w:left="2040"/>
        <w:jc w:val="both"/>
      </w:pPr>
      <w:r>
        <w:rPr>
          <w:rFonts w:hint="eastAsia" w:ascii="宋体" w:hAnsi="宋体" w:eastAsia="宋体" w:cs="宋体"/>
          <w:b/>
          <w:sz w:val="31"/>
        </w:rPr>
        <w:t>第三部分 2020年度部门决算情况说明</w:t>
      </w:r>
    </w:p>
    <w:p w14:paraId="2C60EE51">
      <w:pPr>
        <w:spacing w:line="200" w:lineRule="exact"/>
        <w:rPr>
          <w:rFonts w:ascii="宋体" w:hAnsi="宋体" w:eastAsia="宋体" w:cs="宋体"/>
          <w:sz w:val="20"/>
        </w:rPr>
      </w:pPr>
    </w:p>
    <w:p w14:paraId="0958E2C9">
      <w:pPr>
        <w:spacing w:line="200" w:lineRule="exact"/>
        <w:rPr>
          <w:rFonts w:ascii="宋体" w:hAnsi="宋体" w:eastAsia="宋体" w:cs="宋体"/>
          <w:sz w:val="20"/>
        </w:rPr>
      </w:pPr>
    </w:p>
    <w:p w14:paraId="49A5726A">
      <w:pPr>
        <w:spacing w:line="200" w:lineRule="exact"/>
        <w:rPr>
          <w:rFonts w:ascii="宋体" w:hAnsi="宋体" w:eastAsia="宋体" w:cs="宋体"/>
          <w:sz w:val="20"/>
        </w:rPr>
      </w:pPr>
    </w:p>
    <w:p w14:paraId="21D33B23">
      <w:pPr>
        <w:spacing w:line="200" w:lineRule="exact"/>
        <w:rPr>
          <w:rFonts w:ascii="宋体" w:hAnsi="宋体" w:eastAsia="宋体" w:cs="宋体"/>
          <w:sz w:val="20"/>
        </w:rPr>
      </w:pPr>
    </w:p>
    <w:p w14:paraId="00424C9C">
      <w:pPr>
        <w:autoSpaceDE w:val="0"/>
        <w:autoSpaceDN w:val="0"/>
        <w:spacing w:line="380" w:lineRule="exact"/>
        <w:ind w:left="700"/>
        <w:jc w:val="both"/>
      </w:pPr>
      <w:r>
        <w:rPr>
          <w:rFonts w:hint="eastAsia" w:ascii="黑体" w:hAnsi="黑体" w:eastAsia="黑体" w:cs="黑体"/>
          <w:sz w:val="31"/>
        </w:rPr>
        <w:t>一、收入决算情况说明</w:t>
      </w:r>
    </w:p>
    <w:p w14:paraId="325FD361">
      <w:pPr>
        <w:autoSpaceDE w:val="0"/>
        <w:autoSpaceDN w:val="0"/>
        <w:spacing w:line="620" w:lineRule="exact"/>
        <w:ind w:left="700"/>
        <w:jc w:val="both"/>
      </w:pPr>
      <w:r>
        <w:rPr>
          <w:rFonts w:hint="eastAsia" w:ascii="仿宋" w:hAnsi="仿宋" w:eastAsia="仿宋" w:cs="仿宋"/>
          <w:sz w:val="31"/>
        </w:rPr>
        <w:t>本部门2020年度收入总计 430.80万元，其中年初结转和</w:t>
      </w:r>
    </w:p>
    <w:p w14:paraId="0181658A">
      <w:pPr>
        <w:autoSpaceDE w:val="0"/>
        <w:autoSpaceDN w:val="0"/>
        <w:spacing w:line="620" w:lineRule="exact"/>
        <w:ind w:left="60" w:right="100"/>
        <w:jc w:val="both"/>
      </w:pPr>
      <w:r>
        <w:rPr>
          <w:rFonts w:hint="eastAsia" w:ascii="仿宋" w:hAnsi="仿宋" w:eastAsia="仿宋" w:cs="仿宋"/>
          <w:sz w:val="31"/>
        </w:rPr>
        <w:t>结余117.16万元，较2019年减少19.11万元，增长4.43 %；本年收入合计313.63万元，较2019年增加35.38万元，增长12.71 %，主要原因是：上年结</w:t>
      </w:r>
      <w:r>
        <w:rPr>
          <w:rFonts w:hint="eastAsia" w:ascii="仿宋" w:hAnsi="仿宋" w:eastAsia="仿宋" w:cs="仿宋"/>
          <w:sz w:val="31"/>
          <w:lang w:eastAsia="zh-CN"/>
        </w:rPr>
        <w:t>余</w:t>
      </w:r>
      <w:r>
        <w:rPr>
          <w:rFonts w:hint="eastAsia" w:ascii="仿宋" w:hAnsi="仿宋" w:eastAsia="仿宋" w:cs="仿宋"/>
          <w:sz w:val="31"/>
        </w:rPr>
        <w:t>减少。</w:t>
      </w:r>
    </w:p>
    <w:p w14:paraId="282D13B9">
      <w:pPr>
        <w:autoSpaceDE w:val="0"/>
        <w:autoSpaceDN w:val="0"/>
        <w:spacing w:line="620" w:lineRule="exact"/>
        <w:ind w:left="700"/>
        <w:jc w:val="both"/>
      </w:pPr>
      <w:r>
        <w:rPr>
          <w:rFonts w:hint="eastAsia" w:ascii="仿宋" w:hAnsi="仿宋" w:eastAsia="仿宋" w:cs="仿宋"/>
          <w:sz w:val="31"/>
        </w:rPr>
        <w:t>本年收入的具体构成为：财政拨款收入303.29万元，占</w:t>
      </w:r>
    </w:p>
    <w:p w14:paraId="4014C7C2">
      <w:pPr>
        <w:autoSpaceDE w:val="0"/>
        <w:autoSpaceDN w:val="0"/>
        <w:spacing w:line="620" w:lineRule="exact"/>
        <w:ind w:left="60"/>
        <w:jc w:val="both"/>
      </w:pPr>
      <w:r>
        <w:rPr>
          <w:rFonts w:hint="eastAsia" w:ascii="仿宋" w:hAnsi="仿宋" w:eastAsia="仿宋" w:cs="仿宋"/>
          <w:sz w:val="31"/>
        </w:rPr>
        <w:t>96.70%；事业收入 0 万元，占 0 %；经营收入 0 万元，占 0 %；其他收10.34万元，占3.29%。</w:t>
      </w:r>
    </w:p>
    <w:p w14:paraId="6C5A85E6">
      <w:pPr>
        <w:autoSpaceDE w:val="0"/>
        <w:autoSpaceDN w:val="0"/>
        <w:spacing w:line="640" w:lineRule="exact"/>
        <w:ind w:left="700"/>
        <w:jc w:val="both"/>
      </w:pPr>
      <w:r>
        <w:rPr>
          <w:rFonts w:hint="eastAsia" w:ascii="黑体" w:hAnsi="黑体" w:eastAsia="黑体" w:cs="黑体"/>
          <w:sz w:val="31"/>
        </w:rPr>
        <w:t>二、支出决算情况说明</w:t>
      </w:r>
    </w:p>
    <w:p w14:paraId="3572B202">
      <w:pPr>
        <w:autoSpaceDE w:val="0"/>
        <w:autoSpaceDN w:val="0"/>
        <w:spacing w:line="620" w:lineRule="exact"/>
        <w:ind w:left="700"/>
        <w:jc w:val="both"/>
      </w:pPr>
      <w:r>
        <w:rPr>
          <w:rFonts w:hint="eastAsia" w:ascii="仿宋" w:hAnsi="仿宋" w:eastAsia="仿宋" w:cs="仿宋"/>
          <w:sz w:val="31"/>
        </w:rPr>
        <w:t>本部门2020年度支出总计430.80万元，其中本年支出合计</w:t>
      </w:r>
    </w:p>
    <w:p w14:paraId="2241DF61">
      <w:pPr>
        <w:autoSpaceDE w:val="0"/>
        <w:autoSpaceDN w:val="0"/>
        <w:spacing w:line="620" w:lineRule="exact"/>
        <w:ind w:left="60"/>
        <w:jc w:val="both"/>
      </w:pPr>
      <w:r>
        <w:rPr>
          <w:rFonts w:hint="eastAsia" w:ascii="仿宋" w:hAnsi="仿宋" w:eastAsia="仿宋" w:cs="仿宋"/>
          <w:sz w:val="31"/>
        </w:rPr>
        <w:t>291.19万元，较2019年减少40.10万元，减少了8.73 %，主要原因是：节约办公经费；年末结转和结余139.61元，较2019年增加20.98万元，上升17.68 %，主要原因是：节约财政资金，办公经费减少了。</w:t>
      </w:r>
    </w:p>
    <w:p w14:paraId="62712281">
      <w:pPr>
        <w:autoSpaceDE w:val="0"/>
        <w:autoSpaceDN w:val="0"/>
        <w:spacing w:line="620" w:lineRule="exact"/>
        <w:ind w:left="700"/>
        <w:jc w:val="both"/>
      </w:pPr>
      <w:r>
        <w:rPr>
          <w:rFonts w:hint="eastAsia" w:ascii="仿宋" w:hAnsi="仿宋" w:eastAsia="仿宋" w:cs="仿宋"/>
          <w:sz w:val="31"/>
        </w:rPr>
        <w:t>本年支出的具体构成为：基本支出 240.12万元，占82.46%；</w:t>
      </w:r>
    </w:p>
    <w:p w14:paraId="339986FA">
      <w:pPr>
        <w:autoSpaceDE w:val="0"/>
        <w:autoSpaceDN w:val="0"/>
        <w:spacing w:line="620" w:lineRule="exact"/>
        <w:ind w:left="60"/>
        <w:jc w:val="both"/>
      </w:pPr>
      <w:r>
        <w:rPr>
          <w:rFonts w:hint="eastAsia" w:ascii="仿宋" w:hAnsi="仿宋" w:eastAsia="仿宋" w:cs="仿宋"/>
          <w:sz w:val="31"/>
        </w:rPr>
        <w:t>项目支出51.07万元，占17.54%；经营支出0万元，占0%；其他支出（对附属单位补助支出、上缴上级支出）0万元，占0%。</w:t>
      </w:r>
    </w:p>
    <w:p w14:paraId="75DFA482">
      <w:pPr>
        <w:autoSpaceDE w:val="0"/>
        <w:autoSpaceDN w:val="0"/>
        <w:spacing w:line="620" w:lineRule="exact"/>
        <w:ind w:left="700"/>
        <w:jc w:val="both"/>
      </w:pPr>
      <w:r>
        <w:rPr>
          <w:rFonts w:hint="eastAsia" w:ascii="黑体" w:hAnsi="黑体" w:eastAsia="黑体" w:cs="黑体"/>
          <w:sz w:val="31"/>
        </w:rPr>
        <w:t>三、财政拨款支出决算情况说明</w:t>
      </w:r>
    </w:p>
    <w:p w14:paraId="49DB5158">
      <w:pPr>
        <w:autoSpaceDE w:val="0"/>
        <w:autoSpaceDN w:val="0"/>
        <w:spacing w:line="640" w:lineRule="exact"/>
        <w:ind w:left="700"/>
        <w:jc w:val="both"/>
      </w:pPr>
      <w:r>
        <w:rPr>
          <w:rFonts w:hint="eastAsia" w:ascii="仿宋" w:hAnsi="仿宋" w:eastAsia="仿宋" w:cs="仿宋"/>
          <w:sz w:val="31"/>
        </w:rPr>
        <w:t>本部门2020年度财政拨款本年支出年初预算数为329.48万</w:t>
      </w:r>
    </w:p>
    <w:p w14:paraId="02961CCF">
      <w:pPr>
        <w:autoSpaceDE w:val="0"/>
        <w:autoSpaceDN w:val="0"/>
        <w:spacing w:line="620" w:lineRule="exact"/>
        <w:ind w:left="60"/>
        <w:jc w:val="both"/>
      </w:pPr>
      <w:r>
        <w:rPr>
          <w:rFonts w:hint="eastAsia" w:ascii="仿宋" w:hAnsi="仿宋" w:eastAsia="仿宋" w:cs="仿宋"/>
          <w:sz w:val="31"/>
        </w:rPr>
        <w:t>元，决算数为291.19万元，完成年初预算的88.38%。其中：</w:t>
      </w:r>
    </w:p>
    <w:p w14:paraId="2F189AB5">
      <w:pPr>
        <w:spacing w:line="20" w:lineRule="exact"/>
        <w:rPr>
          <w:rFonts w:ascii="宋体" w:hAnsi="宋体" w:eastAsia="宋体" w:cs="宋体"/>
          <w:sz w:val="20"/>
        </w:rPr>
      </w:pPr>
      <w:r>
        <w:br w:type="page"/>
      </w:r>
    </w:p>
    <w:p w14:paraId="7DE3515E">
      <w:pPr>
        <w:spacing w:line="1" w:lineRule="exact"/>
        <w:rPr>
          <w:rFonts w:ascii="Arial" w:hAnsi="Arial" w:eastAsia="Arial" w:cs="Arial"/>
          <w:sz w:val="10"/>
        </w:rPr>
      </w:pPr>
    </w:p>
    <w:p w14:paraId="2F189361">
      <w:pPr>
        <w:spacing w:line="200" w:lineRule="exact"/>
        <w:rPr>
          <w:rFonts w:ascii="宋体" w:hAnsi="宋体" w:eastAsia="宋体" w:cs="宋体"/>
          <w:sz w:val="20"/>
        </w:rPr>
      </w:pPr>
    </w:p>
    <w:p w14:paraId="2CC5CB00">
      <w:pPr>
        <w:spacing w:line="200" w:lineRule="exact"/>
        <w:rPr>
          <w:rFonts w:ascii="宋体" w:hAnsi="宋体" w:eastAsia="宋体" w:cs="宋体"/>
          <w:sz w:val="20"/>
        </w:rPr>
      </w:pPr>
    </w:p>
    <w:p w14:paraId="2088438D">
      <w:pPr>
        <w:spacing w:line="200" w:lineRule="exact"/>
        <w:rPr>
          <w:rFonts w:ascii="宋体" w:hAnsi="宋体" w:eastAsia="宋体" w:cs="宋体"/>
          <w:sz w:val="20"/>
        </w:rPr>
      </w:pPr>
    </w:p>
    <w:p w14:paraId="67D5529E">
      <w:pPr>
        <w:spacing w:line="200" w:lineRule="exact"/>
        <w:rPr>
          <w:rFonts w:ascii="宋体" w:hAnsi="宋体" w:eastAsia="宋体" w:cs="宋体"/>
          <w:sz w:val="20"/>
        </w:rPr>
      </w:pPr>
    </w:p>
    <w:p w14:paraId="03A325FB">
      <w:pPr>
        <w:spacing w:line="200" w:lineRule="exact"/>
        <w:rPr>
          <w:rFonts w:ascii="宋体" w:hAnsi="宋体" w:eastAsia="宋体" w:cs="宋体"/>
          <w:sz w:val="20"/>
        </w:rPr>
      </w:pPr>
    </w:p>
    <w:p w14:paraId="67F18266">
      <w:pPr>
        <w:spacing w:line="200" w:lineRule="exact"/>
        <w:rPr>
          <w:rFonts w:ascii="宋体" w:hAnsi="宋体" w:eastAsia="宋体" w:cs="宋体"/>
          <w:sz w:val="20"/>
        </w:rPr>
      </w:pPr>
    </w:p>
    <w:p w14:paraId="6FA2B7C0">
      <w:pPr>
        <w:spacing w:line="200" w:lineRule="exact"/>
        <w:rPr>
          <w:rFonts w:ascii="宋体" w:hAnsi="宋体" w:eastAsia="宋体" w:cs="宋体"/>
          <w:sz w:val="20"/>
        </w:rPr>
      </w:pPr>
    </w:p>
    <w:p w14:paraId="10D71F83">
      <w:pPr>
        <w:autoSpaceDE w:val="0"/>
        <w:autoSpaceDN w:val="0"/>
        <w:spacing w:line="480" w:lineRule="exact"/>
        <w:ind w:left="700"/>
        <w:jc w:val="both"/>
      </w:pPr>
      <w:r>
        <w:rPr>
          <w:rFonts w:hint="eastAsia" w:ascii="仿宋" w:hAnsi="仿宋" w:eastAsia="仿宋" w:cs="仿宋"/>
          <w:sz w:val="31"/>
        </w:rPr>
        <w:t>（一）一般公共服务支出年初预算数为265.03万元，决算</w:t>
      </w:r>
    </w:p>
    <w:p w14:paraId="5F5175F3">
      <w:pPr>
        <w:autoSpaceDE w:val="0"/>
        <w:autoSpaceDN w:val="0"/>
        <w:spacing w:line="620" w:lineRule="exact"/>
        <w:ind w:left="60"/>
        <w:jc w:val="both"/>
      </w:pPr>
      <w:r>
        <w:rPr>
          <w:rFonts w:hint="eastAsia" w:ascii="仿宋" w:hAnsi="仿宋" w:eastAsia="仿宋" w:cs="仿宋"/>
          <w:sz w:val="31"/>
        </w:rPr>
        <w:t>数为226.74万元，完成年初预算的85.55%，主要原因是：节约办公经费。</w:t>
      </w:r>
    </w:p>
    <w:p w14:paraId="5B2DE564">
      <w:pPr>
        <w:autoSpaceDE w:val="0"/>
        <w:autoSpaceDN w:val="0"/>
        <w:spacing w:line="620" w:lineRule="exact"/>
        <w:ind w:left="700"/>
        <w:jc w:val="both"/>
      </w:pPr>
      <w:r>
        <w:rPr>
          <w:rFonts w:hint="eastAsia" w:ascii="仿宋" w:hAnsi="仿宋" w:eastAsia="仿宋" w:cs="仿宋"/>
          <w:sz w:val="31"/>
        </w:rPr>
        <w:t>（二）社会保障和就业支出年初预算数为13.66万元，决算</w:t>
      </w:r>
    </w:p>
    <w:p w14:paraId="045633F1">
      <w:pPr>
        <w:autoSpaceDE w:val="0"/>
        <w:autoSpaceDN w:val="0"/>
        <w:spacing w:line="620" w:lineRule="exact"/>
        <w:ind w:left="60" w:right="60"/>
        <w:jc w:val="both"/>
      </w:pPr>
      <w:r>
        <w:rPr>
          <w:rFonts w:hint="eastAsia" w:ascii="仿宋" w:hAnsi="仿宋" w:eastAsia="仿宋" w:cs="仿宋"/>
          <w:sz w:val="31"/>
        </w:rPr>
        <w:t>数为13.66万元，完成年初预算的100%，主要原因是：预算与决算基本持平。</w:t>
      </w:r>
    </w:p>
    <w:p w14:paraId="64CE972D">
      <w:pPr>
        <w:autoSpaceDE w:val="0"/>
        <w:autoSpaceDN w:val="0"/>
        <w:spacing w:line="620" w:lineRule="exact"/>
        <w:ind w:left="700"/>
        <w:jc w:val="both"/>
      </w:pPr>
      <w:r>
        <w:rPr>
          <w:rFonts w:hint="eastAsia" w:ascii="仿宋" w:hAnsi="仿宋" w:eastAsia="仿宋" w:cs="仿宋"/>
          <w:sz w:val="31"/>
        </w:rPr>
        <w:t>（三）卫生健康支出年初预算数为10.85万元，决算数为</w:t>
      </w:r>
    </w:p>
    <w:p w14:paraId="0002718E">
      <w:pPr>
        <w:autoSpaceDE w:val="0"/>
        <w:autoSpaceDN w:val="0"/>
        <w:spacing w:line="620" w:lineRule="exact"/>
        <w:ind w:left="60"/>
        <w:jc w:val="both"/>
      </w:pPr>
      <w:r>
        <w:rPr>
          <w:rFonts w:hint="eastAsia" w:ascii="仿宋" w:hAnsi="仿宋" w:eastAsia="仿宋" w:cs="仿宋"/>
          <w:sz w:val="31"/>
        </w:rPr>
        <w:t>10.85万元，完成年初预算的100%，主要原因是：预算与决算基本持平。</w:t>
      </w:r>
    </w:p>
    <w:p w14:paraId="4E0C49F0">
      <w:pPr>
        <w:autoSpaceDE w:val="0"/>
        <w:autoSpaceDN w:val="0"/>
        <w:spacing w:line="640" w:lineRule="exact"/>
        <w:ind w:left="700"/>
        <w:jc w:val="both"/>
      </w:pPr>
      <w:r>
        <w:rPr>
          <w:rFonts w:hint="eastAsia" w:ascii="仿宋" w:hAnsi="仿宋" w:eastAsia="仿宋" w:cs="仿宋"/>
          <w:sz w:val="31"/>
        </w:rPr>
        <w:t>（四）住房保障支出年初预算数为9.94万元，决算数为</w:t>
      </w:r>
    </w:p>
    <w:p w14:paraId="33A639B1">
      <w:pPr>
        <w:autoSpaceDE w:val="0"/>
        <w:autoSpaceDN w:val="0"/>
        <w:spacing w:line="620" w:lineRule="exact"/>
        <w:ind w:left="60"/>
        <w:jc w:val="both"/>
      </w:pPr>
      <w:r>
        <w:rPr>
          <w:rFonts w:hint="eastAsia" w:ascii="仿宋" w:hAnsi="仿宋" w:eastAsia="仿宋" w:cs="仿宋"/>
          <w:sz w:val="31"/>
        </w:rPr>
        <w:t>9.94万元，完成年初预算的100%，主要原因是：预算与决算基本持平。</w:t>
      </w:r>
    </w:p>
    <w:p w14:paraId="62FB410B">
      <w:pPr>
        <w:autoSpaceDE w:val="0"/>
        <w:autoSpaceDN w:val="0"/>
        <w:spacing w:line="620" w:lineRule="exact"/>
        <w:ind w:left="700"/>
        <w:jc w:val="both"/>
      </w:pPr>
      <w:r>
        <w:rPr>
          <w:rFonts w:hint="eastAsia" w:ascii="仿宋" w:hAnsi="仿宋" w:eastAsia="仿宋" w:cs="仿宋"/>
          <w:sz w:val="31"/>
        </w:rPr>
        <w:t>（五）商业服务业等支出年初预算数为3.00万元，决算数</w:t>
      </w:r>
    </w:p>
    <w:p w14:paraId="3AD3D862">
      <w:pPr>
        <w:autoSpaceDE w:val="0"/>
        <w:autoSpaceDN w:val="0"/>
        <w:spacing w:line="620" w:lineRule="exact"/>
        <w:ind w:left="60"/>
        <w:jc w:val="both"/>
      </w:pPr>
      <w:r>
        <w:rPr>
          <w:rFonts w:hint="eastAsia" w:ascii="仿宋" w:hAnsi="仿宋" w:eastAsia="仿宋" w:cs="仿宋"/>
          <w:sz w:val="31"/>
        </w:rPr>
        <w:t>为 3.00万元，完成年初预算的100%，主要原因是：预算与决算基本持平。</w:t>
      </w:r>
    </w:p>
    <w:p w14:paraId="3D1130E1">
      <w:pPr>
        <w:spacing w:line="200" w:lineRule="exact"/>
        <w:rPr>
          <w:rFonts w:ascii="宋体" w:hAnsi="宋体" w:eastAsia="宋体" w:cs="宋体"/>
          <w:sz w:val="20"/>
        </w:rPr>
      </w:pPr>
    </w:p>
    <w:p w14:paraId="012FC49C">
      <w:pPr>
        <w:spacing w:line="200" w:lineRule="exact"/>
        <w:rPr>
          <w:rFonts w:ascii="宋体" w:hAnsi="宋体" w:eastAsia="宋体" w:cs="宋体"/>
          <w:sz w:val="20"/>
        </w:rPr>
      </w:pPr>
    </w:p>
    <w:p w14:paraId="264041F0">
      <w:pPr>
        <w:spacing w:line="200" w:lineRule="exact"/>
        <w:rPr>
          <w:rFonts w:ascii="宋体" w:hAnsi="宋体" w:eastAsia="宋体" w:cs="宋体"/>
          <w:sz w:val="20"/>
        </w:rPr>
      </w:pPr>
    </w:p>
    <w:p w14:paraId="3B34C6A1">
      <w:pPr>
        <w:spacing w:line="200" w:lineRule="exact"/>
        <w:rPr>
          <w:rFonts w:ascii="宋体" w:hAnsi="宋体" w:eastAsia="宋体" w:cs="宋体"/>
          <w:sz w:val="20"/>
        </w:rPr>
      </w:pPr>
    </w:p>
    <w:p w14:paraId="22AB3278">
      <w:pPr>
        <w:autoSpaceDE w:val="0"/>
        <w:autoSpaceDN w:val="0"/>
        <w:spacing w:line="440" w:lineRule="exact"/>
        <w:ind w:left="700"/>
        <w:jc w:val="both"/>
      </w:pPr>
      <w:r>
        <w:rPr>
          <w:rFonts w:hint="eastAsia" w:ascii="黑体" w:hAnsi="黑体" w:eastAsia="黑体" w:cs="黑体"/>
          <w:sz w:val="31"/>
        </w:rPr>
        <w:t>四、一般公共预算财政拨款基本支出决算情况说明</w:t>
      </w:r>
    </w:p>
    <w:p w14:paraId="544FE725">
      <w:pPr>
        <w:autoSpaceDE w:val="0"/>
        <w:autoSpaceDN w:val="0"/>
        <w:spacing w:line="620" w:lineRule="exact"/>
        <w:ind w:left="60" w:firstLine="580"/>
        <w:jc w:val="both"/>
      </w:pPr>
      <w:r>
        <w:rPr>
          <w:rFonts w:hint="eastAsia" w:ascii="仿宋" w:hAnsi="仿宋" w:eastAsia="仿宋" w:cs="仿宋"/>
          <w:sz w:val="31"/>
        </w:rPr>
        <w:t>本部门2020年度一般公共预算财政拨款基本支出239.48万元，其中：</w:t>
      </w:r>
    </w:p>
    <w:p w14:paraId="6A00BF76">
      <w:pPr>
        <w:autoSpaceDE w:val="0"/>
        <w:autoSpaceDN w:val="0"/>
        <w:spacing w:line="640" w:lineRule="exact"/>
        <w:ind w:left="700"/>
        <w:jc w:val="both"/>
      </w:pPr>
      <w:r>
        <w:rPr>
          <w:rFonts w:hint="eastAsia" w:ascii="仿宋" w:hAnsi="仿宋" w:eastAsia="仿宋" w:cs="仿宋"/>
          <w:sz w:val="31"/>
        </w:rPr>
        <w:t>（一）工资福利支出192.61万元，较2019年增加6.82万</w:t>
      </w:r>
    </w:p>
    <w:p w14:paraId="4FECF4D9">
      <w:pPr>
        <w:autoSpaceDE w:val="0"/>
        <w:autoSpaceDN w:val="0"/>
        <w:spacing w:line="620" w:lineRule="exact"/>
        <w:ind w:left="60" w:right="40"/>
        <w:jc w:val="both"/>
      </w:pPr>
      <w:r>
        <w:rPr>
          <w:rFonts w:hint="eastAsia" w:ascii="仿宋" w:hAnsi="仿宋" w:eastAsia="仿宋" w:cs="仿宋"/>
          <w:sz w:val="31"/>
        </w:rPr>
        <w:t>元，增长3.66 %，主要原因是：工资福利性支出增加，预算增加。</w:t>
      </w:r>
    </w:p>
    <w:p w14:paraId="14840E5E">
      <w:pPr>
        <w:spacing w:line="20" w:lineRule="exact"/>
        <w:rPr>
          <w:rFonts w:ascii="宋体" w:hAnsi="宋体" w:eastAsia="宋体" w:cs="宋体"/>
          <w:sz w:val="20"/>
        </w:rPr>
      </w:pPr>
      <w:r>
        <w:br w:type="page"/>
      </w:r>
    </w:p>
    <w:p w14:paraId="768104BB">
      <w:pPr>
        <w:spacing w:line="1" w:lineRule="exact"/>
        <w:rPr>
          <w:rFonts w:ascii="Arial" w:hAnsi="Arial" w:eastAsia="Arial" w:cs="Arial"/>
          <w:sz w:val="10"/>
        </w:rPr>
      </w:pPr>
    </w:p>
    <w:p w14:paraId="42209E20">
      <w:pPr>
        <w:spacing w:line="200" w:lineRule="exact"/>
        <w:rPr>
          <w:rFonts w:ascii="宋体" w:hAnsi="宋体" w:eastAsia="宋体" w:cs="宋体"/>
          <w:sz w:val="20"/>
        </w:rPr>
      </w:pPr>
    </w:p>
    <w:p w14:paraId="7B9BCBF4">
      <w:pPr>
        <w:spacing w:line="200" w:lineRule="exact"/>
        <w:rPr>
          <w:rFonts w:ascii="宋体" w:hAnsi="宋体" w:eastAsia="宋体" w:cs="宋体"/>
          <w:sz w:val="20"/>
        </w:rPr>
      </w:pPr>
    </w:p>
    <w:p w14:paraId="2FDFA4DB">
      <w:pPr>
        <w:spacing w:line="200" w:lineRule="exact"/>
        <w:rPr>
          <w:rFonts w:ascii="宋体" w:hAnsi="宋体" w:eastAsia="宋体" w:cs="宋体"/>
          <w:sz w:val="20"/>
        </w:rPr>
      </w:pPr>
    </w:p>
    <w:p w14:paraId="546B4576">
      <w:pPr>
        <w:spacing w:line="200" w:lineRule="exact"/>
        <w:rPr>
          <w:rFonts w:ascii="宋体" w:hAnsi="宋体" w:eastAsia="宋体" w:cs="宋体"/>
          <w:sz w:val="20"/>
        </w:rPr>
      </w:pPr>
    </w:p>
    <w:p w14:paraId="4C987877">
      <w:pPr>
        <w:spacing w:line="200" w:lineRule="exact"/>
        <w:rPr>
          <w:rFonts w:ascii="宋体" w:hAnsi="宋体" w:eastAsia="宋体" w:cs="宋体"/>
          <w:sz w:val="20"/>
        </w:rPr>
      </w:pPr>
    </w:p>
    <w:p w14:paraId="4FFADC1E">
      <w:pPr>
        <w:spacing w:line="200" w:lineRule="exact"/>
        <w:rPr>
          <w:rFonts w:ascii="宋体" w:hAnsi="宋体" w:eastAsia="宋体" w:cs="宋体"/>
          <w:sz w:val="20"/>
        </w:rPr>
      </w:pPr>
    </w:p>
    <w:p w14:paraId="6BF42322">
      <w:pPr>
        <w:spacing w:line="200" w:lineRule="exact"/>
        <w:rPr>
          <w:rFonts w:ascii="宋体" w:hAnsi="宋体" w:eastAsia="宋体" w:cs="宋体"/>
          <w:sz w:val="20"/>
        </w:rPr>
      </w:pPr>
    </w:p>
    <w:p w14:paraId="4A0D9C88">
      <w:pPr>
        <w:autoSpaceDE w:val="0"/>
        <w:autoSpaceDN w:val="0"/>
        <w:spacing w:line="540" w:lineRule="exact"/>
        <w:ind w:left="60" w:right="80" w:firstLine="580"/>
        <w:jc w:val="both"/>
      </w:pPr>
      <w:r>
        <w:rPr>
          <w:rFonts w:hint="eastAsia" w:ascii="仿宋" w:hAnsi="仿宋" w:eastAsia="仿宋" w:cs="仿宋"/>
          <w:sz w:val="31"/>
        </w:rPr>
        <w:t>（二）商品和服务支出66.52万元，较2019年减少43.32万元，下降39.44，主要原因是：节约办公经费。</w:t>
      </w:r>
    </w:p>
    <w:p w14:paraId="76375D87">
      <w:pPr>
        <w:autoSpaceDE w:val="0"/>
        <w:autoSpaceDN w:val="0"/>
        <w:spacing w:line="620" w:lineRule="exact"/>
        <w:ind w:left="60" w:firstLine="580"/>
        <w:jc w:val="both"/>
      </w:pPr>
      <w:r>
        <w:rPr>
          <w:rFonts w:hint="eastAsia" w:ascii="仿宋" w:hAnsi="仿宋" w:eastAsia="仿宋" w:cs="仿宋"/>
          <w:sz w:val="31"/>
        </w:rPr>
        <w:t>（三）对个人和家庭补助支出16.22万元，较2019年增加7.39万元，增长83.69%，主要原因是：退休人员发了奖励金。</w:t>
      </w:r>
    </w:p>
    <w:p w14:paraId="5AC10A60">
      <w:pPr>
        <w:autoSpaceDE w:val="0"/>
        <w:autoSpaceDN w:val="0"/>
        <w:spacing w:line="620" w:lineRule="exact"/>
        <w:ind w:left="60" w:firstLine="580"/>
        <w:jc w:val="both"/>
      </w:pPr>
      <w:r>
        <w:rPr>
          <w:rFonts w:hint="eastAsia" w:ascii="仿宋" w:hAnsi="仿宋" w:eastAsia="仿宋" w:cs="仿宋"/>
          <w:sz w:val="31"/>
        </w:rPr>
        <w:t>（四）资本性支出5.50万元，较2019年减少21.31万元，下降79.49，主要原因是：2019年搬办公室，购置办公设备。2020年节约办公经费。</w:t>
      </w:r>
    </w:p>
    <w:p w14:paraId="16E9FC84">
      <w:pPr>
        <w:autoSpaceDE w:val="0"/>
        <w:autoSpaceDN w:val="0"/>
        <w:spacing w:line="620" w:lineRule="exact"/>
        <w:ind w:left="700"/>
        <w:jc w:val="both"/>
      </w:pPr>
      <w:r>
        <w:rPr>
          <w:rFonts w:hint="eastAsia" w:ascii="黑体" w:hAnsi="黑体" w:eastAsia="黑体" w:cs="黑体"/>
          <w:sz w:val="31"/>
        </w:rPr>
        <w:t>五、一般公共预算财政拨款“三公”经费支出决算情况说明</w:t>
      </w:r>
    </w:p>
    <w:p w14:paraId="21F5A51B">
      <w:pPr>
        <w:autoSpaceDE w:val="0"/>
        <w:autoSpaceDN w:val="0"/>
        <w:spacing w:line="620" w:lineRule="exact"/>
        <w:ind w:left="700"/>
        <w:jc w:val="both"/>
      </w:pPr>
      <w:r>
        <w:rPr>
          <w:rFonts w:hint="eastAsia" w:ascii="仿宋" w:hAnsi="仿宋" w:eastAsia="仿宋" w:cs="仿宋"/>
          <w:sz w:val="31"/>
        </w:rPr>
        <w:t>本部门2020年度一般公共预算财政拨款“三公”经费支出</w:t>
      </w:r>
    </w:p>
    <w:p w14:paraId="6EFD0626">
      <w:pPr>
        <w:autoSpaceDE w:val="0"/>
        <w:autoSpaceDN w:val="0"/>
        <w:spacing w:line="640" w:lineRule="exact"/>
        <w:ind w:left="60"/>
        <w:jc w:val="both"/>
        <w:rPr>
          <w:lang w:eastAsia="zh-CN"/>
        </w:rPr>
      </w:pPr>
      <w:r>
        <w:rPr>
          <w:rFonts w:hint="eastAsia" w:ascii="仿宋" w:hAnsi="仿宋" w:eastAsia="仿宋" w:cs="仿宋"/>
          <w:sz w:val="31"/>
        </w:rPr>
        <w:t>年初预算数为6.68万元，决算数为6.67万元，完成预算的</w:t>
      </w:r>
      <w:r>
        <w:rPr>
          <w:rFonts w:hint="eastAsia" w:ascii="仿宋" w:hAnsi="仿宋" w:eastAsia="仿宋" w:cs="仿宋"/>
          <w:sz w:val="31"/>
          <w:lang w:eastAsia="zh-CN"/>
        </w:rPr>
        <w:t>99.85%</w:t>
      </w:r>
    </w:p>
    <w:p w14:paraId="682E42AF">
      <w:pPr>
        <w:autoSpaceDE w:val="0"/>
        <w:autoSpaceDN w:val="0"/>
        <w:spacing w:line="620" w:lineRule="exact"/>
        <w:ind w:left="60"/>
        <w:jc w:val="both"/>
      </w:pPr>
      <w:r>
        <w:rPr>
          <w:rFonts w:hint="eastAsia" w:ascii="仿宋" w:hAnsi="仿宋" w:eastAsia="仿宋" w:cs="仿宋"/>
          <w:sz w:val="31"/>
          <w:lang w:eastAsia="zh-CN"/>
        </w:rPr>
        <w:t>，</w:t>
      </w:r>
      <w:r>
        <w:rPr>
          <w:rFonts w:hint="eastAsia" w:ascii="仿宋" w:hAnsi="仿宋" w:eastAsia="仿宋" w:cs="仿宋"/>
          <w:sz w:val="31"/>
        </w:rPr>
        <w:t>决算数较2019年增加1.14万元，增长20.61%，其中：</w:t>
      </w:r>
    </w:p>
    <w:p w14:paraId="74797E94">
      <w:pPr>
        <w:autoSpaceDE w:val="0"/>
        <w:autoSpaceDN w:val="0"/>
        <w:spacing w:line="620" w:lineRule="exact"/>
        <w:ind w:left="700"/>
        <w:jc w:val="both"/>
        <w:rPr>
          <w:lang w:eastAsia="zh-CN"/>
        </w:rPr>
      </w:pPr>
      <w:r>
        <w:rPr>
          <w:rFonts w:hint="eastAsia" w:ascii="仿宋" w:hAnsi="仿宋" w:eastAsia="仿宋" w:cs="仿宋"/>
          <w:sz w:val="31"/>
        </w:rPr>
        <w:t>（一）因公出国（境）支出年初预算数为0万元，决算数为</w:t>
      </w:r>
      <w:r>
        <w:rPr>
          <w:rFonts w:hint="eastAsia" w:ascii="仿宋" w:hAnsi="仿宋" w:eastAsia="仿宋" w:cs="仿宋"/>
          <w:sz w:val="31"/>
          <w:lang w:eastAsia="zh-CN"/>
        </w:rPr>
        <w:t>0万</w:t>
      </w:r>
    </w:p>
    <w:p w14:paraId="622E9061">
      <w:pPr>
        <w:autoSpaceDE w:val="0"/>
        <w:autoSpaceDN w:val="0"/>
        <w:spacing w:line="620" w:lineRule="exact"/>
        <w:jc w:val="both"/>
      </w:pPr>
      <w:r>
        <w:rPr>
          <w:rFonts w:hint="eastAsia" w:ascii="仿宋" w:hAnsi="仿宋" w:eastAsia="仿宋" w:cs="仿宋"/>
          <w:sz w:val="31"/>
        </w:rPr>
        <w:t>元，完成预算的0 %，决算数较2019年增加0万元，增长0%，主要原因是未发生。决算数较年初预算数增加（减少）的主要原因是：未发生。全年安排因公出国（境）团组0个，累计0人次，主要为：未发生。</w:t>
      </w:r>
    </w:p>
    <w:p w14:paraId="43D1D85E">
      <w:pPr>
        <w:autoSpaceDE w:val="0"/>
        <w:autoSpaceDN w:val="0"/>
        <w:spacing w:line="620" w:lineRule="exact"/>
        <w:ind w:left="60" w:firstLine="580"/>
        <w:jc w:val="both"/>
        <w:rPr>
          <w:rFonts w:ascii="仿宋" w:hAnsi="仿宋" w:eastAsia="仿宋" w:cs="仿宋"/>
          <w:sz w:val="31"/>
        </w:rPr>
      </w:pPr>
      <w:r>
        <w:rPr>
          <w:rFonts w:hint="eastAsia" w:ascii="仿宋" w:hAnsi="仿宋" w:eastAsia="仿宋" w:cs="仿宋"/>
          <w:sz w:val="31"/>
        </w:rPr>
        <w:t>（二）公务接待费支出年初预算数为 1.5万元，决算数为1.5 万元，完成预算的100 %，决算数较2019年增加1.15万元，增长331.03%，主要原因是今年招开瓷博会，进博会议，招商引资工作加重。决算数较年初预算数持平的主要原因是：按年初预算执行。全年国内公务接待20批，累计接待96人次，其中外事接待0批，累计接待0人次，主要为：今年招开瓷博会、进博会议，招商引资工作加重。</w:t>
      </w:r>
    </w:p>
    <w:p w14:paraId="600A4A52">
      <w:pPr>
        <w:autoSpaceDE w:val="0"/>
        <w:autoSpaceDN w:val="0"/>
        <w:spacing w:line="620" w:lineRule="exact"/>
        <w:ind w:left="60" w:firstLine="580"/>
        <w:jc w:val="both"/>
        <w:rPr>
          <w:rFonts w:ascii="仿宋" w:hAnsi="仿宋" w:eastAsia="仿宋" w:cs="仿宋"/>
          <w:sz w:val="31"/>
        </w:rPr>
      </w:pPr>
    </w:p>
    <w:p w14:paraId="1E415ABA">
      <w:pPr>
        <w:spacing w:line="20" w:lineRule="exact"/>
        <w:rPr>
          <w:rFonts w:ascii="仿宋" w:hAnsi="仿宋" w:eastAsia="仿宋" w:cs="仿宋"/>
          <w:sz w:val="31"/>
        </w:rPr>
      </w:pPr>
      <w:r>
        <w:rPr>
          <w:rFonts w:ascii="仿宋" w:hAnsi="仿宋" w:eastAsia="仿宋" w:cs="仿宋"/>
          <w:sz w:val="31"/>
        </w:rPr>
        <w:br w:type="page"/>
      </w:r>
    </w:p>
    <w:p w14:paraId="52EBA1F8">
      <w:pPr>
        <w:spacing w:line="1" w:lineRule="exact"/>
        <w:rPr>
          <w:rFonts w:ascii="Arial" w:hAnsi="Arial" w:eastAsia="Arial" w:cs="Arial"/>
          <w:sz w:val="10"/>
        </w:rPr>
      </w:pPr>
    </w:p>
    <w:p w14:paraId="35FE2D87">
      <w:pPr>
        <w:spacing w:line="200" w:lineRule="exact"/>
        <w:rPr>
          <w:rFonts w:ascii="宋体" w:hAnsi="宋体" w:eastAsia="宋体" w:cs="宋体"/>
          <w:sz w:val="20"/>
        </w:rPr>
      </w:pPr>
    </w:p>
    <w:p w14:paraId="2CAECB53">
      <w:pPr>
        <w:spacing w:line="200" w:lineRule="exact"/>
        <w:rPr>
          <w:rFonts w:ascii="宋体" w:hAnsi="宋体" w:eastAsia="宋体" w:cs="宋体"/>
          <w:sz w:val="20"/>
        </w:rPr>
      </w:pPr>
    </w:p>
    <w:p w14:paraId="569D19DC">
      <w:pPr>
        <w:spacing w:line="200" w:lineRule="exact"/>
        <w:rPr>
          <w:rFonts w:ascii="宋体" w:hAnsi="宋体" w:eastAsia="宋体" w:cs="宋体"/>
          <w:sz w:val="20"/>
        </w:rPr>
      </w:pPr>
    </w:p>
    <w:p w14:paraId="7FFFC60D">
      <w:pPr>
        <w:spacing w:line="200" w:lineRule="exact"/>
        <w:rPr>
          <w:rFonts w:ascii="宋体" w:hAnsi="宋体" w:eastAsia="宋体" w:cs="宋体"/>
          <w:sz w:val="20"/>
        </w:rPr>
      </w:pPr>
    </w:p>
    <w:p w14:paraId="4BAA5B6E">
      <w:pPr>
        <w:spacing w:line="200" w:lineRule="exact"/>
        <w:rPr>
          <w:rFonts w:ascii="宋体" w:hAnsi="宋体" w:eastAsia="宋体" w:cs="宋体"/>
          <w:sz w:val="20"/>
        </w:rPr>
      </w:pPr>
    </w:p>
    <w:p w14:paraId="72A34BE2">
      <w:pPr>
        <w:spacing w:line="200" w:lineRule="exact"/>
        <w:rPr>
          <w:rFonts w:ascii="宋体" w:hAnsi="宋体" w:eastAsia="宋体" w:cs="宋体"/>
          <w:sz w:val="20"/>
        </w:rPr>
      </w:pPr>
    </w:p>
    <w:p w14:paraId="26E0D167">
      <w:pPr>
        <w:spacing w:line="200" w:lineRule="exact"/>
        <w:rPr>
          <w:rFonts w:ascii="宋体" w:hAnsi="宋体" w:eastAsia="宋体" w:cs="宋体"/>
          <w:sz w:val="20"/>
        </w:rPr>
      </w:pPr>
    </w:p>
    <w:p w14:paraId="57E9AAE6">
      <w:pPr>
        <w:autoSpaceDE w:val="0"/>
        <w:autoSpaceDN w:val="0"/>
        <w:spacing w:line="620" w:lineRule="exact"/>
        <w:ind w:left="700"/>
        <w:jc w:val="both"/>
        <w:rPr>
          <w:rFonts w:ascii="仿宋" w:hAnsi="仿宋" w:eastAsia="仿宋" w:cs="仿宋"/>
          <w:sz w:val="31"/>
        </w:rPr>
      </w:pPr>
      <w:r>
        <w:rPr>
          <w:rFonts w:hint="eastAsia" w:ascii="仿宋" w:hAnsi="仿宋" w:eastAsia="仿宋" w:cs="仿宋"/>
          <w:sz w:val="31"/>
        </w:rPr>
        <w:t>（三）公务用车购置及运行维护费支出5.18万元，其中公务用</w:t>
      </w:r>
    </w:p>
    <w:p w14:paraId="7E2B8D87">
      <w:pPr>
        <w:autoSpaceDE w:val="0"/>
        <w:autoSpaceDN w:val="0"/>
        <w:spacing w:line="620" w:lineRule="exact"/>
        <w:jc w:val="both"/>
        <w:rPr>
          <w:rFonts w:ascii="仿宋" w:hAnsi="仿宋" w:eastAsia="仿宋" w:cs="仿宋"/>
          <w:sz w:val="31"/>
        </w:rPr>
      </w:pPr>
      <w:r>
        <w:rPr>
          <w:rFonts w:hint="eastAsia" w:ascii="仿宋" w:hAnsi="仿宋" w:eastAsia="仿宋" w:cs="仿宋"/>
          <w:sz w:val="31"/>
        </w:rPr>
        <w:t>车购置年初预算数为5.18万元，决算数为5.17万元，完成预算的99.80 %，决算数较2019年减少0.01万元，下降0.19%，主要原因是基本与上年持平。全年购置公务用车0辆。决算数较年初预算数持平，无变化的主要原因是：未发生；公务用车运行维护费支出年初预算数为5.18万元，决算数为5.17万元，完成预算的99.8 %，决算数较2019年减少0.01万元，下降0.19 %，主要原因是基本与上年持平，年末公务用车保有1 辆。决算数较年初预算数持平的主要原因是：车辆持有数与上年一致，预算与决算数一致不变。</w:t>
      </w:r>
    </w:p>
    <w:p w14:paraId="4DF01ADF">
      <w:pPr>
        <w:autoSpaceDE w:val="0"/>
        <w:autoSpaceDN w:val="0"/>
        <w:spacing w:line="620" w:lineRule="exact"/>
        <w:ind w:left="700"/>
        <w:jc w:val="both"/>
      </w:pPr>
      <w:r>
        <w:rPr>
          <w:rFonts w:hint="eastAsia" w:ascii="黑体" w:hAnsi="黑体" w:eastAsia="黑体" w:cs="黑体"/>
          <w:sz w:val="31"/>
        </w:rPr>
        <w:t>六、机关运行经费支出情况说明</w:t>
      </w:r>
    </w:p>
    <w:p w14:paraId="58F2438C">
      <w:pPr>
        <w:autoSpaceDE w:val="0"/>
        <w:autoSpaceDN w:val="0"/>
        <w:spacing w:line="620" w:lineRule="exact"/>
        <w:ind w:left="860"/>
        <w:jc w:val="both"/>
        <w:rPr>
          <w:lang w:eastAsia="zh-CN"/>
        </w:rPr>
      </w:pPr>
      <w:r>
        <w:rPr>
          <w:rFonts w:hint="eastAsia" w:ascii="仿宋" w:hAnsi="仿宋" w:eastAsia="仿宋" w:cs="仿宋"/>
          <w:sz w:val="31"/>
        </w:rPr>
        <w:t>本部门2020年度机关运行经费支出23.56万元（与部门决</w:t>
      </w:r>
      <w:r>
        <w:rPr>
          <w:rFonts w:hint="eastAsia" w:ascii="仿宋" w:hAnsi="仿宋" w:eastAsia="仿宋" w:cs="仿宋"/>
          <w:sz w:val="31"/>
          <w:lang w:eastAsia="zh-CN"/>
        </w:rPr>
        <w:t>算中</w:t>
      </w:r>
    </w:p>
    <w:p w14:paraId="7ECBFE8A">
      <w:pPr>
        <w:autoSpaceDE w:val="0"/>
        <w:autoSpaceDN w:val="0"/>
        <w:spacing w:line="620" w:lineRule="exact"/>
        <w:ind w:left="60"/>
        <w:jc w:val="both"/>
      </w:pPr>
      <w:r>
        <w:rPr>
          <w:rFonts w:hint="eastAsia" w:ascii="仿宋" w:hAnsi="仿宋" w:eastAsia="仿宋" w:cs="仿宋"/>
          <w:sz w:val="31"/>
        </w:rPr>
        <w:t>行政单位和参照公务员法管理事业单位一般公共预算财政拨款基本支出中公用经费之和一致），较年初预算数（或者上年决算数）减少113.09万元，减少480%，主要原因是：上年项目支出未分，所以导致运行经费过大。</w:t>
      </w:r>
    </w:p>
    <w:p w14:paraId="38AEE0A4">
      <w:pPr>
        <w:autoSpaceDE w:val="0"/>
        <w:autoSpaceDN w:val="0"/>
        <w:spacing w:line="620" w:lineRule="exact"/>
        <w:ind w:left="700"/>
        <w:jc w:val="both"/>
      </w:pPr>
      <w:r>
        <w:rPr>
          <w:rFonts w:hint="eastAsia" w:ascii="黑体" w:hAnsi="黑体" w:eastAsia="黑体" w:cs="黑体"/>
          <w:sz w:val="31"/>
        </w:rPr>
        <w:t>七、政府采购支出情况说明</w:t>
      </w:r>
    </w:p>
    <w:p w14:paraId="15A4FC2C">
      <w:pPr>
        <w:autoSpaceDE w:val="0"/>
        <w:autoSpaceDN w:val="0"/>
        <w:spacing w:line="620" w:lineRule="exact"/>
        <w:ind w:left="60" w:firstLine="600"/>
        <w:jc w:val="both"/>
      </w:pPr>
      <w:r>
        <w:rPr>
          <w:rFonts w:hint="eastAsia" w:ascii="仿宋" w:hAnsi="仿宋" w:eastAsia="仿宋" w:cs="仿宋"/>
          <w:sz w:val="31"/>
        </w:rPr>
        <w:t>本部门2020年度政府采购支出总额5.50万元，其中：政府采购货物支出5.50万元、政府采购工程支出 0 万元、政府采购服务支出 0 万元。授予中小企业合同金额 0 万元，占政府采购支出总额的100 %，其中：授予小微企业合同金额 0 万元，占政府采购支出</w:t>
      </w:r>
    </w:p>
    <w:p w14:paraId="776CB7DB">
      <w:pPr>
        <w:sectPr>
          <w:pgSz w:w="11900" w:h="16840"/>
          <w:pgMar w:top="0" w:right="1400" w:bottom="0" w:left="1460" w:header="720" w:footer="720" w:gutter="0"/>
          <w:cols w:space="720" w:num="1"/>
        </w:sectPr>
      </w:pPr>
    </w:p>
    <w:p w14:paraId="4AC968C4">
      <w:pPr>
        <w:spacing w:line="1" w:lineRule="exact"/>
        <w:rPr>
          <w:rFonts w:ascii="Arial" w:hAnsi="Arial" w:eastAsia="Arial" w:cs="Arial"/>
          <w:sz w:val="10"/>
        </w:rPr>
      </w:pPr>
    </w:p>
    <w:p w14:paraId="7A20526F">
      <w:pPr>
        <w:spacing w:line="200" w:lineRule="exact"/>
        <w:rPr>
          <w:rFonts w:ascii="宋体" w:hAnsi="宋体" w:eastAsia="宋体" w:cs="宋体"/>
          <w:sz w:val="20"/>
        </w:rPr>
      </w:pPr>
    </w:p>
    <w:p w14:paraId="2F344671">
      <w:pPr>
        <w:spacing w:line="200" w:lineRule="exact"/>
        <w:rPr>
          <w:rFonts w:ascii="宋体" w:hAnsi="宋体" w:eastAsia="宋体" w:cs="宋体"/>
          <w:sz w:val="20"/>
        </w:rPr>
      </w:pPr>
    </w:p>
    <w:p w14:paraId="17517FCD">
      <w:pPr>
        <w:spacing w:line="200" w:lineRule="exact"/>
        <w:rPr>
          <w:rFonts w:ascii="宋体" w:hAnsi="宋体" w:eastAsia="宋体" w:cs="宋体"/>
          <w:sz w:val="20"/>
        </w:rPr>
      </w:pPr>
    </w:p>
    <w:p w14:paraId="57AE082E">
      <w:pPr>
        <w:spacing w:line="200" w:lineRule="exact"/>
        <w:rPr>
          <w:rFonts w:ascii="宋体" w:hAnsi="宋体" w:eastAsia="宋体" w:cs="宋体"/>
          <w:sz w:val="20"/>
        </w:rPr>
      </w:pPr>
    </w:p>
    <w:p w14:paraId="776D8655">
      <w:pPr>
        <w:spacing w:line="200" w:lineRule="exact"/>
        <w:rPr>
          <w:rFonts w:ascii="宋体" w:hAnsi="宋体" w:eastAsia="宋体" w:cs="宋体"/>
          <w:sz w:val="20"/>
        </w:rPr>
      </w:pPr>
    </w:p>
    <w:p w14:paraId="4307A9E8">
      <w:pPr>
        <w:spacing w:line="200" w:lineRule="exact"/>
        <w:rPr>
          <w:rFonts w:ascii="宋体" w:hAnsi="宋体" w:eastAsia="宋体" w:cs="宋体"/>
          <w:sz w:val="20"/>
        </w:rPr>
      </w:pPr>
    </w:p>
    <w:p w14:paraId="01904A26">
      <w:pPr>
        <w:spacing w:line="200" w:lineRule="exact"/>
        <w:rPr>
          <w:rFonts w:ascii="宋体" w:hAnsi="宋体" w:eastAsia="宋体" w:cs="宋体"/>
          <w:sz w:val="20"/>
        </w:rPr>
      </w:pPr>
    </w:p>
    <w:p w14:paraId="00267B6B">
      <w:pPr>
        <w:autoSpaceDE w:val="0"/>
        <w:autoSpaceDN w:val="0"/>
        <w:spacing w:line="560" w:lineRule="exact"/>
        <w:ind w:left="260" w:right="40"/>
        <w:jc w:val="both"/>
      </w:pPr>
      <w:r>
        <w:rPr>
          <w:rFonts w:hint="eastAsia" w:ascii="仿宋" w:hAnsi="仿宋" w:eastAsia="仿宋" w:cs="仿宋"/>
          <w:sz w:val="31"/>
        </w:rPr>
        <w:t>总额的0 %。（市级部门公开的政府采购金额的计算口径为：本部门纳入2020年部门预算范围的各项政府采购支出金额之和，不包括涉密采购项目的支出金额。）</w:t>
      </w:r>
    </w:p>
    <w:p w14:paraId="7ACFE1C8">
      <w:pPr>
        <w:autoSpaceDE w:val="0"/>
        <w:autoSpaceDN w:val="0"/>
        <w:spacing w:line="620" w:lineRule="exact"/>
        <w:ind w:left="900"/>
        <w:jc w:val="both"/>
      </w:pPr>
      <w:r>
        <w:rPr>
          <w:rFonts w:hint="eastAsia" w:ascii="黑体" w:hAnsi="黑体" w:eastAsia="黑体" w:cs="黑体"/>
          <w:sz w:val="31"/>
        </w:rPr>
        <w:t>八、国有资产占用情况说明</w:t>
      </w:r>
    </w:p>
    <w:p w14:paraId="494133AB">
      <w:pPr>
        <w:autoSpaceDE w:val="0"/>
        <w:autoSpaceDN w:val="0"/>
        <w:spacing w:line="640" w:lineRule="exact"/>
        <w:ind w:left="900"/>
        <w:jc w:val="both"/>
      </w:pPr>
      <w:r>
        <w:rPr>
          <w:rFonts w:hint="eastAsia" w:ascii="仿宋" w:hAnsi="仿宋" w:eastAsia="仿宋" w:cs="仿宋"/>
          <w:sz w:val="31"/>
        </w:rPr>
        <w:t>截至</w:t>
      </w:r>
      <w:bookmarkStart w:id="17" w:name="_GoBack"/>
      <w:bookmarkEnd w:id="17"/>
      <w:r>
        <w:rPr>
          <w:rFonts w:hint="eastAsia" w:ascii="仿宋" w:hAnsi="仿宋" w:eastAsia="仿宋" w:cs="仿宋"/>
          <w:sz w:val="31"/>
        </w:rPr>
        <w:t>2020年 12月 31日，本部门（单位）国有资产占用情</w:t>
      </w:r>
    </w:p>
    <w:p w14:paraId="71C4A40F">
      <w:pPr>
        <w:autoSpaceDE w:val="0"/>
        <w:autoSpaceDN w:val="0"/>
        <w:spacing w:line="620" w:lineRule="exact"/>
        <w:ind w:left="260" w:right="60"/>
        <w:jc w:val="both"/>
      </w:pPr>
      <w:r>
        <w:rPr>
          <w:rFonts w:hint="eastAsia" w:ascii="仿宋" w:hAnsi="仿宋" w:eastAsia="仿宋" w:cs="仿宋"/>
          <w:sz w:val="31"/>
        </w:rPr>
        <w:t>况见公开10表《国有资产占用情况表》。</w:t>
      </w:r>
      <w:r>
        <w:rPr>
          <w:rFonts w:hint="eastAsia" w:ascii="仿宋" w:hAnsi="仿宋" w:eastAsia="仿宋" w:cs="仿宋"/>
          <w:sz w:val="30"/>
        </w:rPr>
        <w:t>其中车辆中的其他用车主要是公务用车。本部门共有车辆2辆，其中一般公务用车2辆。</w:t>
      </w:r>
    </w:p>
    <w:p w14:paraId="1B18FAFE">
      <w:pPr>
        <w:autoSpaceDE w:val="0"/>
        <w:autoSpaceDN w:val="0"/>
        <w:spacing w:line="620" w:lineRule="exact"/>
        <w:ind w:left="900"/>
        <w:jc w:val="both"/>
      </w:pPr>
      <w:r>
        <w:rPr>
          <w:rFonts w:hint="eastAsia" w:ascii="黑体" w:hAnsi="黑体" w:eastAsia="黑体" w:cs="黑体"/>
          <w:sz w:val="31"/>
        </w:rPr>
        <w:t>九、预算绩效情况说明</w:t>
      </w:r>
    </w:p>
    <w:p w14:paraId="748CACAD">
      <w:pPr>
        <w:autoSpaceDE w:val="0"/>
        <w:autoSpaceDN w:val="0"/>
        <w:spacing w:line="620" w:lineRule="exact"/>
        <w:ind w:left="900"/>
        <w:jc w:val="both"/>
      </w:pPr>
      <w:r>
        <w:rPr>
          <w:rFonts w:hint="eastAsia" w:ascii="楷体" w:hAnsi="楷体" w:eastAsia="楷体" w:cs="楷体"/>
          <w:b/>
          <w:sz w:val="31"/>
        </w:rPr>
        <w:t>（一）绩效管理工作开展情况。</w:t>
      </w:r>
    </w:p>
    <w:p w14:paraId="0C6EC5BA">
      <w:pPr>
        <w:autoSpaceDE w:val="0"/>
        <w:autoSpaceDN w:val="0"/>
        <w:spacing w:line="620" w:lineRule="exact"/>
        <w:ind w:left="420"/>
        <w:jc w:val="both"/>
      </w:pPr>
      <w:r>
        <w:rPr>
          <w:rFonts w:hint="eastAsia" w:ascii="仿宋" w:hAnsi="仿宋" w:eastAsia="仿宋" w:cs="仿宋"/>
          <w:sz w:val="30"/>
        </w:rPr>
        <w:t>（一）绩效管理工作开展情况。</w:t>
      </w:r>
    </w:p>
    <w:p w14:paraId="6776FD09">
      <w:pPr>
        <w:autoSpaceDE w:val="0"/>
        <w:autoSpaceDN w:val="0"/>
        <w:spacing w:line="620" w:lineRule="exact"/>
        <w:ind w:left="860"/>
        <w:jc w:val="both"/>
      </w:pPr>
      <w:r>
        <w:rPr>
          <w:rFonts w:hint="eastAsia" w:ascii="仿宋" w:hAnsi="仿宋" w:eastAsia="仿宋" w:cs="仿宋"/>
          <w:sz w:val="30"/>
        </w:rPr>
        <w:t>根据预算绩效管理要求，我部门组织对2020年度一般公共预算</w:t>
      </w:r>
    </w:p>
    <w:p w14:paraId="4A822068">
      <w:pPr>
        <w:autoSpaceDE w:val="0"/>
        <w:autoSpaceDN w:val="0"/>
        <w:spacing w:line="620" w:lineRule="exact"/>
        <w:ind w:left="60" w:right="220"/>
        <w:jc w:val="both"/>
      </w:pPr>
      <w:r>
        <w:rPr>
          <w:rFonts w:hint="eastAsia" w:ascii="仿宋" w:hAnsi="仿宋" w:eastAsia="仿宋" w:cs="仿宋"/>
          <w:sz w:val="30"/>
        </w:rPr>
        <w:t>项目支出全面开展绩效自评，其中，一级项目 1 个，共涉及资金55万元，占一般公共预算项目支出总额的100 %。</w:t>
      </w:r>
    </w:p>
    <w:p w14:paraId="2941481A">
      <w:pPr>
        <w:autoSpaceDE w:val="0"/>
        <w:autoSpaceDN w:val="0"/>
        <w:spacing w:line="560" w:lineRule="exact"/>
        <w:ind w:left="120" w:right="40" w:firstLine="600"/>
        <w:jc w:val="both"/>
      </w:pPr>
      <w:r>
        <w:rPr>
          <w:rFonts w:hint="eastAsia" w:ascii="仿宋" w:hAnsi="仿宋" w:eastAsia="仿宋" w:cs="仿宋"/>
          <w:sz w:val="30"/>
        </w:rPr>
        <w:t>组织对“驻外机构专项经费”等 1个项目开展了部门评价，涉及一般公共预算支出55万元。从评价情况来看，</w:t>
      </w:r>
      <w:r>
        <w:rPr>
          <w:rFonts w:hint="eastAsia" w:ascii="仿宋" w:hAnsi="仿宋" w:eastAsia="仿宋" w:cs="仿宋"/>
          <w:sz w:val="31"/>
        </w:rPr>
        <w:t>经我办绩效评价小组评定，2020年整体支出绩效总分为98分（其中基础工作管理指标19分、绩效目标管理指标25分、绩效监控管理指标14分、绩效评价管理指标25分）。</w:t>
      </w:r>
    </w:p>
    <w:p w14:paraId="530D823C">
      <w:pPr>
        <w:autoSpaceDE w:val="0"/>
        <w:autoSpaceDN w:val="0"/>
        <w:spacing w:line="560" w:lineRule="exact"/>
        <w:ind w:left="120" w:right="40" w:firstLine="600"/>
        <w:jc w:val="both"/>
        <w:rPr>
          <w:rFonts w:ascii="仿宋" w:hAnsi="仿宋" w:eastAsia="仿宋" w:cs="仿宋"/>
          <w:sz w:val="30"/>
        </w:rPr>
      </w:pPr>
      <w:r>
        <w:rPr>
          <w:rFonts w:hint="eastAsia" w:ascii="仿宋" w:hAnsi="仿宋" w:eastAsia="仿宋" w:cs="仿宋"/>
          <w:sz w:val="30"/>
        </w:rPr>
        <w:t>（二）部门决算中项目绩效自评结果。</w:t>
      </w:r>
      <w:r>
        <w:rPr>
          <w:rFonts w:ascii="仿宋" w:hAnsi="仿宋" w:eastAsia="仿宋" w:cs="仿宋"/>
          <w:sz w:val="30"/>
        </w:rPr>
        <w:t>（应当将2020年度市级部门决算项目绩效自评综述和《项目支出绩效自评表》进行公开。）</w:t>
      </w:r>
    </w:p>
    <w:p w14:paraId="0C4940DE">
      <w:pPr>
        <w:autoSpaceDE w:val="0"/>
        <w:autoSpaceDN w:val="0"/>
        <w:spacing w:line="560" w:lineRule="exact"/>
        <w:ind w:left="120" w:right="40" w:firstLine="750" w:firstLineChars="250"/>
        <w:jc w:val="both"/>
        <w:rPr>
          <w:rFonts w:ascii="仿宋" w:hAnsi="仿宋" w:eastAsia="仿宋" w:cs="仿宋"/>
          <w:sz w:val="30"/>
        </w:rPr>
      </w:pPr>
      <w:r>
        <w:rPr>
          <w:rFonts w:hint="eastAsia" w:ascii="仿宋" w:hAnsi="仿宋" w:eastAsia="仿宋" w:cs="仿宋"/>
          <w:sz w:val="30"/>
        </w:rPr>
        <w:t>我部门今年在省级部门决算中反映“驻外机构专项经费”项目绩效自评结果。</w:t>
      </w:r>
    </w:p>
    <w:p w14:paraId="5F8A1A8D">
      <w:pPr>
        <w:autoSpaceDE w:val="0"/>
        <w:autoSpaceDN w:val="0"/>
        <w:spacing w:line="560" w:lineRule="exact"/>
        <w:ind w:left="120" w:right="40" w:firstLine="600"/>
        <w:jc w:val="both"/>
        <w:rPr>
          <w:rFonts w:ascii="仿宋" w:hAnsi="仿宋" w:eastAsia="仿宋" w:cs="仿宋"/>
          <w:sz w:val="30"/>
        </w:rPr>
      </w:pPr>
      <w:r>
        <w:rPr>
          <w:rFonts w:ascii="仿宋" w:hAnsi="仿宋" w:eastAsia="仿宋" w:cs="仿宋"/>
          <w:sz w:val="30"/>
        </w:rPr>
        <w:t>项目绩效自评总体综述：根据年初设定的绩效目标</w:t>
      </w:r>
      <w:r>
        <w:rPr>
          <w:rFonts w:hint="eastAsia" w:ascii="仿宋" w:hAnsi="仿宋" w:eastAsia="仿宋" w:cs="仿宋"/>
          <w:sz w:val="30"/>
        </w:rPr>
        <w:t>，“驻外机构专项经费”</w:t>
      </w:r>
      <w:r>
        <w:rPr>
          <w:rFonts w:ascii="仿宋" w:hAnsi="仿宋" w:eastAsia="仿宋" w:cs="仿宋"/>
          <w:sz w:val="30"/>
        </w:rPr>
        <w:t xml:space="preserve">项目依照中央、省、市的要求决策，依据充分、目标明确、程序合理，与政策高度相关；项目资金到位及时，资金使 用按预算（计划）执行，项目的组织和管理基本有效，项目的产出达到目标，项目效果良好，项目的预期绩效基本实现，项目总体评分为“98 </w:t>
      </w:r>
      <w:r>
        <w:rPr>
          <w:rFonts w:hint="eastAsia" w:ascii="仿宋" w:hAnsi="仿宋" w:eastAsia="仿宋" w:cs="仿宋"/>
          <w:sz w:val="30"/>
        </w:rPr>
        <w:t>”，</w:t>
      </w:r>
      <w:r>
        <w:rPr>
          <w:rFonts w:ascii="仿宋" w:hAnsi="仿宋" w:eastAsia="仿宋" w:cs="仿宋"/>
          <w:sz w:val="30"/>
        </w:rPr>
        <w:t>评定级别为优。</w:t>
      </w:r>
      <w:r>
        <w:rPr>
          <w:rFonts w:hint="eastAsia" w:ascii="仿宋" w:hAnsi="仿宋" w:eastAsia="仿宋" w:cs="仿宋"/>
          <w:sz w:val="30"/>
        </w:rPr>
        <w:t>全年预算数为55万元，执行数为51万元，完成预算的92.72%。</w:t>
      </w:r>
    </w:p>
    <w:p w14:paraId="32321628">
      <w:pPr>
        <w:autoSpaceDE w:val="0"/>
        <w:autoSpaceDN w:val="0"/>
        <w:spacing w:line="560" w:lineRule="exact"/>
        <w:ind w:left="120" w:right="40" w:firstLine="600"/>
        <w:jc w:val="both"/>
        <w:rPr>
          <w:rFonts w:hint="eastAsia" w:ascii="仿宋" w:hAnsi="仿宋" w:eastAsia="仿宋" w:cs="仿宋"/>
          <w:sz w:val="30"/>
        </w:rPr>
      </w:pPr>
      <w:r>
        <w:rPr>
          <w:rFonts w:ascii="仿宋" w:hAnsi="仿宋" w:eastAsia="仿宋" w:cs="仿宋"/>
          <w:sz w:val="30"/>
        </w:rPr>
        <w:t>发现的问题及原因：一是评审人员紧缺，评审任务重；二是 目前在绩效管理实际工作中，还存在诸多问题和制约因素，其中 最突出的就是大家的绩效管理水平不高。下一步改进措施：一是 进一步加强对项目评审机构的管理；二是不断完善绩效考评体系 建设，增强其科学性和可操作性；三是强化激励作用，充分利用 考评结果；四是加强项目资金的管理，及时拨付项目评审经费。</w:t>
      </w:r>
    </w:p>
    <w:p w14:paraId="27D1A51E">
      <w:pPr>
        <w:ind w:firstLine="723"/>
        <w:outlineLvl w:val="0"/>
        <w:rPr>
          <w:rFonts w:ascii="仿宋" w:hAnsi="仿宋" w:eastAsia="仿宋" w:cs="仿宋"/>
          <w:sz w:val="30"/>
        </w:rPr>
      </w:pPr>
      <w:r>
        <w:rPr>
          <w:rFonts w:ascii="仿宋" w:hAnsi="仿宋" w:eastAsia="仿宋" w:cs="仿宋"/>
          <w:sz w:val="30"/>
        </w:rPr>
        <w:t>（三）部门评价项目绩效评价结果。 详见附件：</w:t>
      </w:r>
      <w:bookmarkStart w:id="0" w:name="_Toc15455"/>
      <w:r>
        <w:rPr>
          <w:rFonts w:hint="eastAsia" w:ascii="仿宋" w:hAnsi="仿宋" w:eastAsia="仿宋" w:cs="仿宋"/>
          <w:sz w:val="30"/>
        </w:rPr>
        <w:t>景德镇市人民政府驻上海联络处2020年度财政预算绩效管理</w:t>
      </w:r>
      <w:bookmarkEnd w:id="0"/>
      <w:r>
        <w:rPr>
          <w:rFonts w:hint="eastAsia" w:ascii="仿宋" w:hAnsi="仿宋" w:eastAsia="仿宋" w:cs="仿宋"/>
          <w:sz w:val="30"/>
        </w:rPr>
        <w:t>报告</w:t>
      </w:r>
    </w:p>
    <w:p w14:paraId="3FC5AF6C">
      <w:pPr>
        <w:autoSpaceDE w:val="0"/>
        <w:autoSpaceDN w:val="0"/>
        <w:spacing w:line="560" w:lineRule="exact"/>
        <w:ind w:left="120" w:right="40" w:firstLine="600"/>
        <w:jc w:val="both"/>
        <w:rPr>
          <w:rFonts w:ascii="仿宋" w:hAnsi="仿宋" w:eastAsia="仿宋" w:cs="仿宋"/>
          <w:sz w:val="30"/>
        </w:rPr>
      </w:pPr>
    </w:p>
    <w:p w14:paraId="67D21861">
      <w:pPr>
        <w:autoSpaceDE w:val="0"/>
        <w:autoSpaceDN w:val="0"/>
        <w:spacing w:line="560" w:lineRule="exact"/>
        <w:ind w:left="120" w:right="40" w:firstLine="600"/>
        <w:jc w:val="both"/>
        <w:rPr>
          <w:rFonts w:ascii="仿宋" w:hAnsi="仿宋" w:eastAsia="仿宋" w:cs="仿宋"/>
          <w:sz w:val="30"/>
        </w:rPr>
      </w:pPr>
    </w:p>
    <w:p w14:paraId="60476C51">
      <w:pPr>
        <w:autoSpaceDE w:val="0"/>
        <w:autoSpaceDN w:val="0"/>
        <w:spacing w:line="560" w:lineRule="exact"/>
        <w:ind w:left="120" w:right="40" w:firstLine="600"/>
        <w:jc w:val="both"/>
        <w:rPr>
          <w:rFonts w:ascii="仿宋" w:hAnsi="仿宋" w:eastAsia="仿宋" w:cs="仿宋"/>
          <w:sz w:val="30"/>
        </w:rPr>
      </w:pPr>
    </w:p>
    <w:p w14:paraId="7EF59630">
      <w:pPr>
        <w:autoSpaceDE w:val="0"/>
        <w:autoSpaceDN w:val="0"/>
        <w:spacing w:line="320" w:lineRule="exact"/>
        <w:ind w:left="2040"/>
        <w:jc w:val="center"/>
        <w:rPr>
          <w:rFonts w:hint="eastAsia" w:ascii="宋体" w:hAnsi="宋体" w:eastAsia="宋体" w:cs="宋体"/>
          <w:b/>
          <w:sz w:val="31"/>
        </w:rPr>
      </w:pPr>
      <w:r>
        <w:rPr>
          <w:rFonts w:hint="eastAsia" w:ascii="宋体" w:hAnsi="宋体" w:eastAsia="宋体" w:cs="宋体"/>
          <w:b/>
          <w:sz w:val="31"/>
        </w:rPr>
        <w:t>第四部分 名词解释</w:t>
      </w:r>
    </w:p>
    <w:p w14:paraId="64E5022B">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一、收入科目</w:t>
      </w:r>
    </w:p>
    <w:p w14:paraId="3556C171">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（一）财政拨款：指市级财政当年拨付的资金。</w:t>
      </w:r>
    </w:p>
    <w:p w14:paraId="3C1F9F9E">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（二）其他收入：指除财政拨款、事业收入、事业单位经营收入等以外的各项收入。</w:t>
      </w:r>
    </w:p>
    <w:p w14:paraId="6ADA0DFF">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（三）上年结转和结余：填列上年全部结转和结余的资金，包括当年结转结余资金和历年滚存结转结余资金。</w:t>
      </w:r>
    </w:p>
    <w:p w14:paraId="1D5103CC">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二、支出科目</w:t>
      </w:r>
    </w:p>
    <w:p w14:paraId="1B70A0FE">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（一）一般公共服务支出（类）党委办公厅（室）及相关机构事务（款）行政运行（项）：指反映行政单位（包括 实行公务员管理的事业单位）的基本支出。</w:t>
      </w:r>
    </w:p>
    <w:p w14:paraId="4D243FA7">
      <w:pPr>
        <w:autoSpaceDE w:val="0"/>
        <w:autoSpaceDN w:val="0"/>
        <w:spacing w:line="560" w:lineRule="exact"/>
        <w:ind w:left="120" w:right="40" w:firstLine="600"/>
        <w:jc w:val="both"/>
        <w:rPr>
          <w:rFonts w:hint="eastAsia" w:ascii="仿宋" w:hAnsi="仿宋" w:eastAsia="仿宋" w:cs="仿宋"/>
          <w:sz w:val="31"/>
          <w:szCs w:val="31"/>
        </w:rPr>
      </w:pPr>
      <w:r>
        <w:rPr>
          <w:rFonts w:hint="eastAsia" w:ascii="仿宋" w:hAnsi="仿宋" w:eastAsia="仿宋" w:cs="仿宋"/>
          <w:sz w:val="31"/>
          <w:szCs w:val="31"/>
        </w:rPr>
        <w:t>（二）一般公共服务支出（类）党委办公厅（室）及相 关机构事务（款）一般行政管理事务（项）：指反映行政单 位（包括实行公务员管理的事业单位）未单独设置顶级科目 的其他项目支出。</w:t>
      </w:r>
    </w:p>
    <w:p w14:paraId="5B21FB8F">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（三）一般公共服务支出（类）党委办公厅（室）及相 关机构事务（款）事业运行（项）：指反映事业单位的基本 支出，不包括行政单位（包括实行公务员管理的事业单位） 后勤服务中心、医务室等附属事业单位。</w:t>
      </w:r>
    </w:p>
    <w:p w14:paraId="384131A4">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（四）社会保障和就业支出（类）行政事业单位离退休 （款）机关事业单位基本养老保险缴费支出（项）：指反映 机关事业单位实施养老保险制度由单位缴纳的基本养老保 险费支出。</w:t>
      </w:r>
    </w:p>
    <w:p w14:paraId="0BB85A31">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 xml:space="preserve"> （五）医疗卫生与计划生育支出（类）行政事业单位医 疗（款）行政单位医疗（项）：指反映财政部门集中安排的 行政单位基本医疗保险缴费的经费，未参加医疗保险的行政 单位的公费医疗缴费，按国家规定享受离休人员、红军老战 士待遇人员的医疗经费。</w:t>
      </w:r>
    </w:p>
    <w:p w14:paraId="0EAF3F62">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（六）住房保障支出（类）住房改革支出（款）购房补 贴（项）：指反映按房改政策规定，行政事业单位向符合条件职工（含离退休人员）、军队（含武警）向转役复原离退休人员发放的用于购买住房的补贴。</w:t>
      </w:r>
    </w:p>
    <w:p w14:paraId="6682C641">
      <w:pPr>
        <w:autoSpaceDE w:val="0"/>
        <w:autoSpaceDN w:val="0"/>
        <w:spacing w:line="560" w:lineRule="exact"/>
        <w:ind w:left="120" w:right="40" w:firstLine="600"/>
        <w:jc w:val="both"/>
        <w:rPr>
          <w:rFonts w:hint="eastAsia" w:ascii="仿宋" w:hAnsi="仿宋" w:eastAsia="仿宋" w:cs="仿宋"/>
          <w:sz w:val="31"/>
          <w:szCs w:val="31"/>
          <w:lang w:eastAsia="zh-CN"/>
        </w:rPr>
      </w:pPr>
      <w:r>
        <w:rPr>
          <w:rFonts w:hint="eastAsia" w:ascii="仿宋" w:hAnsi="仿宋" w:eastAsia="仿宋" w:cs="仿宋"/>
          <w:sz w:val="31"/>
          <w:szCs w:val="31"/>
        </w:rPr>
        <w:t>（七）“三公”经费支出 ：</w:t>
      </w:r>
    </w:p>
    <w:p w14:paraId="7DC0420D">
      <w:pPr>
        <w:autoSpaceDE w:val="0"/>
        <w:autoSpaceDN w:val="0"/>
        <w:spacing w:line="560" w:lineRule="exact"/>
        <w:ind w:left="120" w:right="40" w:firstLine="600"/>
        <w:jc w:val="both"/>
        <w:rPr>
          <w:rFonts w:ascii="仿宋" w:hAnsi="仿宋" w:eastAsia="仿宋" w:cs="仿宋"/>
          <w:sz w:val="31"/>
          <w:szCs w:val="31"/>
        </w:rPr>
      </w:pPr>
      <w:r>
        <w:rPr>
          <w:rFonts w:hint="eastAsia" w:ascii="仿宋" w:hAnsi="仿宋" w:eastAsia="仿宋" w:cs="仿宋"/>
          <w:sz w:val="31"/>
          <w:szCs w:val="31"/>
        </w:rPr>
        <w:t>“三公”经费支出包括：因公出国（境）费、公务用车购置及运行维护费、公务接待费。</w:t>
      </w:r>
    </w:p>
    <w:p w14:paraId="06813703">
      <w:pPr>
        <w:autoSpaceDE w:val="0"/>
        <w:autoSpaceDN w:val="0"/>
        <w:spacing w:line="560" w:lineRule="exact"/>
        <w:ind w:left="120" w:right="40" w:firstLine="600"/>
        <w:jc w:val="both"/>
        <w:rPr>
          <w:rFonts w:hint="eastAsia" w:ascii="仿宋" w:hAnsi="仿宋" w:eastAsia="仿宋" w:cs="仿宋"/>
          <w:sz w:val="31"/>
          <w:szCs w:val="31"/>
          <w:lang w:eastAsia="zh-CN"/>
        </w:rPr>
      </w:pPr>
      <w:r>
        <w:rPr>
          <w:rFonts w:hint="eastAsia" w:ascii="仿宋" w:hAnsi="仿宋" w:eastAsia="仿宋" w:cs="仿宋"/>
          <w:sz w:val="31"/>
          <w:szCs w:val="31"/>
        </w:rPr>
        <w:t>（八）机关运行经费支出：</w:t>
      </w:r>
    </w:p>
    <w:p w14:paraId="3E2D8A2E">
      <w:pPr>
        <w:autoSpaceDE w:val="0"/>
        <w:autoSpaceDN w:val="0"/>
        <w:spacing w:line="560" w:lineRule="exact"/>
        <w:ind w:left="120" w:right="40" w:firstLine="600"/>
        <w:jc w:val="both"/>
        <w:rPr>
          <w:rFonts w:hint="eastAsia" w:ascii="仿宋" w:hAnsi="仿宋" w:eastAsia="仿宋" w:cs="仿宋"/>
          <w:sz w:val="31"/>
          <w:szCs w:val="31"/>
          <w:lang w:eastAsia="zh-CN"/>
        </w:rPr>
      </w:pPr>
      <w:r>
        <w:rPr>
          <w:rFonts w:hint="eastAsia" w:ascii="仿宋" w:hAnsi="仿宋" w:eastAsia="仿宋" w:cs="仿宋"/>
          <w:sz w:val="31"/>
          <w:szCs w:val="31"/>
        </w:rPr>
        <w:t>按照财政部《地方预决算公开操作规程》明确的口径， 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14:paraId="1CF4902B">
      <w:pPr>
        <w:ind w:firstLine="723"/>
        <w:jc w:val="center"/>
        <w:outlineLvl w:val="0"/>
        <w:rPr>
          <w:rFonts w:hint="eastAsia" w:ascii="宋体" w:hAnsi="宋体" w:eastAsia="宋体" w:cs="宋体"/>
          <w:b/>
          <w:bCs/>
          <w:sz w:val="36"/>
          <w:szCs w:val="36"/>
          <w:lang w:eastAsia="zh-CN"/>
        </w:rPr>
      </w:pPr>
    </w:p>
    <w:p w14:paraId="3A1C5D32">
      <w:pPr>
        <w:ind w:firstLine="723"/>
        <w:jc w:val="center"/>
        <w:outlineLvl w:val="0"/>
        <w:rPr>
          <w:rFonts w:hint="eastAsia" w:ascii="宋体" w:hAnsi="宋体" w:eastAsia="宋体" w:cs="宋体"/>
          <w:b/>
          <w:bCs/>
          <w:sz w:val="36"/>
          <w:szCs w:val="36"/>
          <w:lang w:eastAsia="zh-CN"/>
        </w:rPr>
      </w:pPr>
    </w:p>
    <w:p w14:paraId="578A628D">
      <w:pPr>
        <w:ind w:firstLine="723"/>
        <w:jc w:val="center"/>
        <w:outlineLvl w:val="0"/>
        <w:rPr>
          <w:rFonts w:hint="eastAsia" w:ascii="宋体" w:hAnsi="宋体" w:eastAsia="宋体" w:cs="宋体"/>
          <w:b/>
          <w:bCs/>
          <w:sz w:val="36"/>
          <w:szCs w:val="36"/>
          <w:lang w:eastAsia="zh-CN"/>
        </w:rPr>
      </w:pPr>
    </w:p>
    <w:p w14:paraId="4A1DB987">
      <w:pPr>
        <w:ind w:firstLine="723"/>
        <w:jc w:val="center"/>
        <w:outlineLvl w:val="0"/>
        <w:rPr>
          <w:rFonts w:hint="eastAsia" w:ascii="宋体" w:hAnsi="宋体" w:eastAsia="宋体" w:cs="宋体"/>
          <w:b/>
          <w:bCs/>
          <w:sz w:val="36"/>
          <w:szCs w:val="36"/>
          <w:lang w:eastAsia="zh-CN"/>
        </w:rPr>
      </w:pPr>
    </w:p>
    <w:p w14:paraId="725E3448">
      <w:pPr>
        <w:ind w:firstLine="723"/>
        <w:jc w:val="center"/>
        <w:outlineLvl w:val="0"/>
        <w:rPr>
          <w:rFonts w:hint="eastAsia" w:ascii="宋体" w:hAnsi="宋体" w:eastAsia="宋体" w:cs="宋体"/>
          <w:b/>
          <w:bCs/>
          <w:sz w:val="36"/>
          <w:szCs w:val="36"/>
          <w:lang w:eastAsia="zh-CN"/>
        </w:rPr>
      </w:pPr>
    </w:p>
    <w:p w14:paraId="598992C3">
      <w:pPr>
        <w:ind w:firstLine="723"/>
        <w:jc w:val="center"/>
        <w:outlineLvl w:val="0"/>
        <w:rPr>
          <w:rFonts w:hint="eastAsia" w:ascii="宋体" w:hAnsi="宋体" w:eastAsia="宋体" w:cs="宋体"/>
          <w:b/>
          <w:bCs/>
          <w:sz w:val="36"/>
          <w:szCs w:val="36"/>
          <w:lang w:eastAsia="zh-CN"/>
        </w:rPr>
      </w:pPr>
    </w:p>
    <w:p w14:paraId="38C25120">
      <w:pPr>
        <w:ind w:firstLine="723"/>
        <w:jc w:val="center"/>
        <w:outlineLvl w:val="0"/>
        <w:rPr>
          <w:rFonts w:ascii="宋体" w:hAnsi="宋体" w:eastAsia="宋体" w:cs="宋体"/>
          <w:b/>
          <w:bCs/>
          <w:sz w:val="36"/>
          <w:szCs w:val="36"/>
        </w:rPr>
      </w:pPr>
      <w:r>
        <w:rPr>
          <w:rFonts w:hint="eastAsia" w:ascii="宋体" w:hAnsi="宋体" w:eastAsia="宋体" w:cs="宋体"/>
          <w:b/>
          <w:bCs/>
          <w:sz w:val="36"/>
          <w:szCs w:val="36"/>
          <w:lang w:eastAsia="zh-CN"/>
        </w:rPr>
        <w:t>景德镇市人民政府驻上海联络处</w:t>
      </w:r>
    </w:p>
    <w:p w14:paraId="1D536441">
      <w:pPr>
        <w:ind w:firstLine="723"/>
        <w:jc w:val="center"/>
        <w:outlineLvl w:val="0"/>
        <w:rPr>
          <w:rFonts w:ascii="宋体" w:hAnsi="宋体" w:eastAsia="宋体" w:cs="宋体"/>
          <w:b/>
          <w:bCs/>
          <w:sz w:val="36"/>
          <w:szCs w:val="36"/>
        </w:rPr>
      </w:pPr>
      <w:r>
        <w:rPr>
          <w:rFonts w:hint="eastAsia" w:ascii="宋体" w:hAnsi="宋体" w:eastAsia="宋体" w:cs="宋体"/>
          <w:b/>
          <w:bCs/>
          <w:sz w:val="36"/>
          <w:szCs w:val="36"/>
          <w:lang w:eastAsia="zh-CN"/>
        </w:rPr>
        <w:t>2020年度财政预算绩效管理</w:t>
      </w:r>
      <w:r>
        <w:rPr>
          <w:rFonts w:hint="eastAsia" w:ascii="宋体" w:hAnsi="宋体" w:eastAsia="宋体" w:cs="宋体"/>
          <w:b/>
          <w:bCs/>
          <w:sz w:val="36"/>
          <w:szCs w:val="36"/>
        </w:rPr>
        <w:t>报告</w:t>
      </w:r>
    </w:p>
    <w:p w14:paraId="1B24870D">
      <w:pPr>
        <w:ind w:firstLine="723"/>
        <w:jc w:val="center"/>
        <w:rPr>
          <w:b/>
          <w:bCs/>
          <w:sz w:val="36"/>
          <w:szCs w:val="36"/>
        </w:rPr>
      </w:pPr>
    </w:p>
    <w:p w14:paraId="581E9927">
      <w:pPr>
        <w:overflowPunct w:val="0"/>
        <w:topLinePunct/>
        <w:autoSpaceDE w:val="0"/>
        <w:autoSpaceDN w:val="0"/>
        <w:spacing w:line="520" w:lineRule="exact"/>
        <w:ind w:firstLine="600"/>
        <w:rPr>
          <w:rFonts w:hint="eastAsia" w:ascii="仿宋" w:hAnsi="仿宋" w:eastAsia="仿宋" w:cs="仿宋"/>
          <w:lang w:eastAsia="zh-CN"/>
        </w:rPr>
      </w:pPr>
      <w:r>
        <w:rPr>
          <w:rFonts w:hint="eastAsia" w:ascii="仿宋" w:hAnsi="仿宋" w:eastAsia="仿宋" w:cs="仿宋"/>
          <w:lang w:eastAsia="zh-CN"/>
        </w:rPr>
        <w:t>为加强预算绩效管理，强化预算支出责任，提高财政资金使用绩效，根据《景德镇市财政局关于做好2020年度市直机关财政预算绩效考核的通知》（景财绩〔2021〕8号）文件要求，景德镇市人民政府驻上海联络处（以下简称“联络处”）开展2020年度财政预算绩效管理考核工作。根据财政预算绩效管理考核评分标准，联络处自评得100分。现将2020年财政预算绩效管理工作考核总结如下：</w:t>
      </w:r>
    </w:p>
    <w:p w14:paraId="498F176F">
      <w:pPr>
        <w:overflowPunct w:val="0"/>
        <w:topLinePunct/>
        <w:autoSpaceDE w:val="0"/>
        <w:autoSpaceDN w:val="0"/>
        <w:spacing w:line="520" w:lineRule="exact"/>
        <w:ind w:firstLine="600"/>
        <w:rPr>
          <w:rFonts w:ascii="仿宋" w:hAnsi="仿宋" w:eastAsia="仿宋" w:cs="仿宋"/>
          <w:lang w:eastAsia="zh-CN"/>
        </w:rPr>
      </w:pPr>
      <w:r>
        <w:rPr>
          <w:rFonts w:hint="eastAsia"/>
          <w:lang w:eastAsia="zh-CN"/>
        </w:rPr>
        <w:t>一、基础工作管理</w:t>
      </w:r>
    </w:p>
    <w:p w14:paraId="1CAF4186">
      <w:pPr>
        <w:overflowPunct w:val="0"/>
        <w:topLinePunct/>
        <w:autoSpaceDE w:val="0"/>
        <w:autoSpaceDN w:val="0"/>
        <w:spacing w:line="540" w:lineRule="exact"/>
        <w:ind w:firstLine="602"/>
        <w:rPr>
          <w:rFonts w:ascii="仿宋" w:hAnsi="仿宋" w:cs="仿宋"/>
          <w:b/>
          <w:bCs/>
          <w:szCs w:val="30"/>
        </w:rPr>
      </w:pPr>
      <w:r>
        <w:rPr>
          <w:rFonts w:hint="eastAsia" w:ascii="仿宋" w:hAnsi="仿宋" w:cs="仿宋"/>
          <w:b/>
          <w:bCs/>
          <w:sz w:val="30"/>
          <w:szCs w:val="30"/>
          <w:lang w:eastAsia="zh-CN"/>
        </w:rPr>
        <w:t>（一）组织保障</w:t>
      </w:r>
    </w:p>
    <w:p w14:paraId="5CE8CADA">
      <w:pPr>
        <w:overflowPunct w:val="0"/>
        <w:topLinePunct/>
        <w:autoSpaceDE w:val="0"/>
        <w:autoSpaceDN w:val="0"/>
        <w:spacing w:line="520" w:lineRule="exact"/>
        <w:ind w:firstLine="600"/>
      </w:pPr>
      <w:r>
        <w:rPr>
          <w:rFonts w:hint="eastAsia" w:ascii="仿宋" w:hAnsi="仿宋" w:eastAsia="仿宋" w:cs="仿宋"/>
          <w:lang w:eastAsia="zh-CN"/>
        </w:rPr>
        <w:t>为推进预算绩效管理工作，联络处成立预算绩效管理领导小组，领导小组下设办公室，指定专人负责预算绩效管理日常工作。开展预算绩效管理工作，主要领导和分管领导对预算绩效管理工作有批示。依据评分标准，该指标得4分。</w:t>
      </w:r>
    </w:p>
    <w:p w14:paraId="546C2F73">
      <w:pPr>
        <w:overflowPunct w:val="0"/>
        <w:topLinePunct/>
        <w:autoSpaceDE w:val="0"/>
        <w:autoSpaceDN w:val="0"/>
        <w:spacing w:line="540" w:lineRule="exact"/>
        <w:ind w:firstLine="602"/>
        <w:rPr>
          <w:rFonts w:ascii="仿宋" w:hAnsi="仿宋" w:cs="仿宋"/>
          <w:szCs w:val="30"/>
        </w:rPr>
      </w:pPr>
      <w:bookmarkStart w:id="1" w:name="_Toc12934"/>
      <w:r>
        <w:rPr>
          <w:rFonts w:hint="eastAsia" w:ascii="仿宋" w:hAnsi="仿宋" w:cs="仿宋"/>
          <w:b/>
          <w:bCs/>
          <w:sz w:val="30"/>
          <w:szCs w:val="30"/>
          <w:lang w:eastAsia="zh-CN"/>
        </w:rPr>
        <w:t>（二）制度建设</w:t>
      </w:r>
    </w:p>
    <w:p w14:paraId="6F7C2B8F">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为加强财政预算绩效管理工作，强化预算支出责任，提高财政资金使用绩效，联络处制定《景德镇市人民政府驻上海联络处预算绩效管理工作办法》。结合部门实际情况，联络处设计部门整体支出绩效评价指标体系，设计个性化的产出指标和效益指标。依据评分标准，该指标得5分。</w:t>
      </w:r>
    </w:p>
    <w:bookmarkEnd w:id="1"/>
    <w:p w14:paraId="0833E91C">
      <w:pPr>
        <w:overflowPunct w:val="0"/>
        <w:topLinePunct/>
        <w:autoSpaceDE w:val="0"/>
        <w:autoSpaceDN w:val="0"/>
        <w:spacing w:line="540" w:lineRule="exact"/>
        <w:ind w:firstLine="602"/>
        <w:rPr>
          <w:b/>
          <w:bCs/>
        </w:rPr>
      </w:pPr>
      <w:bookmarkStart w:id="2" w:name="_Toc11323"/>
      <w:r>
        <w:rPr>
          <w:rFonts w:hint="eastAsia" w:ascii="仿宋" w:hAnsi="仿宋" w:eastAsia="仿宋" w:cs="仿宋"/>
          <w:b/>
          <w:bCs/>
          <w:kern w:val="2"/>
          <w:sz w:val="30"/>
          <w:szCs w:val="30"/>
          <w:lang w:eastAsia="zh-CN"/>
        </w:rPr>
        <w:t>（</w:t>
      </w:r>
      <w:r>
        <w:rPr>
          <w:rFonts w:hint="eastAsia" w:ascii="仿宋" w:hAnsi="仿宋" w:cs="仿宋"/>
          <w:b/>
          <w:bCs/>
          <w:kern w:val="2"/>
          <w:sz w:val="30"/>
          <w:szCs w:val="30"/>
          <w:lang w:eastAsia="zh-CN"/>
        </w:rPr>
        <w:t>三</w:t>
      </w:r>
      <w:r>
        <w:rPr>
          <w:rFonts w:hint="eastAsia" w:ascii="仿宋" w:hAnsi="仿宋" w:eastAsia="仿宋" w:cs="仿宋"/>
          <w:b/>
          <w:bCs/>
          <w:kern w:val="2"/>
          <w:sz w:val="30"/>
          <w:szCs w:val="30"/>
          <w:lang w:eastAsia="zh-CN"/>
        </w:rPr>
        <w:t>）</w:t>
      </w:r>
      <w:r>
        <w:rPr>
          <w:rFonts w:hint="eastAsia"/>
          <w:b/>
          <w:bCs/>
          <w:lang w:eastAsia="zh-CN"/>
        </w:rPr>
        <w:t>宣传培训</w:t>
      </w:r>
    </w:p>
    <w:p w14:paraId="48C8393E">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联络处利用媒体宣传预算绩效管理工作，参加财政局举办的全市预算绩效管理培训班，同时组织本部门预算绩效管理相关会议和培训。依据评分标准，该指标得6分。</w:t>
      </w:r>
    </w:p>
    <w:p w14:paraId="2A28E757">
      <w:pPr>
        <w:overflowPunct w:val="0"/>
        <w:topLinePunct/>
        <w:autoSpaceDE w:val="0"/>
        <w:autoSpaceDN w:val="0"/>
        <w:spacing w:line="540" w:lineRule="exact"/>
        <w:ind w:firstLine="602"/>
        <w:rPr>
          <w:rFonts w:ascii="仿宋" w:hAnsi="仿宋" w:cs="仿宋"/>
          <w:b/>
          <w:bCs/>
          <w:szCs w:val="30"/>
        </w:rPr>
      </w:pPr>
      <w:r>
        <w:rPr>
          <w:rFonts w:hint="eastAsia" w:ascii="仿宋" w:hAnsi="仿宋" w:cs="仿宋"/>
          <w:b/>
          <w:bCs/>
          <w:kern w:val="2"/>
          <w:sz w:val="30"/>
          <w:szCs w:val="30"/>
          <w:lang w:eastAsia="zh-CN"/>
        </w:rPr>
        <w:t>（四）</w:t>
      </w:r>
      <w:r>
        <w:rPr>
          <w:rFonts w:hint="eastAsia" w:ascii="仿宋" w:hAnsi="仿宋" w:eastAsia="仿宋" w:cs="仿宋"/>
          <w:b/>
          <w:bCs/>
          <w:kern w:val="2"/>
          <w:sz w:val="30"/>
          <w:szCs w:val="30"/>
          <w:lang w:eastAsia="zh-CN"/>
        </w:rPr>
        <w:t>考核工作</w:t>
      </w:r>
      <w:bookmarkEnd w:id="2"/>
    </w:p>
    <w:p w14:paraId="5E0A72AD">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根据财政部门的相关要求，联络处在规定时间内报送考核材料，作证材料报送规范、清晰完整。依据评分标准，该指标得5分。</w:t>
      </w:r>
    </w:p>
    <w:p w14:paraId="07F5EB06">
      <w:pPr>
        <w:pStyle w:val="2"/>
        <w:spacing w:line="560" w:lineRule="exact"/>
        <w:ind w:firstLine="602"/>
      </w:pPr>
      <w:bookmarkStart w:id="3" w:name="_Toc12353"/>
      <w:r>
        <w:rPr>
          <w:rFonts w:hint="eastAsia"/>
          <w:lang w:eastAsia="zh-CN"/>
        </w:rPr>
        <w:t>二、绩效目标管理</w:t>
      </w:r>
      <w:bookmarkEnd w:id="3"/>
    </w:p>
    <w:p w14:paraId="0DB38083">
      <w:pPr>
        <w:overflowPunct w:val="0"/>
        <w:topLinePunct/>
        <w:autoSpaceDE w:val="0"/>
        <w:autoSpaceDN w:val="0"/>
        <w:spacing w:line="540" w:lineRule="exact"/>
        <w:ind w:firstLine="602"/>
        <w:rPr>
          <w:rFonts w:ascii="仿宋" w:hAnsi="仿宋" w:cs="仿宋"/>
          <w:b/>
          <w:bCs/>
          <w:szCs w:val="30"/>
        </w:rPr>
      </w:pPr>
      <w:bookmarkStart w:id="4" w:name="_Toc30128"/>
      <w:r>
        <w:rPr>
          <w:rFonts w:hint="eastAsia" w:ascii="仿宋" w:hAnsi="仿宋" w:cs="仿宋"/>
          <w:b/>
          <w:bCs/>
          <w:sz w:val="30"/>
          <w:szCs w:val="30"/>
          <w:lang w:eastAsia="zh-CN"/>
        </w:rPr>
        <w:t>（一）报送要求</w:t>
      </w:r>
      <w:bookmarkEnd w:id="4"/>
    </w:p>
    <w:p w14:paraId="7616D7DD">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根据市财政局相关要求，联络处在规定时间内报送市级财政专项资金绩效目标表，同时在预算绩效管理系统填报</w:t>
      </w:r>
      <w:r>
        <w:rPr>
          <w:rFonts w:hint="eastAsia" w:ascii="仿宋" w:hAnsi="仿宋" w:cs="仿宋"/>
          <w:lang w:eastAsia="zh-CN"/>
        </w:rPr>
        <w:t>招商引资</w:t>
      </w:r>
      <w:r>
        <w:rPr>
          <w:rFonts w:hint="eastAsia" w:ascii="仿宋" w:hAnsi="仿宋" w:eastAsia="仿宋" w:cs="仿宋"/>
          <w:lang w:eastAsia="zh-CN"/>
        </w:rPr>
        <w:t>专项经费项目支出绩效目标申报表。依据评分标准，该指标得5分。</w:t>
      </w:r>
    </w:p>
    <w:p w14:paraId="7C4CA348">
      <w:pPr>
        <w:overflowPunct w:val="0"/>
        <w:topLinePunct/>
        <w:autoSpaceDE w:val="0"/>
        <w:autoSpaceDN w:val="0"/>
        <w:spacing w:line="540" w:lineRule="exact"/>
        <w:ind w:firstLine="602"/>
        <w:rPr>
          <w:rFonts w:ascii="仿宋" w:hAnsi="仿宋" w:cs="仿宋"/>
          <w:b/>
          <w:bCs/>
          <w:szCs w:val="30"/>
        </w:rPr>
      </w:pPr>
      <w:bookmarkStart w:id="5" w:name="_Toc524"/>
      <w:r>
        <w:rPr>
          <w:rFonts w:hint="eastAsia" w:ascii="仿宋" w:hAnsi="仿宋" w:cs="仿宋"/>
          <w:b/>
          <w:bCs/>
          <w:sz w:val="30"/>
          <w:szCs w:val="30"/>
          <w:lang w:eastAsia="zh-CN"/>
        </w:rPr>
        <w:t>（二）质量控制</w:t>
      </w:r>
      <w:bookmarkEnd w:id="5"/>
    </w:p>
    <w:p w14:paraId="1AE402FB">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根据市级财政专项资金绩效目标表，联络处申报的绩效目标符合规定的格式要求、相关内容完整，绩效目标描述明确合理，绩效指标细化量化、有明确标准。依据评分标准，该指标得8分。</w:t>
      </w:r>
    </w:p>
    <w:p w14:paraId="6E9668E8">
      <w:pPr>
        <w:overflowPunct w:val="0"/>
        <w:topLinePunct/>
        <w:autoSpaceDE w:val="0"/>
        <w:autoSpaceDN w:val="0"/>
        <w:spacing w:line="540" w:lineRule="exact"/>
        <w:ind w:firstLine="602"/>
        <w:rPr>
          <w:rFonts w:ascii="仿宋" w:hAnsi="仿宋" w:cs="仿宋"/>
          <w:b/>
          <w:bCs/>
          <w:szCs w:val="30"/>
        </w:rPr>
      </w:pPr>
      <w:bookmarkStart w:id="6" w:name="_Toc4976"/>
      <w:r>
        <w:rPr>
          <w:rFonts w:hint="eastAsia" w:ascii="仿宋" w:hAnsi="仿宋" w:cs="仿宋"/>
          <w:b/>
          <w:bCs/>
          <w:sz w:val="30"/>
          <w:szCs w:val="30"/>
          <w:lang w:eastAsia="zh-CN"/>
        </w:rPr>
        <w:t>（三）范围和规模</w:t>
      </w:r>
      <w:bookmarkEnd w:id="6"/>
    </w:p>
    <w:p w14:paraId="49A16537">
      <w:pPr>
        <w:overflowPunct w:val="0"/>
        <w:topLinePunct/>
        <w:autoSpaceDE w:val="0"/>
        <w:autoSpaceDN w:val="0"/>
        <w:spacing w:line="540" w:lineRule="exact"/>
        <w:ind w:firstLine="600"/>
        <w:rPr>
          <w:rFonts w:ascii="仿宋" w:hAnsi="仿宋" w:cs="仿宋"/>
        </w:rPr>
      </w:pPr>
      <w:r>
        <w:rPr>
          <w:rFonts w:hint="eastAsia" w:ascii="仿宋" w:hAnsi="仿宋" w:eastAsia="仿宋" w:cs="仿宋"/>
          <w:lang w:eastAsia="zh-CN"/>
        </w:rPr>
        <w:t>联络处申报了</w:t>
      </w:r>
      <w:r>
        <w:rPr>
          <w:rFonts w:hint="eastAsia" w:ascii="仿宋" w:hAnsi="仿宋" w:cs="仿宋"/>
          <w:lang w:eastAsia="zh-CN"/>
        </w:rPr>
        <w:t>招商引资</w:t>
      </w:r>
      <w:r>
        <w:rPr>
          <w:rFonts w:hint="eastAsia" w:ascii="仿宋" w:hAnsi="仿宋" w:eastAsia="仿宋" w:cs="仿宋"/>
          <w:lang w:eastAsia="zh-CN"/>
        </w:rPr>
        <w:t>专项经费项目绩效目标，绩效目标填报金额占部门项目预算总额100%。依据评分标准，该指标得7分。</w:t>
      </w:r>
    </w:p>
    <w:p w14:paraId="0EEC8508">
      <w:pPr>
        <w:pStyle w:val="2"/>
        <w:spacing w:line="560" w:lineRule="exact"/>
        <w:ind w:firstLine="281" w:firstLineChars="100"/>
      </w:pPr>
      <w:bookmarkStart w:id="7" w:name="_Toc5774"/>
      <w:r>
        <w:rPr>
          <w:rFonts w:hint="eastAsia"/>
          <w:lang w:eastAsia="zh-CN"/>
        </w:rPr>
        <w:t>三、绩效监控管理</w:t>
      </w:r>
      <w:bookmarkEnd w:id="7"/>
    </w:p>
    <w:p w14:paraId="4C7868BF">
      <w:pPr>
        <w:overflowPunct w:val="0"/>
        <w:topLinePunct/>
        <w:autoSpaceDE w:val="0"/>
        <w:autoSpaceDN w:val="0"/>
        <w:spacing w:line="540" w:lineRule="exact"/>
        <w:ind w:firstLine="602"/>
        <w:rPr>
          <w:rFonts w:ascii="仿宋" w:hAnsi="仿宋" w:cs="仿宋"/>
          <w:b/>
          <w:bCs/>
          <w:szCs w:val="30"/>
        </w:rPr>
      </w:pPr>
      <w:bookmarkStart w:id="8" w:name="_Toc5955"/>
      <w:r>
        <w:rPr>
          <w:rFonts w:hint="eastAsia" w:ascii="仿宋" w:hAnsi="仿宋" w:cs="仿宋"/>
          <w:b/>
          <w:bCs/>
          <w:sz w:val="30"/>
          <w:szCs w:val="30"/>
          <w:lang w:eastAsia="zh-CN"/>
        </w:rPr>
        <w:t>（一）报送要求</w:t>
      </w:r>
      <w:bookmarkEnd w:id="8"/>
    </w:p>
    <w:p w14:paraId="5E60F6F5">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根据市财政局相关要求，联络处在2020年8月31日之前报送项目支出绩效目标执行监控表。依据评分标准，该指标得5分。</w:t>
      </w:r>
    </w:p>
    <w:p w14:paraId="2705E6E7">
      <w:pPr>
        <w:overflowPunct w:val="0"/>
        <w:topLinePunct/>
        <w:autoSpaceDE w:val="0"/>
        <w:autoSpaceDN w:val="0"/>
        <w:spacing w:line="540" w:lineRule="exact"/>
        <w:ind w:firstLine="602"/>
        <w:rPr>
          <w:rFonts w:ascii="仿宋" w:hAnsi="仿宋" w:cs="仿宋"/>
          <w:b/>
          <w:bCs/>
          <w:szCs w:val="30"/>
        </w:rPr>
      </w:pPr>
      <w:bookmarkStart w:id="9" w:name="_Toc10025"/>
      <w:r>
        <w:rPr>
          <w:rFonts w:hint="eastAsia" w:ascii="仿宋" w:hAnsi="仿宋" w:cs="仿宋"/>
          <w:b/>
          <w:bCs/>
          <w:sz w:val="30"/>
          <w:szCs w:val="30"/>
          <w:lang w:eastAsia="zh-CN"/>
        </w:rPr>
        <w:t>（二）范围和质量</w:t>
      </w:r>
      <w:bookmarkEnd w:id="9"/>
    </w:p>
    <w:p w14:paraId="025AB408">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联络处按要求开展了绩效运行监控，定期采集绩效运行信息并进行汇总分析，确保绩效目标如期实现。依据评分标准，该指标得10分。</w:t>
      </w:r>
    </w:p>
    <w:p w14:paraId="6478A72B">
      <w:pPr>
        <w:overflowPunct w:val="0"/>
        <w:topLinePunct/>
        <w:autoSpaceDE w:val="0"/>
        <w:autoSpaceDN w:val="0"/>
        <w:spacing w:line="540" w:lineRule="exact"/>
        <w:ind w:firstLine="602"/>
        <w:rPr>
          <w:rFonts w:ascii="仿宋" w:hAnsi="仿宋" w:cs="仿宋"/>
          <w:b/>
          <w:bCs/>
          <w:szCs w:val="30"/>
        </w:rPr>
      </w:pPr>
      <w:bookmarkStart w:id="10" w:name="_Toc28888"/>
      <w:r>
        <w:rPr>
          <w:rFonts w:hint="eastAsia" w:ascii="仿宋" w:hAnsi="仿宋" w:cs="仿宋"/>
          <w:b/>
          <w:bCs/>
          <w:sz w:val="30"/>
          <w:szCs w:val="30"/>
          <w:lang w:eastAsia="zh-CN"/>
        </w:rPr>
        <w:t>（三）落实整改</w:t>
      </w:r>
      <w:bookmarkEnd w:id="10"/>
    </w:p>
    <w:p w14:paraId="5EA97EE7">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针对项目存在的问题，联络处及时采取措施进行整改，并整改到位。依据评分标准，该指标得5分。</w:t>
      </w:r>
    </w:p>
    <w:p w14:paraId="33EB3D57">
      <w:pPr>
        <w:pStyle w:val="2"/>
        <w:spacing w:line="560" w:lineRule="exact"/>
        <w:ind w:firstLine="602"/>
      </w:pPr>
      <w:bookmarkStart w:id="11" w:name="_Toc22871"/>
      <w:r>
        <w:rPr>
          <w:rFonts w:hint="eastAsia"/>
          <w:lang w:eastAsia="zh-CN"/>
        </w:rPr>
        <w:t>四、绩效评价管理</w:t>
      </w:r>
      <w:bookmarkEnd w:id="11"/>
    </w:p>
    <w:p w14:paraId="653001CF">
      <w:pPr>
        <w:overflowPunct w:val="0"/>
        <w:topLinePunct/>
        <w:autoSpaceDE w:val="0"/>
        <w:autoSpaceDN w:val="0"/>
        <w:spacing w:line="540" w:lineRule="exact"/>
        <w:ind w:firstLine="602"/>
        <w:rPr>
          <w:rFonts w:ascii="仿宋" w:hAnsi="仿宋" w:cs="仿宋"/>
          <w:b/>
          <w:bCs/>
          <w:szCs w:val="30"/>
        </w:rPr>
      </w:pPr>
      <w:bookmarkStart w:id="12" w:name="_Toc31265"/>
      <w:r>
        <w:rPr>
          <w:rFonts w:hint="eastAsia" w:ascii="仿宋" w:hAnsi="仿宋" w:cs="仿宋"/>
          <w:b/>
          <w:bCs/>
          <w:sz w:val="30"/>
          <w:szCs w:val="30"/>
          <w:lang w:eastAsia="zh-CN"/>
        </w:rPr>
        <w:t>（一）报送要求</w:t>
      </w:r>
      <w:bookmarkEnd w:id="12"/>
    </w:p>
    <w:p w14:paraId="200EBBE3">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根据市财政局相关文件要求，联络处在2020年8月31日前完成绩效自评并提交绩效自评表，在2020年9月30日前完成部门评价并提交绩效评价报告。依据评分标准，该指标得10分。</w:t>
      </w:r>
    </w:p>
    <w:p w14:paraId="78B97B40">
      <w:pPr>
        <w:overflowPunct w:val="0"/>
        <w:topLinePunct/>
        <w:autoSpaceDE w:val="0"/>
        <w:autoSpaceDN w:val="0"/>
        <w:spacing w:line="540" w:lineRule="exact"/>
        <w:ind w:firstLine="602"/>
        <w:rPr>
          <w:rFonts w:ascii="仿宋" w:hAnsi="仿宋" w:cs="仿宋"/>
          <w:b/>
          <w:bCs/>
          <w:szCs w:val="30"/>
        </w:rPr>
      </w:pPr>
      <w:bookmarkStart w:id="13" w:name="_Toc18466"/>
      <w:r>
        <w:rPr>
          <w:rFonts w:hint="eastAsia" w:ascii="仿宋" w:hAnsi="仿宋" w:cs="仿宋"/>
          <w:b/>
          <w:bCs/>
          <w:sz w:val="30"/>
          <w:szCs w:val="30"/>
          <w:lang w:eastAsia="zh-CN"/>
        </w:rPr>
        <w:t>（二）质量要求</w:t>
      </w:r>
      <w:bookmarkEnd w:id="13"/>
    </w:p>
    <w:p w14:paraId="46E994C9">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根据整体支出绩效评价指标体系，各项绩效评价指标明确，相关数据齐全、标准明确。根据绩效评价报告，报告中问题分析全面深入，所提建议针对性强。依据评分标准，该指标得10分。</w:t>
      </w:r>
    </w:p>
    <w:p w14:paraId="38AA78C5">
      <w:pPr>
        <w:overflowPunct w:val="0"/>
        <w:topLinePunct/>
        <w:autoSpaceDE w:val="0"/>
        <w:autoSpaceDN w:val="0"/>
        <w:spacing w:line="540" w:lineRule="exact"/>
        <w:ind w:firstLine="602"/>
        <w:rPr>
          <w:rFonts w:ascii="仿宋" w:hAnsi="仿宋" w:cs="仿宋"/>
          <w:b/>
          <w:bCs/>
          <w:szCs w:val="30"/>
        </w:rPr>
      </w:pPr>
      <w:bookmarkStart w:id="14" w:name="_Toc20340"/>
      <w:r>
        <w:rPr>
          <w:rFonts w:hint="eastAsia" w:ascii="仿宋" w:hAnsi="仿宋" w:cs="仿宋"/>
          <w:b/>
          <w:bCs/>
          <w:sz w:val="30"/>
          <w:szCs w:val="30"/>
          <w:lang w:eastAsia="zh-CN"/>
        </w:rPr>
        <w:t>（三）范围和规模</w:t>
      </w:r>
      <w:bookmarkEnd w:id="14"/>
    </w:p>
    <w:p w14:paraId="4E051979">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根据2019年度项目支出绩效自评表，联络处开展驻外机构专项经费项目自评，绩效自评金额占部门项目预算资金比例100%。依据评分标准，该指标得10分。</w:t>
      </w:r>
    </w:p>
    <w:p w14:paraId="15D6C42A">
      <w:pPr>
        <w:tabs>
          <w:tab w:val="left" w:pos="5284"/>
        </w:tabs>
        <w:spacing w:line="560" w:lineRule="exact"/>
        <w:ind w:left="440" w:leftChars="200"/>
        <w:outlineLvl w:val="0"/>
        <w:rPr>
          <w:rFonts w:ascii="仿宋" w:hAnsi="仿宋" w:cs="仿宋"/>
          <w:szCs w:val="30"/>
        </w:rPr>
      </w:pPr>
      <w:bookmarkStart w:id="15" w:name="_Toc7724"/>
      <w:r>
        <w:rPr>
          <w:rStyle w:val="18"/>
          <w:rFonts w:hint="eastAsia"/>
          <w:lang w:eastAsia="zh-CN"/>
        </w:rPr>
        <w:t>五、结果运用管理</w:t>
      </w:r>
      <w:bookmarkEnd w:id="15"/>
      <w:r>
        <w:rPr>
          <w:rFonts w:hint="eastAsia" w:ascii="仿宋" w:hAnsi="仿宋" w:cs="仿宋"/>
          <w:sz w:val="30"/>
          <w:szCs w:val="30"/>
          <w:lang w:eastAsia="zh-CN"/>
        </w:rPr>
        <w:tab/>
      </w:r>
    </w:p>
    <w:p w14:paraId="364470FD">
      <w:pPr>
        <w:pStyle w:val="3"/>
        <w:keepNext w:val="0"/>
        <w:keepLines w:val="0"/>
        <w:widowControl w:val="0"/>
        <w:numPr>
          <w:ilvl w:val="0"/>
          <w:numId w:val="1"/>
        </w:numPr>
        <w:spacing w:before="0" w:line="560" w:lineRule="exact"/>
        <w:ind w:firstLine="522" w:firstLineChars="200"/>
        <w:jc w:val="both"/>
      </w:pPr>
      <w:bookmarkStart w:id="16" w:name="_Toc6637"/>
      <w:r>
        <w:rPr>
          <w:rFonts w:hint="eastAsia"/>
          <w:lang w:eastAsia="zh-CN"/>
        </w:rPr>
        <w:t>应用方式</w:t>
      </w:r>
      <w:bookmarkEnd w:id="16"/>
    </w:p>
    <w:p w14:paraId="1D00709F">
      <w:pPr>
        <w:overflowPunct w:val="0"/>
        <w:topLinePunct/>
        <w:autoSpaceDE w:val="0"/>
        <w:autoSpaceDN w:val="0"/>
        <w:spacing w:line="520" w:lineRule="exact"/>
        <w:ind w:firstLine="600"/>
        <w:rPr>
          <w:rFonts w:ascii="仿宋" w:hAnsi="仿宋" w:cs="仿宋"/>
        </w:rPr>
      </w:pPr>
      <w:r>
        <w:rPr>
          <w:rFonts w:hint="eastAsia" w:ascii="仿宋" w:hAnsi="仿宋" w:eastAsia="仿宋" w:cs="仿宋"/>
          <w:lang w:eastAsia="zh-CN"/>
        </w:rPr>
        <w:t>联络处将评价结果在一定范围内公开。根据《景德镇市人民政府驻上海联络处预算绩效管理工作办法》规定，联络处根据绩效评价结果，及时研究制定整改措施，对财政预算绩效管理工作中的不足进行整改，切实改进预算管理和项目管理。联络处建立评价结果与预算编制挂钩机制，将预算绩效管理融入部门预算编制、执行、监督全过程。依据评分标准，该指标得10分。</w:t>
      </w:r>
    </w:p>
    <w:p w14:paraId="131EDEBE">
      <w:pPr>
        <w:overflowPunct w:val="0"/>
        <w:topLinePunct/>
        <w:autoSpaceDE w:val="0"/>
        <w:autoSpaceDN w:val="0"/>
        <w:spacing w:line="540" w:lineRule="exact"/>
        <w:ind w:firstLine="600"/>
        <w:rPr>
          <w:rFonts w:ascii="仿宋" w:hAnsi="仿宋" w:cs="仿宋"/>
          <w:szCs w:val="30"/>
        </w:rPr>
      </w:pPr>
      <w:r>
        <w:rPr>
          <w:rFonts w:hint="eastAsia" w:ascii="仿宋" w:hAnsi="仿宋" w:cs="仿宋"/>
          <w:sz w:val="30"/>
          <w:szCs w:val="30"/>
          <w:lang w:eastAsia="zh-CN"/>
        </w:rPr>
        <w:t xml:space="preserve">             </w:t>
      </w:r>
    </w:p>
    <w:p w14:paraId="3EAC91DB">
      <w:pPr>
        <w:overflowPunct w:val="0"/>
        <w:topLinePunct/>
        <w:autoSpaceDE w:val="0"/>
        <w:autoSpaceDN w:val="0"/>
        <w:spacing w:line="540" w:lineRule="exact"/>
        <w:ind w:firstLine="600"/>
        <w:rPr>
          <w:rFonts w:ascii="仿宋" w:hAnsi="仿宋" w:cs="仿宋"/>
          <w:szCs w:val="30"/>
        </w:rPr>
      </w:pPr>
    </w:p>
    <w:p w14:paraId="1AE6C872">
      <w:pPr>
        <w:spacing w:line="560" w:lineRule="exact"/>
        <w:ind w:firstLine="660" w:firstLineChars="300"/>
        <w:jc w:val="right"/>
        <w:rPr>
          <w:rFonts w:ascii="仿宋" w:hAnsi="仿宋" w:cs="仿宋"/>
          <w:szCs w:val="30"/>
        </w:rPr>
      </w:pPr>
      <w:r>
        <w:rPr>
          <w:rFonts w:hint="eastAsia"/>
        </w:rPr>
        <w:t>景德镇市人民政府驻上海联络处</w:t>
      </w:r>
    </w:p>
    <w:p w14:paraId="578F4433">
      <w:pPr>
        <w:overflowPunct w:val="0"/>
        <w:topLinePunct/>
        <w:autoSpaceDE w:val="0"/>
        <w:autoSpaceDN w:val="0"/>
        <w:spacing w:line="520" w:lineRule="exact"/>
        <w:ind w:firstLine="600"/>
        <w:rPr>
          <w:rFonts w:ascii="仿宋" w:hAnsi="仿宋" w:cs="仿宋"/>
          <w:szCs w:val="30"/>
        </w:rPr>
      </w:pPr>
      <w:r>
        <w:rPr>
          <w:rFonts w:hint="eastAsia" w:ascii="仿宋" w:hAnsi="仿宋" w:cs="仿宋"/>
          <w:sz w:val="30"/>
          <w:szCs w:val="30"/>
          <w:lang w:eastAsia="zh-CN"/>
        </w:rPr>
        <w:t xml:space="preserve">                               2021年8月20日</w:t>
      </w:r>
    </w:p>
    <w:p w14:paraId="53B6166E">
      <w:pPr>
        <w:spacing w:line="560" w:lineRule="exact"/>
        <w:ind w:firstLine="600"/>
        <w:rPr>
          <w:rFonts w:ascii="仿宋" w:hAnsi="仿宋" w:cs="仿宋"/>
          <w:szCs w:val="30"/>
        </w:rPr>
        <w:sectPr>
          <w:footerReference r:id="rId3" w:type="default"/>
          <w:pgSz w:w="11906" w:h="16838"/>
          <w:pgMar w:top="1440" w:right="1800" w:bottom="1440" w:left="1800" w:header="851" w:footer="992" w:gutter="0"/>
          <w:pgNumType w:start="1"/>
          <w:cols w:space="425" w:num="1"/>
          <w:docGrid w:type="lines" w:linePitch="312" w:charSpace="0"/>
        </w:sectPr>
      </w:pPr>
    </w:p>
    <w:p w14:paraId="019BA1C4">
      <w:pPr>
        <w:spacing w:line="560" w:lineRule="exact"/>
        <w:rPr>
          <w:rFonts w:ascii="仿宋" w:hAnsi="仿宋" w:cs="仿宋"/>
          <w:szCs w:val="30"/>
        </w:rPr>
      </w:pPr>
    </w:p>
    <w:tbl>
      <w:tblPr>
        <w:tblStyle w:val="12"/>
        <w:tblW w:w="9290" w:type="dxa"/>
        <w:tblInd w:w="6" w:type="dxa"/>
        <w:tblLayout w:type="fixed"/>
        <w:tblCellMar>
          <w:top w:w="0" w:type="dxa"/>
          <w:left w:w="108" w:type="dxa"/>
          <w:bottom w:w="0" w:type="dxa"/>
          <w:right w:w="108" w:type="dxa"/>
        </w:tblCellMar>
      </w:tblPr>
      <w:tblGrid>
        <w:gridCol w:w="1629"/>
        <w:gridCol w:w="1176"/>
        <w:gridCol w:w="5468"/>
        <w:gridCol w:w="1017"/>
      </w:tblGrid>
      <w:tr w14:paraId="7B2C7CA0">
        <w:tblPrEx>
          <w:tblCellMar>
            <w:top w:w="0" w:type="dxa"/>
            <w:left w:w="108" w:type="dxa"/>
            <w:bottom w:w="0" w:type="dxa"/>
            <w:right w:w="108" w:type="dxa"/>
          </w:tblCellMar>
        </w:tblPrEx>
        <w:trPr>
          <w:trHeight w:val="781" w:hRule="atLeast"/>
        </w:trPr>
        <w:tc>
          <w:tcPr>
            <w:tcW w:w="9290" w:type="dxa"/>
            <w:gridSpan w:val="4"/>
            <w:tcBorders>
              <w:top w:val="nil"/>
              <w:left w:val="nil"/>
              <w:bottom w:val="nil"/>
              <w:right w:val="nil"/>
            </w:tcBorders>
            <w:shd w:val="clear" w:color="auto" w:fill="auto"/>
            <w:noWrap/>
            <w:vAlign w:val="center"/>
          </w:tcPr>
          <w:p w14:paraId="77C29204">
            <w:pPr>
              <w:rPr>
                <w:rFonts w:ascii="方正大标宋简体" w:hAnsi="宋体" w:eastAsia="方正大标宋简体" w:cs="宋体"/>
                <w:color w:val="000000"/>
                <w:sz w:val="40"/>
                <w:szCs w:val="40"/>
              </w:rPr>
            </w:pPr>
            <w:r>
              <w:rPr>
                <w:rFonts w:hint="eastAsia" w:ascii="方正大标宋简体" w:hAnsi="宋体" w:eastAsia="方正大标宋简体" w:cs="宋体"/>
                <w:color w:val="000000"/>
                <w:sz w:val="40"/>
                <w:szCs w:val="40"/>
              </w:rPr>
              <w:t>2020年度市直机关财政预算绩效管理考核评分表</w:t>
            </w:r>
          </w:p>
        </w:tc>
      </w:tr>
      <w:tr w14:paraId="1721173E">
        <w:tblPrEx>
          <w:tblCellMar>
            <w:top w:w="0" w:type="dxa"/>
            <w:left w:w="108" w:type="dxa"/>
            <w:bottom w:w="0" w:type="dxa"/>
            <w:right w:w="108" w:type="dxa"/>
          </w:tblCellMar>
        </w:tblPrEx>
        <w:trPr>
          <w:trHeight w:val="480" w:hRule="atLeast"/>
        </w:trPr>
        <w:tc>
          <w:tcPr>
            <w:tcW w:w="9290" w:type="dxa"/>
            <w:gridSpan w:val="4"/>
            <w:tcBorders>
              <w:top w:val="nil"/>
              <w:left w:val="nil"/>
              <w:bottom w:val="single" w:color="auto" w:sz="4" w:space="0"/>
              <w:right w:val="nil"/>
            </w:tcBorders>
            <w:shd w:val="clear" w:color="auto" w:fill="auto"/>
            <w:noWrap/>
            <w:vAlign w:val="center"/>
          </w:tcPr>
          <w:p w14:paraId="4EC9B86D">
            <w:pPr>
              <w:rPr>
                <w:rFonts w:ascii="仿宋_GB2312" w:hAnsi="宋体" w:eastAsia="仿宋_GB2312" w:cs="宋体"/>
                <w:color w:val="000000"/>
                <w:sz w:val="24"/>
              </w:rPr>
            </w:pPr>
            <w:r>
              <w:rPr>
                <w:rFonts w:hint="eastAsia" w:ascii="仿宋_GB2312" w:hAnsi="宋体" w:eastAsia="仿宋_GB2312" w:cs="宋体"/>
                <w:color w:val="000000"/>
                <w:sz w:val="24"/>
              </w:rPr>
              <w:t xml:space="preserve"> </w:t>
            </w:r>
          </w:p>
          <w:p w14:paraId="061858CE">
            <w:pPr>
              <w:rPr>
                <w:rFonts w:ascii="仿宋_GB2312" w:hAnsi="宋体" w:eastAsia="仿宋_GB2312" w:cs="宋体"/>
                <w:color w:val="000000"/>
                <w:sz w:val="24"/>
              </w:rPr>
            </w:pPr>
            <w:r>
              <w:rPr>
                <w:rFonts w:hint="eastAsia" w:ascii="仿宋_GB2312" w:hAnsi="宋体" w:eastAsia="仿宋_GB2312" w:cs="宋体"/>
                <w:color w:val="000000"/>
                <w:sz w:val="24"/>
              </w:rPr>
              <w:t xml:space="preserve">部门（盖章）:  </w:t>
            </w:r>
            <w:r>
              <w:rPr>
                <w:rFonts w:hint="eastAsia"/>
              </w:rPr>
              <w:t>景德镇市人民政府驻上海联络处</w:t>
            </w:r>
            <w:r>
              <w:rPr>
                <w:rFonts w:hint="eastAsia" w:ascii="仿宋_GB2312" w:hAnsi="宋体" w:eastAsia="仿宋_GB2312" w:cs="宋体"/>
                <w:color w:val="000000"/>
                <w:sz w:val="24"/>
              </w:rPr>
              <w:t xml:space="preserve">                                                </w:t>
            </w:r>
          </w:p>
        </w:tc>
      </w:tr>
      <w:tr w14:paraId="6A75E224">
        <w:tblPrEx>
          <w:tblCellMar>
            <w:top w:w="0" w:type="dxa"/>
            <w:left w:w="108" w:type="dxa"/>
            <w:bottom w:w="0" w:type="dxa"/>
            <w:right w:w="108" w:type="dxa"/>
          </w:tblCellMar>
        </w:tblPrEx>
        <w:trPr>
          <w:trHeight w:val="541"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718D9531">
            <w:pPr>
              <w:spacing w:line="260" w:lineRule="exact"/>
              <w:jc w:val="center"/>
              <w:rPr>
                <w:rFonts w:ascii="楷体_GB2312" w:hAnsi="宋体" w:eastAsia="楷体_GB2312" w:cs="宋体"/>
                <w:b/>
                <w:bCs/>
                <w:color w:val="000000"/>
                <w:sz w:val="24"/>
              </w:rPr>
            </w:pPr>
            <w:r>
              <w:rPr>
                <w:rFonts w:hint="eastAsia" w:ascii="楷体_GB2312" w:hAnsi="宋体" w:eastAsia="楷体_GB2312" w:cs="宋体"/>
                <w:b/>
                <w:bCs/>
                <w:color w:val="000000"/>
                <w:sz w:val="24"/>
              </w:rPr>
              <w:t>考核内容</w:t>
            </w:r>
          </w:p>
        </w:tc>
        <w:tc>
          <w:tcPr>
            <w:tcW w:w="1176" w:type="dxa"/>
            <w:tcBorders>
              <w:top w:val="nil"/>
              <w:left w:val="nil"/>
              <w:bottom w:val="single" w:color="auto" w:sz="4" w:space="0"/>
              <w:right w:val="single" w:color="auto" w:sz="4" w:space="0"/>
            </w:tcBorders>
            <w:shd w:val="clear" w:color="auto" w:fill="auto"/>
            <w:vAlign w:val="center"/>
          </w:tcPr>
          <w:p w14:paraId="45D2A9FA">
            <w:pPr>
              <w:spacing w:line="260" w:lineRule="exact"/>
              <w:jc w:val="center"/>
              <w:rPr>
                <w:rFonts w:ascii="楷体_GB2312" w:hAnsi="宋体" w:eastAsia="楷体_GB2312" w:cs="宋体"/>
                <w:b/>
                <w:bCs/>
                <w:color w:val="000000"/>
                <w:sz w:val="24"/>
              </w:rPr>
            </w:pPr>
            <w:r>
              <w:rPr>
                <w:rFonts w:hint="eastAsia" w:ascii="楷体_GB2312" w:hAnsi="宋体" w:eastAsia="楷体_GB2312" w:cs="宋体"/>
                <w:b/>
                <w:bCs/>
                <w:color w:val="000000"/>
                <w:sz w:val="24"/>
              </w:rPr>
              <w:t>分值</w:t>
            </w:r>
          </w:p>
        </w:tc>
        <w:tc>
          <w:tcPr>
            <w:tcW w:w="5468" w:type="dxa"/>
            <w:tcBorders>
              <w:top w:val="nil"/>
              <w:left w:val="nil"/>
              <w:bottom w:val="single" w:color="auto" w:sz="4" w:space="0"/>
              <w:right w:val="single" w:color="auto" w:sz="4" w:space="0"/>
            </w:tcBorders>
            <w:shd w:val="clear" w:color="auto" w:fill="auto"/>
            <w:vAlign w:val="center"/>
          </w:tcPr>
          <w:p w14:paraId="73637AB1">
            <w:pPr>
              <w:spacing w:line="260" w:lineRule="exact"/>
              <w:ind w:firstLine="482"/>
              <w:jc w:val="center"/>
              <w:rPr>
                <w:rFonts w:ascii="楷体_GB2312" w:hAnsi="宋体" w:eastAsia="楷体_GB2312" w:cs="宋体"/>
                <w:b/>
                <w:bCs/>
                <w:color w:val="000000"/>
                <w:sz w:val="24"/>
              </w:rPr>
            </w:pPr>
            <w:r>
              <w:rPr>
                <w:rFonts w:hint="eastAsia" w:ascii="楷体_GB2312" w:hAnsi="宋体" w:eastAsia="楷体_GB2312" w:cs="宋体"/>
                <w:b/>
                <w:bCs/>
                <w:color w:val="000000"/>
                <w:sz w:val="24"/>
              </w:rPr>
              <w:t>计分标准</w:t>
            </w:r>
          </w:p>
        </w:tc>
        <w:tc>
          <w:tcPr>
            <w:tcW w:w="1017" w:type="dxa"/>
            <w:tcBorders>
              <w:top w:val="nil"/>
              <w:left w:val="nil"/>
              <w:bottom w:val="single" w:color="auto" w:sz="4" w:space="0"/>
              <w:right w:val="single" w:color="auto" w:sz="4" w:space="0"/>
            </w:tcBorders>
            <w:shd w:val="clear" w:color="auto" w:fill="auto"/>
            <w:vAlign w:val="center"/>
          </w:tcPr>
          <w:p w14:paraId="143AC149">
            <w:pPr>
              <w:spacing w:line="260" w:lineRule="exact"/>
              <w:jc w:val="center"/>
              <w:rPr>
                <w:rFonts w:ascii="楷体_GB2312" w:hAnsi="宋体" w:eastAsia="楷体_GB2312" w:cs="宋体"/>
                <w:b/>
                <w:bCs/>
                <w:color w:val="000000"/>
                <w:sz w:val="24"/>
              </w:rPr>
            </w:pPr>
            <w:r>
              <w:rPr>
                <w:rFonts w:hint="eastAsia" w:ascii="楷体_GB2312" w:hAnsi="宋体" w:eastAsia="楷体_GB2312" w:cs="宋体"/>
                <w:b/>
                <w:bCs/>
                <w:color w:val="000000"/>
                <w:sz w:val="24"/>
              </w:rPr>
              <w:t>得</w:t>
            </w:r>
            <w:r>
              <w:rPr>
                <w:rFonts w:hint="eastAsia" w:ascii="楷体_GB2312" w:hAnsi="宋体" w:eastAsia="楷体_GB2312" w:cs="宋体"/>
                <w:b/>
                <w:bCs/>
                <w:color w:val="000000"/>
                <w:sz w:val="24"/>
                <w:lang w:eastAsia="zh-CN"/>
              </w:rPr>
              <w:t xml:space="preserve"> </w:t>
            </w:r>
            <w:r>
              <w:rPr>
                <w:rFonts w:hint="eastAsia" w:ascii="楷体_GB2312" w:hAnsi="宋体" w:eastAsia="楷体_GB2312" w:cs="宋体"/>
                <w:b/>
                <w:bCs/>
                <w:color w:val="000000"/>
                <w:sz w:val="24"/>
              </w:rPr>
              <w:t>分</w:t>
            </w:r>
          </w:p>
        </w:tc>
      </w:tr>
      <w:tr w14:paraId="1CAAE3C6">
        <w:tblPrEx>
          <w:tblCellMar>
            <w:top w:w="0" w:type="dxa"/>
            <w:left w:w="108" w:type="dxa"/>
            <w:bottom w:w="0" w:type="dxa"/>
            <w:right w:w="108" w:type="dxa"/>
          </w:tblCellMar>
        </w:tblPrEx>
        <w:trPr>
          <w:trHeight w:val="702"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4F881E9E">
            <w:pPr>
              <w:jc w:val="center"/>
              <w:rPr>
                <w:rFonts w:ascii="黑体" w:hAnsi="宋体" w:eastAsia="黑体" w:cs="宋体"/>
                <w:bCs/>
                <w:sz w:val="24"/>
              </w:rPr>
            </w:pPr>
            <w:r>
              <w:rPr>
                <w:rFonts w:hint="eastAsia" w:ascii="黑体" w:hAnsi="宋体" w:eastAsia="黑体" w:cs="宋体"/>
                <w:bCs/>
                <w:sz w:val="24"/>
              </w:rPr>
              <w:t>一、基础工作管理</w:t>
            </w:r>
          </w:p>
        </w:tc>
        <w:tc>
          <w:tcPr>
            <w:tcW w:w="1176" w:type="dxa"/>
            <w:tcBorders>
              <w:top w:val="nil"/>
              <w:left w:val="nil"/>
              <w:bottom w:val="single" w:color="auto" w:sz="4" w:space="0"/>
              <w:right w:val="single" w:color="auto" w:sz="4" w:space="0"/>
            </w:tcBorders>
            <w:shd w:val="clear" w:color="auto" w:fill="auto"/>
            <w:vAlign w:val="center"/>
          </w:tcPr>
          <w:p w14:paraId="77F34C58">
            <w:pPr>
              <w:ind w:firstLine="480"/>
              <w:rPr>
                <w:rFonts w:ascii="黑体" w:hAnsi="宋体" w:eastAsia="黑体" w:cs="宋体"/>
                <w:bCs/>
                <w:sz w:val="24"/>
              </w:rPr>
            </w:pPr>
            <w:r>
              <w:rPr>
                <w:rFonts w:hint="eastAsia" w:ascii="黑体" w:hAnsi="宋体" w:eastAsia="黑体" w:cs="宋体"/>
                <w:bCs/>
                <w:sz w:val="24"/>
              </w:rPr>
              <w:t>20</w:t>
            </w:r>
          </w:p>
        </w:tc>
        <w:tc>
          <w:tcPr>
            <w:tcW w:w="5468" w:type="dxa"/>
            <w:tcBorders>
              <w:top w:val="nil"/>
              <w:left w:val="nil"/>
              <w:bottom w:val="single" w:color="auto" w:sz="4" w:space="0"/>
              <w:right w:val="single" w:color="auto" w:sz="4" w:space="0"/>
            </w:tcBorders>
            <w:shd w:val="clear" w:color="auto" w:fill="auto"/>
            <w:vAlign w:val="center"/>
          </w:tcPr>
          <w:p w14:paraId="1B79A25C">
            <w:pPr>
              <w:ind w:firstLine="480"/>
              <w:rPr>
                <w:rFonts w:ascii="黑体" w:hAnsi="宋体" w:eastAsia="黑体" w:cs="宋体"/>
                <w:bCs/>
                <w:color w:val="000000"/>
                <w:sz w:val="24"/>
              </w:rPr>
            </w:pPr>
            <w:r>
              <w:rPr>
                <w:rFonts w:hint="eastAsia" w:ascii="黑体" w:hAnsi="宋体" w:eastAsia="黑体" w:cs="宋体"/>
                <w:bCs/>
                <w:color w:val="000000"/>
                <w:sz w:val="24"/>
              </w:rPr>
              <w:t>(截至2020年底基础工作情况）</w:t>
            </w:r>
          </w:p>
        </w:tc>
        <w:tc>
          <w:tcPr>
            <w:tcW w:w="1017" w:type="dxa"/>
            <w:tcBorders>
              <w:top w:val="nil"/>
              <w:left w:val="nil"/>
              <w:bottom w:val="single" w:color="auto" w:sz="4" w:space="0"/>
              <w:right w:val="single" w:color="auto" w:sz="4" w:space="0"/>
            </w:tcBorders>
            <w:shd w:val="clear" w:color="auto" w:fill="auto"/>
            <w:vAlign w:val="center"/>
          </w:tcPr>
          <w:p w14:paraId="3DAF37AD">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20</w:t>
            </w:r>
          </w:p>
        </w:tc>
      </w:tr>
      <w:tr w14:paraId="55D47C4A">
        <w:tblPrEx>
          <w:tblCellMar>
            <w:top w:w="0" w:type="dxa"/>
            <w:left w:w="108" w:type="dxa"/>
            <w:bottom w:w="0" w:type="dxa"/>
            <w:right w:w="108" w:type="dxa"/>
          </w:tblCellMar>
        </w:tblPrEx>
        <w:trPr>
          <w:trHeight w:val="1710"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026F86D4">
            <w:pPr>
              <w:jc w:val="center"/>
              <w:rPr>
                <w:rFonts w:ascii="仿宋_GB2312" w:hAnsi="宋体" w:eastAsia="仿宋_GB2312" w:cs="宋体"/>
                <w:color w:val="000000"/>
                <w:sz w:val="24"/>
              </w:rPr>
            </w:pPr>
            <w:r>
              <w:rPr>
                <w:rFonts w:hint="eastAsia" w:ascii="仿宋_GB2312" w:hAnsi="宋体" w:eastAsia="仿宋_GB2312" w:cs="宋体"/>
                <w:color w:val="000000"/>
                <w:spacing w:val="-20"/>
                <w:sz w:val="24"/>
              </w:rPr>
              <w:t>（一）组织保障</w:t>
            </w:r>
            <w:r>
              <w:rPr>
                <w:rFonts w:hint="eastAsia" w:ascii="仿宋_GB2312" w:hAnsi="宋体" w:eastAsia="仿宋_GB2312" w:cs="宋体"/>
                <w:color w:val="000000"/>
                <w:sz w:val="24"/>
              </w:rPr>
              <w:t>（4）</w:t>
            </w:r>
          </w:p>
        </w:tc>
        <w:tc>
          <w:tcPr>
            <w:tcW w:w="1176" w:type="dxa"/>
            <w:tcBorders>
              <w:top w:val="nil"/>
              <w:left w:val="nil"/>
              <w:bottom w:val="single" w:color="auto" w:sz="4" w:space="0"/>
              <w:right w:val="single" w:color="auto" w:sz="4" w:space="0"/>
            </w:tcBorders>
            <w:shd w:val="clear" w:color="auto" w:fill="auto"/>
            <w:vAlign w:val="center"/>
          </w:tcPr>
          <w:p w14:paraId="4D98D88D">
            <w:pPr>
              <w:ind w:firstLine="480"/>
              <w:rPr>
                <w:rFonts w:ascii="仿宋_GB2312" w:hAnsi="宋体" w:eastAsia="仿宋_GB2312" w:cs="宋体"/>
                <w:sz w:val="24"/>
              </w:rPr>
            </w:pPr>
            <w:r>
              <w:rPr>
                <w:rFonts w:hint="eastAsia" w:ascii="仿宋_GB2312" w:hAnsi="宋体" w:eastAsia="仿宋_GB2312" w:cs="宋体"/>
                <w:sz w:val="24"/>
              </w:rPr>
              <w:t>4</w:t>
            </w:r>
          </w:p>
        </w:tc>
        <w:tc>
          <w:tcPr>
            <w:tcW w:w="5468" w:type="dxa"/>
            <w:tcBorders>
              <w:top w:val="nil"/>
              <w:left w:val="nil"/>
              <w:bottom w:val="single" w:color="auto" w:sz="4" w:space="0"/>
              <w:right w:val="single" w:color="auto" w:sz="4" w:space="0"/>
            </w:tcBorders>
            <w:shd w:val="clear" w:color="auto" w:fill="auto"/>
            <w:vAlign w:val="center"/>
          </w:tcPr>
          <w:p w14:paraId="1F723D35">
            <w:pPr>
              <w:rPr>
                <w:rFonts w:ascii="仿宋_GB2312" w:hAnsi="宋体" w:eastAsia="仿宋_GB2312" w:cs="宋体"/>
                <w:color w:val="000000"/>
              </w:rPr>
            </w:pPr>
            <w:r>
              <w:rPr>
                <w:rFonts w:hint="eastAsia" w:ascii="仿宋_GB2312" w:hAnsi="宋体" w:eastAsia="仿宋_GB2312" w:cs="宋体"/>
                <w:color w:val="000000"/>
                <w:sz w:val="24"/>
              </w:rPr>
              <w:t>1.成立预算绩效管理领导小组或专门机构的并指定专人负责的，得1.5分；本部门主要领导对预算绩效管理工作有批示的，得1.5分，分管领导对预算绩效管理工作有批示的，得1分。</w:t>
            </w:r>
          </w:p>
        </w:tc>
        <w:tc>
          <w:tcPr>
            <w:tcW w:w="1017" w:type="dxa"/>
            <w:tcBorders>
              <w:top w:val="nil"/>
              <w:left w:val="nil"/>
              <w:bottom w:val="single" w:color="auto" w:sz="4" w:space="0"/>
              <w:right w:val="single" w:color="auto" w:sz="4" w:space="0"/>
            </w:tcBorders>
            <w:shd w:val="clear" w:color="auto" w:fill="auto"/>
            <w:vAlign w:val="center"/>
          </w:tcPr>
          <w:p w14:paraId="091F1C7D">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4</w:t>
            </w:r>
          </w:p>
        </w:tc>
      </w:tr>
      <w:tr w14:paraId="193F5D7F">
        <w:tblPrEx>
          <w:tblCellMar>
            <w:top w:w="0" w:type="dxa"/>
            <w:left w:w="108" w:type="dxa"/>
            <w:bottom w:w="0" w:type="dxa"/>
            <w:right w:w="108" w:type="dxa"/>
          </w:tblCellMar>
        </w:tblPrEx>
        <w:trPr>
          <w:cantSplit/>
          <w:trHeight w:val="317" w:hRule="atLeast"/>
        </w:trPr>
        <w:tc>
          <w:tcPr>
            <w:tcW w:w="1629" w:type="dxa"/>
            <w:vMerge w:val="restart"/>
            <w:tcBorders>
              <w:top w:val="nil"/>
              <w:left w:val="single" w:color="auto" w:sz="4" w:space="0"/>
              <w:bottom w:val="single" w:color="auto" w:sz="4" w:space="0"/>
              <w:right w:val="single" w:color="auto" w:sz="4" w:space="0"/>
            </w:tcBorders>
            <w:shd w:val="clear" w:color="auto" w:fill="auto"/>
            <w:vAlign w:val="center"/>
          </w:tcPr>
          <w:p w14:paraId="36C419B5">
            <w:pPr>
              <w:jc w:val="center"/>
              <w:rPr>
                <w:rFonts w:ascii="仿宋_GB2312" w:hAnsi="宋体" w:eastAsia="仿宋_GB2312" w:cs="宋体"/>
                <w:color w:val="000000"/>
                <w:sz w:val="24"/>
              </w:rPr>
            </w:pPr>
            <w:r>
              <w:rPr>
                <w:rFonts w:hint="eastAsia" w:ascii="仿宋_GB2312" w:hAnsi="宋体" w:eastAsia="仿宋_GB2312" w:cs="宋体"/>
                <w:color w:val="000000"/>
                <w:sz w:val="24"/>
              </w:rPr>
              <w:t>（</w:t>
            </w:r>
            <w:r>
              <w:rPr>
                <w:rFonts w:hint="eastAsia" w:ascii="仿宋_GB2312" w:hAnsi="宋体" w:eastAsia="仿宋_GB2312" w:cs="宋体"/>
                <w:color w:val="000000"/>
                <w:spacing w:val="-20"/>
                <w:sz w:val="24"/>
              </w:rPr>
              <w:t>二）制度建设（</w:t>
            </w:r>
            <w:r>
              <w:rPr>
                <w:rFonts w:hint="eastAsia" w:ascii="仿宋_GB2312" w:hAnsi="宋体" w:eastAsia="仿宋_GB2312" w:cs="宋体"/>
                <w:color w:val="000000"/>
                <w:sz w:val="24"/>
              </w:rPr>
              <w:t>5）</w:t>
            </w:r>
          </w:p>
        </w:tc>
        <w:tc>
          <w:tcPr>
            <w:tcW w:w="1176" w:type="dxa"/>
            <w:tcBorders>
              <w:top w:val="nil"/>
              <w:left w:val="nil"/>
              <w:bottom w:val="single" w:color="auto" w:sz="4" w:space="0"/>
              <w:right w:val="single" w:color="auto" w:sz="4" w:space="0"/>
            </w:tcBorders>
            <w:shd w:val="clear" w:color="auto" w:fill="auto"/>
            <w:vAlign w:val="center"/>
          </w:tcPr>
          <w:p w14:paraId="5D74ED39">
            <w:pPr>
              <w:ind w:firstLine="480"/>
              <w:rPr>
                <w:rFonts w:ascii="仿宋_GB2312" w:hAnsi="宋体" w:eastAsia="仿宋_GB2312" w:cs="宋体"/>
                <w:sz w:val="24"/>
              </w:rPr>
            </w:pPr>
            <w:r>
              <w:rPr>
                <w:rFonts w:hint="eastAsia" w:ascii="仿宋_GB2312" w:hAnsi="宋体" w:eastAsia="仿宋_GB2312" w:cs="宋体"/>
                <w:sz w:val="24"/>
              </w:rPr>
              <w:t>3</w:t>
            </w:r>
          </w:p>
        </w:tc>
        <w:tc>
          <w:tcPr>
            <w:tcW w:w="5468" w:type="dxa"/>
            <w:tcBorders>
              <w:top w:val="nil"/>
              <w:left w:val="nil"/>
              <w:bottom w:val="single" w:color="auto" w:sz="4" w:space="0"/>
              <w:right w:val="single" w:color="auto" w:sz="4" w:space="0"/>
            </w:tcBorders>
            <w:shd w:val="clear" w:color="auto" w:fill="auto"/>
            <w:vAlign w:val="center"/>
          </w:tcPr>
          <w:p w14:paraId="7DF21670">
            <w:pPr>
              <w:rPr>
                <w:rFonts w:ascii="仿宋_GB2312" w:hAnsi="宋体" w:eastAsia="仿宋_GB2312" w:cs="宋体"/>
                <w:color w:val="000000"/>
                <w:sz w:val="24"/>
              </w:rPr>
            </w:pPr>
            <w:r>
              <w:rPr>
                <w:rFonts w:hint="eastAsia" w:ascii="仿宋_GB2312" w:hAnsi="宋体" w:eastAsia="仿宋_GB2312" w:cs="宋体"/>
                <w:color w:val="000000"/>
                <w:sz w:val="24"/>
              </w:rPr>
              <w:t>制定指导本部门（单位）预算绩效管理工作具体办法的，每个1分。本项最多3分。</w:t>
            </w:r>
          </w:p>
        </w:tc>
        <w:tc>
          <w:tcPr>
            <w:tcW w:w="1017" w:type="dxa"/>
            <w:tcBorders>
              <w:top w:val="nil"/>
              <w:left w:val="nil"/>
              <w:bottom w:val="single" w:color="auto" w:sz="4" w:space="0"/>
              <w:right w:val="single" w:color="auto" w:sz="4" w:space="0"/>
            </w:tcBorders>
            <w:shd w:val="clear" w:color="auto" w:fill="auto"/>
            <w:vAlign w:val="center"/>
          </w:tcPr>
          <w:p w14:paraId="102D0191">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3</w:t>
            </w:r>
          </w:p>
        </w:tc>
      </w:tr>
      <w:tr w14:paraId="588309CD">
        <w:tblPrEx>
          <w:tblCellMar>
            <w:top w:w="0" w:type="dxa"/>
            <w:left w:w="108" w:type="dxa"/>
            <w:bottom w:w="0" w:type="dxa"/>
            <w:right w:w="108" w:type="dxa"/>
          </w:tblCellMar>
        </w:tblPrEx>
        <w:trPr>
          <w:trHeight w:val="752" w:hRule="atLeast"/>
        </w:trPr>
        <w:tc>
          <w:tcPr>
            <w:tcW w:w="1629" w:type="dxa"/>
            <w:vMerge w:val="continue"/>
            <w:tcBorders>
              <w:top w:val="nil"/>
              <w:left w:val="single" w:color="auto" w:sz="4" w:space="0"/>
              <w:bottom w:val="single" w:color="auto" w:sz="4" w:space="0"/>
              <w:right w:val="single" w:color="auto" w:sz="4" w:space="0"/>
            </w:tcBorders>
            <w:shd w:val="clear" w:color="auto" w:fill="auto"/>
            <w:vAlign w:val="center"/>
          </w:tcPr>
          <w:p w14:paraId="0B4A0A64">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088D4497">
            <w:pPr>
              <w:ind w:firstLine="480"/>
              <w:rPr>
                <w:rFonts w:ascii="仿宋_GB2312" w:hAnsi="宋体" w:eastAsia="仿宋_GB2312" w:cs="宋体"/>
                <w:sz w:val="24"/>
              </w:rPr>
            </w:pPr>
            <w:r>
              <w:rPr>
                <w:rFonts w:hint="eastAsia" w:ascii="仿宋_GB2312" w:hAnsi="宋体" w:eastAsia="仿宋_GB2312" w:cs="宋体"/>
                <w:sz w:val="24"/>
              </w:rPr>
              <w:t>2</w:t>
            </w:r>
          </w:p>
        </w:tc>
        <w:tc>
          <w:tcPr>
            <w:tcW w:w="5468" w:type="dxa"/>
            <w:tcBorders>
              <w:top w:val="nil"/>
              <w:left w:val="nil"/>
              <w:bottom w:val="single" w:color="auto" w:sz="4" w:space="0"/>
              <w:right w:val="single" w:color="auto" w:sz="4" w:space="0"/>
            </w:tcBorders>
            <w:shd w:val="clear" w:color="auto" w:fill="auto"/>
            <w:vAlign w:val="center"/>
          </w:tcPr>
          <w:p w14:paraId="78D989C9">
            <w:pPr>
              <w:rPr>
                <w:rFonts w:ascii="仿宋_GB2312" w:hAnsi="宋体" w:eastAsia="仿宋_GB2312" w:cs="宋体"/>
                <w:color w:val="000000"/>
                <w:sz w:val="24"/>
              </w:rPr>
            </w:pPr>
            <w:r>
              <w:rPr>
                <w:rFonts w:hint="eastAsia" w:ascii="仿宋_GB2312" w:hAnsi="宋体" w:eastAsia="仿宋_GB2312" w:cs="宋体"/>
                <w:color w:val="000000"/>
                <w:sz w:val="24"/>
              </w:rPr>
              <w:t>制定针对本部门（单位）个性评价指标体系的，得2分。否则，得0分。</w:t>
            </w:r>
          </w:p>
        </w:tc>
        <w:tc>
          <w:tcPr>
            <w:tcW w:w="1017" w:type="dxa"/>
            <w:tcBorders>
              <w:top w:val="nil"/>
              <w:left w:val="nil"/>
              <w:bottom w:val="single" w:color="auto" w:sz="4" w:space="0"/>
              <w:right w:val="single" w:color="auto" w:sz="4" w:space="0"/>
            </w:tcBorders>
            <w:shd w:val="clear" w:color="auto" w:fill="auto"/>
            <w:vAlign w:val="center"/>
          </w:tcPr>
          <w:p w14:paraId="04A0F971">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6DB6A2BD">
        <w:tblPrEx>
          <w:tblCellMar>
            <w:top w:w="0" w:type="dxa"/>
            <w:left w:w="108" w:type="dxa"/>
            <w:bottom w:w="0" w:type="dxa"/>
            <w:right w:w="108" w:type="dxa"/>
          </w:tblCellMar>
        </w:tblPrEx>
        <w:trPr>
          <w:trHeight w:val="762" w:hRule="atLeast"/>
        </w:trPr>
        <w:tc>
          <w:tcPr>
            <w:tcW w:w="1629" w:type="dxa"/>
            <w:vMerge w:val="restart"/>
            <w:tcBorders>
              <w:top w:val="nil"/>
              <w:left w:val="single" w:color="auto" w:sz="4" w:space="0"/>
              <w:bottom w:val="nil"/>
              <w:right w:val="single" w:color="auto" w:sz="4" w:space="0"/>
            </w:tcBorders>
            <w:shd w:val="clear" w:color="auto" w:fill="auto"/>
            <w:vAlign w:val="center"/>
          </w:tcPr>
          <w:p w14:paraId="05968A13">
            <w:pPr>
              <w:jc w:val="center"/>
              <w:rPr>
                <w:rFonts w:ascii="仿宋_GB2312" w:hAnsi="宋体" w:eastAsia="仿宋_GB2312" w:cs="宋体"/>
                <w:color w:val="000000"/>
                <w:sz w:val="24"/>
              </w:rPr>
            </w:pPr>
            <w:r>
              <w:rPr>
                <w:rFonts w:hint="eastAsia" w:ascii="仿宋_GB2312" w:hAnsi="宋体" w:eastAsia="仿宋_GB2312" w:cs="宋体"/>
                <w:color w:val="000000"/>
                <w:spacing w:val="-20"/>
                <w:sz w:val="24"/>
              </w:rPr>
              <w:t>（三）宣传培训</w:t>
            </w:r>
            <w:r>
              <w:rPr>
                <w:rFonts w:hint="eastAsia" w:ascii="仿宋_GB2312" w:hAnsi="宋体" w:eastAsia="仿宋_GB2312" w:cs="宋体"/>
                <w:color w:val="000000"/>
                <w:sz w:val="24"/>
              </w:rPr>
              <w:t>（6）</w:t>
            </w:r>
          </w:p>
        </w:tc>
        <w:tc>
          <w:tcPr>
            <w:tcW w:w="1176" w:type="dxa"/>
            <w:tcBorders>
              <w:top w:val="nil"/>
              <w:left w:val="nil"/>
              <w:bottom w:val="single" w:color="auto" w:sz="4" w:space="0"/>
              <w:right w:val="single" w:color="auto" w:sz="4" w:space="0"/>
            </w:tcBorders>
            <w:shd w:val="clear" w:color="auto" w:fill="auto"/>
            <w:vAlign w:val="center"/>
          </w:tcPr>
          <w:p w14:paraId="198CEA72">
            <w:pPr>
              <w:ind w:firstLine="480"/>
              <w:rPr>
                <w:rFonts w:ascii="仿宋_GB2312" w:hAnsi="宋体" w:eastAsia="仿宋_GB2312" w:cs="宋体"/>
                <w:color w:val="000000"/>
                <w:sz w:val="24"/>
              </w:rPr>
            </w:pPr>
            <w:r>
              <w:rPr>
                <w:rFonts w:hint="eastAsia" w:ascii="仿宋_GB2312" w:hAnsi="宋体" w:eastAsia="仿宋_GB2312" w:cs="宋体"/>
                <w:color w:val="000000"/>
                <w:sz w:val="24"/>
              </w:rPr>
              <w:t>2</w:t>
            </w:r>
          </w:p>
        </w:tc>
        <w:tc>
          <w:tcPr>
            <w:tcW w:w="5468" w:type="dxa"/>
            <w:tcBorders>
              <w:top w:val="nil"/>
              <w:left w:val="nil"/>
              <w:bottom w:val="single" w:color="auto" w:sz="4" w:space="0"/>
              <w:right w:val="single" w:color="auto" w:sz="4" w:space="0"/>
            </w:tcBorders>
            <w:shd w:val="clear" w:color="auto" w:fill="auto"/>
            <w:vAlign w:val="center"/>
          </w:tcPr>
          <w:p w14:paraId="714E23A9">
            <w:pPr>
              <w:rPr>
                <w:rFonts w:ascii="仿宋_GB2312" w:hAnsi="宋体" w:eastAsia="仿宋_GB2312" w:cs="宋体"/>
                <w:sz w:val="24"/>
              </w:rPr>
            </w:pPr>
            <w:r>
              <w:rPr>
                <w:rFonts w:hint="eastAsia" w:ascii="仿宋_GB2312" w:hAnsi="宋体" w:eastAsia="仿宋_GB2312" w:cs="宋体"/>
                <w:sz w:val="24"/>
              </w:rPr>
              <w:t>利用各种媒体形式，宣传预算绩效管理工作的，每篇1分，最多2分；</w:t>
            </w:r>
          </w:p>
        </w:tc>
        <w:tc>
          <w:tcPr>
            <w:tcW w:w="1017" w:type="dxa"/>
            <w:tcBorders>
              <w:top w:val="nil"/>
              <w:left w:val="nil"/>
              <w:bottom w:val="single" w:color="auto" w:sz="4" w:space="0"/>
              <w:right w:val="single" w:color="auto" w:sz="4" w:space="0"/>
            </w:tcBorders>
            <w:shd w:val="clear" w:color="auto" w:fill="auto"/>
            <w:vAlign w:val="center"/>
          </w:tcPr>
          <w:p w14:paraId="789570E1">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71BE0CB5">
        <w:tblPrEx>
          <w:tblCellMar>
            <w:top w:w="0" w:type="dxa"/>
            <w:left w:w="108" w:type="dxa"/>
            <w:bottom w:w="0" w:type="dxa"/>
            <w:right w:w="108" w:type="dxa"/>
          </w:tblCellMar>
        </w:tblPrEx>
        <w:trPr>
          <w:trHeight w:val="780" w:hRule="atLeast"/>
        </w:trPr>
        <w:tc>
          <w:tcPr>
            <w:tcW w:w="1629" w:type="dxa"/>
            <w:vMerge w:val="continue"/>
            <w:tcBorders>
              <w:top w:val="nil"/>
              <w:left w:val="single" w:color="auto" w:sz="4" w:space="0"/>
              <w:bottom w:val="nil"/>
              <w:right w:val="single" w:color="auto" w:sz="4" w:space="0"/>
            </w:tcBorders>
            <w:shd w:val="clear" w:color="auto" w:fill="auto"/>
            <w:vAlign w:val="center"/>
          </w:tcPr>
          <w:p w14:paraId="485C2022">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2D7CD586">
            <w:pPr>
              <w:ind w:firstLine="480"/>
              <w:rPr>
                <w:rFonts w:ascii="仿宋_GB2312" w:hAnsi="宋体" w:eastAsia="仿宋_GB2312" w:cs="宋体"/>
                <w:color w:val="000000"/>
                <w:sz w:val="24"/>
              </w:rPr>
            </w:pPr>
            <w:r>
              <w:rPr>
                <w:rFonts w:hint="eastAsia" w:ascii="仿宋_GB2312" w:hAnsi="宋体" w:eastAsia="仿宋_GB2312" w:cs="宋体"/>
                <w:color w:val="000000"/>
                <w:sz w:val="24"/>
              </w:rPr>
              <w:t>2</w:t>
            </w:r>
          </w:p>
        </w:tc>
        <w:tc>
          <w:tcPr>
            <w:tcW w:w="5468" w:type="dxa"/>
            <w:tcBorders>
              <w:top w:val="nil"/>
              <w:left w:val="nil"/>
              <w:bottom w:val="single" w:color="auto" w:sz="4" w:space="0"/>
              <w:right w:val="single" w:color="auto" w:sz="4" w:space="0"/>
            </w:tcBorders>
            <w:shd w:val="clear" w:color="auto" w:fill="auto"/>
            <w:vAlign w:val="center"/>
          </w:tcPr>
          <w:p w14:paraId="65D61F3D">
            <w:pPr>
              <w:rPr>
                <w:rFonts w:ascii="仿宋_GB2312" w:hAnsi="宋体" w:eastAsia="仿宋_GB2312" w:cs="宋体"/>
                <w:sz w:val="24"/>
              </w:rPr>
            </w:pPr>
            <w:r>
              <w:rPr>
                <w:rFonts w:hint="eastAsia" w:ascii="仿宋_GB2312" w:hAnsi="宋体" w:eastAsia="仿宋_GB2312" w:cs="宋体"/>
                <w:sz w:val="24"/>
              </w:rPr>
              <w:t>参加了市财政局举办的全市预算绩效管理培训班的，得2分；未参加的，得0分。</w:t>
            </w:r>
          </w:p>
        </w:tc>
        <w:tc>
          <w:tcPr>
            <w:tcW w:w="1017" w:type="dxa"/>
            <w:tcBorders>
              <w:top w:val="nil"/>
              <w:left w:val="nil"/>
              <w:bottom w:val="single" w:color="auto" w:sz="4" w:space="0"/>
              <w:right w:val="single" w:color="auto" w:sz="4" w:space="0"/>
            </w:tcBorders>
            <w:shd w:val="clear" w:color="auto" w:fill="auto"/>
            <w:vAlign w:val="center"/>
          </w:tcPr>
          <w:p w14:paraId="4D5E175C">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537A7B3A">
        <w:tblPrEx>
          <w:tblCellMar>
            <w:top w:w="0" w:type="dxa"/>
            <w:left w:w="108" w:type="dxa"/>
            <w:bottom w:w="0" w:type="dxa"/>
            <w:right w:w="108" w:type="dxa"/>
          </w:tblCellMar>
        </w:tblPrEx>
        <w:trPr>
          <w:trHeight w:val="702" w:hRule="atLeast"/>
        </w:trPr>
        <w:tc>
          <w:tcPr>
            <w:tcW w:w="1629" w:type="dxa"/>
            <w:vMerge w:val="continue"/>
            <w:tcBorders>
              <w:top w:val="nil"/>
              <w:left w:val="single" w:color="auto" w:sz="4" w:space="0"/>
              <w:bottom w:val="nil"/>
              <w:right w:val="single" w:color="auto" w:sz="4" w:space="0"/>
            </w:tcBorders>
            <w:shd w:val="clear" w:color="auto" w:fill="auto"/>
            <w:vAlign w:val="center"/>
          </w:tcPr>
          <w:p w14:paraId="70A861F9">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34A63C05">
            <w:pPr>
              <w:ind w:firstLine="480"/>
              <w:rPr>
                <w:rFonts w:ascii="仿宋_GB2312" w:hAnsi="宋体" w:eastAsia="仿宋_GB2312" w:cs="宋体"/>
                <w:color w:val="000000"/>
                <w:sz w:val="24"/>
              </w:rPr>
            </w:pPr>
            <w:r>
              <w:rPr>
                <w:rFonts w:hint="eastAsia" w:ascii="仿宋_GB2312" w:hAnsi="宋体" w:eastAsia="仿宋_GB2312" w:cs="宋体"/>
                <w:color w:val="000000"/>
                <w:sz w:val="24"/>
              </w:rPr>
              <w:t>2</w:t>
            </w:r>
          </w:p>
        </w:tc>
        <w:tc>
          <w:tcPr>
            <w:tcW w:w="5468" w:type="dxa"/>
            <w:tcBorders>
              <w:top w:val="nil"/>
              <w:left w:val="nil"/>
              <w:bottom w:val="single" w:color="auto" w:sz="4" w:space="0"/>
              <w:right w:val="single" w:color="auto" w:sz="4" w:space="0"/>
            </w:tcBorders>
            <w:shd w:val="clear" w:color="auto" w:fill="auto"/>
            <w:vAlign w:val="center"/>
          </w:tcPr>
          <w:p w14:paraId="02C710B0">
            <w:pPr>
              <w:rPr>
                <w:rFonts w:ascii="仿宋_GB2312" w:hAnsi="宋体" w:eastAsia="仿宋_GB2312" w:cs="宋体"/>
                <w:color w:val="000000"/>
                <w:sz w:val="24"/>
              </w:rPr>
            </w:pPr>
            <w:r>
              <w:rPr>
                <w:rFonts w:hint="eastAsia" w:ascii="仿宋_GB2312" w:hAnsi="宋体" w:eastAsia="仿宋_GB2312" w:cs="宋体"/>
                <w:color w:val="000000"/>
                <w:sz w:val="24"/>
              </w:rPr>
              <w:t>举办了本部门（单位）预算绩效管理培训、工作会议的，每次1分，最多2分。</w:t>
            </w:r>
          </w:p>
        </w:tc>
        <w:tc>
          <w:tcPr>
            <w:tcW w:w="1017" w:type="dxa"/>
            <w:tcBorders>
              <w:top w:val="nil"/>
              <w:left w:val="nil"/>
              <w:bottom w:val="single" w:color="auto" w:sz="4" w:space="0"/>
              <w:right w:val="single" w:color="auto" w:sz="4" w:space="0"/>
            </w:tcBorders>
            <w:shd w:val="clear" w:color="auto" w:fill="auto"/>
            <w:vAlign w:val="center"/>
          </w:tcPr>
          <w:p w14:paraId="737F9BCD">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3EB4257A">
        <w:tblPrEx>
          <w:tblCellMar>
            <w:top w:w="0" w:type="dxa"/>
            <w:left w:w="108" w:type="dxa"/>
            <w:bottom w:w="0" w:type="dxa"/>
            <w:right w:w="108" w:type="dxa"/>
          </w:tblCellMar>
        </w:tblPrEx>
        <w:trPr>
          <w:trHeight w:val="976" w:hRule="atLeast"/>
        </w:trPr>
        <w:tc>
          <w:tcPr>
            <w:tcW w:w="1629" w:type="dxa"/>
            <w:tcBorders>
              <w:top w:val="single" w:color="auto" w:sz="4" w:space="0"/>
              <w:left w:val="single" w:color="auto" w:sz="4" w:space="0"/>
              <w:bottom w:val="nil"/>
              <w:right w:val="single" w:color="auto" w:sz="4" w:space="0"/>
            </w:tcBorders>
            <w:shd w:val="clear" w:color="auto" w:fill="auto"/>
            <w:vAlign w:val="center"/>
          </w:tcPr>
          <w:p w14:paraId="0E550C31">
            <w:pPr>
              <w:jc w:val="center"/>
              <w:rPr>
                <w:rFonts w:ascii="仿宋_GB2312" w:hAnsi="宋体" w:eastAsia="仿宋_GB2312" w:cs="宋体"/>
                <w:color w:val="000000"/>
                <w:sz w:val="24"/>
              </w:rPr>
            </w:pPr>
            <w:r>
              <w:rPr>
                <w:rFonts w:hint="eastAsia" w:ascii="仿宋_GB2312" w:hAnsi="宋体" w:eastAsia="仿宋_GB2312" w:cs="宋体"/>
                <w:color w:val="000000"/>
                <w:spacing w:val="-20"/>
                <w:sz w:val="24"/>
              </w:rPr>
              <w:t>（四）考核工作</w:t>
            </w:r>
            <w:r>
              <w:rPr>
                <w:rFonts w:hint="eastAsia" w:ascii="仿宋_GB2312" w:hAnsi="宋体" w:eastAsia="仿宋_GB2312" w:cs="宋体"/>
                <w:color w:val="000000"/>
                <w:sz w:val="24"/>
              </w:rPr>
              <w:t>（5）</w:t>
            </w:r>
          </w:p>
        </w:tc>
        <w:tc>
          <w:tcPr>
            <w:tcW w:w="1176" w:type="dxa"/>
            <w:tcBorders>
              <w:top w:val="nil"/>
              <w:left w:val="nil"/>
              <w:bottom w:val="single" w:color="auto" w:sz="4" w:space="0"/>
              <w:right w:val="single" w:color="auto" w:sz="4" w:space="0"/>
            </w:tcBorders>
            <w:shd w:val="clear" w:color="auto" w:fill="auto"/>
            <w:vAlign w:val="center"/>
          </w:tcPr>
          <w:p w14:paraId="3A5F4ED3">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66E6C733">
            <w:pPr>
              <w:rPr>
                <w:rFonts w:ascii="仿宋_GB2312" w:hAnsi="宋体" w:eastAsia="仿宋_GB2312" w:cs="宋体"/>
                <w:color w:val="000000"/>
                <w:sz w:val="24"/>
              </w:rPr>
            </w:pPr>
            <w:r>
              <w:rPr>
                <w:rFonts w:hint="eastAsia" w:ascii="仿宋_GB2312" w:hAnsi="宋体" w:eastAsia="仿宋_GB2312" w:cs="宋体"/>
                <w:color w:val="000000"/>
                <w:sz w:val="24"/>
              </w:rPr>
              <w:t>考核材料报送及时，在考核文件规定时间内报送的，得2分，逾期未报送的，得0分。考核材料报送规范，佐证材料清晰、完整的，得3分。</w:t>
            </w:r>
          </w:p>
        </w:tc>
        <w:tc>
          <w:tcPr>
            <w:tcW w:w="1017" w:type="dxa"/>
            <w:tcBorders>
              <w:top w:val="nil"/>
              <w:left w:val="nil"/>
              <w:bottom w:val="single" w:color="auto" w:sz="4" w:space="0"/>
              <w:right w:val="single" w:color="auto" w:sz="4" w:space="0"/>
            </w:tcBorders>
            <w:shd w:val="clear" w:color="auto" w:fill="auto"/>
            <w:vAlign w:val="center"/>
          </w:tcPr>
          <w:p w14:paraId="078196F7">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0AD420FC">
        <w:tblPrEx>
          <w:tblCellMar>
            <w:top w:w="0" w:type="dxa"/>
            <w:left w:w="108" w:type="dxa"/>
            <w:bottom w:w="0" w:type="dxa"/>
            <w:right w:w="108" w:type="dxa"/>
          </w:tblCellMar>
        </w:tblPrEx>
        <w:trPr>
          <w:trHeight w:val="620" w:hRule="atLeast"/>
        </w:trPr>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14:paraId="38383886">
            <w:pPr>
              <w:jc w:val="center"/>
              <w:rPr>
                <w:rFonts w:ascii="黑体" w:hAnsi="宋体" w:eastAsia="黑体" w:cs="宋体"/>
                <w:bCs/>
                <w:sz w:val="24"/>
              </w:rPr>
            </w:pPr>
            <w:r>
              <w:rPr>
                <w:rFonts w:hint="eastAsia" w:ascii="黑体" w:hAnsi="宋体" w:eastAsia="黑体" w:cs="宋体"/>
                <w:bCs/>
                <w:sz w:val="24"/>
              </w:rPr>
              <w:t>二、绩效目标管理</w:t>
            </w:r>
          </w:p>
        </w:tc>
        <w:tc>
          <w:tcPr>
            <w:tcW w:w="1176" w:type="dxa"/>
            <w:tcBorders>
              <w:top w:val="nil"/>
              <w:left w:val="nil"/>
              <w:bottom w:val="single" w:color="auto" w:sz="4" w:space="0"/>
              <w:right w:val="single" w:color="auto" w:sz="4" w:space="0"/>
            </w:tcBorders>
            <w:shd w:val="clear" w:color="auto" w:fill="auto"/>
            <w:vAlign w:val="center"/>
          </w:tcPr>
          <w:p w14:paraId="2E602965">
            <w:pPr>
              <w:ind w:firstLine="480"/>
              <w:rPr>
                <w:rFonts w:ascii="黑体" w:hAnsi="宋体" w:eastAsia="黑体" w:cs="宋体"/>
                <w:bCs/>
                <w:sz w:val="24"/>
              </w:rPr>
            </w:pPr>
            <w:r>
              <w:rPr>
                <w:rFonts w:hint="eastAsia" w:ascii="黑体" w:hAnsi="宋体" w:eastAsia="黑体" w:cs="宋体"/>
                <w:bCs/>
                <w:sz w:val="24"/>
              </w:rPr>
              <w:t>20</w:t>
            </w:r>
          </w:p>
        </w:tc>
        <w:tc>
          <w:tcPr>
            <w:tcW w:w="5468" w:type="dxa"/>
            <w:tcBorders>
              <w:top w:val="nil"/>
              <w:left w:val="nil"/>
              <w:bottom w:val="single" w:color="auto" w:sz="4" w:space="0"/>
              <w:right w:val="single" w:color="auto" w:sz="4" w:space="0"/>
            </w:tcBorders>
            <w:shd w:val="clear" w:color="auto" w:fill="auto"/>
            <w:vAlign w:val="center"/>
          </w:tcPr>
          <w:p w14:paraId="0BDD8A19">
            <w:pPr>
              <w:rPr>
                <w:rFonts w:ascii="黑体" w:hAnsi="宋体" w:eastAsia="黑体" w:cs="宋体"/>
                <w:bCs/>
                <w:sz w:val="24"/>
              </w:rPr>
            </w:pPr>
            <w:r>
              <w:rPr>
                <w:rFonts w:hint="eastAsia" w:ascii="黑体" w:hAnsi="宋体" w:eastAsia="黑体" w:cs="宋体"/>
                <w:bCs/>
                <w:sz w:val="24"/>
              </w:rPr>
              <w:t>（报送2021年度项目支出绩效目标情况）</w:t>
            </w:r>
          </w:p>
        </w:tc>
        <w:tc>
          <w:tcPr>
            <w:tcW w:w="1017" w:type="dxa"/>
            <w:tcBorders>
              <w:top w:val="nil"/>
              <w:left w:val="nil"/>
              <w:bottom w:val="single" w:color="auto" w:sz="4" w:space="0"/>
              <w:right w:val="single" w:color="auto" w:sz="4" w:space="0"/>
            </w:tcBorders>
            <w:shd w:val="clear" w:color="auto" w:fill="auto"/>
            <w:vAlign w:val="center"/>
          </w:tcPr>
          <w:p w14:paraId="4F7A63FE">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20</w:t>
            </w:r>
          </w:p>
        </w:tc>
      </w:tr>
      <w:tr w14:paraId="5A10BD6A">
        <w:tblPrEx>
          <w:tblCellMar>
            <w:top w:w="0" w:type="dxa"/>
            <w:left w:w="108" w:type="dxa"/>
            <w:bottom w:w="0" w:type="dxa"/>
            <w:right w:w="108" w:type="dxa"/>
          </w:tblCellMar>
        </w:tblPrEx>
        <w:trPr>
          <w:trHeight w:val="614" w:hRule="atLeast"/>
        </w:trPr>
        <w:tc>
          <w:tcPr>
            <w:tcW w:w="1629" w:type="dxa"/>
            <w:vMerge w:val="restart"/>
            <w:tcBorders>
              <w:top w:val="nil"/>
              <w:left w:val="single" w:color="auto" w:sz="4" w:space="0"/>
              <w:bottom w:val="single" w:color="000000" w:sz="4" w:space="0"/>
              <w:right w:val="single" w:color="auto" w:sz="4" w:space="0"/>
            </w:tcBorders>
            <w:shd w:val="clear" w:color="auto" w:fill="auto"/>
            <w:vAlign w:val="center"/>
          </w:tcPr>
          <w:p w14:paraId="7E13667E">
            <w:pPr>
              <w:jc w:val="center"/>
              <w:rPr>
                <w:rFonts w:ascii="仿宋_GB2312" w:hAnsi="宋体" w:eastAsia="仿宋_GB2312" w:cs="宋体"/>
                <w:sz w:val="24"/>
              </w:rPr>
            </w:pPr>
            <w:r>
              <w:rPr>
                <w:rFonts w:hint="eastAsia" w:ascii="仿宋_GB2312" w:hAnsi="宋体" w:eastAsia="仿宋_GB2312" w:cs="宋体"/>
                <w:color w:val="000000"/>
                <w:spacing w:val="-20"/>
                <w:sz w:val="24"/>
              </w:rPr>
              <w:t>（一）报送要求</w:t>
            </w:r>
            <w:r>
              <w:rPr>
                <w:rFonts w:hint="eastAsia" w:ascii="仿宋_GB2312" w:hAnsi="宋体" w:eastAsia="仿宋_GB2312" w:cs="宋体"/>
                <w:sz w:val="24"/>
              </w:rPr>
              <w:t>（5）</w:t>
            </w:r>
          </w:p>
        </w:tc>
        <w:tc>
          <w:tcPr>
            <w:tcW w:w="1176" w:type="dxa"/>
            <w:tcBorders>
              <w:top w:val="nil"/>
              <w:left w:val="nil"/>
              <w:bottom w:val="single" w:color="auto" w:sz="4" w:space="0"/>
              <w:right w:val="single" w:color="auto" w:sz="4" w:space="0"/>
            </w:tcBorders>
            <w:shd w:val="clear" w:color="auto" w:fill="auto"/>
            <w:vAlign w:val="center"/>
          </w:tcPr>
          <w:p w14:paraId="5C360E3E">
            <w:pPr>
              <w:ind w:firstLine="480"/>
              <w:rPr>
                <w:rFonts w:ascii="仿宋_GB2312" w:hAnsi="宋体" w:eastAsia="仿宋_GB2312" w:cs="宋体"/>
                <w:sz w:val="24"/>
              </w:rPr>
            </w:pPr>
            <w:r>
              <w:rPr>
                <w:rFonts w:hint="eastAsia" w:ascii="仿宋_GB2312" w:hAnsi="宋体" w:eastAsia="仿宋_GB2312" w:cs="宋体"/>
                <w:sz w:val="24"/>
              </w:rPr>
              <w:t>2</w:t>
            </w:r>
          </w:p>
        </w:tc>
        <w:tc>
          <w:tcPr>
            <w:tcW w:w="5468" w:type="dxa"/>
            <w:tcBorders>
              <w:top w:val="nil"/>
              <w:left w:val="nil"/>
              <w:bottom w:val="single" w:color="auto" w:sz="4" w:space="0"/>
              <w:right w:val="single" w:color="auto" w:sz="4" w:space="0"/>
            </w:tcBorders>
            <w:shd w:val="clear" w:color="auto" w:fill="auto"/>
            <w:vAlign w:val="center"/>
          </w:tcPr>
          <w:p w14:paraId="4BBD83DF">
            <w:pPr>
              <w:rPr>
                <w:rFonts w:ascii="仿宋_GB2312" w:hAnsi="宋体" w:eastAsia="仿宋_GB2312" w:cs="宋体"/>
                <w:color w:val="000000"/>
                <w:sz w:val="24"/>
              </w:rPr>
            </w:pPr>
            <w:r>
              <w:rPr>
                <w:rFonts w:hint="eastAsia" w:ascii="仿宋_GB2312" w:hAnsi="宋体" w:eastAsia="仿宋_GB2312" w:cs="宋体"/>
                <w:color w:val="000000"/>
                <w:spacing w:val="-8"/>
                <w:sz w:val="24"/>
              </w:rPr>
              <w:t>在规定时间内报送绩效目标的，得2分；逾期未报送的，得0分。</w:t>
            </w:r>
          </w:p>
        </w:tc>
        <w:tc>
          <w:tcPr>
            <w:tcW w:w="1017" w:type="dxa"/>
            <w:tcBorders>
              <w:top w:val="nil"/>
              <w:left w:val="nil"/>
              <w:bottom w:val="single" w:color="auto" w:sz="4" w:space="0"/>
              <w:right w:val="single" w:color="auto" w:sz="4" w:space="0"/>
            </w:tcBorders>
            <w:shd w:val="clear" w:color="auto" w:fill="auto"/>
            <w:vAlign w:val="center"/>
          </w:tcPr>
          <w:p w14:paraId="01B08716">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79A970CB">
        <w:tblPrEx>
          <w:tblCellMar>
            <w:top w:w="0" w:type="dxa"/>
            <w:left w:w="108" w:type="dxa"/>
            <w:bottom w:w="0" w:type="dxa"/>
            <w:right w:w="108" w:type="dxa"/>
          </w:tblCellMar>
        </w:tblPrEx>
        <w:trPr>
          <w:trHeight w:val="780" w:hRule="atLeast"/>
        </w:trPr>
        <w:tc>
          <w:tcPr>
            <w:tcW w:w="1629" w:type="dxa"/>
            <w:vMerge w:val="continue"/>
            <w:tcBorders>
              <w:top w:val="nil"/>
              <w:left w:val="single" w:color="auto" w:sz="4" w:space="0"/>
              <w:bottom w:val="single" w:color="000000" w:sz="4" w:space="0"/>
              <w:right w:val="single" w:color="auto" w:sz="4" w:space="0"/>
            </w:tcBorders>
            <w:shd w:val="clear" w:color="auto" w:fill="auto"/>
            <w:vAlign w:val="center"/>
          </w:tcPr>
          <w:p w14:paraId="033B3F46">
            <w:pPr>
              <w:ind w:firstLine="480"/>
              <w:jc w:val="center"/>
              <w:rPr>
                <w:rFonts w:ascii="仿宋_GB2312" w:hAnsi="宋体" w:eastAsia="仿宋_GB2312" w:cs="宋体"/>
                <w:sz w:val="24"/>
              </w:rPr>
            </w:pPr>
          </w:p>
        </w:tc>
        <w:tc>
          <w:tcPr>
            <w:tcW w:w="1176" w:type="dxa"/>
            <w:tcBorders>
              <w:top w:val="nil"/>
              <w:left w:val="nil"/>
              <w:bottom w:val="single" w:color="auto" w:sz="4" w:space="0"/>
              <w:right w:val="single" w:color="auto" w:sz="4" w:space="0"/>
            </w:tcBorders>
            <w:shd w:val="clear" w:color="auto" w:fill="auto"/>
            <w:vAlign w:val="center"/>
          </w:tcPr>
          <w:p w14:paraId="208C9709">
            <w:pPr>
              <w:ind w:firstLine="480"/>
              <w:rPr>
                <w:rFonts w:ascii="仿宋_GB2312" w:hAnsi="宋体" w:eastAsia="仿宋_GB2312" w:cs="宋体"/>
                <w:sz w:val="24"/>
              </w:rPr>
            </w:pPr>
            <w:r>
              <w:rPr>
                <w:rFonts w:hint="eastAsia" w:ascii="仿宋_GB2312" w:hAnsi="宋体" w:eastAsia="仿宋_GB2312" w:cs="宋体"/>
                <w:sz w:val="24"/>
              </w:rPr>
              <w:t>3</w:t>
            </w:r>
          </w:p>
        </w:tc>
        <w:tc>
          <w:tcPr>
            <w:tcW w:w="5468" w:type="dxa"/>
            <w:tcBorders>
              <w:top w:val="nil"/>
              <w:left w:val="nil"/>
              <w:bottom w:val="single" w:color="auto" w:sz="4" w:space="0"/>
              <w:right w:val="single" w:color="auto" w:sz="4" w:space="0"/>
            </w:tcBorders>
            <w:shd w:val="clear" w:color="auto" w:fill="auto"/>
            <w:vAlign w:val="center"/>
          </w:tcPr>
          <w:p w14:paraId="1CE662F3">
            <w:pPr>
              <w:rPr>
                <w:rFonts w:ascii="仿宋_GB2312" w:hAnsi="宋体" w:eastAsia="仿宋_GB2312" w:cs="宋体"/>
                <w:color w:val="000000"/>
                <w:sz w:val="24"/>
              </w:rPr>
            </w:pPr>
            <w:r>
              <w:rPr>
                <w:rFonts w:hint="eastAsia" w:ascii="仿宋_GB2312" w:hAnsi="宋体" w:eastAsia="仿宋_GB2312" w:cs="宋体"/>
                <w:color w:val="000000"/>
                <w:sz w:val="24"/>
              </w:rPr>
              <w:t>按要求在预算绩效管理系统中填报项目支出绩效目标的，得3分；未填报的，得0分。</w:t>
            </w:r>
          </w:p>
        </w:tc>
        <w:tc>
          <w:tcPr>
            <w:tcW w:w="1017" w:type="dxa"/>
            <w:tcBorders>
              <w:top w:val="nil"/>
              <w:left w:val="nil"/>
              <w:bottom w:val="single" w:color="auto" w:sz="4" w:space="0"/>
              <w:right w:val="single" w:color="auto" w:sz="4" w:space="0"/>
            </w:tcBorders>
            <w:shd w:val="clear" w:color="auto" w:fill="auto"/>
            <w:vAlign w:val="center"/>
          </w:tcPr>
          <w:p w14:paraId="711FD52D">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3</w:t>
            </w:r>
          </w:p>
        </w:tc>
      </w:tr>
      <w:tr w14:paraId="28396E72">
        <w:tblPrEx>
          <w:tblCellMar>
            <w:top w:w="0" w:type="dxa"/>
            <w:left w:w="108" w:type="dxa"/>
            <w:bottom w:w="0" w:type="dxa"/>
            <w:right w:w="108" w:type="dxa"/>
          </w:tblCellMar>
        </w:tblPrEx>
        <w:trPr>
          <w:trHeight w:val="780" w:hRule="atLeast"/>
        </w:trPr>
        <w:tc>
          <w:tcPr>
            <w:tcW w:w="1629" w:type="dxa"/>
            <w:vMerge w:val="restart"/>
            <w:tcBorders>
              <w:top w:val="nil"/>
              <w:left w:val="single" w:color="auto" w:sz="4" w:space="0"/>
              <w:bottom w:val="single" w:color="auto" w:sz="4" w:space="0"/>
              <w:right w:val="single" w:color="auto" w:sz="4" w:space="0"/>
            </w:tcBorders>
            <w:shd w:val="clear" w:color="auto" w:fill="auto"/>
            <w:vAlign w:val="center"/>
          </w:tcPr>
          <w:p w14:paraId="1CCFF734">
            <w:pPr>
              <w:jc w:val="center"/>
              <w:rPr>
                <w:rFonts w:ascii="仿宋_GB2312" w:hAnsi="宋体" w:eastAsia="仿宋_GB2312" w:cs="宋体"/>
                <w:color w:val="000000"/>
                <w:sz w:val="24"/>
              </w:rPr>
            </w:pPr>
            <w:r>
              <w:rPr>
                <w:rFonts w:hint="eastAsia" w:ascii="仿宋_GB2312" w:hAnsi="宋体" w:eastAsia="仿宋_GB2312" w:cs="宋体"/>
                <w:color w:val="000000"/>
                <w:sz w:val="24"/>
              </w:rPr>
              <w:t>（</w:t>
            </w:r>
            <w:r>
              <w:rPr>
                <w:rFonts w:hint="eastAsia" w:ascii="仿宋_GB2312" w:hAnsi="宋体" w:eastAsia="仿宋_GB2312" w:cs="宋体"/>
                <w:color w:val="000000"/>
                <w:spacing w:val="-20"/>
                <w:sz w:val="24"/>
              </w:rPr>
              <w:t>二）质量控制</w:t>
            </w:r>
            <w:r>
              <w:rPr>
                <w:rFonts w:hint="eastAsia" w:ascii="仿宋_GB2312" w:hAnsi="宋体" w:eastAsia="仿宋_GB2312" w:cs="宋体"/>
                <w:color w:val="000000"/>
                <w:sz w:val="24"/>
              </w:rPr>
              <w:t>（8）</w:t>
            </w:r>
          </w:p>
        </w:tc>
        <w:tc>
          <w:tcPr>
            <w:tcW w:w="1176" w:type="dxa"/>
            <w:tcBorders>
              <w:top w:val="nil"/>
              <w:left w:val="nil"/>
              <w:bottom w:val="single" w:color="auto" w:sz="4" w:space="0"/>
              <w:right w:val="single" w:color="auto" w:sz="4" w:space="0"/>
            </w:tcBorders>
            <w:shd w:val="clear" w:color="auto" w:fill="auto"/>
            <w:vAlign w:val="center"/>
          </w:tcPr>
          <w:p w14:paraId="2DDCB6CC">
            <w:pPr>
              <w:ind w:firstLine="480"/>
              <w:rPr>
                <w:rFonts w:ascii="仿宋_GB2312" w:hAnsi="宋体" w:eastAsia="仿宋_GB2312" w:cs="宋体"/>
                <w:sz w:val="24"/>
              </w:rPr>
            </w:pPr>
            <w:r>
              <w:rPr>
                <w:rFonts w:hint="eastAsia" w:ascii="仿宋_GB2312" w:hAnsi="宋体" w:eastAsia="仿宋_GB2312" w:cs="宋体"/>
                <w:sz w:val="24"/>
              </w:rPr>
              <w:t>3</w:t>
            </w:r>
          </w:p>
        </w:tc>
        <w:tc>
          <w:tcPr>
            <w:tcW w:w="5468" w:type="dxa"/>
            <w:tcBorders>
              <w:top w:val="nil"/>
              <w:left w:val="nil"/>
              <w:bottom w:val="single" w:color="auto" w:sz="4" w:space="0"/>
              <w:right w:val="single" w:color="auto" w:sz="4" w:space="0"/>
            </w:tcBorders>
            <w:shd w:val="clear" w:color="auto" w:fill="auto"/>
            <w:vAlign w:val="center"/>
          </w:tcPr>
          <w:p w14:paraId="17D1834F">
            <w:pPr>
              <w:rPr>
                <w:rFonts w:ascii="仿宋_GB2312" w:hAnsi="宋体" w:eastAsia="仿宋_GB2312" w:cs="宋体"/>
                <w:color w:val="000000"/>
                <w:sz w:val="24"/>
              </w:rPr>
            </w:pPr>
            <w:r>
              <w:rPr>
                <w:rFonts w:hint="eastAsia" w:ascii="仿宋_GB2312" w:hAnsi="宋体" w:eastAsia="仿宋_GB2312" w:cs="宋体"/>
                <w:color w:val="000000"/>
                <w:sz w:val="24"/>
              </w:rPr>
              <w:t>申报的绩效目标符合规定的格式要求、相关内容完整的得3分；否则，酌情扣分。</w:t>
            </w:r>
          </w:p>
        </w:tc>
        <w:tc>
          <w:tcPr>
            <w:tcW w:w="1017" w:type="dxa"/>
            <w:tcBorders>
              <w:top w:val="nil"/>
              <w:left w:val="nil"/>
              <w:bottom w:val="single" w:color="auto" w:sz="4" w:space="0"/>
              <w:right w:val="single" w:color="auto" w:sz="4" w:space="0"/>
            </w:tcBorders>
            <w:shd w:val="clear" w:color="auto" w:fill="auto"/>
            <w:vAlign w:val="center"/>
          </w:tcPr>
          <w:p w14:paraId="62414A0B">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3</w:t>
            </w:r>
          </w:p>
        </w:tc>
      </w:tr>
      <w:tr w14:paraId="6D5E4CAC">
        <w:tblPrEx>
          <w:tblCellMar>
            <w:top w:w="0" w:type="dxa"/>
            <w:left w:w="108" w:type="dxa"/>
            <w:bottom w:w="0" w:type="dxa"/>
            <w:right w:w="108" w:type="dxa"/>
          </w:tblCellMar>
        </w:tblPrEx>
        <w:trPr>
          <w:trHeight w:val="499" w:hRule="atLeast"/>
        </w:trPr>
        <w:tc>
          <w:tcPr>
            <w:tcW w:w="1629" w:type="dxa"/>
            <w:vMerge w:val="continue"/>
            <w:tcBorders>
              <w:top w:val="nil"/>
              <w:left w:val="single" w:color="auto" w:sz="4" w:space="0"/>
              <w:bottom w:val="single" w:color="auto" w:sz="4" w:space="0"/>
              <w:right w:val="single" w:color="auto" w:sz="4" w:space="0"/>
            </w:tcBorders>
            <w:shd w:val="clear" w:color="auto" w:fill="auto"/>
            <w:vAlign w:val="center"/>
          </w:tcPr>
          <w:p w14:paraId="655D5CD8">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18388043">
            <w:pPr>
              <w:ind w:firstLine="480"/>
              <w:rPr>
                <w:rFonts w:ascii="仿宋_GB2312" w:hAnsi="宋体" w:eastAsia="仿宋_GB2312" w:cs="宋体"/>
                <w:sz w:val="24"/>
              </w:rPr>
            </w:pPr>
            <w:r>
              <w:rPr>
                <w:rFonts w:hint="eastAsia" w:ascii="仿宋_GB2312" w:hAnsi="宋体" w:eastAsia="仿宋_GB2312" w:cs="宋体"/>
                <w:sz w:val="24"/>
              </w:rPr>
              <w:t>2</w:t>
            </w:r>
          </w:p>
        </w:tc>
        <w:tc>
          <w:tcPr>
            <w:tcW w:w="5468" w:type="dxa"/>
            <w:tcBorders>
              <w:top w:val="nil"/>
              <w:left w:val="nil"/>
              <w:bottom w:val="single" w:color="auto" w:sz="4" w:space="0"/>
              <w:right w:val="single" w:color="auto" w:sz="4" w:space="0"/>
            </w:tcBorders>
            <w:shd w:val="clear" w:color="auto" w:fill="auto"/>
            <w:vAlign w:val="center"/>
          </w:tcPr>
          <w:p w14:paraId="4DD27684">
            <w:pPr>
              <w:rPr>
                <w:rFonts w:ascii="仿宋_GB2312" w:hAnsi="宋体" w:eastAsia="仿宋_GB2312" w:cs="宋体"/>
                <w:color w:val="000000"/>
                <w:sz w:val="24"/>
              </w:rPr>
            </w:pPr>
            <w:r>
              <w:rPr>
                <w:rFonts w:hint="eastAsia" w:ascii="仿宋_GB2312" w:hAnsi="宋体" w:eastAsia="仿宋_GB2312" w:cs="宋体"/>
                <w:color w:val="000000"/>
                <w:sz w:val="24"/>
              </w:rPr>
              <w:t>绩效目标描述明确合理的，得2分。否则，酌情扣分。</w:t>
            </w:r>
          </w:p>
        </w:tc>
        <w:tc>
          <w:tcPr>
            <w:tcW w:w="1017" w:type="dxa"/>
            <w:tcBorders>
              <w:top w:val="nil"/>
              <w:left w:val="nil"/>
              <w:bottom w:val="single" w:color="auto" w:sz="4" w:space="0"/>
              <w:right w:val="single" w:color="auto" w:sz="4" w:space="0"/>
            </w:tcBorders>
            <w:shd w:val="clear" w:color="auto" w:fill="auto"/>
            <w:vAlign w:val="center"/>
          </w:tcPr>
          <w:p w14:paraId="6FFB5CE9">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4C24CC65">
        <w:tblPrEx>
          <w:tblCellMar>
            <w:top w:w="0" w:type="dxa"/>
            <w:left w:w="108" w:type="dxa"/>
            <w:bottom w:w="0" w:type="dxa"/>
            <w:right w:w="108" w:type="dxa"/>
          </w:tblCellMar>
        </w:tblPrEx>
        <w:trPr>
          <w:trHeight w:val="536" w:hRule="atLeast"/>
        </w:trPr>
        <w:tc>
          <w:tcPr>
            <w:tcW w:w="1629" w:type="dxa"/>
            <w:vMerge w:val="continue"/>
            <w:tcBorders>
              <w:top w:val="nil"/>
              <w:left w:val="single" w:color="auto" w:sz="4" w:space="0"/>
              <w:bottom w:val="single" w:color="auto" w:sz="4" w:space="0"/>
              <w:right w:val="single" w:color="auto" w:sz="4" w:space="0"/>
            </w:tcBorders>
            <w:shd w:val="clear" w:color="auto" w:fill="auto"/>
            <w:vAlign w:val="center"/>
          </w:tcPr>
          <w:p w14:paraId="380144A7">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544F83D5">
            <w:pPr>
              <w:ind w:firstLine="480"/>
              <w:rPr>
                <w:rFonts w:ascii="仿宋_GB2312" w:hAnsi="宋体" w:eastAsia="仿宋_GB2312" w:cs="宋体"/>
                <w:color w:val="000000"/>
                <w:sz w:val="24"/>
              </w:rPr>
            </w:pPr>
            <w:r>
              <w:rPr>
                <w:rFonts w:hint="eastAsia" w:ascii="仿宋_GB2312" w:hAnsi="宋体" w:eastAsia="仿宋_GB2312" w:cs="宋体"/>
                <w:color w:val="000000"/>
                <w:sz w:val="24"/>
              </w:rPr>
              <w:t>3</w:t>
            </w:r>
          </w:p>
        </w:tc>
        <w:tc>
          <w:tcPr>
            <w:tcW w:w="5468" w:type="dxa"/>
            <w:tcBorders>
              <w:top w:val="nil"/>
              <w:left w:val="nil"/>
              <w:bottom w:val="single" w:color="auto" w:sz="4" w:space="0"/>
              <w:right w:val="single" w:color="auto" w:sz="4" w:space="0"/>
            </w:tcBorders>
            <w:shd w:val="clear" w:color="auto" w:fill="auto"/>
            <w:vAlign w:val="center"/>
          </w:tcPr>
          <w:p w14:paraId="42DD6105">
            <w:pPr>
              <w:rPr>
                <w:rFonts w:ascii="仿宋_GB2312" w:hAnsi="宋体" w:eastAsia="仿宋_GB2312" w:cs="宋体"/>
                <w:color w:val="000000"/>
                <w:spacing w:val="-8"/>
                <w:sz w:val="24"/>
              </w:rPr>
            </w:pPr>
            <w:r>
              <w:rPr>
                <w:rFonts w:hint="eastAsia" w:ascii="仿宋_GB2312" w:hAnsi="宋体" w:eastAsia="仿宋_GB2312" w:cs="宋体"/>
                <w:color w:val="000000"/>
                <w:spacing w:val="-8"/>
                <w:sz w:val="24"/>
              </w:rPr>
              <w:t>绩效指标值细化量化、有明确标准的，得3分。否则，酌情扣分。</w:t>
            </w:r>
          </w:p>
        </w:tc>
        <w:tc>
          <w:tcPr>
            <w:tcW w:w="1017" w:type="dxa"/>
            <w:tcBorders>
              <w:top w:val="nil"/>
              <w:left w:val="nil"/>
              <w:bottom w:val="single" w:color="auto" w:sz="4" w:space="0"/>
              <w:right w:val="single" w:color="auto" w:sz="4" w:space="0"/>
            </w:tcBorders>
            <w:shd w:val="clear" w:color="auto" w:fill="auto"/>
            <w:vAlign w:val="center"/>
          </w:tcPr>
          <w:p w14:paraId="530F64DC">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3</w:t>
            </w:r>
          </w:p>
        </w:tc>
      </w:tr>
      <w:tr w14:paraId="73B12FB6">
        <w:tblPrEx>
          <w:tblCellMar>
            <w:top w:w="0" w:type="dxa"/>
            <w:left w:w="108" w:type="dxa"/>
            <w:bottom w:w="0" w:type="dxa"/>
            <w:right w:w="108" w:type="dxa"/>
          </w:tblCellMar>
        </w:tblPrEx>
        <w:trPr>
          <w:trHeight w:val="439" w:hRule="atLeast"/>
        </w:trPr>
        <w:tc>
          <w:tcPr>
            <w:tcW w:w="1629" w:type="dxa"/>
            <w:vMerge w:val="restart"/>
            <w:tcBorders>
              <w:top w:val="nil"/>
              <w:left w:val="single" w:color="auto" w:sz="4" w:space="0"/>
              <w:bottom w:val="single" w:color="auto" w:sz="4" w:space="0"/>
              <w:right w:val="single" w:color="auto" w:sz="4" w:space="0"/>
            </w:tcBorders>
            <w:shd w:val="clear" w:color="auto" w:fill="auto"/>
            <w:vAlign w:val="center"/>
          </w:tcPr>
          <w:p w14:paraId="1170CBDE">
            <w:pPr>
              <w:jc w:val="center"/>
              <w:rPr>
                <w:rFonts w:ascii="仿宋_GB2312" w:hAnsi="宋体" w:eastAsia="仿宋_GB2312" w:cs="宋体"/>
                <w:color w:val="000000"/>
                <w:sz w:val="24"/>
              </w:rPr>
            </w:pPr>
            <w:r>
              <w:rPr>
                <w:rFonts w:hint="eastAsia" w:ascii="仿宋_GB2312" w:hAnsi="宋体" w:eastAsia="仿宋_GB2312" w:cs="宋体"/>
                <w:color w:val="000000"/>
                <w:sz w:val="24"/>
              </w:rPr>
              <w:t>（三）范围和规模（7）</w:t>
            </w:r>
          </w:p>
        </w:tc>
        <w:tc>
          <w:tcPr>
            <w:tcW w:w="1176" w:type="dxa"/>
            <w:vMerge w:val="restart"/>
            <w:tcBorders>
              <w:top w:val="nil"/>
              <w:left w:val="single" w:color="auto" w:sz="4" w:space="0"/>
              <w:bottom w:val="single" w:color="auto" w:sz="4" w:space="0"/>
              <w:right w:val="single" w:color="auto" w:sz="4" w:space="0"/>
            </w:tcBorders>
            <w:shd w:val="clear" w:color="auto" w:fill="auto"/>
            <w:vAlign w:val="center"/>
          </w:tcPr>
          <w:p w14:paraId="38B7105C">
            <w:pPr>
              <w:ind w:firstLine="480"/>
              <w:rPr>
                <w:rFonts w:ascii="仿宋_GB2312" w:hAnsi="宋体" w:eastAsia="仿宋_GB2312" w:cs="宋体"/>
                <w:color w:val="000000"/>
                <w:sz w:val="24"/>
              </w:rPr>
            </w:pPr>
            <w:r>
              <w:rPr>
                <w:rFonts w:hint="eastAsia" w:ascii="仿宋_GB2312" w:hAnsi="宋体" w:eastAsia="仿宋_GB2312" w:cs="宋体"/>
                <w:color w:val="000000"/>
                <w:sz w:val="24"/>
              </w:rPr>
              <w:t>7</w:t>
            </w:r>
          </w:p>
        </w:tc>
        <w:tc>
          <w:tcPr>
            <w:tcW w:w="5468" w:type="dxa"/>
            <w:vMerge w:val="restart"/>
            <w:tcBorders>
              <w:top w:val="nil"/>
              <w:left w:val="single" w:color="auto" w:sz="4" w:space="0"/>
              <w:bottom w:val="single" w:color="auto" w:sz="4" w:space="0"/>
              <w:right w:val="single" w:color="auto" w:sz="4" w:space="0"/>
            </w:tcBorders>
            <w:shd w:val="clear" w:color="auto" w:fill="auto"/>
            <w:vAlign w:val="center"/>
          </w:tcPr>
          <w:p w14:paraId="38FF2236">
            <w:pPr>
              <w:rPr>
                <w:rFonts w:ascii="仿宋_GB2312" w:hAnsi="宋体" w:eastAsia="仿宋_GB2312" w:cs="宋体"/>
                <w:sz w:val="24"/>
              </w:rPr>
            </w:pPr>
            <w:r>
              <w:rPr>
                <w:rFonts w:hint="eastAsia" w:ascii="仿宋_GB2312" w:hAnsi="宋体" w:eastAsia="仿宋_GB2312" w:cs="宋体"/>
                <w:sz w:val="24"/>
              </w:rPr>
              <w:t>部门及其所属单位均按要求申报了绩效目标的，按绩效目标填报金额占部门项目预算总额比例得分。</w:t>
            </w:r>
          </w:p>
        </w:tc>
        <w:tc>
          <w:tcPr>
            <w:tcW w:w="1017" w:type="dxa"/>
            <w:vMerge w:val="restart"/>
            <w:tcBorders>
              <w:top w:val="nil"/>
              <w:left w:val="single" w:color="auto" w:sz="4" w:space="0"/>
              <w:bottom w:val="single" w:color="auto" w:sz="4" w:space="0"/>
              <w:right w:val="single" w:color="auto" w:sz="4" w:space="0"/>
            </w:tcBorders>
            <w:shd w:val="clear" w:color="auto" w:fill="auto"/>
            <w:vAlign w:val="center"/>
          </w:tcPr>
          <w:p w14:paraId="58E71E11">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7</w:t>
            </w:r>
          </w:p>
        </w:tc>
      </w:tr>
      <w:tr w14:paraId="183A2E25">
        <w:tblPrEx>
          <w:tblCellMar>
            <w:top w:w="0" w:type="dxa"/>
            <w:left w:w="108" w:type="dxa"/>
            <w:bottom w:w="0" w:type="dxa"/>
            <w:right w:w="108" w:type="dxa"/>
          </w:tblCellMar>
        </w:tblPrEx>
        <w:trPr>
          <w:trHeight w:val="1011" w:hRule="atLeast"/>
        </w:trPr>
        <w:tc>
          <w:tcPr>
            <w:tcW w:w="1629" w:type="dxa"/>
            <w:vMerge w:val="continue"/>
            <w:tcBorders>
              <w:top w:val="single" w:color="auto" w:sz="4" w:space="0"/>
              <w:left w:val="single" w:color="auto" w:sz="4" w:space="0"/>
              <w:bottom w:val="single" w:color="auto" w:sz="4" w:space="0"/>
              <w:right w:val="single" w:color="auto" w:sz="4" w:space="0"/>
            </w:tcBorders>
            <w:vAlign w:val="center"/>
          </w:tcPr>
          <w:p w14:paraId="04B519FB">
            <w:pPr>
              <w:ind w:firstLine="480"/>
              <w:jc w:val="center"/>
              <w:rPr>
                <w:rFonts w:ascii="仿宋_GB2312" w:hAnsi="宋体" w:eastAsia="仿宋_GB2312" w:cs="宋体"/>
                <w:color w:val="000000"/>
                <w:sz w:val="24"/>
              </w:rPr>
            </w:pPr>
          </w:p>
        </w:tc>
        <w:tc>
          <w:tcPr>
            <w:tcW w:w="1176" w:type="dxa"/>
            <w:vMerge w:val="continue"/>
            <w:tcBorders>
              <w:top w:val="single" w:color="auto" w:sz="4" w:space="0"/>
              <w:left w:val="single" w:color="auto" w:sz="4" w:space="0"/>
              <w:bottom w:val="single" w:color="auto" w:sz="4" w:space="0"/>
              <w:right w:val="single" w:color="auto" w:sz="4" w:space="0"/>
            </w:tcBorders>
            <w:vAlign w:val="center"/>
          </w:tcPr>
          <w:p w14:paraId="7ED82078">
            <w:pPr>
              <w:ind w:firstLine="480"/>
              <w:jc w:val="center"/>
              <w:rPr>
                <w:rFonts w:ascii="仿宋_GB2312" w:hAnsi="宋体" w:eastAsia="仿宋_GB2312" w:cs="宋体"/>
                <w:color w:val="000000"/>
                <w:sz w:val="24"/>
              </w:rPr>
            </w:pPr>
          </w:p>
        </w:tc>
        <w:tc>
          <w:tcPr>
            <w:tcW w:w="5468" w:type="dxa"/>
            <w:vMerge w:val="continue"/>
            <w:tcBorders>
              <w:top w:val="single" w:color="auto" w:sz="4" w:space="0"/>
              <w:left w:val="single" w:color="auto" w:sz="4" w:space="0"/>
              <w:bottom w:val="single" w:color="auto" w:sz="4" w:space="0"/>
              <w:right w:val="single" w:color="auto" w:sz="4" w:space="0"/>
            </w:tcBorders>
            <w:vAlign w:val="center"/>
          </w:tcPr>
          <w:p w14:paraId="3E41304F">
            <w:pPr>
              <w:ind w:firstLine="480"/>
              <w:rPr>
                <w:rFonts w:ascii="仿宋_GB2312" w:hAnsi="宋体" w:eastAsia="仿宋_GB2312" w:cs="宋体"/>
                <w:sz w:val="24"/>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020D48F5">
            <w:pPr>
              <w:ind w:firstLine="480"/>
              <w:jc w:val="center"/>
              <w:rPr>
                <w:rFonts w:ascii="仿宋_GB2312" w:hAnsi="宋体" w:eastAsia="仿宋_GB2312" w:cs="宋体"/>
                <w:color w:val="000000"/>
                <w:sz w:val="24"/>
              </w:rPr>
            </w:pPr>
          </w:p>
        </w:tc>
      </w:tr>
      <w:tr w14:paraId="0B5DF3E9">
        <w:tblPrEx>
          <w:tblCellMar>
            <w:top w:w="0" w:type="dxa"/>
            <w:left w:w="108" w:type="dxa"/>
            <w:bottom w:w="0" w:type="dxa"/>
            <w:right w:w="108" w:type="dxa"/>
          </w:tblCellMar>
        </w:tblPrEx>
        <w:trPr>
          <w:trHeight w:val="615" w:hRule="atLeast"/>
        </w:trPr>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14:paraId="6BF63FED">
            <w:pPr>
              <w:jc w:val="center"/>
              <w:rPr>
                <w:rFonts w:ascii="黑体" w:hAnsi="宋体" w:eastAsia="黑体" w:cs="宋体"/>
                <w:bCs/>
                <w:sz w:val="24"/>
              </w:rPr>
            </w:pPr>
            <w:r>
              <w:rPr>
                <w:rFonts w:hint="eastAsia" w:ascii="黑体" w:hAnsi="宋体" w:eastAsia="黑体" w:cs="宋体"/>
                <w:bCs/>
                <w:sz w:val="24"/>
              </w:rPr>
              <w:t>三、绩效监控管理</w:t>
            </w:r>
          </w:p>
        </w:tc>
        <w:tc>
          <w:tcPr>
            <w:tcW w:w="1176" w:type="dxa"/>
            <w:tcBorders>
              <w:top w:val="single" w:color="auto" w:sz="4" w:space="0"/>
              <w:left w:val="nil"/>
              <w:bottom w:val="single" w:color="auto" w:sz="4" w:space="0"/>
              <w:right w:val="single" w:color="auto" w:sz="4" w:space="0"/>
            </w:tcBorders>
            <w:shd w:val="clear" w:color="auto" w:fill="auto"/>
            <w:vAlign w:val="center"/>
          </w:tcPr>
          <w:p w14:paraId="2D686AA8">
            <w:pPr>
              <w:ind w:firstLine="480"/>
              <w:rPr>
                <w:rFonts w:ascii="黑体" w:hAnsi="宋体" w:eastAsia="黑体" w:cs="宋体"/>
                <w:bCs/>
                <w:sz w:val="24"/>
              </w:rPr>
            </w:pPr>
            <w:r>
              <w:rPr>
                <w:rFonts w:hint="eastAsia" w:ascii="黑体" w:hAnsi="宋体" w:eastAsia="黑体" w:cs="宋体"/>
                <w:bCs/>
                <w:sz w:val="24"/>
              </w:rPr>
              <w:t>20</w:t>
            </w:r>
          </w:p>
        </w:tc>
        <w:tc>
          <w:tcPr>
            <w:tcW w:w="5468" w:type="dxa"/>
            <w:tcBorders>
              <w:top w:val="single" w:color="auto" w:sz="4" w:space="0"/>
              <w:left w:val="nil"/>
              <w:bottom w:val="single" w:color="auto" w:sz="4" w:space="0"/>
              <w:right w:val="single" w:color="auto" w:sz="4" w:space="0"/>
            </w:tcBorders>
            <w:shd w:val="clear" w:color="auto" w:fill="auto"/>
            <w:vAlign w:val="center"/>
          </w:tcPr>
          <w:p w14:paraId="729C8443">
            <w:pPr>
              <w:rPr>
                <w:rFonts w:ascii="黑体" w:hAnsi="宋体" w:eastAsia="黑体" w:cs="宋体"/>
                <w:bCs/>
                <w:sz w:val="24"/>
              </w:rPr>
            </w:pPr>
            <w:r>
              <w:rPr>
                <w:rFonts w:hint="eastAsia" w:ascii="黑体" w:hAnsi="宋体" w:eastAsia="黑体" w:cs="宋体"/>
                <w:bCs/>
                <w:sz w:val="24"/>
              </w:rPr>
              <w:t>(2020年度实施当年绩效监控情况）</w:t>
            </w:r>
          </w:p>
        </w:tc>
        <w:tc>
          <w:tcPr>
            <w:tcW w:w="1017" w:type="dxa"/>
            <w:tcBorders>
              <w:top w:val="single" w:color="auto" w:sz="4" w:space="0"/>
              <w:left w:val="nil"/>
              <w:bottom w:val="single" w:color="auto" w:sz="4" w:space="0"/>
              <w:right w:val="single" w:color="auto" w:sz="4" w:space="0"/>
            </w:tcBorders>
            <w:shd w:val="clear" w:color="auto" w:fill="auto"/>
            <w:vAlign w:val="center"/>
          </w:tcPr>
          <w:p w14:paraId="244BB018">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20</w:t>
            </w:r>
          </w:p>
        </w:tc>
      </w:tr>
      <w:tr w14:paraId="3FCEE17A">
        <w:tblPrEx>
          <w:tblCellMar>
            <w:top w:w="0" w:type="dxa"/>
            <w:left w:w="108" w:type="dxa"/>
            <w:bottom w:w="0" w:type="dxa"/>
            <w:right w:w="108" w:type="dxa"/>
          </w:tblCellMar>
        </w:tblPrEx>
        <w:trPr>
          <w:trHeight w:val="642"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023110A3">
            <w:pPr>
              <w:jc w:val="center"/>
              <w:rPr>
                <w:rFonts w:ascii="仿宋_GB2312" w:hAnsi="宋体" w:eastAsia="仿宋_GB2312" w:cs="宋体"/>
                <w:sz w:val="24"/>
              </w:rPr>
            </w:pPr>
            <w:r>
              <w:rPr>
                <w:rFonts w:hint="eastAsia" w:ascii="仿宋_GB2312" w:hAnsi="宋体" w:eastAsia="仿宋_GB2312" w:cs="宋体"/>
                <w:color w:val="000000"/>
                <w:spacing w:val="-20"/>
                <w:sz w:val="24"/>
              </w:rPr>
              <w:t>（一）报送要求（</w:t>
            </w:r>
            <w:r>
              <w:rPr>
                <w:rFonts w:hint="eastAsia" w:ascii="仿宋_GB2312" w:hAnsi="宋体" w:eastAsia="仿宋_GB2312" w:cs="宋体"/>
                <w:sz w:val="24"/>
              </w:rPr>
              <w:t>5）</w:t>
            </w:r>
          </w:p>
        </w:tc>
        <w:tc>
          <w:tcPr>
            <w:tcW w:w="1176" w:type="dxa"/>
            <w:tcBorders>
              <w:top w:val="nil"/>
              <w:left w:val="nil"/>
              <w:bottom w:val="single" w:color="auto" w:sz="4" w:space="0"/>
              <w:right w:val="single" w:color="auto" w:sz="4" w:space="0"/>
            </w:tcBorders>
            <w:shd w:val="clear" w:color="auto" w:fill="auto"/>
            <w:vAlign w:val="center"/>
          </w:tcPr>
          <w:p w14:paraId="313CE784">
            <w:pPr>
              <w:ind w:firstLine="480"/>
              <w:rPr>
                <w:rFonts w:ascii="仿宋_GB2312" w:hAnsi="宋体" w:eastAsia="仿宋_GB2312" w:cs="宋体"/>
                <w:sz w:val="24"/>
              </w:rPr>
            </w:pPr>
            <w:r>
              <w:rPr>
                <w:rFonts w:hint="eastAsia" w:ascii="仿宋_GB2312" w:hAnsi="宋体" w:eastAsia="仿宋_GB2312" w:cs="宋体"/>
                <w:sz w:val="24"/>
              </w:rPr>
              <w:t>5</w:t>
            </w:r>
          </w:p>
        </w:tc>
        <w:tc>
          <w:tcPr>
            <w:tcW w:w="5468" w:type="dxa"/>
            <w:tcBorders>
              <w:top w:val="nil"/>
              <w:left w:val="nil"/>
              <w:bottom w:val="single" w:color="auto" w:sz="4" w:space="0"/>
              <w:right w:val="single" w:color="auto" w:sz="4" w:space="0"/>
            </w:tcBorders>
            <w:shd w:val="clear" w:color="auto" w:fill="auto"/>
            <w:vAlign w:val="center"/>
          </w:tcPr>
          <w:p w14:paraId="4F5AD077">
            <w:pPr>
              <w:rPr>
                <w:rFonts w:ascii="仿宋_GB2312" w:hAnsi="宋体" w:eastAsia="仿宋_GB2312" w:cs="宋体"/>
                <w:color w:val="000000"/>
                <w:sz w:val="24"/>
              </w:rPr>
            </w:pPr>
            <w:r>
              <w:rPr>
                <w:rFonts w:hint="eastAsia" w:ascii="仿宋_GB2312" w:hAnsi="宋体" w:eastAsia="仿宋_GB2312" w:cs="宋体"/>
                <w:color w:val="000000"/>
                <w:sz w:val="24"/>
              </w:rPr>
              <w:t>在文件规定时间内（2020年8月31日前）报送的，得5分；逾期未报送的，得0分。</w:t>
            </w:r>
          </w:p>
        </w:tc>
        <w:tc>
          <w:tcPr>
            <w:tcW w:w="1017" w:type="dxa"/>
            <w:tcBorders>
              <w:top w:val="nil"/>
              <w:left w:val="nil"/>
              <w:bottom w:val="single" w:color="auto" w:sz="4" w:space="0"/>
              <w:right w:val="single" w:color="auto" w:sz="4" w:space="0"/>
            </w:tcBorders>
            <w:shd w:val="clear" w:color="auto" w:fill="auto"/>
            <w:vAlign w:val="center"/>
          </w:tcPr>
          <w:p w14:paraId="119AE28A">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4B3A0B22">
        <w:tblPrEx>
          <w:tblCellMar>
            <w:top w:w="0" w:type="dxa"/>
            <w:left w:w="108" w:type="dxa"/>
            <w:bottom w:w="0" w:type="dxa"/>
            <w:right w:w="108" w:type="dxa"/>
          </w:tblCellMar>
        </w:tblPrEx>
        <w:trPr>
          <w:trHeight w:val="702" w:hRule="atLeast"/>
        </w:trPr>
        <w:tc>
          <w:tcPr>
            <w:tcW w:w="1629" w:type="dxa"/>
            <w:vMerge w:val="restart"/>
            <w:tcBorders>
              <w:top w:val="nil"/>
              <w:left w:val="single" w:color="auto" w:sz="4" w:space="0"/>
              <w:bottom w:val="single" w:color="auto" w:sz="4" w:space="0"/>
              <w:right w:val="single" w:color="auto" w:sz="4" w:space="0"/>
            </w:tcBorders>
            <w:shd w:val="clear" w:color="auto" w:fill="auto"/>
            <w:vAlign w:val="center"/>
          </w:tcPr>
          <w:p w14:paraId="76365CFD">
            <w:pPr>
              <w:jc w:val="center"/>
              <w:rPr>
                <w:rFonts w:ascii="仿宋_GB2312" w:hAnsi="宋体" w:eastAsia="仿宋_GB2312" w:cs="宋体"/>
                <w:color w:val="000000"/>
                <w:sz w:val="24"/>
              </w:rPr>
            </w:pPr>
            <w:r>
              <w:rPr>
                <w:rFonts w:hint="eastAsia" w:ascii="仿宋_GB2312" w:hAnsi="宋体" w:eastAsia="仿宋_GB2312" w:cs="宋体"/>
                <w:color w:val="000000"/>
                <w:spacing w:val="-20"/>
                <w:sz w:val="24"/>
              </w:rPr>
              <w:t>（</w:t>
            </w:r>
            <w:r>
              <w:rPr>
                <w:rFonts w:hint="eastAsia" w:ascii="仿宋_GB2312" w:hAnsi="宋体" w:eastAsia="仿宋_GB2312" w:cs="宋体"/>
                <w:color w:val="000000"/>
                <w:sz w:val="24"/>
              </w:rPr>
              <w:t>二）范围和质量（10）</w:t>
            </w:r>
          </w:p>
        </w:tc>
        <w:tc>
          <w:tcPr>
            <w:tcW w:w="1176" w:type="dxa"/>
            <w:tcBorders>
              <w:top w:val="nil"/>
              <w:left w:val="nil"/>
              <w:bottom w:val="single" w:color="auto" w:sz="4" w:space="0"/>
              <w:right w:val="single" w:color="auto" w:sz="4" w:space="0"/>
            </w:tcBorders>
            <w:shd w:val="clear" w:color="auto" w:fill="auto"/>
            <w:vAlign w:val="center"/>
          </w:tcPr>
          <w:p w14:paraId="250D463A">
            <w:pPr>
              <w:ind w:firstLine="480"/>
              <w:rPr>
                <w:rFonts w:ascii="仿宋_GB2312" w:hAnsi="宋体" w:eastAsia="仿宋_GB2312" w:cs="宋体"/>
                <w:sz w:val="24"/>
              </w:rPr>
            </w:pPr>
            <w:r>
              <w:rPr>
                <w:rFonts w:hint="eastAsia" w:ascii="仿宋_GB2312" w:hAnsi="宋体" w:eastAsia="仿宋_GB2312" w:cs="宋体"/>
                <w:sz w:val="24"/>
              </w:rPr>
              <w:t>5</w:t>
            </w:r>
          </w:p>
        </w:tc>
        <w:tc>
          <w:tcPr>
            <w:tcW w:w="5468" w:type="dxa"/>
            <w:tcBorders>
              <w:top w:val="nil"/>
              <w:left w:val="nil"/>
              <w:bottom w:val="single" w:color="auto" w:sz="4" w:space="0"/>
              <w:right w:val="single" w:color="auto" w:sz="4" w:space="0"/>
            </w:tcBorders>
            <w:shd w:val="clear" w:color="auto" w:fill="auto"/>
            <w:vAlign w:val="center"/>
          </w:tcPr>
          <w:p w14:paraId="5CBC84E9">
            <w:pPr>
              <w:rPr>
                <w:rFonts w:ascii="仿宋_GB2312" w:hAnsi="宋体" w:eastAsia="仿宋_GB2312" w:cs="宋体"/>
                <w:sz w:val="24"/>
              </w:rPr>
            </w:pPr>
            <w:r>
              <w:rPr>
                <w:rFonts w:hint="eastAsia" w:ascii="仿宋_GB2312" w:hAnsi="宋体" w:eastAsia="仿宋_GB2312" w:cs="宋体"/>
                <w:sz w:val="24"/>
              </w:rPr>
              <w:t>部门及其所属单位按要求开展了绩效运行监控的，定期采集绩效运行信息并进行汇总分析的，得5分。</w:t>
            </w:r>
          </w:p>
        </w:tc>
        <w:tc>
          <w:tcPr>
            <w:tcW w:w="1017" w:type="dxa"/>
            <w:tcBorders>
              <w:top w:val="nil"/>
              <w:left w:val="nil"/>
              <w:bottom w:val="single" w:color="auto" w:sz="4" w:space="0"/>
              <w:right w:val="single" w:color="auto" w:sz="4" w:space="0"/>
            </w:tcBorders>
            <w:shd w:val="clear" w:color="auto" w:fill="auto"/>
            <w:vAlign w:val="center"/>
          </w:tcPr>
          <w:p w14:paraId="700F1379">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4E5CAD56">
        <w:tblPrEx>
          <w:tblCellMar>
            <w:top w:w="0" w:type="dxa"/>
            <w:left w:w="108" w:type="dxa"/>
            <w:bottom w:w="0" w:type="dxa"/>
            <w:right w:w="108" w:type="dxa"/>
          </w:tblCellMar>
        </w:tblPrEx>
        <w:trPr>
          <w:trHeight w:val="655" w:hRule="atLeast"/>
        </w:trPr>
        <w:tc>
          <w:tcPr>
            <w:tcW w:w="1629" w:type="dxa"/>
            <w:vMerge w:val="continue"/>
            <w:tcBorders>
              <w:top w:val="nil"/>
              <w:left w:val="single" w:color="auto" w:sz="4" w:space="0"/>
              <w:bottom w:val="single" w:color="auto" w:sz="4" w:space="0"/>
              <w:right w:val="single" w:color="auto" w:sz="4" w:space="0"/>
            </w:tcBorders>
            <w:shd w:val="clear" w:color="auto" w:fill="auto"/>
            <w:vAlign w:val="center"/>
          </w:tcPr>
          <w:p w14:paraId="0E5049DE">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73ABCA32">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75EAF0D7">
            <w:pPr>
              <w:rPr>
                <w:rFonts w:ascii="仿宋_GB2312" w:hAnsi="宋体" w:eastAsia="仿宋_GB2312" w:cs="宋体"/>
                <w:sz w:val="24"/>
              </w:rPr>
            </w:pPr>
            <w:r>
              <w:rPr>
                <w:rFonts w:hint="eastAsia" w:ascii="仿宋_GB2312" w:hAnsi="宋体" w:eastAsia="仿宋_GB2312" w:cs="宋体"/>
                <w:sz w:val="24"/>
              </w:rPr>
              <w:t>确保绩效目标如期实现，或对偏离绩效目标、预期无效项目及时提出纠偏意见的，得5分。</w:t>
            </w:r>
          </w:p>
        </w:tc>
        <w:tc>
          <w:tcPr>
            <w:tcW w:w="1017" w:type="dxa"/>
            <w:tcBorders>
              <w:top w:val="nil"/>
              <w:left w:val="nil"/>
              <w:bottom w:val="single" w:color="auto" w:sz="4" w:space="0"/>
              <w:right w:val="single" w:color="auto" w:sz="4" w:space="0"/>
            </w:tcBorders>
            <w:shd w:val="clear" w:color="auto" w:fill="auto"/>
            <w:vAlign w:val="center"/>
          </w:tcPr>
          <w:p w14:paraId="0D4EBEB2">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36521FA7">
        <w:tblPrEx>
          <w:tblCellMar>
            <w:top w:w="0" w:type="dxa"/>
            <w:left w:w="108" w:type="dxa"/>
            <w:bottom w:w="0" w:type="dxa"/>
            <w:right w:w="108" w:type="dxa"/>
          </w:tblCellMar>
        </w:tblPrEx>
        <w:trPr>
          <w:trHeight w:val="1010" w:hRule="atLeast"/>
        </w:trPr>
        <w:tc>
          <w:tcPr>
            <w:tcW w:w="1629" w:type="dxa"/>
            <w:vMerge w:val="restart"/>
            <w:tcBorders>
              <w:top w:val="nil"/>
              <w:left w:val="single" w:color="auto" w:sz="4" w:space="0"/>
              <w:bottom w:val="single" w:color="auto" w:sz="4" w:space="0"/>
              <w:right w:val="single" w:color="auto" w:sz="4" w:space="0"/>
            </w:tcBorders>
            <w:shd w:val="clear" w:color="auto" w:fill="auto"/>
            <w:vAlign w:val="center"/>
          </w:tcPr>
          <w:p w14:paraId="2F44BA91">
            <w:pPr>
              <w:jc w:val="center"/>
              <w:rPr>
                <w:rFonts w:ascii="仿宋_GB2312" w:hAnsi="宋体" w:eastAsia="仿宋_GB2312" w:cs="宋体"/>
                <w:color w:val="000000"/>
                <w:sz w:val="24"/>
              </w:rPr>
            </w:pPr>
            <w:r>
              <w:rPr>
                <w:rFonts w:hint="eastAsia" w:ascii="仿宋_GB2312" w:hAnsi="宋体" w:eastAsia="仿宋_GB2312" w:cs="宋体"/>
                <w:color w:val="000000"/>
                <w:sz w:val="24"/>
              </w:rPr>
              <w:t>（</w:t>
            </w:r>
            <w:r>
              <w:rPr>
                <w:rFonts w:hint="eastAsia" w:ascii="仿宋_GB2312" w:hAnsi="宋体" w:eastAsia="仿宋_GB2312" w:cs="宋体"/>
                <w:color w:val="000000"/>
                <w:spacing w:val="-20"/>
                <w:sz w:val="24"/>
              </w:rPr>
              <w:t>三）落实整改</w:t>
            </w:r>
            <w:r>
              <w:rPr>
                <w:rFonts w:hint="eastAsia" w:ascii="仿宋_GB2312" w:hAnsi="宋体" w:eastAsia="仿宋_GB2312" w:cs="宋体"/>
                <w:color w:val="000000"/>
                <w:sz w:val="24"/>
              </w:rPr>
              <w:t>（5）</w:t>
            </w:r>
          </w:p>
        </w:tc>
        <w:tc>
          <w:tcPr>
            <w:tcW w:w="1176" w:type="dxa"/>
            <w:tcBorders>
              <w:top w:val="nil"/>
              <w:left w:val="nil"/>
              <w:bottom w:val="single" w:color="auto" w:sz="4" w:space="0"/>
              <w:right w:val="single" w:color="auto" w:sz="4" w:space="0"/>
            </w:tcBorders>
            <w:shd w:val="clear" w:color="auto" w:fill="auto"/>
            <w:vAlign w:val="center"/>
          </w:tcPr>
          <w:p w14:paraId="722C0D1A">
            <w:pPr>
              <w:ind w:firstLine="480"/>
              <w:rPr>
                <w:rFonts w:ascii="仿宋_GB2312" w:hAnsi="宋体" w:eastAsia="仿宋_GB2312" w:cs="宋体"/>
                <w:color w:val="000000"/>
                <w:sz w:val="24"/>
              </w:rPr>
            </w:pPr>
            <w:r>
              <w:rPr>
                <w:rFonts w:hint="eastAsia" w:ascii="仿宋_GB2312" w:hAnsi="宋体" w:eastAsia="仿宋_GB2312" w:cs="宋体"/>
                <w:color w:val="000000"/>
                <w:sz w:val="24"/>
              </w:rPr>
              <w:t>3</w:t>
            </w:r>
          </w:p>
        </w:tc>
        <w:tc>
          <w:tcPr>
            <w:tcW w:w="5468" w:type="dxa"/>
            <w:tcBorders>
              <w:top w:val="nil"/>
              <w:left w:val="nil"/>
              <w:bottom w:val="single" w:color="auto" w:sz="4" w:space="0"/>
              <w:right w:val="single" w:color="auto" w:sz="4" w:space="0"/>
            </w:tcBorders>
            <w:shd w:val="clear" w:color="auto" w:fill="auto"/>
            <w:vAlign w:val="center"/>
          </w:tcPr>
          <w:p w14:paraId="3C456FD3">
            <w:pPr>
              <w:rPr>
                <w:rFonts w:ascii="仿宋_GB2312" w:hAnsi="宋体" w:eastAsia="仿宋_GB2312" w:cs="宋体"/>
                <w:color w:val="000000"/>
                <w:sz w:val="24"/>
              </w:rPr>
            </w:pPr>
            <w:r>
              <w:rPr>
                <w:rFonts w:hint="eastAsia" w:ascii="仿宋_GB2312" w:hAnsi="宋体" w:eastAsia="仿宋_GB2312" w:cs="宋体"/>
                <w:color w:val="000000"/>
                <w:sz w:val="24"/>
              </w:rPr>
              <w:t>主管部门对项目存在问题的单位督促其进行整改的，得3分。</w:t>
            </w:r>
          </w:p>
        </w:tc>
        <w:tc>
          <w:tcPr>
            <w:tcW w:w="1017" w:type="dxa"/>
            <w:tcBorders>
              <w:top w:val="nil"/>
              <w:left w:val="nil"/>
              <w:bottom w:val="single" w:color="auto" w:sz="4" w:space="0"/>
              <w:right w:val="single" w:color="auto" w:sz="4" w:space="0"/>
            </w:tcBorders>
            <w:shd w:val="clear" w:color="auto" w:fill="auto"/>
            <w:vAlign w:val="center"/>
          </w:tcPr>
          <w:p w14:paraId="5A461ADC">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3</w:t>
            </w:r>
          </w:p>
        </w:tc>
      </w:tr>
      <w:tr w14:paraId="661A5F7D">
        <w:tblPrEx>
          <w:tblCellMar>
            <w:top w:w="0" w:type="dxa"/>
            <w:left w:w="108" w:type="dxa"/>
            <w:bottom w:w="0" w:type="dxa"/>
            <w:right w:w="108" w:type="dxa"/>
          </w:tblCellMar>
        </w:tblPrEx>
        <w:trPr>
          <w:trHeight w:val="447" w:hRule="atLeast"/>
        </w:trPr>
        <w:tc>
          <w:tcPr>
            <w:tcW w:w="1629" w:type="dxa"/>
            <w:vMerge w:val="continue"/>
            <w:tcBorders>
              <w:top w:val="nil"/>
              <w:left w:val="single" w:color="auto" w:sz="4" w:space="0"/>
              <w:bottom w:val="single" w:color="auto" w:sz="4" w:space="0"/>
              <w:right w:val="single" w:color="auto" w:sz="4" w:space="0"/>
            </w:tcBorders>
            <w:shd w:val="clear" w:color="auto" w:fill="auto"/>
            <w:vAlign w:val="center"/>
          </w:tcPr>
          <w:p w14:paraId="0A383B54">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20A6B638">
            <w:pPr>
              <w:ind w:firstLine="480"/>
              <w:rPr>
                <w:rFonts w:ascii="仿宋_GB2312" w:hAnsi="宋体" w:eastAsia="仿宋_GB2312" w:cs="宋体"/>
                <w:color w:val="000000"/>
                <w:sz w:val="24"/>
              </w:rPr>
            </w:pPr>
            <w:r>
              <w:rPr>
                <w:rFonts w:hint="eastAsia" w:ascii="仿宋_GB2312" w:hAnsi="宋体" w:eastAsia="仿宋_GB2312" w:cs="宋体"/>
                <w:color w:val="000000"/>
                <w:sz w:val="24"/>
              </w:rPr>
              <w:t>2</w:t>
            </w:r>
          </w:p>
        </w:tc>
        <w:tc>
          <w:tcPr>
            <w:tcW w:w="5468" w:type="dxa"/>
            <w:tcBorders>
              <w:top w:val="nil"/>
              <w:left w:val="nil"/>
              <w:bottom w:val="single" w:color="auto" w:sz="4" w:space="0"/>
              <w:right w:val="single" w:color="auto" w:sz="4" w:space="0"/>
            </w:tcBorders>
            <w:shd w:val="clear" w:color="auto" w:fill="auto"/>
            <w:vAlign w:val="center"/>
          </w:tcPr>
          <w:p w14:paraId="452B6A19">
            <w:pPr>
              <w:rPr>
                <w:rFonts w:ascii="仿宋_GB2312" w:hAnsi="宋体" w:eastAsia="仿宋_GB2312" w:cs="宋体"/>
                <w:color w:val="000000"/>
                <w:sz w:val="24"/>
              </w:rPr>
            </w:pPr>
            <w:r>
              <w:rPr>
                <w:rFonts w:hint="eastAsia" w:ascii="仿宋_GB2312" w:hAnsi="宋体" w:eastAsia="仿宋_GB2312" w:cs="宋体"/>
                <w:color w:val="000000"/>
                <w:sz w:val="24"/>
              </w:rPr>
              <w:t>相关项目单位按要求进行整改的，得2分。</w:t>
            </w:r>
          </w:p>
        </w:tc>
        <w:tc>
          <w:tcPr>
            <w:tcW w:w="1017" w:type="dxa"/>
            <w:tcBorders>
              <w:top w:val="nil"/>
              <w:left w:val="nil"/>
              <w:bottom w:val="single" w:color="auto" w:sz="4" w:space="0"/>
              <w:right w:val="single" w:color="auto" w:sz="4" w:space="0"/>
            </w:tcBorders>
            <w:shd w:val="clear" w:color="auto" w:fill="auto"/>
            <w:vAlign w:val="center"/>
          </w:tcPr>
          <w:p w14:paraId="6782F608">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2</w:t>
            </w:r>
          </w:p>
        </w:tc>
      </w:tr>
      <w:tr w14:paraId="1C3D7ADF">
        <w:tblPrEx>
          <w:tblCellMar>
            <w:top w:w="0" w:type="dxa"/>
            <w:left w:w="108" w:type="dxa"/>
            <w:bottom w:w="0" w:type="dxa"/>
            <w:right w:w="108" w:type="dxa"/>
          </w:tblCellMar>
        </w:tblPrEx>
        <w:trPr>
          <w:trHeight w:val="467"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3A35D7FB">
            <w:pPr>
              <w:spacing w:line="300" w:lineRule="exact"/>
              <w:jc w:val="center"/>
              <w:rPr>
                <w:rFonts w:ascii="黑体" w:hAnsi="宋体" w:eastAsia="黑体" w:cs="宋体"/>
                <w:bCs/>
                <w:sz w:val="24"/>
              </w:rPr>
            </w:pPr>
            <w:r>
              <w:rPr>
                <w:rFonts w:hint="eastAsia" w:ascii="黑体" w:hAnsi="宋体" w:eastAsia="黑体" w:cs="宋体"/>
                <w:bCs/>
                <w:sz w:val="24"/>
              </w:rPr>
              <w:t>四、绩效评价管理</w:t>
            </w:r>
          </w:p>
        </w:tc>
        <w:tc>
          <w:tcPr>
            <w:tcW w:w="1176" w:type="dxa"/>
            <w:tcBorders>
              <w:top w:val="nil"/>
              <w:left w:val="nil"/>
              <w:bottom w:val="single" w:color="auto" w:sz="4" w:space="0"/>
              <w:right w:val="single" w:color="auto" w:sz="4" w:space="0"/>
            </w:tcBorders>
            <w:shd w:val="clear" w:color="auto" w:fill="auto"/>
            <w:vAlign w:val="center"/>
          </w:tcPr>
          <w:p w14:paraId="2F5E5B3B">
            <w:pPr>
              <w:ind w:firstLine="480"/>
              <w:rPr>
                <w:rFonts w:ascii="黑体" w:hAnsi="宋体" w:eastAsia="黑体" w:cs="宋体"/>
                <w:bCs/>
                <w:sz w:val="24"/>
              </w:rPr>
            </w:pPr>
            <w:r>
              <w:rPr>
                <w:rFonts w:hint="eastAsia" w:ascii="黑体" w:hAnsi="宋体" w:eastAsia="黑体" w:cs="宋体"/>
                <w:bCs/>
                <w:sz w:val="24"/>
              </w:rPr>
              <w:t>30</w:t>
            </w:r>
          </w:p>
        </w:tc>
        <w:tc>
          <w:tcPr>
            <w:tcW w:w="5468" w:type="dxa"/>
            <w:tcBorders>
              <w:top w:val="nil"/>
              <w:left w:val="nil"/>
              <w:bottom w:val="single" w:color="auto" w:sz="4" w:space="0"/>
              <w:right w:val="single" w:color="auto" w:sz="4" w:space="0"/>
            </w:tcBorders>
            <w:shd w:val="clear" w:color="auto" w:fill="auto"/>
            <w:vAlign w:val="center"/>
          </w:tcPr>
          <w:p w14:paraId="02768371">
            <w:pPr>
              <w:rPr>
                <w:rFonts w:ascii="黑体" w:hAnsi="宋体" w:eastAsia="黑体" w:cs="宋体"/>
                <w:bCs/>
                <w:sz w:val="24"/>
              </w:rPr>
            </w:pPr>
            <w:r>
              <w:rPr>
                <w:rFonts w:hint="eastAsia" w:ascii="黑体" w:hAnsi="宋体" w:eastAsia="黑体" w:cs="宋体"/>
                <w:bCs/>
                <w:sz w:val="24"/>
              </w:rPr>
              <w:t>(2020年完成2019年度的绩效评价情况）</w:t>
            </w:r>
          </w:p>
        </w:tc>
        <w:tc>
          <w:tcPr>
            <w:tcW w:w="1017" w:type="dxa"/>
            <w:tcBorders>
              <w:top w:val="nil"/>
              <w:left w:val="nil"/>
              <w:bottom w:val="single" w:color="auto" w:sz="4" w:space="0"/>
              <w:right w:val="single" w:color="auto" w:sz="4" w:space="0"/>
            </w:tcBorders>
            <w:shd w:val="clear" w:color="auto" w:fill="auto"/>
            <w:vAlign w:val="center"/>
          </w:tcPr>
          <w:p w14:paraId="54504B23">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30</w:t>
            </w:r>
          </w:p>
        </w:tc>
      </w:tr>
      <w:tr w14:paraId="76515532">
        <w:tblPrEx>
          <w:tblCellMar>
            <w:top w:w="0" w:type="dxa"/>
            <w:left w:w="108" w:type="dxa"/>
            <w:bottom w:w="0" w:type="dxa"/>
            <w:right w:w="108" w:type="dxa"/>
          </w:tblCellMar>
        </w:tblPrEx>
        <w:trPr>
          <w:trHeight w:val="770" w:hRule="atLeast"/>
        </w:trPr>
        <w:tc>
          <w:tcPr>
            <w:tcW w:w="1629" w:type="dxa"/>
            <w:vMerge w:val="restart"/>
            <w:tcBorders>
              <w:top w:val="nil"/>
              <w:left w:val="single" w:color="auto" w:sz="4" w:space="0"/>
              <w:bottom w:val="single" w:color="000000" w:sz="4" w:space="0"/>
              <w:right w:val="single" w:color="auto" w:sz="4" w:space="0"/>
            </w:tcBorders>
            <w:shd w:val="clear" w:color="auto" w:fill="auto"/>
            <w:vAlign w:val="center"/>
          </w:tcPr>
          <w:p w14:paraId="46CB3BF5">
            <w:pPr>
              <w:jc w:val="center"/>
              <w:rPr>
                <w:rFonts w:ascii="仿宋_GB2312" w:hAnsi="宋体" w:eastAsia="仿宋_GB2312" w:cs="宋体"/>
                <w:color w:val="000000"/>
                <w:sz w:val="24"/>
              </w:rPr>
            </w:pPr>
            <w:r>
              <w:rPr>
                <w:rFonts w:hint="eastAsia" w:ascii="仿宋_GB2312" w:hAnsi="宋体" w:eastAsia="仿宋_GB2312" w:cs="宋体"/>
                <w:color w:val="000000"/>
                <w:spacing w:val="-20"/>
                <w:sz w:val="24"/>
              </w:rPr>
              <w:t>（一）报送要求</w:t>
            </w:r>
            <w:r>
              <w:rPr>
                <w:rFonts w:hint="eastAsia" w:ascii="仿宋_GB2312" w:hAnsi="宋体" w:eastAsia="仿宋_GB2312" w:cs="宋体"/>
                <w:color w:val="000000"/>
                <w:sz w:val="24"/>
              </w:rPr>
              <w:t>（10）</w:t>
            </w:r>
          </w:p>
        </w:tc>
        <w:tc>
          <w:tcPr>
            <w:tcW w:w="1176" w:type="dxa"/>
            <w:tcBorders>
              <w:top w:val="nil"/>
              <w:left w:val="nil"/>
              <w:bottom w:val="single" w:color="auto" w:sz="4" w:space="0"/>
              <w:right w:val="single" w:color="auto" w:sz="4" w:space="0"/>
            </w:tcBorders>
            <w:shd w:val="clear" w:color="auto" w:fill="auto"/>
            <w:vAlign w:val="center"/>
          </w:tcPr>
          <w:p w14:paraId="3DE3842A">
            <w:pPr>
              <w:ind w:firstLine="480"/>
              <w:rPr>
                <w:rFonts w:ascii="仿宋_GB2312" w:hAnsi="宋体" w:eastAsia="仿宋_GB2312" w:cs="宋体"/>
                <w:sz w:val="24"/>
              </w:rPr>
            </w:pPr>
            <w:r>
              <w:rPr>
                <w:rFonts w:hint="eastAsia" w:ascii="仿宋_GB2312" w:hAnsi="宋体" w:eastAsia="仿宋_GB2312" w:cs="宋体"/>
                <w:sz w:val="24"/>
              </w:rPr>
              <w:t>5</w:t>
            </w:r>
          </w:p>
        </w:tc>
        <w:tc>
          <w:tcPr>
            <w:tcW w:w="5468" w:type="dxa"/>
            <w:tcBorders>
              <w:top w:val="nil"/>
              <w:left w:val="nil"/>
              <w:bottom w:val="single" w:color="auto" w:sz="4" w:space="0"/>
              <w:right w:val="single" w:color="auto" w:sz="4" w:space="0"/>
            </w:tcBorders>
            <w:shd w:val="clear" w:color="auto" w:fill="auto"/>
            <w:vAlign w:val="center"/>
          </w:tcPr>
          <w:p w14:paraId="795BA21A">
            <w:pPr>
              <w:rPr>
                <w:rFonts w:ascii="仿宋_GB2312" w:hAnsi="宋体" w:eastAsia="仿宋_GB2312" w:cs="宋体"/>
                <w:color w:val="000000"/>
                <w:sz w:val="24"/>
              </w:rPr>
            </w:pPr>
            <w:r>
              <w:rPr>
                <w:rFonts w:hint="eastAsia" w:ascii="仿宋_GB2312" w:hAnsi="宋体" w:eastAsia="仿宋_GB2312" w:cs="宋体"/>
                <w:color w:val="000000"/>
                <w:sz w:val="24"/>
              </w:rPr>
              <w:t>在文件规定时间内（2020年8月31日前）完成绩效自评并提交绩效自评表的，得5分；逾期未报送的，得0分</w:t>
            </w:r>
          </w:p>
        </w:tc>
        <w:tc>
          <w:tcPr>
            <w:tcW w:w="1017" w:type="dxa"/>
            <w:tcBorders>
              <w:top w:val="nil"/>
              <w:left w:val="nil"/>
              <w:bottom w:val="single" w:color="auto" w:sz="4" w:space="0"/>
              <w:right w:val="single" w:color="auto" w:sz="4" w:space="0"/>
            </w:tcBorders>
            <w:shd w:val="clear" w:color="auto" w:fill="auto"/>
            <w:vAlign w:val="center"/>
          </w:tcPr>
          <w:p w14:paraId="116C3B37">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204BCB2A">
        <w:tblPrEx>
          <w:tblCellMar>
            <w:top w:w="0" w:type="dxa"/>
            <w:left w:w="108" w:type="dxa"/>
            <w:bottom w:w="0" w:type="dxa"/>
            <w:right w:w="108" w:type="dxa"/>
          </w:tblCellMar>
        </w:tblPrEx>
        <w:trPr>
          <w:trHeight w:val="636" w:hRule="atLeast"/>
        </w:trPr>
        <w:tc>
          <w:tcPr>
            <w:tcW w:w="1629" w:type="dxa"/>
            <w:vMerge w:val="continue"/>
            <w:tcBorders>
              <w:top w:val="nil"/>
              <w:left w:val="single" w:color="auto" w:sz="4" w:space="0"/>
              <w:bottom w:val="single" w:color="000000" w:sz="4" w:space="0"/>
              <w:right w:val="single" w:color="auto" w:sz="4" w:space="0"/>
            </w:tcBorders>
            <w:shd w:val="clear" w:color="auto" w:fill="auto"/>
            <w:vAlign w:val="center"/>
          </w:tcPr>
          <w:p w14:paraId="6FD5EECA">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465EDD3C">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45801B1C">
            <w:pPr>
              <w:rPr>
                <w:rFonts w:ascii="仿宋_GB2312" w:hAnsi="宋体" w:eastAsia="仿宋_GB2312" w:cs="宋体"/>
                <w:color w:val="000000"/>
                <w:sz w:val="24"/>
              </w:rPr>
            </w:pPr>
            <w:r>
              <w:rPr>
                <w:rFonts w:hint="eastAsia" w:ascii="仿宋_GB2312" w:hAnsi="宋体" w:eastAsia="仿宋_GB2312" w:cs="宋体"/>
                <w:color w:val="000000"/>
                <w:sz w:val="24"/>
              </w:rPr>
              <w:t>在文件规定时间内（2020年9月30日前）完成部门评价并提交绩效评价报告的，得5分；逾期未报送的，得0分。</w:t>
            </w:r>
          </w:p>
        </w:tc>
        <w:tc>
          <w:tcPr>
            <w:tcW w:w="1017" w:type="dxa"/>
            <w:tcBorders>
              <w:top w:val="nil"/>
              <w:left w:val="nil"/>
              <w:bottom w:val="single" w:color="auto" w:sz="4" w:space="0"/>
              <w:right w:val="single" w:color="auto" w:sz="4" w:space="0"/>
            </w:tcBorders>
            <w:shd w:val="clear" w:color="auto" w:fill="auto"/>
            <w:vAlign w:val="center"/>
          </w:tcPr>
          <w:p w14:paraId="6B6EF053">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bl>
    <w:p w14:paraId="43975A1D">
      <w:pPr>
        <w:jc w:val="center"/>
        <w:rPr>
          <w:rFonts w:ascii="仿宋_GB2312" w:hAnsi="宋体" w:eastAsia="仿宋_GB2312" w:cs="宋体"/>
          <w:color w:val="000000"/>
          <w:spacing w:val="-20"/>
          <w:sz w:val="24"/>
        </w:rPr>
        <w:sectPr>
          <w:footerReference r:id="rId4" w:type="default"/>
          <w:pgSz w:w="11906" w:h="16838"/>
          <w:pgMar w:top="1440" w:right="1800" w:bottom="1440" w:left="1800" w:header="851" w:footer="992" w:gutter="0"/>
          <w:pgNumType w:start="1"/>
          <w:cols w:space="425" w:num="1"/>
          <w:docGrid w:type="lines" w:linePitch="312" w:charSpace="0"/>
        </w:sectPr>
      </w:pPr>
    </w:p>
    <w:tbl>
      <w:tblPr>
        <w:tblStyle w:val="12"/>
        <w:tblW w:w="9290" w:type="dxa"/>
        <w:tblInd w:w="6" w:type="dxa"/>
        <w:tblLayout w:type="fixed"/>
        <w:tblCellMar>
          <w:top w:w="0" w:type="dxa"/>
          <w:left w:w="108" w:type="dxa"/>
          <w:bottom w:w="0" w:type="dxa"/>
          <w:right w:w="108" w:type="dxa"/>
        </w:tblCellMar>
      </w:tblPr>
      <w:tblGrid>
        <w:gridCol w:w="1629"/>
        <w:gridCol w:w="1176"/>
        <w:gridCol w:w="5468"/>
        <w:gridCol w:w="1017"/>
      </w:tblGrid>
      <w:tr w14:paraId="2BB3906D">
        <w:tblPrEx>
          <w:tblCellMar>
            <w:top w:w="0" w:type="dxa"/>
            <w:left w:w="108" w:type="dxa"/>
            <w:bottom w:w="0" w:type="dxa"/>
            <w:right w:w="108" w:type="dxa"/>
          </w:tblCellMar>
        </w:tblPrEx>
        <w:trPr>
          <w:trHeight w:val="763" w:hRule="atLeast"/>
        </w:trPr>
        <w:tc>
          <w:tcPr>
            <w:tcW w:w="1629" w:type="dxa"/>
            <w:vMerge w:val="restart"/>
            <w:tcBorders>
              <w:top w:val="nil"/>
              <w:left w:val="single" w:color="auto" w:sz="4" w:space="0"/>
              <w:bottom w:val="single" w:color="000000" w:sz="4" w:space="0"/>
              <w:right w:val="single" w:color="auto" w:sz="4" w:space="0"/>
            </w:tcBorders>
            <w:shd w:val="clear" w:color="auto" w:fill="auto"/>
            <w:vAlign w:val="center"/>
          </w:tcPr>
          <w:p w14:paraId="64D46CFF">
            <w:pPr>
              <w:jc w:val="center"/>
              <w:rPr>
                <w:rFonts w:ascii="仿宋_GB2312" w:hAnsi="宋体" w:eastAsia="仿宋_GB2312" w:cs="宋体"/>
                <w:color w:val="000000"/>
                <w:sz w:val="24"/>
              </w:rPr>
            </w:pPr>
            <w:r>
              <w:rPr>
                <w:rFonts w:hint="eastAsia" w:ascii="仿宋_GB2312" w:hAnsi="宋体" w:eastAsia="仿宋_GB2312" w:cs="宋体"/>
                <w:color w:val="000000"/>
                <w:spacing w:val="-20"/>
                <w:sz w:val="24"/>
              </w:rPr>
              <w:t>（二）质量要求</w:t>
            </w:r>
            <w:r>
              <w:rPr>
                <w:rFonts w:hint="eastAsia" w:ascii="仿宋_GB2312" w:hAnsi="宋体" w:eastAsia="仿宋_GB2312" w:cs="宋体"/>
                <w:color w:val="000000"/>
                <w:sz w:val="24"/>
              </w:rPr>
              <w:t>（10）</w:t>
            </w:r>
          </w:p>
        </w:tc>
        <w:tc>
          <w:tcPr>
            <w:tcW w:w="1176" w:type="dxa"/>
            <w:tcBorders>
              <w:top w:val="nil"/>
              <w:left w:val="nil"/>
              <w:bottom w:val="nil"/>
              <w:right w:val="single" w:color="auto" w:sz="4" w:space="0"/>
            </w:tcBorders>
            <w:shd w:val="clear" w:color="auto" w:fill="auto"/>
            <w:vAlign w:val="center"/>
          </w:tcPr>
          <w:p w14:paraId="6F8A71AA">
            <w:pPr>
              <w:ind w:firstLine="480"/>
              <w:rPr>
                <w:rFonts w:ascii="仿宋_GB2312" w:hAnsi="宋体" w:eastAsia="仿宋_GB2312" w:cs="宋体"/>
                <w:color w:val="000000"/>
                <w:sz w:val="24"/>
              </w:rPr>
            </w:pPr>
            <w:r>
              <w:rPr>
                <w:rFonts w:hint="eastAsia" w:ascii="仿宋_GB2312" w:hAnsi="宋体" w:eastAsia="仿宋_GB2312" w:cs="宋体"/>
                <w:color w:val="000000"/>
                <w:sz w:val="24"/>
              </w:rPr>
              <w:t>6</w:t>
            </w:r>
          </w:p>
        </w:tc>
        <w:tc>
          <w:tcPr>
            <w:tcW w:w="5468" w:type="dxa"/>
            <w:tcBorders>
              <w:top w:val="nil"/>
              <w:left w:val="nil"/>
              <w:bottom w:val="nil"/>
              <w:right w:val="single" w:color="auto" w:sz="4" w:space="0"/>
            </w:tcBorders>
            <w:shd w:val="clear" w:color="auto" w:fill="auto"/>
            <w:vAlign w:val="center"/>
          </w:tcPr>
          <w:p w14:paraId="59A6D46F">
            <w:pPr>
              <w:rPr>
                <w:rFonts w:ascii="仿宋_GB2312" w:hAnsi="宋体" w:eastAsia="仿宋_GB2312" w:cs="宋体"/>
                <w:color w:val="000000"/>
                <w:sz w:val="24"/>
              </w:rPr>
            </w:pPr>
            <w:r>
              <w:rPr>
                <w:rFonts w:hint="eastAsia" w:ascii="仿宋_GB2312" w:hAnsi="宋体" w:eastAsia="仿宋_GB2312" w:cs="宋体"/>
                <w:color w:val="000000"/>
                <w:sz w:val="24"/>
              </w:rPr>
              <w:t>各项绩效评价指标明确的，得2分；相关数据齐全、标准明确的，得2分；评价结论客观合理的，得2分。</w:t>
            </w:r>
          </w:p>
        </w:tc>
        <w:tc>
          <w:tcPr>
            <w:tcW w:w="1017" w:type="dxa"/>
            <w:tcBorders>
              <w:top w:val="nil"/>
              <w:left w:val="nil"/>
              <w:bottom w:val="nil"/>
              <w:right w:val="single" w:color="auto" w:sz="4" w:space="0"/>
            </w:tcBorders>
            <w:shd w:val="clear" w:color="auto" w:fill="auto"/>
            <w:vAlign w:val="center"/>
          </w:tcPr>
          <w:p w14:paraId="7DCD9F53">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6</w:t>
            </w:r>
          </w:p>
        </w:tc>
      </w:tr>
      <w:tr w14:paraId="394CF941">
        <w:tblPrEx>
          <w:tblCellMar>
            <w:top w:w="0" w:type="dxa"/>
            <w:left w:w="108" w:type="dxa"/>
            <w:bottom w:w="0" w:type="dxa"/>
            <w:right w:w="108" w:type="dxa"/>
          </w:tblCellMar>
        </w:tblPrEx>
        <w:trPr>
          <w:trHeight w:val="587" w:hRule="atLeast"/>
        </w:trPr>
        <w:tc>
          <w:tcPr>
            <w:tcW w:w="1629" w:type="dxa"/>
            <w:vMerge w:val="continue"/>
            <w:tcBorders>
              <w:top w:val="nil"/>
              <w:left w:val="single" w:color="auto" w:sz="4" w:space="0"/>
              <w:bottom w:val="single" w:color="000000" w:sz="4" w:space="0"/>
              <w:right w:val="single" w:color="auto" w:sz="4" w:space="0"/>
            </w:tcBorders>
            <w:shd w:val="clear" w:color="auto" w:fill="auto"/>
            <w:vAlign w:val="center"/>
          </w:tcPr>
          <w:p w14:paraId="35AF0D0D">
            <w:pPr>
              <w:ind w:firstLine="480"/>
              <w:jc w:val="center"/>
              <w:rPr>
                <w:rFonts w:ascii="仿宋_GB2312" w:hAnsi="宋体" w:eastAsia="仿宋_GB2312" w:cs="宋体"/>
                <w:color w:val="000000"/>
                <w:sz w:val="24"/>
              </w:rPr>
            </w:pPr>
          </w:p>
        </w:tc>
        <w:tc>
          <w:tcPr>
            <w:tcW w:w="1176" w:type="dxa"/>
            <w:tcBorders>
              <w:top w:val="single" w:color="auto" w:sz="4" w:space="0"/>
              <w:left w:val="nil"/>
              <w:bottom w:val="single" w:color="auto" w:sz="4" w:space="0"/>
              <w:right w:val="single" w:color="auto" w:sz="4" w:space="0"/>
            </w:tcBorders>
            <w:shd w:val="clear" w:color="auto" w:fill="auto"/>
            <w:vAlign w:val="center"/>
          </w:tcPr>
          <w:p w14:paraId="0A320D7D">
            <w:pPr>
              <w:ind w:firstLine="480"/>
              <w:rPr>
                <w:rFonts w:ascii="仿宋_GB2312" w:hAnsi="宋体" w:eastAsia="仿宋_GB2312" w:cs="宋体"/>
                <w:color w:val="000000"/>
                <w:sz w:val="24"/>
              </w:rPr>
            </w:pPr>
            <w:r>
              <w:rPr>
                <w:rFonts w:hint="eastAsia" w:ascii="仿宋_GB2312" w:hAnsi="宋体" w:eastAsia="仿宋_GB2312" w:cs="宋体"/>
                <w:color w:val="000000"/>
                <w:sz w:val="24"/>
              </w:rPr>
              <w:t>4</w:t>
            </w:r>
          </w:p>
        </w:tc>
        <w:tc>
          <w:tcPr>
            <w:tcW w:w="5468" w:type="dxa"/>
            <w:tcBorders>
              <w:top w:val="single" w:color="auto" w:sz="4" w:space="0"/>
              <w:left w:val="nil"/>
              <w:bottom w:val="single" w:color="auto" w:sz="4" w:space="0"/>
              <w:right w:val="single" w:color="auto" w:sz="4" w:space="0"/>
            </w:tcBorders>
            <w:shd w:val="clear" w:color="auto" w:fill="auto"/>
            <w:vAlign w:val="center"/>
          </w:tcPr>
          <w:p w14:paraId="189D2EC5">
            <w:pPr>
              <w:rPr>
                <w:rFonts w:ascii="仿宋_GB2312" w:hAnsi="宋体" w:eastAsia="仿宋_GB2312" w:cs="宋体"/>
                <w:color w:val="000000"/>
                <w:sz w:val="24"/>
              </w:rPr>
            </w:pPr>
            <w:r>
              <w:rPr>
                <w:rFonts w:hint="eastAsia" w:ascii="仿宋_GB2312" w:hAnsi="宋体" w:eastAsia="仿宋_GB2312" w:cs="宋体"/>
                <w:color w:val="000000"/>
                <w:sz w:val="24"/>
              </w:rPr>
              <w:t>绩效评价报告中对问题分析全面深入的，得2分；所提建议针对性强的，得2分。</w:t>
            </w:r>
          </w:p>
        </w:tc>
        <w:tc>
          <w:tcPr>
            <w:tcW w:w="1017" w:type="dxa"/>
            <w:tcBorders>
              <w:top w:val="single" w:color="auto" w:sz="4" w:space="0"/>
              <w:left w:val="nil"/>
              <w:bottom w:val="single" w:color="auto" w:sz="4" w:space="0"/>
              <w:right w:val="single" w:color="auto" w:sz="4" w:space="0"/>
            </w:tcBorders>
            <w:shd w:val="clear" w:color="auto" w:fill="auto"/>
            <w:vAlign w:val="center"/>
          </w:tcPr>
          <w:p w14:paraId="3AC66DE4">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4</w:t>
            </w:r>
          </w:p>
        </w:tc>
      </w:tr>
      <w:tr w14:paraId="48CB4F0D">
        <w:tblPrEx>
          <w:tblCellMar>
            <w:top w:w="0" w:type="dxa"/>
            <w:left w:w="108" w:type="dxa"/>
            <w:bottom w:w="0" w:type="dxa"/>
            <w:right w:w="108" w:type="dxa"/>
          </w:tblCellMar>
        </w:tblPrEx>
        <w:trPr>
          <w:trHeight w:val="780" w:hRule="atLeast"/>
        </w:trPr>
        <w:tc>
          <w:tcPr>
            <w:tcW w:w="1629" w:type="dxa"/>
            <w:vMerge w:val="restart"/>
            <w:tcBorders>
              <w:top w:val="nil"/>
              <w:left w:val="single" w:color="auto" w:sz="4" w:space="0"/>
              <w:bottom w:val="single" w:color="000000" w:sz="4" w:space="0"/>
              <w:right w:val="single" w:color="auto" w:sz="4" w:space="0"/>
            </w:tcBorders>
            <w:shd w:val="clear" w:color="auto" w:fill="auto"/>
            <w:vAlign w:val="center"/>
          </w:tcPr>
          <w:p w14:paraId="490DE1A4">
            <w:pPr>
              <w:rPr>
                <w:rFonts w:ascii="仿宋_GB2312" w:hAnsi="宋体" w:eastAsia="仿宋_GB2312" w:cs="宋体"/>
                <w:color w:val="000000"/>
                <w:sz w:val="24"/>
              </w:rPr>
            </w:pPr>
            <w:r>
              <w:rPr>
                <w:rFonts w:hint="eastAsia" w:ascii="仿宋_GB2312" w:hAnsi="宋体" w:eastAsia="仿宋_GB2312" w:cs="宋体"/>
                <w:color w:val="000000"/>
                <w:sz w:val="24"/>
              </w:rPr>
              <w:t>（三）范围和规模（10）</w:t>
            </w:r>
          </w:p>
        </w:tc>
        <w:tc>
          <w:tcPr>
            <w:tcW w:w="1176" w:type="dxa"/>
            <w:tcBorders>
              <w:top w:val="nil"/>
              <w:left w:val="nil"/>
              <w:bottom w:val="single" w:color="auto" w:sz="4" w:space="0"/>
              <w:right w:val="single" w:color="auto" w:sz="4" w:space="0"/>
            </w:tcBorders>
            <w:shd w:val="clear" w:color="auto" w:fill="auto"/>
            <w:vAlign w:val="center"/>
          </w:tcPr>
          <w:p w14:paraId="205BBB4C">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14AE7D14">
            <w:pPr>
              <w:rPr>
                <w:rFonts w:ascii="仿宋_GB2312" w:hAnsi="宋体" w:eastAsia="仿宋_GB2312" w:cs="宋体"/>
                <w:color w:val="000000"/>
                <w:sz w:val="24"/>
              </w:rPr>
            </w:pPr>
            <w:r>
              <w:rPr>
                <w:rFonts w:hint="eastAsia" w:ascii="仿宋_GB2312" w:hAnsi="宋体" w:eastAsia="仿宋_GB2312" w:cs="宋体"/>
                <w:color w:val="000000"/>
                <w:sz w:val="24"/>
              </w:rPr>
              <w:t>部门所有项目支出预算资金均按要求进行绩效自评的，按绩效自评金额占部门项目预算资金比例得分。</w:t>
            </w:r>
          </w:p>
        </w:tc>
        <w:tc>
          <w:tcPr>
            <w:tcW w:w="1017" w:type="dxa"/>
            <w:tcBorders>
              <w:top w:val="nil"/>
              <w:left w:val="nil"/>
              <w:bottom w:val="single" w:color="auto" w:sz="4" w:space="0"/>
              <w:right w:val="single" w:color="auto" w:sz="4" w:space="0"/>
            </w:tcBorders>
            <w:shd w:val="clear" w:color="auto" w:fill="auto"/>
            <w:vAlign w:val="center"/>
          </w:tcPr>
          <w:p w14:paraId="0016D994">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05AA39C6">
        <w:tblPrEx>
          <w:tblCellMar>
            <w:top w:w="0" w:type="dxa"/>
            <w:left w:w="108" w:type="dxa"/>
            <w:bottom w:w="0" w:type="dxa"/>
            <w:right w:w="108" w:type="dxa"/>
          </w:tblCellMar>
        </w:tblPrEx>
        <w:trPr>
          <w:trHeight w:val="435" w:hRule="atLeast"/>
        </w:trPr>
        <w:tc>
          <w:tcPr>
            <w:tcW w:w="1629" w:type="dxa"/>
            <w:vMerge w:val="continue"/>
            <w:tcBorders>
              <w:top w:val="nil"/>
              <w:left w:val="single" w:color="auto" w:sz="4" w:space="0"/>
              <w:bottom w:val="single" w:color="000000" w:sz="4" w:space="0"/>
              <w:right w:val="single" w:color="auto" w:sz="4" w:space="0"/>
            </w:tcBorders>
            <w:shd w:val="clear" w:color="auto" w:fill="auto"/>
            <w:vAlign w:val="center"/>
          </w:tcPr>
          <w:p w14:paraId="20AAA8A4">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6F411511">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56933DEE">
            <w:pPr>
              <w:rPr>
                <w:rFonts w:ascii="仿宋_GB2312" w:hAnsi="宋体" w:eastAsia="仿宋_GB2312" w:cs="宋体"/>
                <w:sz w:val="24"/>
              </w:rPr>
            </w:pPr>
            <w:r>
              <w:rPr>
                <w:rFonts w:hint="eastAsia" w:ascii="仿宋_GB2312" w:hAnsi="宋体" w:eastAsia="仿宋_GB2312" w:cs="宋体"/>
                <w:sz w:val="24"/>
              </w:rPr>
              <w:t>选取一个项目完成部门评价的得5分，未做的，得0分。</w:t>
            </w:r>
          </w:p>
        </w:tc>
        <w:tc>
          <w:tcPr>
            <w:tcW w:w="1017" w:type="dxa"/>
            <w:tcBorders>
              <w:top w:val="nil"/>
              <w:left w:val="nil"/>
              <w:bottom w:val="single" w:color="auto" w:sz="4" w:space="0"/>
              <w:right w:val="single" w:color="auto" w:sz="4" w:space="0"/>
            </w:tcBorders>
            <w:shd w:val="clear" w:color="auto" w:fill="auto"/>
            <w:vAlign w:val="center"/>
          </w:tcPr>
          <w:p w14:paraId="00D467C1">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51566FCB">
        <w:tblPrEx>
          <w:tblCellMar>
            <w:top w:w="0" w:type="dxa"/>
            <w:left w:w="108" w:type="dxa"/>
            <w:bottom w:w="0" w:type="dxa"/>
            <w:right w:w="108" w:type="dxa"/>
          </w:tblCellMar>
        </w:tblPrEx>
        <w:trPr>
          <w:trHeight w:val="472"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4A32E54D">
            <w:pPr>
              <w:jc w:val="center"/>
              <w:rPr>
                <w:rFonts w:ascii="黑体" w:hAnsi="宋体" w:eastAsia="黑体" w:cs="宋体"/>
                <w:bCs/>
                <w:sz w:val="24"/>
              </w:rPr>
            </w:pPr>
            <w:r>
              <w:rPr>
                <w:rFonts w:hint="eastAsia" w:ascii="黑体" w:hAnsi="宋体" w:eastAsia="黑体" w:cs="宋体"/>
                <w:bCs/>
                <w:sz w:val="24"/>
              </w:rPr>
              <w:t>五、结果应用管理</w:t>
            </w:r>
          </w:p>
        </w:tc>
        <w:tc>
          <w:tcPr>
            <w:tcW w:w="1176" w:type="dxa"/>
            <w:tcBorders>
              <w:top w:val="nil"/>
              <w:left w:val="nil"/>
              <w:bottom w:val="single" w:color="auto" w:sz="4" w:space="0"/>
              <w:right w:val="single" w:color="auto" w:sz="4" w:space="0"/>
            </w:tcBorders>
            <w:shd w:val="clear" w:color="auto" w:fill="auto"/>
            <w:vAlign w:val="center"/>
          </w:tcPr>
          <w:p w14:paraId="1FFEE98B">
            <w:pPr>
              <w:ind w:firstLine="480"/>
              <w:rPr>
                <w:rFonts w:ascii="黑体" w:hAnsi="宋体" w:eastAsia="黑体" w:cs="宋体"/>
                <w:bCs/>
                <w:sz w:val="24"/>
              </w:rPr>
            </w:pPr>
            <w:r>
              <w:rPr>
                <w:rFonts w:hint="eastAsia" w:ascii="黑体" w:hAnsi="宋体" w:eastAsia="黑体" w:cs="宋体"/>
                <w:bCs/>
                <w:sz w:val="24"/>
              </w:rPr>
              <w:t>10</w:t>
            </w:r>
          </w:p>
        </w:tc>
        <w:tc>
          <w:tcPr>
            <w:tcW w:w="5468" w:type="dxa"/>
            <w:tcBorders>
              <w:top w:val="nil"/>
              <w:left w:val="nil"/>
              <w:bottom w:val="single" w:color="auto" w:sz="4" w:space="0"/>
              <w:right w:val="single" w:color="auto" w:sz="4" w:space="0"/>
            </w:tcBorders>
            <w:shd w:val="clear" w:color="auto" w:fill="auto"/>
            <w:vAlign w:val="center"/>
          </w:tcPr>
          <w:p w14:paraId="29288E95">
            <w:pPr>
              <w:rPr>
                <w:rFonts w:ascii="黑体" w:hAnsi="宋体" w:eastAsia="黑体" w:cs="宋体"/>
                <w:bCs/>
                <w:sz w:val="24"/>
              </w:rPr>
            </w:pPr>
            <w:r>
              <w:rPr>
                <w:rFonts w:hint="eastAsia" w:ascii="黑体" w:hAnsi="宋体" w:eastAsia="黑体" w:cs="宋体"/>
                <w:bCs/>
                <w:sz w:val="24"/>
              </w:rPr>
              <w:t>(2020年完成的2019年度的绩效评价结果应用情况）</w:t>
            </w:r>
          </w:p>
        </w:tc>
        <w:tc>
          <w:tcPr>
            <w:tcW w:w="1017" w:type="dxa"/>
            <w:tcBorders>
              <w:top w:val="nil"/>
              <w:left w:val="nil"/>
              <w:bottom w:val="single" w:color="auto" w:sz="4" w:space="0"/>
              <w:right w:val="single" w:color="auto" w:sz="4" w:space="0"/>
            </w:tcBorders>
            <w:shd w:val="clear" w:color="auto" w:fill="auto"/>
            <w:vAlign w:val="center"/>
          </w:tcPr>
          <w:p w14:paraId="7BD1719B">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10</w:t>
            </w:r>
          </w:p>
        </w:tc>
      </w:tr>
      <w:tr w14:paraId="575426B7">
        <w:tblPrEx>
          <w:tblCellMar>
            <w:top w:w="0" w:type="dxa"/>
            <w:left w:w="108" w:type="dxa"/>
            <w:bottom w:w="0" w:type="dxa"/>
            <w:right w:w="108" w:type="dxa"/>
          </w:tblCellMar>
        </w:tblPrEx>
        <w:trPr>
          <w:trHeight w:val="464" w:hRule="atLeast"/>
        </w:trPr>
        <w:tc>
          <w:tcPr>
            <w:tcW w:w="1629" w:type="dxa"/>
            <w:vMerge w:val="restart"/>
            <w:tcBorders>
              <w:top w:val="nil"/>
              <w:left w:val="single" w:color="auto" w:sz="4" w:space="0"/>
              <w:bottom w:val="single" w:color="auto" w:sz="4" w:space="0"/>
              <w:right w:val="single" w:color="auto" w:sz="4" w:space="0"/>
            </w:tcBorders>
            <w:shd w:val="clear" w:color="auto" w:fill="auto"/>
            <w:vAlign w:val="center"/>
          </w:tcPr>
          <w:p w14:paraId="6DFD21A5">
            <w:pPr>
              <w:jc w:val="center"/>
              <w:rPr>
                <w:rFonts w:ascii="仿宋_GB2312" w:hAnsi="宋体" w:eastAsia="仿宋_GB2312" w:cs="宋体"/>
                <w:color w:val="000000"/>
                <w:sz w:val="24"/>
              </w:rPr>
            </w:pPr>
            <w:r>
              <w:rPr>
                <w:rFonts w:hint="eastAsia" w:ascii="仿宋_GB2312" w:hAnsi="宋体" w:eastAsia="仿宋_GB2312" w:cs="宋体"/>
                <w:color w:val="000000"/>
                <w:sz w:val="24"/>
              </w:rPr>
              <w:t>应用方式（10）</w:t>
            </w:r>
          </w:p>
        </w:tc>
        <w:tc>
          <w:tcPr>
            <w:tcW w:w="1176" w:type="dxa"/>
            <w:tcBorders>
              <w:top w:val="nil"/>
              <w:left w:val="nil"/>
              <w:bottom w:val="single" w:color="auto" w:sz="4" w:space="0"/>
              <w:right w:val="single" w:color="auto" w:sz="4" w:space="0"/>
            </w:tcBorders>
            <w:shd w:val="clear" w:color="auto" w:fill="auto"/>
            <w:vAlign w:val="center"/>
          </w:tcPr>
          <w:p w14:paraId="141B6A07">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30F18527">
            <w:pPr>
              <w:rPr>
                <w:rFonts w:ascii="仿宋_GB2312" w:hAnsi="宋体" w:eastAsia="仿宋_GB2312" w:cs="宋体"/>
                <w:color w:val="000000"/>
                <w:sz w:val="24"/>
              </w:rPr>
            </w:pPr>
            <w:r>
              <w:rPr>
                <w:rFonts w:hint="eastAsia" w:ascii="仿宋_GB2312" w:hAnsi="宋体" w:eastAsia="仿宋_GB2312" w:cs="宋体"/>
                <w:color w:val="000000"/>
                <w:sz w:val="24"/>
              </w:rPr>
              <w:t>将评价结果在一定范围内或向社会公开的，得5分。</w:t>
            </w:r>
          </w:p>
        </w:tc>
        <w:tc>
          <w:tcPr>
            <w:tcW w:w="1017" w:type="dxa"/>
            <w:tcBorders>
              <w:top w:val="nil"/>
              <w:left w:val="nil"/>
              <w:bottom w:val="single" w:color="auto" w:sz="4" w:space="0"/>
              <w:right w:val="single" w:color="auto" w:sz="4" w:space="0"/>
            </w:tcBorders>
            <w:shd w:val="clear" w:color="auto" w:fill="auto"/>
            <w:vAlign w:val="center"/>
          </w:tcPr>
          <w:p w14:paraId="53CBDB42">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34A8F82F">
        <w:tblPrEx>
          <w:tblCellMar>
            <w:top w:w="0" w:type="dxa"/>
            <w:left w:w="108" w:type="dxa"/>
            <w:bottom w:w="0" w:type="dxa"/>
            <w:right w:w="108" w:type="dxa"/>
          </w:tblCellMar>
        </w:tblPrEx>
        <w:trPr>
          <w:trHeight w:val="908" w:hRule="atLeast"/>
        </w:trPr>
        <w:tc>
          <w:tcPr>
            <w:tcW w:w="1629" w:type="dxa"/>
            <w:vMerge w:val="continue"/>
            <w:tcBorders>
              <w:top w:val="nil"/>
              <w:left w:val="single" w:color="auto" w:sz="4" w:space="0"/>
              <w:bottom w:val="single" w:color="auto" w:sz="4" w:space="0"/>
              <w:right w:val="single" w:color="auto" w:sz="4" w:space="0"/>
            </w:tcBorders>
            <w:shd w:val="clear" w:color="auto" w:fill="auto"/>
            <w:vAlign w:val="center"/>
          </w:tcPr>
          <w:p w14:paraId="0ADF1D29">
            <w:pPr>
              <w:ind w:firstLine="480"/>
              <w:jc w:val="center"/>
              <w:rPr>
                <w:rFonts w:ascii="仿宋_GB2312" w:hAnsi="宋体" w:eastAsia="仿宋_GB2312" w:cs="宋体"/>
                <w:color w:val="000000"/>
                <w:sz w:val="24"/>
              </w:rPr>
            </w:pPr>
          </w:p>
        </w:tc>
        <w:tc>
          <w:tcPr>
            <w:tcW w:w="1176" w:type="dxa"/>
            <w:tcBorders>
              <w:top w:val="nil"/>
              <w:left w:val="nil"/>
              <w:bottom w:val="single" w:color="auto" w:sz="4" w:space="0"/>
              <w:right w:val="single" w:color="auto" w:sz="4" w:space="0"/>
            </w:tcBorders>
            <w:shd w:val="clear" w:color="auto" w:fill="auto"/>
            <w:vAlign w:val="center"/>
          </w:tcPr>
          <w:p w14:paraId="09A4121A">
            <w:pPr>
              <w:ind w:firstLine="480"/>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5468" w:type="dxa"/>
            <w:tcBorders>
              <w:top w:val="nil"/>
              <w:left w:val="nil"/>
              <w:bottom w:val="single" w:color="auto" w:sz="4" w:space="0"/>
              <w:right w:val="single" w:color="auto" w:sz="4" w:space="0"/>
            </w:tcBorders>
            <w:shd w:val="clear" w:color="auto" w:fill="auto"/>
            <w:vAlign w:val="center"/>
          </w:tcPr>
          <w:p w14:paraId="2AE0E314">
            <w:pPr>
              <w:rPr>
                <w:rFonts w:ascii="仿宋_GB2312" w:hAnsi="宋体" w:eastAsia="仿宋_GB2312" w:cs="宋体"/>
                <w:color w:val="000000"/>
                <w:sz w:val="24"/>
              </w:rPr>
            </w:pPr>
            <w:r>
              <w:rPr>
                <w:rFonts w:hint="eastAsia" w:ascii="仿宋_GB2312" w:hAnsi="宋体" w:eastAsia="仿宋_GB2312" w:cs="宋体"/>
                <w:color w:val="000000"/>
                <w:sz w:val="24"/>
              </w:rPr>
              <w:t>建立评价结果与预算编制挂钩机制，将预算绩效管理融入部门预算编制、执行、监督全过程，实现预算与绩效管理一体化的，得5分。</w:t>
            </w:r>
          </w:p>
        </w:tc>
        <w:tc>
          <w:tcPr>
            <w:tcW w:w="1017" w:type="dxa"/>
            <w:tcBorders>
              <w:top w:val="nil"/>
              <w:left w:val="nil"/>
              <w:bottom w:val="single" w:color="auto" w:sz="4" w:space="0"/>
              <w:right w:val="single" w:color="auto" w:sz="4" w:space="0"/>
            </w:tcBorders>
            <w:shd w:val="clear" w:color="auto" w:fill="auto"/>
            <w:vAlign w:val="center"/>
          </w:tcPr>
          <w:p w14:paraId="16430109">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5</w:t>
            </w:r>
          </w:p>
        </w:tc>
      </w:tr>
      <w:tr w14:paraId="00328D4A">
        <w:tblPrEx>
          <w:tblCellMar>
            <w:top w:w="0" w:type="dxa"/>
            <w:left w:w="108" w:type="dxa"/>
            <w:bottom w:w="0" w:type="dxa"/>
            <w:right w:w="108" w:type="dxa"/>
          </w:tblCellMar>
        </w:tblPrEx>
        <w:trPr>
          <w:trHeight w:val="447" w:hRule="atLeast"/>
        </w:trPr>
        <w:tc>
          <w:tcPr>
            <w:tcW w:w="1629" w:type="dxa"/>
            <w:tcBorders>
              <w:top w:val="nil"/>
              <w:left w:val="single" w:color="auto" w:sz="4" w:space="0"/>
              <w:bottom w:val="single" w:color="auto" w:sz="4" w:space="0"/>
              <w:right w:val="single" w:color="auto" w:sz="4" w:space="0"/>
            </w:tcBorders>
            <w:shd w:val="clear" w:color="auto" w:fill="auto"/>
            <w:vAlign w:val="center"/>
          </w:tcPr>
          <w:p w14:paraId="10F25222">
            <w:pPr>
              <w:ind w:firstLine="480"/>
              <w:jc w:val="center"/>
              <w:rPr>
                <w:rFonts w:ascii="仿宋_GB2312" w:hAnsi="宋体" w:eastAsia="仿宋_GB2312" w:cs="宋体"/>
                <w:color w:val="000000"/>
                <w:sz w:val="24"/>
              </w:rPr>
            </w:pPr>
            <w:r>
              <w:rPr>
                <w:rFonts w:hint="eastAsia" w:ascii="仿宋_GB2312" w:hAnsi="宋体" w:eastAsia="仿宋_GB2312" w:cs="宋体"/>
                <w:color w:val="000000"/>
                <w:sz w:val="24"/>
              </w:rPr>
              <w:t>合计</w:t>
            </w:r>
          </w:p>
        </w:tc>
        <w:tc>
          <w:tcPr>
            <w:tcW w:w="1176" w:type="dxa"/>
            <w:tcBorders>
              <w:top w:val="nil"/>
              <w:left w:val="nil"/>
              <w:bottom w:val="single" w:color="auto" w:sz="4" w:space="0"/>
              <w:right w:val="single" w:color="auto" w:sz="4" w:space="0"/>
            </w:tcBorders>
            <w:shd w:val="clear" w:color="auto" w:fill="auto"/>
            <w:vAlign w:val="center"/>
          </w:tcPr>
          <w:p w14:paraId="4DFF1DF9">
            <w:pPr>
              <w:ind w:firstLine="480"/>
              <w:rPr>
                <w:rFonts w:ascii="仿宋_GB2312" w:hAnsi="宋体" w:eastAsia="仿宋_GB2312" w:cs="宋体"/>
                <w:color w:val="000000"/>
                <w:sz w:val="24"/>
              </w:rPr>
            </w:pPr>
            <w:r>
              <w:rPr>
                <w:rFonts w:hint="eastAsia" w:ascii="仿宋_GB2312" w:hAnsi="宋体" w:eastAsia="仿宋_GB2312" w:cs="宋体"/>
                <w:color w:val="000000"/>
                <w:sz w:val="24"/>
              </w:rPr>
              <w:t>100</w:t>
            </w:r>
          </w:p>
        </w:tc>
        <w:tc>
          <w:tcPr>
            <w:tcW w:w="5468" w:type="dxa"/>
            <w:tcBorders>
              <w:top w:val="nil"/>
              <w:left w:val="nil"/>
              <w:bottom w:val="single" w:color="auto" w:sz="4" w:space="0"/>
              <w:right w:val="single" w:color="auto" w:sz="4" w:space="0"/>
            </w:tcBorders>
            <w:shd w:val="clear" w:color="auto" w:fill="auto"/>
            <w:vAlign w:val="center"/>
          </w:tcPr>
          <w:p w14:paraId="2D63E373">
            <w:pPr>
              <w:ind w:firstLine="480"/>
              <w:rPr>
                <w:rFonts w:ascii="仿宋_GB2312" w:hAnsi="宋体" w:eastAsia="仿宋_GB2312" w:cs="宋体"/>
                <w:color w:val="000000"/>
                <w:sz w:val="24"/>
              </w:rPr>
            </w:pPr>
            <w:r>
              <w:rPr>
                <w:rFonts w:hint="eastAsia" w:ascii="仿宋_GB2312" w:hAnsi="宋体" w:eastAsia="仿宋_GB2312" w:cs="宋体"/>
                <w:color w:val="000000"/>
                <w:sz w:val="24"/>
              </w:rPr>
              <w:t>　</w:t>
            </w:r>
          </w:p>
        </w:tc>
        <w:tc>
          <w:tcPr>
            <w:tcW w:w="1017" w:type="dxa"/>
            <w:tcBorders>
              <w:top w:val="nil"/>
              <w:left w:val="nil"/>
              <w:bottom w:val="single" w:color="auto" w:sz="4" w:space="0"/>
              <w:right w:val="single" w:color="auto" w:sz="4" w:space="0"/>
            </w:tcBorders>
            <w:shd w:val="clear" w:color="auto" w:fill="auto"/>
            <w:vAlign w:val="center"/>
          </w:tcPr>
          <w:p w14:paraId="44A091AF">
            <w:pPr>
              <w:ind w:firstLine="240" w:firstLineChars="100"/>
              <w:rPr>
                <w:rFonts w:ascii="仿宋_GB2312" w:hAnsi="宋体" w:eastAsia="仿宋_GB2312" w:cs="宋体"/>
                <w:color w:val="000000"/>
                <w:sz w:val="24"/>
              </w:rPr>
            </w:pPr>
            <w:r>
              <w:rPr>
                <w:rFonts w:hint="eastAsia" w:ascii="仿宋_GB2312" w:hAnsi="宋体" w:eastAsia="仿宋_GB2312" w:cs="宋体"/>
                <w:color w:val="000000"/>
                <w:sz w:val="24"/>
                <w:lang w:eastAsia="zh-CN"/>
              </w:rPr>
              <w:t>100</w:t>
            </w:r>
          </w:p>
        </w:tc>
      </w:tr>
    </w:tbl>
    <w:p w14:paraId="19D9A143">
      <w:pPr>
        <w:ind w:firstLine="600"/>
      </w:pPr>
    </w:p>
    <w:p w14:paraId="498919FC">
      <w:pPr>
        <w:autoSpaceDE w:val="0"/>
        <w:autoSpaceDN w:val="0"/>
        <w:spacing w:line="560" w:lineRule="exact"/>
        <w:ind w:left="120" w:right="40" w:firstLine="600"/>
        <w:jc w:val="both"/>
        <w:rPr>
          <w:sz w:val="31"/>
          <w:szCs w:val="31"/>
          <w:lang w:eastAsia="zh-CN"/>
        </w:rPr>
      </w:pPr>
    </w:p>
    <w:sectPr>
      <w:pgSz w:w="11900" w:h="16840"/>
      <w:pgMar w:top="0" w:right="1380" w:bottom="0" w:left="14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大标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KSOFE44F9426">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D3414">
    <w:pPr>
      <w:pStyle w:val="8"/>
      <w:ind w:firstLine="360"/>
    </w:pPr>
    <w:r>
      <w:pict>
        <v:shape id="_x0000_s5121" o:spid="_x0000_s5121"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1577A2BD">
                <w:pPr>
                  <w:pStyle w:val="8"/>
                  <w:ind w:firstLine="360"/>
                </w:pPr>
                <w:r>
                  <w:rPr>
                    <w:rFonts w:hint="eastAsia"/>
                  </w:rPr>
                  <w:fldChar w:fldCharType="begin"/>
                </w:r>
                <w:r>
                  <w:rPr>
                    <w:rFonts w:hint="eastAsia"/>
                    <w:lang w:eastAsia="zh-CN"/>
                  </w:rPr>
                  <w:instrText xml:space="preserve"> PAGE  \* MERGEFORMAT </w:instrText>
                </w:r>
                <w:r>
                  <w:rPr>
                    <w:rFonts w:hint="eastAsia"/>
                  </w:rPr>
                  <w:fldChar w:fldCharType="separate"/>
                </w:r>
                <w:r>
                  <w:t>1</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A62F5">
    <w:pPr>
      <w:pStyle w:val="8"/>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C28DF3"/>
    <w:multiLevelType w:val="singleLevel"/>
    <w:tmpl w:val="57C28DF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compressPunctuation"/>
  <w:hdrShapeDefaults>
    <o:shapelayout v:ext="edit">
      <o:idmap v:ext="edit" data="5"/>
    </o:shapelayout>
  </w:hdrShapeDefaults>
  <w:compat>
    <w:useFELayout/>
    <w:compatSetting w:name="compatibilityMode" w:uri="http://schemas.microsoft.com/office/word" w:val="12"/>
  </w:compat>
  <w:rsids>
    <w:rsidRoot w:val="00BA38F3"/>
    <w:rsid w:val="00024EE3"/>
    <w:rsid w:val="00056092"/>
    <w:rsid w:val="00281540"/>
    <w:rsid w:val="002A4862"/>
    <w:rsid w:val="0095304F"/>
    <w:rsid w:val="00976206"/>
    <w:rsid w:val="009C2DE4"/>
    <w:rsid w:val="00A67B46"/>
    <w:rsid w:val="00B36854"/>
    <w:rsid w:val="00BA38F3"/>
    <w:rsid w:val="00BC3FD6"/>
    <w:rsid w:val="00BE5D96"/>
    <w:rsid w:val="00DA2AD5"/>
    <w:rsid w:val="00E03F0C"/>
    <w:rsid w:val="00E750C9"/>
    <w:rsid w:val="19EB6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uiPriority w:val="99"/>
    <w:pPr>
      <w:ind w:left="720"/>
    </w:pPr>
  </w:style>
  <w:style w:type="paragraph" w:styleId="7">
    <w:name w:val="caption"/>
    <w:basedOn w:val="1"/>
    <w:next w:val="1"/>
    <w:semiHidden/>
    <w:unhideWhenUsed/>
    <w:qFormat/>
    <w:uiPriority w:val="35"/>
    <w:rPr>
      <w:b/>
      <w:bCs/>
      <w:color w:val="4F81BD" w:themeColor="accent1"/>
      <w:sz w:val="18"/>
      <w:szCs w:val="18"/>
    </w:rPr>
  </w:style>
  <w:style w:type="paragraph" w:styleId="8">
    <w:name w:val="footer"/>
    <w:basedOn w:val="1"/>
    <w:link w:val="24"/>
    <w:unhideWhenUsed/>
    <w:qFormat/>
    <w:uiPriority w:val="0"/>
    <w:pPr>
      <w:tabs>
        <w:tab w:val="center" w:pos="4153"/>
        <w:tab w:val="right" w:pos="8306"/>
      </w:tabs>
      <w:snapToGrid w:val="0"/>
    </w:pPr>
    <w:rPr>
      <w:sz w:val="18"/>
      <w:szCs w:val="18"/>
    </w:rPr>
  </w:style>
  <w:style w:type="paragraph" w:styleId="9">
    <w:name w:val="header"/>
    <w:basedOn w:val="1"/>
    <w:link w:val="17"/>
    <w:unhideWhenUsed/>
    <w:qFormat/>
    <w:uiPriority w:val="99"/>
    <w:pPr>
      <w:tabs>
        <w:tab w:val="center" w:pos="4680"/>
        <w:tab w:val="right" w:pos="9360"/>
      </w:tabs>
    </w:pPr>
  </w:style>
  <w:style w:type="paragraph" w:styleId="10">
    <w:name w:val="Subtitle"/>
    <w:basedOn w:val="1"/>
    <w:next w:val="1"/>
    <w:link w:val="22"/>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11">
    <w:name w:val="Title"/>
    <w:basedOn w:val="1"/>
    <w:next w:val="1"/>
    <w:link w:val="23"/>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Emphasis"/>
    <w:basedOn w:val="14"/>
    <w:qFormat/>
    <w:uiPriority w:val="20"/>
    <w:rPr>
      <w:i/>
      <w:iCs/>
    </w:rPr>
  </w:style>
  <w:style w:type="character" w:styleId="16">
    <w:name w:val="Hyperlink"/>
    <w:basedOn w:val="14"/>
    <w:unhideWhenUsed/>
    <w:uiPriority w:val="99"/>
    <w:rPr>
      <w:color w:val="0000FF" w:themeColor="hyperlink"/>
      <w:u w:val="single"/>
    </w:rPr>
  </w:style>
  <w:style w:type="character" w:customStyle="1" w:styleId="17">
    <w:name w:val="页眉 Char"/>
    <w:basedOn w:val="14"/>
    <w:link w:val="9"/>
    <w:qFormat/>
    <w:uiPriority w:val="99"/>
  </w:style>
  <w:style w:type="character" w:customStyle="1" w:styleId="18">
    <w:name w:val="标题 1 Char"/>
    <w:basedOn w:val="14"/>
    <w:link w:val="2"/>
    <w:qFormat/>
    <w:uiPriority w:val="0"/>
    <w:rPr>
      <w:rFonts w:asciiTheme="majorHAnsi" w:hAnsiTheme="majorHAnsi" w:eastAsiaTheme="majorEastAsia" w:cstheme="majorBidi"/>
      <w:b/>
      <w:bCs/>
      <w:color w:val="366091" w:themeColor="accent1" w:themeShade="BF"/>
      <w:sz w:val="28"/>
      <w:szCs w:val="28"/>
    </w:rPr>
  </w:style>
  <w:style w:type="character" w:customStyle="1" w:styleId="19">
    <w:name w:val="标题 2 Char"/>
    <w:basedOn w:val="14"/>
    <w:link w:val="3"/>
    <w:qFormat/>
    <w:uiPriority w:val="9"/>
    <w:rPr>
      <w:rFonts w:asciiTheme="majorHAnsi" w:hAnsiTheme="majorHAnsi" w:eastAsiaTheme="majorEastAsia" w:cstheme="majorBidi"/>
      <w:b/>
      <w:bCs/>
      <w:color w:val="4F81BD" w:themeColor="accent1"/>
      <w:sz w:val="26"/>
      <w:szCs w:val="26"/>
    </w:rPr>
  </w:style>
  <w:style w:type="character" w:customStyle="1" w:styleId="20">
    <w:name w:val="标题 3 Char"/>
    <w:basedOn w:val="14"/>
    <w:link w:val="4"/>
    <w:qFormat/>
    <w:uiPriority w:val="9"/>
    <w:rPr>
      <w:rFonts w:asciiTheme="majorHAnsi" w:hAnsiTheme="majorHAnsi" w:eastAsiaTheme="majorEastAsia" w:cstheme="majorBidi"/>
      <w:b/>
      <w:bCs/>
      <w:color w:val="4F81BD" w:themeColor="accent1"/>
    </w:rPr>
  </w:style>
  <w:style w:type="character" w:customStyle="1" w:styleId="21">
    <w:name w:val="标题 4 Char"/>
    <w:basedOn w:val="14"/>
    <w:link w:val="5"/>
    <w:qFormat/>
    <w:uiPriority w:val="9"/>
    <w:rPr>
      <w:rFonts w:asciiTheme="majorHAnsi" w:hAnsiTheme="majorHAnsi" w:eastAsiaTheme="majorEastAsia" w:cstheme="majorBidi"/>
      <w:b/>
      <w:bCs/>
      <w:i/>
      <w:iCs/>
      <w:color w:val="4F81BD" w:themeColor="accent1"/>
    </w:rPr>
  </w:style>
  <w:style w:type="character" w:customStyle="1" w:styleId="22">
    <w:name w:val="副标题 Char"/>
    <w:basedOn w:val="14"/>
    <w:link w:val="10"/>
    <w:uiPriority w:val="11"/>
    <w:rPr>
      <w:rFonts w:asciiTheme="majorHAnsi" w:hAnsiTheme="majorHAnsi" w:eastAsiaTheme="majorEastAsia" w:cstheme="majorBidi"/>
      <w:i/>
      <w:iCs/>
      <w:color w:val="4F81BD" w:themeColor="accent1"/>
      <w:spacing w:val="15"/>
      <w:sz w:val="24"/>
      <w:szCs w:val="24"/>
    </w:rPr>
  </w:style>
  <w:style w:type="character" w:customStyle="1" w:styleId="23">
    <w:name w:val="标题 Char"/>
    <w:basedOn w:val="14"/>
    <w:link w:val="11"/>
    <w:uiPriority w:val="10"/>
    <w:rPr>
      <w:rFonts w:asciiTheme="majorHAnsi" w:hAnsiTheme="majorHAnsi" w:eastAsiaTheme="majorEastAsia" w:cstheme="majorBidi"/>
      <w:color w:val="17365D" w:themeColor="text2" w:themeShade="BF"/>
      <w:spacing w:val="5"/>
      <w:kern w:val="28"/>
      <w:sz w:val="52"/>
      <w:szCs w:val="52"/>
    </w:rPr>
  </w:style>
  <w:style w:type="character" w:customStyle="1" w:styleId="24">
    <w:name w:val="页脚 Char"/>
    <w:basedOn w:val="14"/>
    <w:link w:val="8"/>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5121"/>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7086</Words>
  <Characters>7630</Characters>
  <Lines>58</Lines>
  <Paragraphs>16</Paragraphs>
  <TotalTime>85</TotalTime>
  <ScaleCrop>false</ScaleCrop>
  <LinksUpToDate>false</LinksUpToDate>
  <CharactersWithSpaces>7802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2022-08-29T09:25:00Z</dcterms:created>
  <dc:creator>trsli</dc:creator>
  <cp:lastModifiedBy>嘟嘟</cp:lastModifiedBy>
  <dcterms:modified xsi:type="dcterms:W3CDTF">2026-07-21T07:17:52Z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eyJoZGlkIjoiMjE2YWY5NzI1MThhZDljY2U3MzkwYzYyOTljZjg5ZmIiLCJ1c2VySWQiOiI0MjQ5NjU3NjUifQ==</vt:lpwstr>
  </property>
  <property fmtid="{D5CDD505-2E9C-101B-9397-08002B2CF9AE}" pid="3" name="KSOProductBuildVer">
    <vt:lpwstr>2052-12.1.0.26895</vt:lpwstr>
  </property>
  <property fmtid="{D5CDD505-2E9C-101B-9397-08002B2CF9AE}" pid="4" name="ICV">
    <vt:lpwstr>437EB33911EF4B9CA31A14D2AE68BAB3_12</vt:lpwstr>
  </property>
</Properties>
</file>