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sz w:val="44"/>
          <w:szCs w:val="36"/>
          <w:lang w:eastAsia="zh-CN"/>
        </w:rPr>
      </w:pPr>
      <w:r>
        <w:rPr>
          <w:rFonts w:hint="eastAsia" w:ascii="黑体" w:hAnsi="黑体" w:eastAsia="黑体"/>
          <w:sz w:val="44"/>
          <w:szCs w:val="36"/>
          <w:lang w:eastAsia="zh-CN"/>
        </w:rPr>
        <w:t>景德镇市机关事务管理局</w:t>
      </w:r>
    </w:p>
    <w:p>
      <w:pPr>
        <w:spacing w:line="600" w:lineRule="exact"/>
        <w:jc w:val="center"/>
        <w:rPr>
          <w:rFonts w:hint="eastAsia" w:ascii="黑体" w:eastAsia="黑体"/>
          <w:sz w:val="44"/>
          <w:szCs w:val="36"/>
        </w:rPr>
      </w:pP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景德镇市机关事务管理局</w:t>
      </w:r>
      <w:r>
        <w:rPr>
          <w:rFonts w:hint="eastAsia" w:ascii="黑体" w:hAnsi="黑体" w:eastAsia="黑体"/>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rPr>
        <w:t>景德镇市机关事务管理局部门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widowControl/>
        <w:spacing w:line="600" w:lineRule="exact"/>
        <w:ind w:left="0" w:leftChars="0" w:firstLine="640" w:firstLineChars="0"/>
        <w:jc w:val="left"/>
        <w:rPr>
          <w:rFonts w:hint="eastAsia" w:ascii="仿宋" w:hAnsi="仿宋" w:eastAsia="仿宋"/>
          <w:sz w:val="32"/>
          <w:szCs w:val="30"/>
        </w:rPr>
      </w:pPr>
      <w:r>
        <w:rPr>
          <w:rFonts w:hint="eastAsia" w:ascii="仿宋_GB2312" w:hAnsi="宋体" w:eastAsia="仿宋_GB2312" w:cs="仿宋_GB2312"/>
          <w:b w:val="0"/>
          <w:bCs w:val="0"/>
          <w:sz w:val="32"/>
          <w:szCs w:val="32"/>
          <w:lang w:eastAsia="zh-CN"/>
        </w:rPr>
        <w:t>景德镇市</w:t>
      </w:r>
      <w:r>
        <w:rPr>
          <w:rFonts w:hint="eastAsia" w:ascii="仿宋_GB2312" w:hAnsi="宋体" w:eastAsia="仿宋_GB2312" w:cs="仿宋_GB2312"/>
          <w:color w:val="auto"/>
          <w:sz w:val="32"/>
          <w:szCs w:val="32"/>
          <w:lang w:eastAsia="zh-CN"/>
        </w:rPr>
        <w:t>机关事务管理</w:t>
      </w:r>
      <w:r>
        <w:rPr>
          <w:rFonts w:hint="eastAsia" w:ascii="仿宋_GB2312" w:hAnsi="宋体" w:eastAsia="仿宋_GB2312" w:cs="仿宋_GB2312"/>
          <w:color w:val="auto"/>
          <w:sz w:val="32"/>
          <w:szCs w:val="32"/>
        </w:rPr>
        <w:t>局是</w:t>
      </w:r>
      <w:r>
        <w:rPr>
          <w:rFonts w:hint="eastAsia" w:ascii="仿宋_GB2312" w:hAnsi="宋体" w:eastAsia="仿宋_GB2312" w:cs="仿宋_GB2312"/>
          <w:color w:val="auto"/>
          <w:sz w:val="32"/>
          <w:szCs w:val="32"/>
          <w:lang w:eastAsia="zh-CN"/>
        </w:rPr>
        <w:t>市人民政府直属事业单位（参公），</w:t>
      </w:r>
      <w:r>
        <w:rPr>
          <w:rFonts w:hint="eastAsia" w:ascii="仿宋_GB2312" w:hAnsi="宋体" w:eastAsia="仿宋_GB2312" w:cs="仿宋_GB2312"/>
          <w:color w:val="auto"/>
          <w:sz w:val="32"/>
          <w:szCs w:val="32"/>
        </w:rPr>
        <w:t>主要职责是：</w:t>
      </w:r>
    </w:p>
    <w:p>
      <w:pPr>
        <w:widowControl/>
        <w:spacing w:line="600" w:lineRule="exact"/>
        <w:ind w:left="0" w:leftChars="0" w:firstLine="640" w:firstLineChars="0"/>
        <w:jc w:val="left"/>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lang w:eastAsia="zh-CN"/>
        </w:rPr>
        <w:t>1.负责拟定我市机关事务管理的发展规划并组织实施，指导全市机关后勤</w:t>
      </w:r>
      <w:bookmarkStart w:id="0" w:name="_GoBack"/>
      <w:bookmarkEnd w:id="0"/>
      <w:r>
        <w:rPr>
          <w:rFonts w:hint="eastAsia" w:ascii="仿宋_GB2312" w:hAnsi="宋体" w:eastAsia="仿宋_GB2312" w:cs="仿宋_GB2312"/>
          <w:color w:val="auto"/>
          <w:sz w:val="32"/>
          <w:szCs w:val="32"/>
          <w:lang w:eastAsia="zh-CN"/>
        </w:rPr>
        <w:t>服务社会化改革工作。</w:t>
      </w:r>
    </w:p>
    <w:p>
      <w:pPr>
        <w:widowControl/>
        <w:spacing w:line="600" w:lineRule="exact"/>
        <w:ind w:left="0" w:leftChars="0" w:firstLine="640" w:firstLineChars="0"/>
        <w:jc w:val="left"/>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lang w:eastAsia="zh-CN"/>
        </w:rPr>
        <w:t>2.研究制定市直机关后勤管理和公车改革工作的规定、制度、方案并负责组织实施。</w:t>
      </w:r>
    </w:p>
    <w:p>
      <w:pPr>
        <w:widowControl/>
        <w:spacing w:line="600" w:lineRule="exact"/>
        <w:ind w:left="0" w:leftChars="0" w:firstLine="640" w:firstLineChars="0"/>
        <w:jc w:val="left"/>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lang w:eastAsia="zh-CN"/>
        </w:rPr>
        <w:t>3.负责全市公共机构节能监督管理工作。</w:t>
      </w:r>
    </w:p>
    <w:p>
      <w:pPr>
        <w:widowControl/>
        <w:spacing w:line="600" w:lineRule="exact"/>
        <w:ind w:left="0" w:leftChars="0" w:firstLine="640" w:firstLineChars="0"/>
        <w:jc w:val="left"/>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lang w:eastAsia="zh-CN"/>
        </w:rPr>
        <w:t>4.负责市直机关办公用房等公共资产的建设、管理等工作。</w:t>
      </w:r>
    </w:p>
    <w:p>
      <w:pPr>
        <w:widowControl/>
        <w:spacing w:line="600" w:lineRule="exact"/>
        <w:ind w:left="0" w:leftChars="0" w:firstLine="640" w:firstLineChars="0"/>
        <w:jc w:val="left"/>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5.</w:t>
      </w:r>
      <w:r>
        <w:rPr>
          <w:rFonts w:hint="eastAsia" w:ascii="仿宋_GB2312" w:hAnsi="宋体" w:eastAsia="仿宋_GB2312" w:cs="仿宋_GB2312"/>
          <w:color w:val="auto"/>
          <w:sz w:val="32"/>
          <w:szCs w:val="32"/>
          <w:lang w:eastAsia="zh-CN"/>
        </w:rPr>
        <w:t>完成市委、市政府交办的其他事项。</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w:t>
      </w:r>
      <w:r>
        <w:rPr>
          <w:rFonts w:hint="eastAsia" w:ascii="仿宋" w:hAnsi="仿宋" w:eastAsia="仿宋"/>
          <w:sz w:val="30"/>
          <w:szCs w:val="30"/>
        </w:rPr>
        <w:t>个，包括：</w:t>
      </w:r>
      <w:r>
        <w:rPr>
          <w:rFonts w:hint="eastAsia" w:ascii="仿宋_GB2312" w:hAnsi="宋体" w:eastAsia="仿宋_GB2312" w:cs="仿宋_GB2312"/>
          <w:color w:val="auto"/>
          <w:sz w:val="32"/>
          <w:szCs w:val="32"/>
          <w:lang w:eastAsia="zh-CN"/>
        </w:rPr>
        <w:t>部门本级</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年年末编制人数</w:t>
      </w:r>
      <w:r>
        <w:rPr>
          <w:rFonts w:hint="eastAsia" w:ascii="仿宋" w:hAnsi="仿宋" w:eastAsia="仿宋"/>
          <w:sz w:val="30"/>
          <w:szCs w:val="30"/>
          <w:lang w:val="en-US" w:eastAsia="zh-CN"/>
        </w:rPr>
        <w:t>25</w:t>
      </w:r>
      <w:r>
        <w:rPr>
          <w:rFonts w:hint="eastAsia" w:ascii="仿宋" w:hAnsi="仿宋" w:eastAsia="仿宋"/>
          <w:sz w:val="30"/>
          <w:szCs w:val="30"/>
        </w:rPr>
        <w:t>人，其中行政编制</w:t>
      </w:r>
      <w:r>
        <w:rPr>
          <w:rFonts w:hint="eastAsia" w:ascii="仿宋" w:hAnsi="仿宋" w:eastAsia="仿宋"/>
          <w:sz w:val="30"/>
          <w:szCs w:val="30"/>
          <w:lang w:val="en-US" w:eastAsia="zh-CN"/>
        </w:rPr>
        <w:t>0</w:t>
      </w:r>
      <w:r>
        <w:rPr>
          <w:rFonts w:hint="eastAsia" w:ascii="仿宋" w:hAnsi="仿宋" w:eastAsia="仿宋"/>
          <w:sz w:val="30"/>
          <w:szCs w:val="30"/>
        </w:rPr>
        <w:t>人，事业编制</w:t>
      </w:r>
      <w:r>
        <w:rPr>
          <w:rFonts w:hint="eastAsia" w:ascii="仿宋" w:hAnsi="仿宋" w:eastAsia="仿宋"/>
          <w:sz w:val="30"/>
          <w:szCs w:val="30"/>
          <w:lang w:val="en-US" w:eastAsia="zh-CN"/>
        </w:rPr>
        <w:t>25</w:t>
      </w:r>
      <w:r>
        <w:rPr>
          <w:rFonts w:hint="eastAsia" w:ascii="仿宋" w:hAnsi="仿宋" w:eastAsia="仿宋"/>
          <w:sz w:val="30"/>
          <w:szCs w:val="30"/>
        </w:rPr>
        <w:t>人；年末实有人数</w:t>
      </w:r>
      <w:r>
        <w:rPr>
          <w:rFonts w:hint="eastAsia" w:ascii="仿宋" w:hAnsi="仿宋" w:eastAsia="仿宋"/>
          <w:sz w:val="30"/>
          <w:szCs w:val="30"/>
          <w:lang w:val="en-US" w:eastAsia="zh-CN"/>
        </w:rPr>
        <w:t>24</w:t>
      </w:r>
      <w:r>
        <w:rPr>
          <w:rFonts w:hint="eastAsia" w:ascii="仿宋" w:hAnsi="仿宋" w:eastAsia="仿宋"/>
          <w:sz w:val="30"/>
          <w:szCs w:val="30"/>
        </w:rPr>
        <w:t>人，其中在职人员</w:t>
      </w:r>
      <w:r>
        <w:rPr>
          <w:rFonts w:hint="eastAsia" w:ascii="仿宋" w:hAnsi="仿宋" w:eastAsia="仿宋"/>
          <w:sz w:val="30"/>
          <w:szCs w:val="30"/>
          <w:lang w:val="en-US" w:eastAsia="zh-CN"/>
        </w:rPr>
        <w:t>19</w:t>
      </w:r>
      <w:r>
        <w:rPr>
          <w:rFonts w:hint="eastAsia" w:ascii="仿宋" w:hAnsi="仿宋" w:eastAsia="仿宋"/>
          <w:sz w:val="30"/>
          <w:szCs w:val="30"/>
        </w:rPr>
        <w:t>人，离休人员</w:t>
      </w:r>
      <w:r>
        <w:rPr>
          <w:rFonts w:hint="eastAsia" w:ascii="仿宋" w:hAnsi="仿宋" w:eastAsia="仿宋"/>
          <w:sz w:val="30"/>
          <w:szCs w:val="30"/>
          <w:lang w:val="en-US" w:eastAsia="zh-CN"/>
        </w:rPr>
        <w:t>0</w:t>
      </w:r>
      <w:r>
        <w:rPr>
          <w:rFonts w:hint="eastAsia" w:ascii="仿宋" w:hAnsi="仿宋" w:eastAsia="仿宋"/>
          <w:sz w:val="30"/>
          <w:szCs w:val="30"/>
        </w:rPr>
        <w:t>人，退休人员</w:t>
      </w:r>
      <w:r>
        <w:rPr>
          <w:rFonts w:hint="eastAsia" w:ascii="仿宋" w:hAnsi="仿宋" w:eastAsia="仿宋"/>
          <w:sz w:val="30"/>
          <w:szCs w:val="30"/>
          <w:lang w:val="en-US" w:eastAsia="zh-CN"/>
        </w:rPr>
        <w:t>5</w:t>
      </w:r>
      <w:r>
        <w:rPr>
          <w:rFonts w:hint="eastAsia" w:ascii="仿宋" w:hAnsi="仿宋" w:eastAsia="仿宋"/>
          <w:sz w:val="30"/>
          <w:szCs w:val="30"/>
        </w:rPr>
        <w:t>人。</w:t>
      </w:r>
    </w:p>
    <w:p>
      <w:pPr>
        <w:ind w:firstLine="630"/>
        <w:jc w:val="left"/>
        <w:rPr>
          <w:rFonts w:hint="eastAsia" w:ascii="仿宋" w:hAnsi="仿宋" w:eastAsia="仿宋"/>
          <w:sz w:val="30"/>
          <w:szCs w:val="30"/>
        </w:rPr>
      </w:pPr>
    </w:p>
    <w:p>
      <w:pPr>
        <w:widowControl/>
        <w:spacing w:line="600" w:lineRule="exact"/>
        <w:jc w:val="both"/>
        <w:rPr>
          <w:rFonts w:hint="eastAsia" w:ascii="宋体" w:hAnsi="宋体"/>
          <w:b/>
          <w:sz w:val="32"/>
          <w:szCs w:val="32"/>
        </w:rPr>
      </w:pPr>
    </w:p>
    <w:p>
      <w:pPr>
        <w:widowControl/>
        <w:spacing w:line="600" w:lineRule="exact"/>
        <w:jc w:val="both"/>
        <w:rPr>
          <w:rFonts w:hint="eastAsia" w:ascii="宋体" w:hAnsi="宋体"/>
          <w:b/>
          <w:sz w:val="32"/>
          <w:szCs w:val="32"/>
        </w:rPr>
      </w:pPr>
    </w:p>
    <w:p>
      <w:pPr>
        <w:widowControl/>
        <w:numPr>
          <w:ilvl w:val="0"/>
          <w:numId w:val="1"/>
        </w:numPr>
        <w:spacing w:line="600" w:lineRule="exact"/>
        <w:ind w:firstLine="640"/>
        <w:jc w:val="center"/>
        <w:rPr>
          <w:rFonts w:hint="eastAsia" w:ascii="宋体" w:hAnsi="宋体"/>
          <w:b/>
          <w:sz w:val="32"/>
          <w:szCs w:val="32"/>
        </w:rPr>
      </w:pPr>
      <w:r>
        <w:rPr>
          <w:rFonts w:hint="eastAsia" w:ascii="宋体" w:hAnsi="宋体"/>
          <w:b/>
          <w:sz w:val="32"/>
          <w:szCs w:val="32"/>
        </w:rPr>
        <w:t xml:space="preserve"> 201</w:t>
      </w:r>
      <w:r>
        <w:rPr>
          <w:rFonts w:hint="eastAsia" w:ascii="宋体" w:hAnsi="宋体"/>
          <w:b/>
          <w:sz w:val="32"/>
          <w:szCs w:val="32"/>
          <w:lang w:val="en-US" w:eastAsia="zh-CN"/>
        </w:rPr>
        <w:t>9</w:t>
      </w:r>
      <w:r>
        <w:rPr>
          <w:rFonts w:hint="eastAsia" w:ascii="宋体" w:hAnsi="宋体"/>
          <w:b/>
          <w:sz w:val="32"/>
          <w:szCs w:val="32"/>
        </w:rPr>
        <w:t>年度部门决算表</w:t>
      </w:r>
    </w:p>
    <w:p>
      <w:pPr>
        <w:widowControl/>
        <w:numPr>
          <w:ilvl w:val="0"/>
          <w:numId w:val="0"/>
        </w:numPr>
        <w:spacing w:line="600" w:lineRule="exact"/>
        <w:jc w:val="both"/>
        <w:rPr>
          <w:rFonts w:hint="eastAsia"/>
        </w:rPr>
      </w:pPr>
    </w:p>
    <w:p>
      <w:pPr>
        <w:autoSpaceDE w:val="0"/>
        <w:autoSpaceDN w:val="0"/>
        <w:adjustRightInd w:val="0"/>
        <w:spacing w:line="360" w:lineRule="auto"/>
        <w:jc w:val="left"/>
        <w:rPr>
          <w:rFonts w:hint="eastAsia"/>
          <w:szCs w:val="30"/>
        </w:rPr>
      </w:pPr>
      <w:r>
        <w:drawing>
          <wp:inline distT="0" distB="0" distL="114300" distR="114300">
            <wp:extent cx="5268595" cy="4878705"/>
            <wp:effectExtent l="0" t="0" r="8255" b="1714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4"/>
                    <a:stretch>
                      <a:fillRect/>
                    </a:stretch>
                  </pic:blipFill>
                  <pic:spPr>
                    <a:xfrm>
                      <a:off x="0" y="0"/>
                      <a:ext cx="5268595" cy="4878705"/>
                    </a:xfrm>
                    <a:prstGeom prst="rect">
                      <a:avLst/>
                    </a:prstGeom>
                    <a:noFill/>
                    <a:ln>
                      <a:noFill/>
                    </a:ln>
                  </pic:spPr>
                </pic:pic>
              </a:graphicData>
            </a:graphic>
          </wp:inline>
        </w:drawing>
      </w:r>
    </w:p>
    <w:p>
      <w:pPr>
        <w:autoSpaceDE w:val="0"/>
        <w:autoSpaceDN w:val="0"/>
        <w:adjustRightInd w:val="0"/>
        <w:spacing w:line="360" w:lineRule="auto"/>
        <w:jc w:val="left"/>
      </w:pPr>
      <w:r>
        <w:drawing>
          <wp:inline distT="0" distB="0" distL="114300" distR="114300">
            <wp:extent cx="5271135" cy="2922905"/>
            <wp:effectExtent l="0" t="0" r="5715" b="1079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5"/>
                    <a:stretch>
                      <a:fillRect/>
                    </a:stretch>
                  </pic:blipFill>
                  <pic:spPr>
                    <a:xfrm>
                      <a:off x="0" y="0"/>
                      <a:ext cx="5271135" cy="2922905"/>
                    </a:xfrm>
                    <a:prstGeom prst="rect">
                      <a:avLst/>
                    </a:prstGeom>
                    <a:noFill/>
                    <a:ln>
                      <a:noFill/>
                    </a:ln>
                  </pic:spPr>
                </pic:pic>
              </a:graphicData>
            </a:graphic>
          </wp:inline>
        </w:drawing>
      </w:r>
    </w:p>
    <w:p>
      <w:pPr>
        <w:autoSpaceDE w:val="0"/>
        <w:autoSpaceDN w:val="0"/>
        <w:adjustRightInd w:val="0"/>
        <w:spacing w:line="360" w:lineRule="auto"/>
        <w:jc w:val="left"/>
      </w:pPr>
      <w:r>
        <w:drawing>
          <wp:inline distT="0" distB="0" distL="114300" distR="114300">
            <wp:extent cx="5270500" cy="3589020"/>
            <wp:effectExtent l="0" t="0" r="6350" b="1143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6"/>
                    <a:stretch>
                      <a:fillRect/>
                    </a:stretch>
                  </pic:blipFill>
                  <pic:spPr>
                    <a:xfrm>
                      <a:off x="0" y="0"/>
                      <a:ext cx="5270500" cy="3589020"/>
                    </a:xfrm>
                    <a:prstGeom prst="rect">
                      <a:avLst/>
                    </a:prstGeom>
                    <a:noFill/>
                    <a:ln>
                      <a:noFill/>
                    </a:ln>
                  </pic:spPr>
                </pic:pic>
              </a:graphicData>
            </a:graphic>
          </wp:inline>
        </w:drawing>
      </w:r>
    </w:p>
    <w:p>
      <w:pPr>
        <w:autoSpaceDE w:val="0"/>
        <w:autoSpaceDN w:val="0"/>
        <w:adjustRightInd w:val="0"/>
        <w:spacing w:line="360" w:lineRule="auto"/>
        <w:jc w:val="left"/>
      </w:pPr>
      <w:r>
        <w:drawing>
          <wp:inline distT="0" distB="0" distL="114300" distR="114300">
            <wp:extent cx="5269865" cy="4022090"/>
            <wp:effectExtent l="0" t="0" r="6985" b="1651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7"/>
                    <a:stretch>
                      <a:fillRect/>
                    </a:stretch>
                  </pic:blipFill>
                  <pic:spPr>
                    <a:xfrm>
                      <a:off x="0" y="0"/>
                      <a:ext cx="5269865" cy="4022090"/>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5270500" cy="5323205"/>
            <wp:effectExtent l="0" t="0" r="6350" b="1079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8"/>
                    <a:stretch>
                      <a:fillRect/>
                    </a:stretch>
                  </pic:blipFill>
                  <pic:spPr>
                    <a:xfrm>
                      <a:off x="0" y="0"/>
                      <a:ext cx="5270500" cy="5323205"/>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5266690" cy="9105265"/>
            <wp:effectExtent l="0" t="0" r="10160" b="635"/>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9"/>
                    <a:stretch>
                      <a:fillRect/>
                    </a:stretch>
                  </pic:blipFill>
                  <pic:spPr>
                    <a:xfrm>
                      <a:off x="0" y="0"/>
                      <a:ext cx="5266690" cy="9105265"/>
                    </a:xfrm>
                    <a:prstGeom prst="rect">
                      <a:avLst/>
                    </a:prstGeom>
                    <a:noFill/>
                    <a:ln>
                      <a:noFill/>
                    </a:ln>
                  </pic:spPr>
                </pic:pic>
              </a:graphicData>
            </a:graphic>
          </wp:inline>
        </w:drawing>
      </w:r>
    </w:p>
    <w:p>
      <w:pPr>
        <w:autoSpaceDE w:val="0"/>
        <w:autoSpaceDN w:val="0"/>
        <w:adjustRightInd w:val="0"/>
        <w:spacing w:line="360" w:lineRule="auto"/>
        <w:jc w:val="left"/>
      </w:pPr>
      <w:r>
        <w:drawing>
          <wp:inline distT="0" distB="0" distL="114300" distR="114300">
            <wp:extent cx="5269230" cy="4832985"/>
            <wp:effectExtent l="0" t="0" r="7620" b="5715"/>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0"/>
                    <a:stretch>
                      <a:fillRect/>
                    </a:stretch>
                  </pic:blipFill>
                  <pic:spPr>
                    <a:xfrm>
                      <a:off x="0" y="0"/>
                      <a:ext cx="5269230" cy="4832985"/>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5268595" cy="1692910"/>
            <wp:effectExtent l="0" t="0" r="8255" b="2540"/>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11"/>
                    <a:stretch>
                      <a:fillRect/>
                    </a:stretch>
                  </pic:blipFill>
                  <pic:spPr>
                    <a:xfrm>
                      <a:off x="0" y="0"/>
                      <a:ext cx="5268595" cy="1692910"/>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4791075" cy="2962275"/>
            <wp:effectExtent l="0" t="0" r="9525" b="9525"/>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2"/>
                    <a:stretch>
                      <a:fillRect/>
                    </a:stretch>
                  </pic:blipFill>
                  <pic:spPr>
                    <a:xfrm>
                      <a:off x="0" y="0"/>
                      <a:ext cx="4791075" cy="2962275"/>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3917.58</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267.94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1056.6</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36.93%</w:t>
      </w:r>
      <w:r>
        <w:rPr>
          <w:rFonts w:hint="eastAsia" w:ascii="仿宋" w:hAnsi="仿宋" w:eastAsia="仿宋"/>
          <w:sz w:val="30"/>
          <w:szCs w:val="30"/>
        </w:rPr>
        <w:t>；本年收入合计</w:t>
      </w:r>
      <w:r>
        <w:rPr>
          <w:rFonts w:hint="eastAsia" w:ascii="仿宋" w:hAnsi="仿宋" w:eastAsia="仿宋"/>
          <w:sz w:val="30"/>
          <w:szCs w:val="30"/>
          <w:lang w:val="en-US" w:eastAsia="zh-CN"/>
        </w:rPr>
        <w:t>3649.64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1170.87</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46.39%</w:t>
      </w:r>
      <w:r>
        <w:rPr>
          <w:rFonts w:hint="eastAsia" w:ascii="仿宋" w:hAnsi="仿宋" w:eastAsia="仿宋"/>
          <w:sz w:val="30"/>
          <w:szCs w:val="30"/>
        </w:rPr>
        <w:t>，主要原因是：</w:t>
      </w:r>
      <w:r>
        <w:rPr>
          <w:rFonts w:hint="eastAsia" w:ascii="仿宋" w:hAnsi="仿宋" w:eastAsia="仿宋"/>
          <w:sz w:val="30"/>
          <w:szCs w:val="30"/>
          <w:lang w:eastAsia="zh-CN"/>
        </w:rPr>
        <w:t>各项目走向正轨，社会公共事务服务中心与公务用车运行经费正常运行</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3649.64</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3917.58</w:t>
      </w:r>
      <w:r>
        <w:rPr>
          <w:rFonts w:hint="eastAsia" w:ascii="仿宋" w:hAnsi="仿宋" w:eastAsia="仿宋"/>
          <w:sz w:val="30"/>
          <w:szCs w:val="30"/>
        </w:rPr>
        <w:t>万元，其中本年支出合计</w:t>
      </w:r>
      <w:r>
        <w:rPr>
          <w:rFonts w:hint="eastAsia" w:ascii="仿宋" w:hAnsi="仿宋" w:eastAsia="仿宋"/>
          <w:sz w:val="30"/>
          <w:szCs w:val="30"/>
          <w:lang w:val="en-US" w:eastAsia="zh-CN"/>
        </w:rPr>
        <w:t>2319.87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948.86</w:t>
      </w:r>
      <w:r>
        <w:rPr>
          <w:rFonts w:hint="eastAsia" w:ascii="仿宋" w:hAnsi="仿宋" w:eastAsia="仿宋"/>
          <w:sz w:val="30"/>
          <w:szCs w:val="30"/>
        </w:rPr>
        <w:t>万元，增长</w:t>
      </w:r>
      <w:r>
        <w:rPr>
          <w:rFonts w:hint="eastAsia" w:ascii="仿宋" w:hAnsi="仿宋" w:eastAsia="仿宋"/>
          <w:sz w:val="30"/>
          <w:szCs w:val="30"/>
          <w:lang w:val="en-US" w:eastAsia="zh-CN"/>
        </w:rPr>
        <w:t>69.21</w:t>
      </w:r>
      <w:r>
        <w:rPr>
          <w:rFonts w:hint="eastAsia" w:ascii="仿宋" w:hAnsi="仿宋" w:eastAsia="仿宋"/>
          <w:sz w:val="30"/>
          <w:szCs w:val="30"/>
        </w:rPr>
        <w:t>%，主要原因是：</w:t>
      </w:r>
      <w:r>
        <w:rPr>
          <w:rFonts w:hint="eastAsia" w:ascii="仿宋" w:hAnsi="仿宋" w:eastAsia="仿宋"/>
          <w:sz w:val="30"/>
          <w:szCs w:val="30"/>
          <w:lang w:eastAsia="zh-CN"/>
        </w:rPr>
        <w:t>新增项目经费</w:t>
      </w:r>
      <w:r>
        <w:rPr>
          <w:rFonts w:hint="eastAsia" w:ascii="仿宋" w:hAnsi="仿宋" w:eastAsia="仿宋"/>
          <w:sz w:val="30"/>
          <w:szCs w:val="30"/>
        </w:rPr>
        <w:t>；年末结转和结余</w:t>
      </w:r>
      <w:r>
        <w:rPr>
          <w:rFonts w:hint="eastAsia" w:ascii="仿宋" w:hAnsi="仿宋" w:eastAsia="仿宋"/>
          <w:sz w:val="30"/>
          <w:szCs w:val="30"/>
          <w:lang w:val="en-US" w:eastAsia="zh-CN"/>
        </w:rPr>
        <w:t>1597.71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139.65</w:t>
      </w:r>
      <w:r>
        <w:rPr>
          <w:rFonts w:hint="eastAsia" w:ascii="仿宋" w:hAnsi="仿宋" w:eastAsia="仿宋"/>
          <w:sz w:val="30"/>
          <w:szCs w:val="30"/>
        </w:rPr>
        <w:t>万元，增长</w:t>
      </w:r>
      <w:r>
        <w:rPr>
          <w:rFonts w:hint="eastAsia" w:ascii="仿宋" w:hAnsi="仿宋" w:eastAsia="仿宋"/>
          <w:sz w:val="30"/>
          <w:szCs w:val="30"/>
          <w:lang w:val="en-US" w:eastAsia="zh-CN"/>
        </w:rPr>
        <w:t>9.58</w:t>
      </w:r>
      <w:r>
        <w:rPr>
          <w:rFonts w:hint="eastAsia" w:ascii="仿宋" w:hAnsi="仿宋" w:eastAsia="仿宋"/>
          <w:sz w:val="30"/>
          <w:szCs w:val="30"/>
        </w:rPr>
        <w:t>%，主要原因是：</w:t>
      </w:r>
      <w:r>
        <w:rPr>
          <w:rFonts w:hint="eastAsia" w:ascii="仿宋" w:hAnsi="仿宋" w:eastAsia="仿宋"/>
          <w:sz w:val="30"/>
          <w:szCs w:val="30"/>
          <w:lang w:eastAsia="zh-CN"/>
        </w:rPr>
        <w:t>项目未付款项未结清</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284.62</w:t>
      </w:r>
      <w:r>
        <w:rPr>
          <w:rFonts w:hint="eastAsia" w:ascii="仿宋" w:hAnsi="仿宋" w:eastAsia="仿宋"/>
          <w:sz w:val="30"/>
          <w:szCs w:val="30"/>
        </w:rPr>
        <w:t>万元，占</w:t>
      </w:r>
      <w:r>
        <w:rPr>
          <w:rFonts w:hint="eastAsia" w:ascii="仿宋" w:hAnsi="仿宋" w:eastAsia="仿宋"/>
          <w:sz w:val="30"/>
          <w:szCs w:val="30"/>
          <w:lang w:val="en-US" w:eastAsia="zh-CN"/>
        </w:rPr>
        <w:t>12.27</w:t>
      </w:r>
      <w:r>
        <w:rPr>
          <w:rFonts w:hint="eastAsia" w:ascii="仿宋" w:hAnsi="仿宋" w:eastAsia="仿宋"/>
          <w:sz w:val="30"/>
          <w:szCs w:val="30"/>
        </w:rPr>
        <w:t>%；项目支出</w:t>
      </w:r>
      <w:r>
        <w:rPr>
          <w:rFonts w:hint="eastAsia" w:ascii="仿宋" w:hAnsi="仿宋" w:eastAsia="仿宋"/>
          <w:sz w:val="30"/>
          <w:szCs w:val="30"/>
          <w:lang w:val="en-US" w:eastAsia="zh-CN"/>
        </w:rPr>
        <w:t>2035.25</w:t>
      </w:r>
      <w:r>
        <w:rPr>
          <w:rFonts w:hint="eastAsia" w:ascii="仿宋" w:hAnsi="仿宋" w:eastAsia="仿宋"/>
          <w:sz w:val="30"/>
          <w:szCs w:val="30"/>
        </w:rPr>
        <w:t>万元，占</w:t>
      </w:r>
      <w:r>
        <w:rPr>
          <w:rFonts w:hint="eastAsia" w:ascii="仿宋" w:hAnsi="仿宋" w:eastAsia="仿宋"/>
          <w:sz w:val="30"/>
          <w:szCs w:val="30"/>
          <w:lang w:val="en-US" w:eastAsia="zh-CN"/>
        </w:rPr>
        <w:t>87.73</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3649.24</w:t>
      </w:r>
      <w:r>
        <w:rPr>
          <w:rFonts w:hint="eastAsia" w:ascii="仿宋" w:hAnsi="仿宋" w:eastAsia="仿宋"/>
          <w:sz w:val="30"/>
          <w:szCs w:val="30"/>
        </w:rPr>
        <w:t>万元，决算数为</w:t>
      </w:r>
      <w:r>
        <w:rPr>
          <w:rFonts w:hint="eastAsia" w:ascii="仿宋" w:hAnsi="仿宋" w:eastAsia="仿宋"/>
          <w:sz w:val="30"/>
          <w:szCs w:val="30"/>
          <w:lang w:val="en-US" w:eastAsia="zh-CN"/>
        </w:rPr>
        <w:t>2319.87</w:t>
      </w:r>
      <w:r>
        <w:rPr>
          <w:rFonts w:hint="eastAsia" w:ascii="仿宋" w:hAnsi="仿宋" w:eastAsia="仿宋"/>
          <w:sz w:val="30"/>
          <w:szCs w:val="30"/>
        </w:rPr>
        <w:t>万元，完成年初预算的</w:t>
      </w:r>
      <w:r>
        <w:rPr>
          <w:rFonts w:hint="eastAsia" w:ascii="仿宋" w:hAnsi="仿宋" w:eastAsia="仿宋"/>
          <w:sz w:val="30"/>
          <w:szCs w:val="30"/>
          <w:lang w:val="en-US" w:eastAsia="zh-CN"/>
        </w:rPr>
        <w:t>63.57</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2385.36</w:t>
      </w:r>
      <w:r>
        <w:rPr>
          <w:rFonts w:hint="eastAsia" w:ascii="仿宋" w:hAnsi="仿宋" w:eastAsia="仿宋"/>
          <w:sz w:val="30"/>
          <w:szCs w:val="30"/>
        </w:rPr>
        <w:t>万元，决算数为</w:t>
      </w:r>
      <w:r>
        <w:rPr>
          <w:rFonts w:hint="eastAsia" w:ascii="仿宋" w:hAnsi="仿宋" w:eastAsia="仿宋"/>
          <w:sz w:val="30"/>
          <w:szCs w:val="30"/>
          <w:lang w:val="en-US" w:eastAsia="zh-CN"/>
        </w:rPr>
        <w:t>2252.78</w:t>
      </w:r>
      <w:r>
        <w:rPr>
          <w:rFonts w:hint="eastAsia" w:ascii="仿宋" w:hAnsi="仿宋" w:eastAsia="仿宋"/>
          <w:sz w:val="30"/>
          <w:szCs w:val="30"/>
        </w:rPr>
        <w:t>万元，完成年初预算的</w:t>
      </w:r>
      <w:r>
        <w:rPr>
          <w:rFonts w:hint="eastAsia" w:ascii="仿宋" w:hAnsi="仿宋" w:eastAsia="仿宋"/>
          <w:sz w:val="30"/>
          <w:szCs w:val="30"/>
          <w:lang w:val="en-US" w:eastAsia="zh-CN"/>
        </w:rPr>
        <w:t>94.44</w:t>
      </w:r>
      <w:r>
        <w:rPr>
          <w:rFonts w:hint="eastAsia" w:ascii="仿宋" w:hAnsi="仿宋" w:eastAsia="仿宋"/>
          <w:sz w:val="30"/>
          <w:szCs w:val="30"/>
        </w:rPr>
        <w:t>%，主要原因是：</w:t>
      </w:r>
      <w:r>
        <w:rPr>
          <w:rFonts w:hint="eastAsia" w:ascii="仿宋" w:hAnsi="仿宋" w:eastAsia="仿宋"/>
          <w:sz w:val="30"/>
          <w:szCs w:val="30"/>
          <w:lang w:eastAsia="zh-CN"/>
        </w:rPr>
        <w:t>充分利用财政资金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（二）公共安全支出年初预算数为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万元，完成年初预算的</w:t>
      </w:r>
      <w:r>
        <w:rPr>
          <w:rFonts w:hint="eastAsia" w:ascii="仿宋" w:hAnsi="仿宋" w:eastAsia="仿宋"/>
          <w:sz w:val="30"/>
          <w:szCs w:val="30"/>
          <w:lang w:val="en-US" w:eastAsia="zh-CN"/>
        </w:rPr>
        <w:t>0</w:t>
      </w:r>
      <w:r>
        <w:rPr>
          <w:rFonts w:hint="eastAsia" w:ascii="仿宋" w:hAnsi="仿宋" w:eastAsia="仿宋"/>
          <w:sz w:val="30"/>
          <w:szCs w:val="30"/>
        </w:rPr>
        <w:t xml:space="preserve"> %，主要原因是：</w:t>
      </w:r>
      <w:r>
        <w:rPr>
          <w:rFonts w:hint="eastAsia" w:ascii="仿宋" w:hAnsi="仿宋" w:eastAsia="仿宋"/>
          <w:sz w:val="30"/>
          <w:szCs w:val="30"/>
          <w:lang w:eastAsia="zh-CN"/>
        </w:rPr>
        <w:t>无</w:t>
      </w:r>
      <w:r>
        <w:rPr>
          <w:rFonts w:hint="eastAsia" w:ascii="仿宋" w:hAnsi="仿宋" w:eastAsia="仿宋"/>
          <w:sz w:val="30"/>
          <w:szCs w:val="30"/>
        </w:rPr>
        <w:t>。</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284.62</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219.51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39.78</w:t>
      </w:r>
      <w:r>
        <w:rPr>
          <w:rFonts w:hint="eastAsia" w:ascii="仿宋" w:hAnsi="仿宋" w:eastAsia="仿宋"/>
          <w:sz w:val="30"/>
          <w:szCs w:val="30"/>
        </w:rPr>
        <w:t xml:space="preserve"> 万元，增长</w:t>
      </w:r>
      <w:r>
        <w:rPr>
          <w:rFonts w:hint="eastAsia" w:ascii="仿宋" w:hAnsi="仿宋" w:eastAsia="仿宋"/>
          <w:sz w:val="30"/>
          <w:szCs w:val="30"/>
          <w:lang w:val="en-US" w:eastAsia="zh-CN"/>
        </w:rPr>
        <w:t>22.13</w:t>
      </w:r>
      <w:r>
        <w:rPr>
          <w:rFonts w:hint="eastAsia" w:ascii="仿宋" w:hAnsi="仿宋" w:eastAsia="仿宋"/>
          <w:sz w:val="30"/>
          <w:szCs w:val="30"/>
        </w:rPr>
        <w:t>%，主要原因是：</w:t>
      </w:r>
      <w:r>
        <w:rPr>
          <w:rFonts w:hint="eastAsia" w:ascii="仿宋" w:hAnsi="仿宋" w:eastAsia="仿宋"/>
          <w:sz w:val="30"/>
          <w:szCs w:val="30"/>
          <w:lang w:eastAsia="zh-CN"/>
        </w:rPr>
        <w:t>增加人员预算</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64.75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27.83</w:t>
      </w:r>
      <w:r>
        <w:rPr>
          <w:rFonts w:hint="eastAsia" w:ascii="仿宋" w:hAnsi="仿宋" w:eastAsia="仿宋"/>
          <w:sz w:val="30"/>
          <w:szCs w:val="30"/>
        </w:rPr>
        <w:t>万元，增长</w:t>
      </w:r>
      <w:r>
        <w:rPr>
          <w:rFonts w:hint="eastAsia" w:ascii="仿宋" w:hAnsi="仿宋" w:eastAsia="仿宋"/>
          <w:sz w:val="30"/>
          <w:szCs w:val="30"/>
          <w:lang w:val="en-US" w:eastAsia="zh-CN"/>
        </w:rPr>
        <w:t>75.38</w:t>
      </w:r>
      <w:r>
        <w:rPr>
          <w:rFonts w:hint="eastAsia" w:ascii="仿宋" w:hAnsi="仿宋" w:eastAsia="仿宋"/>
          <w:sz w:val="30"/>
          <w:szCs w:val="30"/>
        </w:rPr>
        <w:t>%，主要原因是：</w:t>
      </w:r>
      <w:r>
        <w:rPr>
          <w:rFonts w:hint="eastAsia" w:ascii="仿宋" w:hAnsi="仿宋" w:eastAsia="仿宋"/>
          <w:sz w:val="30"/>
          <w:szCs w:val="30"/>
          <w:lang w:eastAsia="zh-CN"/>
        </w:rPr>
        <w:t>增加人员预算及行政开支</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0.36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1.41</w:t>
      </w:r>
      <w:r>
        <w:rPr>
          <w:rFonts w:hint="eastAsia" w:ascii="仿宋" w:hAnsi="仿宋" w:eastAsia="仿宋"/>
          <w:sz w:val="30"/>
          <w:szCs w:val="30"/>
        </w:rPr>
        <w:t>万元，下降</w:t>
      </w:r>
      <w:r>
        <w:rPr>
          <w:rFonts w:hint="eastAsia" w:ascii="仿宋" w:hAnsi="仿宋" w:eastAsia="仿宋"/>
          <w:sz w:val="30"/>
          <w:szCs w:val="30"/>
          <w:lang w:val="en-US" w:eastAsia="zh-CN"/>
        </w:rPr>
        <w:t>79.66</w:t>
      </w:r>
      <w:r>
        <w:rPr>
          <w:rFonts w:hint="eastAsia" w:ascii="仿宋" w:hAnsi="仿宋" w:eastAsia="仿宋"/>
          <w:sz w:val="30"/>
          <w:szCs w:val="30"/>
        </w:rPr>
        <w:t>%，主要原因是：</w:t>
      </w:r>
      <w:r>
        <w:rPr>
          <w:rFonts w:hint="eastAsia" w:ascii="仿宋" w:hAnsi="仿宋" w:eastAsia="仿宋"/>
          <w:sz w:val="30"/>
          <w:szCs w:val="30"/>
          <w:lang w:eastAsia="zh-CN"/>
        </w:rPr>
        <w:t>纳入工会账户单独核算</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0.73</w:t>
      </w:r>
      <w:r>
        <w:rPr>
          <w:rFonts w:hint="eastAsia" w:ascii="仿宋" w:hAnsi="仿宋" w:eastAsia="仿宋"/>
          <w:sz w:val="30"/>
          <w:szCs w:val="30"/>
        </w:rPr>
        <w:t>万元，下降</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无基础支出中的资本性支出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458.15</w:t>
      </w:r>
      <w:r>
        <w:rPr>
          <w:rFonts w:hint="eastAsia" w:ascii="仿宋" w:hAnsi="仿宋" w:eastAsia="仿宋"/>
          <w:sz w:val="30"/>
          <w:szCs w:val="30"/>
        </w:rPr>
        <w:t>万元，决算数为</w:t>
      </w:r>
      <w:r>
        <w:rPr>
          <w:rFonts w:hint="eastAsia" w:ascii="仿宋" w:hAnsi="仿宋" w:eastAsia="仿宋"/>
          <w:sz w:val="30"/>
          <w:szCs w:val="30"/>
          <w:lang w:val="en-US" w:eastAsia="zh-CN"/>
        </w:rPr>
        <w:t>430.12</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93.88</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88.63</w:t>
      </w:r>
      <w:r>
        <w:rPr>
          <w:rFonts w:hint="eastAsia" w:ascii="仿宋" w:hAnsi="仿宋" w:eastAsia="仿宋"/>
          <w:sz w:val="30"/>
          <w:szCs w:val="30"/>
        </w:rPr>
        <w:t>万元，增长</w:t>
      </w:r>
      <w:r>
        <w:rPr>
          <w:rFonts w:hint="eastAsia" w:ascii="仿宋" w:hAnsi="仿宋" w:eastAsia="仿宋"/>
          <w:sz w:val="30"/>
          <w:szCs w:val="30"/>
          <w:lang w:val="en-US" w:eastAsia="zh-CN"/>
        </w:rPr>
        <w:t>25.95</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 xml:space="preserve"> %。决算数较年初预算数增加的主要原因是：</w:t>
      </w:r>
      <w:r>
        <w:rPr>
          <w:rFonts w:hint="eastAsia" w:ascii="仿宋" w:hAnsi="仿宋" w:eastAsia="仿宋"/>
          <w:sz w:val="30"/>
          <w:szCs w:val="30"/>
          <w:lang w:eastAsia="zh-CN"/>
        </w:rPr>
        <w:t>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1.16</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0.75</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64.66</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0.51</w:t>
      </w:r>
      <w:r>
        <w:rPr>
          <w:rFonts w:hint="eastAsia" w:ascii="仿宋" w:hAnsi="仿宋" w:eastAsia="仿宋"/>
          <w:sz w:val="30"/>
          <w:szCs w:val="30"/>
        </w:rPr>
        <w:t>万元，下降</w:t>
      </w:r>
      <w:r>
        <w:rPr>
          <w:rFonts w:hint="eastAsia" w:ascii="仿宋" w:hAnsi="仿宋" w:eastAsia="仿宋"/>
          <w:sz w:val="30"/>
          <w:szCs w:val="30"/>
          <w:lang w:val="en-US" w:eastAsia="zh-CN"/>
        </w:rPr>
        <w:t>4.48</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减少公务接待费</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458.15</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133.99</w:t>
      </w:r>
      <w:r>
        <w:rPr>
          <w:rFonts w:hint="eastAsia" w:ascii="仿宋" w:hAnsi="仿宋" w:eastAsia="仿宋"/>
          <w:sz w:val="30"/>
          <w:szCs w:val="30"/>
        </w:rPr>
        <w:t>万元，决算数为</w:t>
      </w:r>
      <w:r>
        <w:rPr>
          <w:rFonts w:hint="eastAsia" w:ascii="仿宋" w:hAnsi="仿宋" w:eastAsia="仿宋"/>
          <w:sz w:val="30"/>
          <w:szCs w:val="30"/>
          <w:lang w:val="en-US" w:eastAsia="zh-CN"/>
        </w:rPr>
        <w:t>133.99</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71.45</w:t>
      </w:r>
      <w:r>
        <w:rPr>
          <w:rFonts w:hint="eastAsia" w:ascii="仿宋" w:hAnsi="仿宋" w:eastAsia="仿宋"/>
          <w:sz w:val="30"/>
          <w:szCs w:val="30"/>
        </w:rPr>
        <w:t>万元，增长</w:t>
      </w:r>
      <w:r>
        <w:rPr>
          <w:rFonts w:hint="eastAsia" w:ascii="仿宋" w:hAnsi="仿宋" w:eastAsia="仿宋"/>
          <w:sz w:val="30"/>
          <w:szCs w:val="30"/>
          <w:lang w:val="en-US" w:eastAsia="zh-CN"/>
        </w:rPr>
        <w:t>18.48</w:t>
      </w:r>
      <w:r>
        <w:rPr>
          <w:rFonts w:hint="eastAsia" w:ascii="仿宋" w:hAnsi="仿宋" w:eastAsia="仿宋"/>
          <w:sz w:val="30"/>
          <w:szCs w:val="30"/>
        </w:rPr>
        <w:t>%。决算数较年初预算数增加的主要原因是：</w:t>
      </w:r>
      <w:r>
        <w:rPr>
          <w:rFonts w:hint="eastAsia" w:ascii="仿宋" w:hAnsi="仿宋" w:eastAsia="仿宋"/>
          <w:sz w:val="30"/>
          <w:szCs w:val="30"/>
          <w:lang w:eastAsia="zh-CN"/>
        </w:rPr>
        <w:t>新购买公务用车</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323</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295.38</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91.45</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44.85</w:t>
      </w:r>
      <w:r>
        <w:rPr>
          <w:rFonts w:hint="eastAsia" w:ascii="仿宋" w:hAnsi="仿宋" w:eastAsia="仿宋"/>
          <w:sz w:val="30"/>
          <w:szCs w:val="30"/>
        </w:rPr>
        <w:t>万元，下降</w:t>
      </w:r>
      <w:r>
        <w:rPr>
          <w:rFonts w:hint="eastAsia" w:ascii="仿宋" w:hAnsi="仿宋" w:eastAsia="仿宋"/>
          <w:sz w:val="30"/>
          <w:szCs w:val="30"/>
          <w:lang w:val="en-US" w:eastAsia="zh-CN"/>
        </w:rPr>
        <w:t>13.18</w:t>
      </w:r>
      <w:r>
        <w:rPr>
          <w:rFonts w:hint="eastAsia" w:ascii="仿宋" w:hAnsi="仿宋" w:eastAsia="仿宋"/>
          <w:sz w:val="30"/>
          <w:szCs w:val="30"/>
        </w:rPr>
        <w:t>%。决算数较年初预算数减少的主要原因是：</w:t>
      </w:r>
      <w:r>
        <w:rPr>
          <w:rFonts w:hint="eastAsia" w:ascii="仿宋" w:hAnsi="仿宋" w:eastAsia="仿宋"/>
          <w:sz w:val="30"/>
          <w:szCs w:val="30"/>
          <w:lang w:val="en-US" w:eastAsia="zh-CN"/>
        </w:rPr>
        <w:t>公务用车数量减少，费用减少</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284.62</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101.26</w:t>
      </w:r>
      <w:r>
        <w:rPr>
          <w:rFonts w:hint="eastAsia" w:ascii="仿宋" w:hAnsi="仿宋" w:eastAsia="仿宋"/>
          <w:sz w:val="30"/>
          <w:szCs w:val="30"/>
        </w:rPr>
        <w:t>万元，增长</w:t>
      </w:r>
      <w:r>
        <w:rPr>
          <w:rFonts w:hint="eastAsia" w:ascii="仿宋" w:hAnsi="仿宋" w:eastAsia="仿宋"/>
          <w:sz w:val="30"/>
          <w:szCs w:val="30"/>
          <w:lang w:val="en-US" w:eastAsia="zh-CN"/>
        </w:rPr>
        <w:t>55.22</w:t>
      </w:r>
      <w:r>
        <w:rPr>
          <w:rFonts w:hint="eastAsia" w:ascii="仿宋" w:hAnsi="仿宋" w:eastAsia="仿宋"/>
          <w:sz w:val="30"/>
          <w:szCs w:val="30"/>
        </w:rPr>
        <w:t>%，主要原因是：</w:t>
      </w:r>
      <w:r>
        <w:rPr>
          <w:rFonts w:hint="eastAsia" w:ascii="仿宋" w:hAnsi="仿宋" w:eastAsia="仿宋"/>
          <w:sz w:val="30"/>
          <w:szCs w:val="30"/>
          <w:lang w:val="en-US" w:eastAsia="zh-CN"/>
        </w:rPr>
        <w:t>人员增加</w:t>
      </w: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4"/>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0</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0</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国有资产占用情况见公开09表《国有资产占用情况表》。公务用车合计123辆，其中机要通信用车55辆，应急保障用车62辆</w:t>
      </w:r>
      <w:r>
        <w:rPr>
          <w:rFonts w:hint="eastAsia" w:ascii="仿宋" w:hAnsi="仿宋" w:eastAsia="仿宋"/>
          <w:kern w:val="0"/>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年度一般公共预算项目支出全面开展绩效自评，其中，一级项目</w:t>
      </w:r>
      <w:r>
        <w:rPr>
          <w:rFonts w:hint="eastAsia" w:ascii="仿宋" w:hAnsi="仿宋" w:eastAsia="仿宋" w:cs="仿宋_GB2312"/>
          <w:kern w:val="0"/>
          <w:sz w:val="30"/>
          <w:szCs w:val="30"/>
          <w:lang w:val="en-US" w:eastAsia="zh-CN"/>
        </w:rPr>
        <w:t>8</w:t>
      </w:r>
      <w:r>
        <w:rPr>
          <w:rFonts w:hint="eastAsia" w:ascii="仿宋" w:hAnsi="仿宋" w:eastAsia="仿宋" w:cs="仿宋_GB2312"/>
          <w:kern w:val="0"/>
          <w:sz w:val="30"/>
          <w:szCs w:val="30"/>
        </w:rPr>
        <w:t>个，二级项目</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个，共涉及资金</w:t>
      </w:r>
      <w:r>
        <w:rPr>
          <w:rFonts w:hint="eastAsia" w:ascii="仿宋" w:hAnsi="仿宋" w:eastAsia="仿宋" w:cs="仿宋_GB2312"/>
          <w:kern w:val="0"/>
          <w:sz w:val="30"/>
          <w:szCs w:val="30"/>
          <w:lang w:val="en-US" w:eastAsia="zh-CN"/>
        </w:rPr>
        <w:t>2035.25</w:t>
      </w:r>
      <w:r>
        <w:rPr>
          <w:rFonts w:hint="eastAsia" w:ascii="仿宋" w:hAnsi="仿宋" w:eastAsia="仿宋" w:cs="仿宋_GB2312"/>
          <w:kern w:val="0"/>
          <w:sz w:val="30"/>
          <w:szCs w:val="30"/>
        </w:rPr>
        <w:t>万元，占一般公共预算项目支出总额的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w:t>
      </w: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rPr>
        <w:t xml:space="preserve">    组织对</w:t>
      </w:r>
      <w:r>
        <w:rPr>
          <w:rFonts w:hint="eastAsia" w:ascii="仿宋" w:hAnsi="仿宋" w:eastAsia="仿宋" w:cs="仿宋_GB2312"/>
          <w:kern w:val="0"/>
          <w:sz w:val="30"/>
          <w:szCs w:val="30"/>
          <w:lang w:val="en-US" w:eastAsia="zh-CN"/>
        </w:rPr>
        <w:t>2019年度恒大小区在职异地领导干部周转房管理经费</w:t>
      </w:r>
      <w:r>
        <w:rPr>
          <w:rFonts w:hint="eastAsia" w:ascii="仿宋" w:hAnsi="仿宋" w:eastAsia="仿宋" w:cs="仿宋_GB2312"/>
          <w:kern w:val="0"/>
          <w:sz w:val="30"/>
          <w:szCs w:val="30"/>
        </w:rPr>
        <w:t>项目</w:t>
      </w:r>
      <w:r>
        <w:rPr>
          <w:rFonts w:hint="eastAsia" w:ascii="仿宋" w:hAnsi="仿宋" w:eastAsia="仿宋" w:cs="仿宋_GB2312"/>
          <w:kern w:val="0"/>
          <w:sz w:val="30"/>
          <w:szCs w:val="30"/>
          <w:lang w:eastAsia="zh-CN"/>
        </w:rPr>
        <w:t>（以下简称周转房项目）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评价，涉及一般公共预算支出</w:t>
      </w:r>
      <w:r>
        <w:rPr>
          <w:rFonts w:hint="eastAsia" w:ascii="仿宋" w:hAnsi="仿宋" w:eastAsia="仿宋" w:cs="仿宋_GB2312"/>
          <w:kern w:val="0"/>
          <w:sz w:val="30"/>
          <w:szCs w:val="30"/>
          <w:lang w:val="en-US" w:eastAsia="zh-CN"/>
        </w:rPr>
        <w:t>282.08</w:t>
      </w:r>
      <w:r>
        <w:rPr>
          <w:rFonts w:hint="eastAsia" w:ascii="仿宋" w:hAnsi="仿宋" w:eastAsia="仿宋" w:cs="仿宋_GB2312"/>
          <w:kern w:val="0"/>
          <w:sz w:val="30"/>
          <w:szCs w:val="30"/>
        </w:rPr>
        <w:t>万元。其中，对</w:t>
      </w:r>
      <w:r>
        <w:rPr>
          <w:rFonts w:hint="eastAsia" w:ascii="仿宋" w:hAnsi="仿宋" w:eastAsia="仿宋" w:cs="仿宋_GB2312"/>
          <w:kern w:val="0"/>
          <w:sz w:val="30"/>
          <w:szCs w:val="30"/>
          <w:lang w:eastAsia="zh-CN"/>
        </w:rPr>
        <w:t>周转房</w:t>
      </w:r>
      <w:r>
        <w:rPr>
          <w:rFonts w:hint="eastAsia" w:ascii="仿宋" w:hAnsi="仿宋" w:eastAsia="仿宋" w:cs="仿宋_GB2312"/>
          <w:kern w:val="0"/>
          <w:sz w:val="30"/>
          <w:szCs w:val="30"/>
        </w:rPr>
        <w:t>项目委托</w:t>
      </w:r>
      <w:r>
        <w:rPr>
          <w:rFonts w:hint="eastAsia" w:ascii="仿宋" w:hAnsi="仿宋" w:eastAsia="仿宋" w:cs="仿宋_GB2312"/>
          <w:kern w:val="0"/>
          <w:sz w:val="30"/>
          <w:szCs w:val="30"/>
          <w:lang w:eastAsia="zh-CN"/>
        </w:rPr>
        <w:t>景德镇市闻达财务管理咨询有限责任公司</w:t>
      </w:r>
      <w:r>
        <w:rPr>
          <w:rFonts w:hint="eastAsia" w:ascii="仿宋" w:hAnsi="仿宋" w:eastAsia="仿宋" w:cs="仿宋_GB2312"/>
          <w:kern w:val="0"/>
          <w:sz w:val="30"/>
          <w:szCs w:val="30"/>
        </w:rPr>
        <w:t>第三方机构开展</w:t>
      </w:r>
      <w:r>
        <w:rPr>
          <w:rFonts w:hint="eastAsia" w:ascii="仿宋" w:hAnsi="仿宋" w:eastAsia="仿宋" w:cs="宋体"/>
          <w:kern w:val="0"/>
          <w:sz w:val="30"/>
          <w:szCs w:val="30"/>
        </w:rPr>
        <w:t>绩效评价</w:t>
      </w:r>
      <w:r>
        <w:rPr>
          <w:rFonts w:hint="eastAsia" w:ascii="仿宋" w:hAnsi="仿宋" w:eastAsia="仿宋" w:cs="仿宋_GB2312"/>
          <w:kern w:val="0"/>
          <w:sz w:val="30"/>
          <w:szCs w:val="30"/>
        </w:rPr>
        <w:t>。从评价情况来看，</w:t>
      </w:r>
      <w:r>
        <w:rPr>
          <w:rFonts w:hint="eastAsia" w:ascii="仿宋" w:hAnsi="仿宋" w:eastAsia="仿宋" w:cs="仿宋_GB2312"/>
          <w:kern w:val="0"/>
          <w:sz w:val="30"/>
          <w:szCs w:val="30"/>
          <w:lang w:eastAsia="zh-CN"/>
        </w:rPr>
        <w:t>本</w:t>
      </w:r>
      <w:r>
        <w:rPr>
          <w:rFonts w:hint="eastAsia" w:ascii="仿宋" w:hAnsi="仿宋" w:eastAsia="仿宋" w:cs="仿宋_GB2312"/>
          <w:kern w:val="0"/>
          <w:sz w:val="30"/>
          <w:szCs w:val="30"/>
          <w:lang w:val="en-US" w:eastAsia="zh-CN"/>
        </w:rPr>
        <w:t>项目为延续项目，根据</w:t>
      </w:r>
      <w:r>
        <w:rPr>
          <w:rFonts w:hint="eastAsia" w:ascii="仿宋" w:hAnsi="仿宋" w:eastAsia="仿宋" w:cs="仿宋_GB2312"/>
          <w:kern w:val="0"/>
          <w:sz w:val="30"/>
          <w:szCs w:val="30"/>
          <w:lang w:eastAsia="zh-CN"/>
        </w:rPr>
        <w:t>项目单位工作职能与</w:t>
      </w:r>
      <w:r>
        <w:rPr>
          <w:rFonts w:hint="eastAsia" w:ascii="仿宋" w:hAnsi="仿宋" w:eastAsia="仿宋" w:cs="仿宋_GB2312"/>
          <w:kern w:val="0"/>
          <w:sz w:val="30"/>
          <w:szCs w:val="30"/>
          <w:lang w:val="en-US" w:eastAsia="zh-CN"/>
        </w:rPr>
        <w:t>项目要求，负责</w:t>
      </w:r>
      <w:r>
        <w:rPr>
          <w:rFonts w:hint="eastAsia" w:ascii="仿宋" w:hAnsi="仿宋" w:eastAsia="仿宋" w:cs="仿宋_GB2312"/>
          <w:kern w:val="0"/>
          <w:sz w:val="30"/>
          <w:szCs w:val="30"/>
          <w:lang w:eastAsia="zh-CN"/>
        </w:rPr>
        <w:t>在职异地领导干部周转房管理，保障在职异地领导干部日常生活。市机关事务管理局积极与市政府办公室对接，认真实施“恒大小区在职异地领导干部周转房管理经费”项目，优化服务保障措施，增强服务保障意识，提升服务保障水平，全力做好保障服务工作。</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我部门今年在省级部门决算中反映</w:t>
      </w:r>
      <w:r>
        <w:rPr>
          <w:rFonts w:hint="eastAsia" w:ascii="仿宋" w:hAnsi="仿宋" w:eastAsia="仿宋" w:cs="仿宋_GB2312"/>
          <w:kern w:val="0"/>
          <w:sz w:val="30"/>
          <w:szCs w:val="30"/>
          <w:lang w:val="en-US" w:eastAsia="zh-CN"/>
        </w:rPr>
        <w:t>2019年度恒大小区在职异地领导干部周转房管理经费</w:t>
      </w:r>
      <w:r>
        <w:rPr>
          <w:rFonts w:hint="eastAsia" w:ascii="仿宋" w:hAnsi="仿宋" w:eastAsia="仿宋" w:cs="仿宋_GB2312"/>
          <w:kern w:val="0"/>
          <w:sz w:val="30"/>
          <w:szCs w:val="30"/>
        </w:rPr>
        <w:t>项目绩效自评结果。</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项目绩效自评综述：根据年初设定的绩效目标，</w:t>
      </w:r>
      <w:r>
        <w:rPr>
          <w:rFonts w:hint="eastAsia" w:ascii="仿宋" w:hAnsi="仿宋" w:eastAsia="仿宋" w:cs="仿宋_GB2312"/>
          <w:kern w:val="0"/>
          <w:sz w:val="30"/>
          <w:szCs w:val="30"/>
          <w:lang w:eastAsia="zh-CN"/>
        </w:rPr>
        <w:t>本</w:t>
      </w:r>
      <w:r>
        <w:rPr>
          <w:rFonts w:hint="eastAsia" w:ascii="仿宋" w:hAnsi="仿宋" w:eastAsia="仿宋" w:cs="仿宋_GB2312"/>
          <w:kern w:val="0"/>
          <w:sz w:val="30"/>
          <w:szCs w:val="30"/>
        </w:rPr>
        <w:t>项目绩效自评得分为</w:t>
      </w:r>
      <w:r>
        <w:rPr>
          <w:rFonts w:hint="eastAsia" w:ascii="仿宋" w:hAnsi="仿宋" w:eastAsia="仿宋" w:cs="仿宋_GB2312"/>
          <w:kern w:val="0"/>
          <w:sz w:val="30"/>
          <w:szCs w:val="30"/>
          <w:lang w:val="en-US" w:eastAsia="zh-CN"/>
        </w:rPr>
        <w:t>92.74</w:t>
      </w:r>
      <w:r>
        <w:rPr>
          <w:rFonts w:hint="eastAsia" w:ascii="仿宋" w:hAnsi="仿宋" w:eastAsia="仿宋" w:cs="仿宋_GB2312"/>
          <w:kern w:val="0"/>
          <w:sz w:val="30"/>
          <w:szCs w:val="30"/>
        </w:rPr>
        <w:t>分。项目全年预算数为</w:t>
      </w:r>
      <w:r>
        <w:rPr>
          <w:rFonts w:hint="eastAsia" w:ascii="仿宋" w:hAnsi="仿宋" w:eastAsia="仿宋" w:cs="仿宋_GB2312"/>
          <w:kern w:val="0"/>
          <w:sz w:val="30"/>
          <w:szCs w:val="30"/>
          <w:lang w:val="en-US" w:eastAsia="zh-CN"/>
        </w:rPr>
        <w:t>282.08</w:t>
      </w:r>
      <w:r>
        <w:rPr>
          <w:rFonts w:hint="eastAsia" w:ascii="仿宋" w:hAnsi="仿宋" w:eastAsia="仿宋" w:cs="仿宋_GB2312"/>
          <w:kern w:val="0"/>
          <w:sz w:val="30"/>
          <w:szCs w:val="30"/>
        </w:rPr>
        <w:t xml:space="preserve">万元，执行数为   </w:t>
      </w: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val="en-US" w:eastAsia="zh-CN"/>
        </w:rPr>
        <w:t>232</w:t>
      </w:r>
      <w:r>
        <w:rPr>
          <w:rFonts w:hint="eastAsia" w:ascii="仿宋" w:hAnsi="仿宋" w:eastAsia="仿宋" w:cs="仿宋_GB2312"/>
          <w:kern w:val="0"/>
          <w:sz w:val="30"/>
          <w:szCs w:val="30"/>
        </w:rPr>
        <w:t>万元，完成预算的</w:t>
      </w:r>
      <w:r>
        <w:rPr>
          <w:rFonts w:hint="eastAsia" w:ascii="仿宋" w:hAnsi="仿宋" w:eastAsia="仿宋" w:cs="仿宋_GB2312"/>
          <w:kern w:val="0"/>
          <w:sz w:val="30"/>
          <w:szCs w:val="30"/>
          <w:lang w:val="en-US" w:eastAsia="zh-CN"/>
        </w:rPr>
        <w:t>82.25</w:t>
      </w:r>
      <w:r>
        <w:rPr>
          <w:rFonts w:hint="eastAsia" w:ascii="仿宋" w:hAnsi="仿宋" w:eastAsia="仿宋" w:cs="仿宋_GB2312"/>
          <w:kern w:val="0"/>
          <w:sz w:val="30"/>
          <w:szCs w:val="30"/>
        </w:rPr>
        <w:t>%。主要产出和效果：一是</w:t>
      </w:r>
      <w:r>
        <w:rPr>
          <w:rFonts w:hint="eastAsia" w:ascii="仿宋" w:hAnsi="仿宋" w:eastAsia="仿宋" w:cs="仿宋_GB2312"/>
          <w:kern w:val="0"/>
          <w:sz w:val="30"/>
          <w:szCs w:val="30"/>
          <w:lang w:eastAsia="zh-CN"/>
        </w:rPr>
        <w:t>保障</w:t>
      </w:r>
      <w:r>
        <w:rPr>
          <w:rFonts w:hint="eastAsia" w:ascii="仿宋" w:hAnsi="仿宋" w:eastAsia="仿宋" w:cs="仿宋_GB2312"/>
          <w:kern w:val="0"/>
          <w:sz w:val="30"/>
          <w:szCs w:val="30"/>
          <w:lang w:val="en-US" w:eastAsia="zh-CN"/>
        </w:rPr>
        <w:t>14套周转房</w:t>
      </w:r>
      <w:r>
        <w:rPr>
          <w:rFonts w:hint="eastAsia" w:ascii="仿宋" w:hAnsi="仿宋" w:eastAsia="仿宋" w:cs="仿宋_GB2312"/>
          <w:kern w:val="0"/>
          <w:sz w:val="30"/>
          <w:szCs w:val="30"/>
        </w:rPr>
        <w:t>；二是</w:t>
      </w:r>
      <w:r>
        <w:rPr>
          <w:rFonts w:hint="eastAsia" w:ascii="仿宋" w:hAnsi="仿宋" w:eastAsia="仿宋" w:cs="仿宋_GB2312"/>
          <w:kern w:val="0"/>
          <w:sz w:val="30"/>
          <w:szCs w:val="30"/>
          <w:lang w:eastAsia="zh-CN"/>
        </w:rPr>
        <w:t>对周转房进行物业管理，房屋维修维护</w:t>
      </w:r>
      <w:r>
        <w:rPr>
          <w:rFonts w:hint="eastAsia" w:ascii="仿宋" w:hAnsi="仿宋" w:eastAsia="仿宋" w:cs="仿宋_GB2312"/>
          <w:kern w:val="0"/>
          <w:sz w:val="30"/>
          <w:szCs w:val="30"/>
        </w:rPr>
        <w:t>。发现的问题及原因：</w:t>
      </w:r>
      <w:r>
        <w:rPr>
          <w:rFonts w:hint="eastAsia" w:ascii="仿宋" w:hAnsi="仿宋" w:eastAsia="仿宋" w:cs="仿宋_GB2312"/>
          <w:kern w:val="0"/>
          <w:sz w:val="30"/>
          <w:szCs w:val="30"/>
          <w:lang w:eastAsia="zh-CN"/>
        </w:rPr>
        <w:t>一是预算</w:t>
      </w:r>
      <w:r>
        <w:rPr>
          <w:rFonts w:hint="eastAsia" w:ascii="仿宋" w:hAnsi="仿宋" w:eastAsia="仿宋" w:cs="仿宋_GB2312"/>
          <w:kern w:val="0"/>
          <w:sz w:val="30"/>
          <w:szCs w:val="30"/>
          <w:lang w:val="en-US" w:eastAsia="zh-CN"/>
        </w:rPr>
        <w:t>绩效管理意识不够强</w:t>
      </w:r>
      <w:r>
        <w:rPr>
          <w:rFonts w:hint="eastAsia" w:ascii="仿宋" w:hAnsi="仿宋" w:eastAsia="仿宋" w:cs="仿宋_GB2312"/>
          <w:kern w:val="0"/>
          <w:sz w:val="30"/>
          <w:szCs w:val="30"/>
          <w:lang w:eastAsia="zh-CN"/>
        </w:rPr>
        <w:t>；二是</w:t>
      </w:r>
      <w:r>
        <w:rPr>
          <w:rFonts w:hint="eastAsia" w:ascii="仿宋" w:hAnsi="仿宋" w:eastAsia="仿宋" w:cs="仿宋_GB2312"/>
          <w:kern w:val="0"/>
          <w:sz w:val="30"/>
          <w:szCs w:val="30"/>
          <w:lang w:val="en-US" w:eastAsia="zh-CN"/>
        </w:rPr>
        <w:t>项目管理制度不够健全</w:t>
      </w:r>
      <w:r>
        <w:rPr>
          <w:rFonts w:hint="eastAsia" w:ascii="仿宋" w:hAnsi="仿宋" w:eastAsia="仿宋" w:cs="仿宋_GB2312"/>
          <w:kern w:val="0"/>
          <w:sz w:val="30"/>
          <w:szCs w:val="30"/>
          <w:lang w:eastAsia="zh-CN"/>
        </w:rPr>
        <w:t>。下一步改进措施：一是建议进一步</w:t>
      </w:r>
      <w:r>
        <w:rPr>
          <w:rFonts w:hint="eastAsia" w:ascii="仿宋" w:hAnsi="仿宋" w:eastAsia="仿宋" w:cs="仿宋_GB2312"/>
          <w:kern w:val="0"/>
          <w:sz w:val="30"/>
          <w:szCs w:val="30"/>
          <w:lang w:val="en-US" w:eastAsia="zh-CN"/>
        </w:rPr>
        <w:t>增强</w:t>
      </w:r>
      <w:r>
        <w:rPr>
          <w:rFonts w:hint="eastAsia" w:ascii="仿宋" w:hAnsi="仿宋" w:eastAsia="仿宋" w:cs="仿宋_GB2312"/>
          <w:kern w:val="0"/>
          <w:sz w:val="30"/>
          <w:szCs w:val="30"/>
          <w:lang w:eastAsia="zh-CN"/>
        </w:rPr>
        <w:t>项目预算绩效管理认识；二是</w:t>
      </w:r>
      <w:r>
        <w:rPr>
          <w:rFonts w:hint="eastAsia" w:ascii="仿宋" w:hAnsi="仿宋" w:eastAsia="仿宋" w:cs="仿宋_GB2312"/>
          <w:kern w:val="0"/>
          <w:sz w:val="30"/>
          <w:szCs w:val="30"/>
          <w:lang w:val="en-US" w:eastAsia="zh-CN"/>
        </w:rPr>
        <w:t>建议进一步</w:t>
      </w:r>
      <w:r>
        <w:rPr>
          <w:rFonts w:hint="eastAsia" w:ascii="仿宋" w:hAnsi="仿宋" w:eastAsia="仿宋" w:cs="仿宋_GB2312"/>
          <w:kern w:val="0"/>
          <w:sz w:val="30"/>
          <w:szCs w:val="30"/>
          <w:lang w:eastAsia="zh-CN"/>
        </w:rPr>
        <w:t>健全项目管理制度。</w:t>
      </w:r>
    </w:p>
    <w:p>
      <w:pPr>
        <w:pageBreakBefore w:val="0"/>
        <w:widowControl w:val="0"/>
        <w:kinsoku/>
        <w:wordWrap/>
        <w:overflowPunct/>
        <w:topLinePunct w:val="0"/>
        <w:bidi w:val="0"/>
        <w:adjustRightInd w:val="0"/>
        <w:snapToGrid w:val="0"/>
        <w:spacing w:line="600" w:lineRule="exact"/>
        <w:ind w:firstLine="600" w:firstLineChars="200"/>
        <w:textAlignment w:val="auto"/>
        <w:outlineLvl w:val="0"/>
        <w:rPr>
          <w:rFonts w:hint="eastAsia" w:ascii="仿宋" w:hAnsi="仿宋" w:eastAsia="仿宋" w:cs="仿宋_GB2312"/>
          <w:kern w:val="0"/>
          <w:sz w:val="30"/>
          <w:szCs w:val="30"/>
        </w:rPr>
      </w:pPr>
      <w:r>
        <w:rPr>
          <w:rFonts w:hint="eastAsia" w:ascii="仿宋" w:hAnsi="仿宋" w:eastAsia="仿宋" w:cs="仿宋_GB2312"/>
          <w:kern w:val="0"/>
          <w:sz w:val="30"/>
          <w:szCs w:val="30"/>
          <w:lang w:val="en-US" w:eastAsia="zh-CN"/>
        </w:rPr>
        <w:t>2019年度恒大小区在职异地领导干部周转房管理经费</w:t>
      </w:r>
      <w:r>
        <w:rPr>
          <w:rFonts w:hint="eastAsia" w:ascii="仿宋" w:hAnsi="仿宋" w:eastAsia="仿宋" w:cs="仿宋_GB2312"/>
          <w:kern w:val="0"/>
          <w:sz w:val="30"/>
          <w:szCs w:val="30"/>
        </w:rPr>
        <w:t>项目绩效自评综述：</w:t>
      </w:r>
      <w:r>
        <w:rPr>
          <w:rFonts w:hint="eastAsia" w:ascii="仿宋" w:hAnsi="仿宋" w:eastAsia="仿宋" w:cs="仿宋"/>
          <w:bCs/>
          <w:color w:val="auto"/>
          <w:sz w:val="32"/>
          <w:szCs w:val="32"/>
          <w:lang w:eastAsia="zh-CN"/>
        </w:rPr>
        <w:t>为实施</w:t>
      </w:r>
      <w:r>
        <w:rPr>
          <w:rFonts w:hint="eastAsia" w:ascii="仿宋" w:hAnsi="仿宋" w:eastAsia="仿宋" w:cs="仿宋"/>
          <w:color w:val="auto"/>
          <w:kern w:val="0"/>
          <w:sz w:val="32"/>
          <w:szCs w:val="32"/>
          <w:lang w:eastAsia="zh-CN"/>
        </w:rPr>
        <w:t>好“</w:t>
      </w:r>
      <w:r>
        <w:rPr>
          <w:rFonts w:hint="eastAsia" w:ascii="仿宋" w:hAnsi="仿宋" w:eastAsia="仿宋" w:cs="仿宋"/>
          <w:color w:val="auto"/>
          <w:sz w:val="32"/>
          <w:szCs w:val="32"/>
          <w:lang w:eastAsia="zh-CN"/>
        </w:rPr>
        <w:t>恒大小区在职异地领导干部周转房管理经费</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lang w:eastAsia="zh-CN"/>
        </w:rPr>
        <w:t>项目</w:t>
      </w:r>
      <w:r>
        <w:rPr>
          <w:rFonts w:hint="eastAsia" w:ascii="仿宋" w:hAnsi="仿宋" w:eastAsia="仿宋" w:cs="仿宋"/>
          <w:color w:val="auto"/>
          <w:kern w:val="0"/>
          <w:sz w:val="32"/>
          <w:szCs w:val="32"/>
          <w:lang w:eastAsia="zh-CN"/>
        </w:rPr>
        <w:t>工作，</w:t>
      </w:r>
      <w:r>
        <w:rPr>
          <w:rFonts w:hint="eastAsia" w:ascii="仿宋" w:hAnsi="仿宋" w:eastAsia="仿宋" w:cs="仿宋"/>
          <w:bCs/>
          <w:color w:val="auto"/>
          <w:sz w:val="32"/>
          <w:szCs w:val="32"/>
        </w:rPr>
        <w:t>市机关事务管理局</w:t>
      </w:r>
      <w:r>
        <w:rPr>
          <w:rFonts w:hint="eastAsia" w:ascii="仿宋" w:hAnsi="仿宋" w:eastAsia="仿宋" w:cs="仿宋"/>
          <w:bCs/>
          <w:color w:val="auto"/>
          <w:sz w:val="32"/>
          <w:szCs w:val="32"/>
          <w:lang w:eastAsia="zh-CN"/>
        </w:rPr>
        <w:t>在超前服务、精细服务上下功夫，根据实际情况，</w:t>
      </w:r>
      <w:r>
        <w:rPr>
          <w:rFonts w:hint="eastAsia" w:ascii="仿宋" w:hAnsi="仿宋" w:eastAsia="仿宋" w:cs="仿宋"/>
          <w:kern w:val="0"/>
          <w:sz w:val="32"/>
          <w:szCs w:val="32"/>
          <w:lang w:eastAsia="zh-CN"/>
        </w:rPr>
        <w:t>改进后勤服务</w:t>
      </w:r>
      <w:r>
        <w:rPr>
          <w:rFonts w:hint="eastAsia" w:ascii="仿宋" w:hAnsi="仿宋" w:eastAsia="仿宋" w:cs="仿宋"/>
          <w:bCs/>
          <w:color w:val="000000"/>
          <w:sz w:val="32"/>
          <w:szCs w:val="32"/>
          <w:lang w:eastAsia="zh-CN"/>
        </w:rPr>
        <w:t>管理</w:t>
      </w:r>
      <w:r>
        <w:rPr>
          <w:rFonts w:hint="eastAsia" w:ascii="仿宋" w:hAnsi="仿宋" w:eastAsia="仿宋" w:cs="仿宋"/>
          <w:bCs/>
          <w:color w:val="auto"/>
          <w:sz w:val="32"/>
          <w:szCs w:val="32"/>
          <w:lang w:eastAsia="zh-CN"/>
        </w:rPr>
        <w:t>方式</w:t>
      </w:r>
      <w:r>
        <w:rPr>
          <w:rFonts w:hint="eastAsia" w:ascii="仿宋" w:hAnsi="仿宋" w:eastAsia="仿宋" w:cs="仿宋"/>
          <w:bCs/>
          <w:color w:val="000000"/>
          <w:sz w:val="32"/>
          <w:szCs w:val="32"/>
          <w:lang w:eastAsia="zh-CN"/>
        </w:rPr>
        <w:t>，</w:t>
      </w:r>
      <w:r>
        <w:rPr>
          <w:rFonts w:hint="eastAsia" w:ascii="仿宋" w:hAnsi="仿宋" w:eastAsia="仿宋" w:cs="仿宋"/>
          <w:bCs/>
          <w:color w:val="auto"/>
          <w:sz w:val="32"/>
          <w:szCs w:val="32"/>
          <w:lang w:eastAsia="zh-CN"/>
        </w:rPr>
        <w:t>委托开门子集团负责相关服务保障工作，由“家庭式”转变为“专业型”服务模式，同时，在</w:t>
      </w:r>
      <w:r>
        <w:rPr>
          <w:rFonts w:hint="eastAsia" w:ascii="仿宋" w:hAnsi="仿宋" w:eastAsia="仿宋" w:cs="仿宋"/>
          <w:color w:val="auto"/>
          <w:sz w:val="32"/>
          <w:szCs w:val="32"/>
          <w:lang w:eastAsia="zh-CN"/>
        </w:rPr>
        <w:t>恒大小区周转房管理区特设</w:t>
      </w:r>
      <w:r>
        <w:rPr>
          <w:rFonts w:hint="eastAsia" w:ascii="仿宋" w:hAnsi="仿宋" w:eastAsia="仿宋" w:cs="仿宋"/>
          <w:color w:val="auto"/>
          <w:sz w:val="32"/>
          <w:szCs w:val="32"/>
          <w:lang w:val="en-US" w:eastAsia="zh-CN"/>
        </w:rPr>
        <w:t>1个工作服务点，安排专人负责周转房日常维修等管理工作，</w:t>
      </w:r>
      <w:r>
        <w:rPr>
          <w:rFonts w:hint="eastAsia" w:ascii="仿宋" w:hAnsi="仿宋" w:eastAsia="仿宋" w:cs="仿宋"/>
          <w:color w:val="auto"/>
          <w:sz w:val="32"/>
          <w:szCs w:val="32"/>
          <w:lang w:eastAsia="zh-CN"/>
        </w:rPr>
        <w:t>有效提升了</w:t>
      </w:r>
      <w:r>
        <w:rPr>
          <w:rFonts w:hint="eastAsia" w:ascii="仿宋" w:hAnsi="仿宋" w:eastAsia="仿宋" w:cs="仿宋"/>
          <w:color w:val="auto"/>
          <w:kern w:val="0"/>
          <w:sz w:val="32"/>
          <w:szCs w:val="32"/>
          <w:lang w:eastAsia="zh-CN"/>
        </w:rPr>
        <w:t>服务保障质量。</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在公开项目绩效自评综述的同时，需公开《项目支出绩效自评表》。</w:t>
      </w:r>
    </w:p>
    <w:p>
      <w:pPr>
        <w:autoSpaceDE w:val="0"/>
        <w:autoSpaceDN w:val="0"/>
        <w:adjustRightInd w:val="0"/>
        <w:spacing w:line="360" w:lineRule="auto"/>
        <w:ind w:firstLine="600"/>
        <w:jc w:val="left"/>
        <w:rPr>
          <w:rFonts w:hint="eastAsia" w:ascii="仿宋" w:hAnsi="仿宋" w:eastAsia="仿宋" w:cs="仿宋_GB2312"/>
          <w:kern w:val="0"/>
          <w:sz w:val="30"/>
          <w:szCs w:val="30"/>
        </w:rPr>
      </w:pPr>
      <w:r>
        <w:drawing>
          <wp:inline distT="0" distB="0" distL="114300" distR="114300">
            <wp:extent cx="5269230" cy="9785985"/>
            <wp:effectExtent l="0" t="0" r="762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69230" cy="9785985"/>
                    </a:xfrm>
                    <a:prstGeom prst="rect">
                      <a:avLst/>
                    </a:prstGeom>
                    <a:noFill/>
                    <a:ln>
                      <a:noFill/>
                    </a:ln>
                  </pic:spPr>
                </pic:pic>
              </a:graphicData>
            </a:graphic>
          </wp:inline>
        </w:drawing>
      </w: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4"/>
        <w:spacing w:line="600" w:lineRule="atLeast"/>
        <w:ind w:firstLine="600"/>
        <w:rPr>
          <w:rFonts w:hint="eastAsia" w:ascii="仿宋" w:hAnsi="仿宋" w:eastAsia="仿宋"/>
          <w:sz w:val="30"/>
          <w:szCs w:val="30"/>
        </w:rPr>
      </w:pPr>
    </w:p>
    <w:p>
      <w:pPr>
        <w:widowControl/>
        <w:spacing w:line="580" w:lineRule="exact"/>
        <w:jc w:val="left"/>
        <w:rPr>
          <w:rFonts w:hint="eastAsia" w:ascii="仿宋" w:hAnsi="仿宋" w:eastAsia="仿宋"/>
          <w:kern w:val="0"/>
          <w:sz w:val="30"/>
          <w:szCs w:val="30"/>
        </w:rPr>
      </w:pPr>
      <w:r>
        <w:rPr>
          <w:rFonts w:hint="eastAsia" w:ascii="仿宋" w:hAnsi="仿宋" w:eastAsia="仿宋"/>
          <w:kern w:val="0"/>
          <w:sz w:val="30"/>
          <w:szCs w:val="30"/>
        </w:rPr>
        <w:t xml:space="preserve">    名词解释应以财务会计制度、政府收支分类科目以及部门预算管理等规定为基本说明，可在此基础上结合部门实际情况适当细化。“三公”经费支出和机关运行经费支出口径必需予以说明。</w:t>
      </w:r>
    </w:p>
    <w:p>
      <w:pPr>
        <w:numPr>
          <w:ilvl w:val="0"/>
          <w:numId w:val="2"/>
        </w:numPr>
        <w:ind w:firstLine="630"/>
        <w:jc w:val="lef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财政拨款：指市级财政当年拨付的资金。</w:t>
      </w:r>
    </w:p>
    <w:p>
      <w:pPr>
        <w:numPr>
          <w:ilvl w:val="0"/>
          <w:numId w:val="0"/>
        </w:numPr>
        <w:jc w:val="left"/>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2.其他收入：指除财政拨款、事业收入、事业单位经营收入等以外的各项收入。</w:t>
      </w:r>
    </w:p>
    <w:p>
      <w:pPr>
        <w:numPr>
          <w:ilvl w:val="0"/>
          <w:numId w:val="0"/>
        </w:numPr>
        <w:jc w:val="left"/>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3.上年结转和结余：填列2017年全部结转和结余的资金数，包括当年结转结余资金和历年滚存结转结余资金。</w:t>
      </w:r>
    </w:p>
    <w:p>
      <w:pPr>
        <w:numPr>
          <w:ilvl w:val="0"/>
          <w:numId w:val="2"/>
        </w:numPr>
        <w:ind w:left="0" w:leftChars="0" w:firstLine="630" w:firstLineChars="0"/>
        <w:jc w:val="left"/>
        <w:rPr>
          <w:rFonts w:hint="eastAsia" w:ascii="仿宋" w:hAnsi="仿宋" w:eastAsia="仿宋"/>
          <w:sz w:val="30"/>
          <w:szCs w:val="30"/>
          <w:lang w:val="en-US" w:eastAsia="zh-CN"/>
        </w:rPr>
      </w:pPr>
      <w:r>
        <w:rPr>
          <w:rFonts w:hint="eastAsia" w:ascii="仿宋" w:hAnsi="仿宋" w:eastAsia="仿宋"/>
          <w:sz w:val="30"/>
          <w:szCs w:val="30"/>
        </w:rPr>
        <w:t>行政运行</w:t>
      </w:r>
      <w:r>
        <w:rPr>
          <w:rFonts w:hint="eastAsia" w:ascii="仿宋" w:hAnsi="仿宋" w:eastAsia="仿宋"/>
          <w:sz w:val="30"/>
          <w:szCs w:val="30"/>
          <w:lang w:eastAsia="zh-CN"/>
        </w:rPr>
        <w:t>（政府办公厅（室）及相关机构事务）</w:t>
      </w:r>
      <w:r>
        <w:rPr>
          <w:rFonts w:hint="eastAsia" w:ascii="仿宋" w:hAnsi="仿宋" w:eastAsia="仿宋"/>
          <w:sz w:val="30"/>
          <w:szCs w:val="30"/>
        </w:rPr>
        <w:t>：反映行政单位（包括</w:t>
      </w:r>
      <w:r>
        <w:rPr>
          <w:rFonts w:hint="eastAsia" w:ascii="仿宋" w:hAnsi="仿宋" w:eastAsia="仿宋"/>
          <w:sz w:val="30"/>
          <w:szCs w:val="30"/>
          <w:lang w:eastAsia="zh-CN"/>
        </w:rPr>
        <w:t>实行公务员管理事业</w:t>
      </w:r>
      <w:r>
        <w:rPr>
          <w:rFonts w:hint="eastAsia" w:ascii="仿宋" w:hAnsi="仿宋" w:eastAsia="仿宋"/>
          <w:sz w:val="30"/>
          <w:szCs w:val="30"/>
        </w:rPr>
        <w:t>单位）的基本支出。</w:t>
      </w:r>
      <w:r>
        <w:rPr>
          <w:rFonts w:hint="eastAsia" w:ascii="仿宋" w:hAnsi="仿宋" w:eastAsia="仿宋"/>
          <w:sz w:val="30"/>
          <w:szCs w:val="30"/>
          <w:lang w:val="en-US" w:eastAsia="zh-CN"/>
        </w:rPr>
        <w:t xml:space="preserve">  </w:t>
      </w:r>
    </w:p>
    <w:p>
      <w:pPr>
        <w:numPr>
          <w:ilvl w:val="0"/>
          <w:numId w:val="0"/>
        </w:numPr>
        <w:ind w:left="0" w:leftChars="0" w:firstLine="639" w:firstLineChars="213"/>
        <w:jc w:val="left"/>
        <w:rPr>
          <w:rFonts w:hint="eastAsia" w:ascii="仿宋" w:hAnsi="仿宋" w:eastAsia="仿宋"/>
          <w:sz w:val="30"/>
          <w:szCs w:val="30"/>
          <w:lang w:eastAsia="zh-CN"/>
        </w:rPr>
      </w:pPr>
      <w:r>
        <w:rPr>
          <w:rFonts w:hint="eastAsia" w:ascii="仿宋" w:hAnsi="仿宋" w:eastAsia="仿宋"/>
          <w:sz w:val="30"/>
          <w:szCs w:val="30"/>
          <w:lang w:val="en-US" w:eastAsia="zh-CN"/>
        </w:rPr>
        <w:t>（三）一般行政管理事务</w:t>
      </w:r>
      <w:r>
        <w:rPr>
          <w:rFonts w:hint="eastAsia" w:ascii="仿宋" w:hAnsi="仿宋" w:eastAsia="仿宋"/>
          <w:sz w:val="30"/>
          <w:szCs w:val="30"/>
          <w:lang w:eastAsia="zh-CN"/>
        </w:rPr>
        <w:t>（政府办公厅（室）及相关机构事务）：反映行政单位</w:t>
      </w:r>
      <w:r>
        <w:rPr>
          <w:rFonts w:hint="eastAsia" w:ascii="仿宋" w:hAnsi="仿宋" w:eastAsia="仿宋"/>
          <w:sz w:val="30"/>
          <w:szCs w:val="30"/>
        </w:rPr>
        <w:t>（包括</w:t>
      </w:r>
      <w:r>
        <w:rPr>
          <w:rFonts w:hint="eastAsia" w:ascii="仿宋" w:hAnsi="仿宋" w:eastAsia="仿宋"/>
          <w:sz w:val="30"/>
          <w:szCs w:val="30"/>
          <w:lang w:eastAsia="zh-CN"/>
        </w:rPr>
        <w:t>实行公务员管理事业</w:t>
      </w:r>
      <w:r>
        <w:rPr>
          <w:rFonts w:hint="eastAsia" w:ascii="仿宋" w:hAnsi="仿宋" w:eastAsia="仿宋"/>
          <w:sz w:val="30"/>
          <w:szCs w:val="30"/>
        </w:rPr>
        <w:t>单位）</w:t>
      </w:r>
      <w:r>
        <w:rPr>
          <w:rFonts w:hint="eastAsia" w:ascii="仿宋" w:hAnsi="仿宋" w:eastAsia="仿宋"/>
          <w:sz w:val="30"/>
          <w:szCs w:val="30"/>
          <w:lang w:eastAsia="zh-CN"/>
        </w:rPr>
        <w:t>未单独设置项级科目的其他项目支出。</w:t>
      </w:r>
    </w:p>
    <w:p>
      <w:pPr>
        <w:numPr>
          <w:ilvl w:val="0"/>
          <w:numId w:val="0"/>
        </w:numPr>
        <w:ind w:left="0" w:leftChars="0" w:firstLine="639" w:firstLineChars="213"/>
        <w:jc w:val="left"/>
        <w:rPr>
          <w:rFonts w:hint="eastAsia" w:ascii="仿宋" w:hAnsi="仿宋" w:eastAsia="仿宋"/>
          <w:sz w:val="30"/>
          <w:szCs w:val="30"/>
          <w:lang w:eastAsia="zh-CN"/>
        </w:rPr>
      </w:pPr>
      <w:r>
        <w:rPr>
          <w:rFonts w:hint="eastAsia" w:ascii="仿宋" w:hAnsi="仿宋" w:eastAsia="仿宋"/>
          <w:sz w:val="30"/>
          <w:szCs w:val="30"/>
          <w:lang w:val="en-US" w:eastAsia="zh-CN"/>
        </w:rPr>
        <w:t>（四）事业运行</w:t>
      </w:r>
      <w:r>
        <w:rPr>
          <w:rFonts w:hint="eastAsia" w:ascii="仿宋" w:hAnsi="仿宋" w:eastAsia="仿宋"/>
          <w:sz w:val="30"/>
          <w:szCs w:val="30"/>
          <w:lang w:eastAsia="zh-CN"/>
        </w:rPr>
        <w:t>（政府办公厅（室）及相关机构事务）：反映事业单位的基本支出，不包括行政单位</w:t>
      </w:r>
      <w:r>
        <w:rPr>
          <w:rFonts w:hint="eastAsia" w:ascii="仿宋" w:hAnsi="仿宋" w:eastAsia="仿宋"/>
          <w:sz w:val="30"/>
          <w:szCs w:val="30"/>
        </w:rPr>
        <w:t>（包括</w:t>
      </w:r>
      <w:r>
        <w:rPr>
          <w:rFonts w:hint="eastAsia" w:ascii="仿宋" w:hAnsi="仿宋" w:eastAsia="仿宋"/>
          <w:sz w:val="30"/>
          <w:szCs w:val="30"/>
          <w:lang w:eastAsia="zh-CN"/>
        </w:rPr>
        <w:t>实行公务员管理事业</w:t>
      </w:r>
      <w:r>
        <w:rPr>
          <w:rFonts w:hint="eastAsia" w:ascii="仿宋" w:hAnsi="仿宋" w:eastAsia="仿宋"/>
          <w:sz w:val="30"/>
          <w:szCs w:val="30"/>
        </w:rPr>
        <w:t>单位）</w:t>
      </w:r>
      <w:r>
        <w:rPr>
          <w:rFonts w:hint="eastAsia" w:ascii="仿宋" w:hAnsi="仿宋" w:eastAsia="仿宋"/>
          <w:sz w:val="30"/>
          <w:szCs w:val="30"/>
          <w:lang w:eastAsia="zh-CN"/>
        </w:rPr>
        <w:t>后勤服务中心、医务室等附属事业单位。</w:t>
      </w:r>
    </w:p>
    <w:p>
      <w:pPr>
        <w:numPr>
          <w:ilvl w:val="0"/>
          <w:numId w:val="0"/>
        </w:numPr>
        <w:ind w:left="0" w:leftChars="0" w:firstLine="639" w:firstLineChars="213"/>
        <w:jc w:val="left"/>
        <w:rPr>
          <w:rFonts w:hint="eastAsia" w:ascii="仿宋" w:hAnsi="仿宋" w:eastAsia="仿宋"/>
          <w:sz w:val="30"/>
          <w:szCs w:val="30"/>
          <w:lang w:val="en-US" w:eastAsia="zh-CN"/>
        </w:rPr>
      </w:pPr>
      <w:r>
        <w:rPr>
          <w:rFonts w:hint="eastAsia" w:ascii="仿宋" w:hAnsi="仿宋" w:eastAsia="仿宋"/>
          <w:sz w:val="30"/>
          <w:szCs w:val="30"/>
          <w:lang w:val="en-US" w:eastAsia="zh-CN"/>
        </w:rPr>
        <w:t>（五）机关服务（党委办公厅（室）及相关机构事务）：反映为行政单位（</w:t>
      </w:r>
      <w:r>
        <w:rPr>
          <w:rFonts w:hint="eastAsia" w:ascii="仿宋" w:hAnsi="仿宋" w:eastAsia="仿宋"/>
          <w:sz w:val="30"/>
          <w:szCs w:val="30"/>
        </w:rPr>
        <w:t>包括</w:t>
      </w:r>
      <w:r>
        <w:rPr>
          <w:rFonts w:hint="eastAsia" w:ascii="仿宋" w:hAnsi="仿宋" w:eastAsia="仿宋"/>
          <w:sz w:val="30"/>
          <w:szCs w:val="30"/>
          <w:lang w:eastAsia="zh-CN"/>
        </w:rPr>
        <w:t>实行公务员管理事业</w:t>
      </w:r>
      <w:r>
        <w:rPr>
          <w:rFonts w:hint="eastAsia" w:ascii="仿宋" w:hAnsi="仿宋" w:eastAsia="仿宋"/>
          <w:sz w:val="30"/>
          <w:szCs w:val="30"/>
        </w:rPr>
        <w:t>单位</w:t>
      </w:r>
      <w:r>
        <w:rPr>
          <w:rFonts w:hint="eastAsia" w:ascii="仿宋" w:hAnsi="仿宋" w:eastAsia="仿宋"/>
          <w:sz w:val="30"/>
          <w:szCs w:val="30"/>
          <w:lang w:val="en-US" w:eastAsia="zh-CN"/>
        </w:rPr>
        <w:t>）提供后勤服务的各类后勤服务中心，医务室等附属事业单位的支出。其他事业单位的支出，凡单独设置了项级科目的，在“其他”项级科目中反映。</w:t>
      </w:r>
    </w:p>
    <w:p>
      <w:pPr>
        <w:numPr>
          <w:ilvl w:val="0"/>
          <w:numId w:val="0"/>
        </w:numPr>
        <w:ind w:left="0" w:leftChars="0" w:firstLine="639" w:firstLineChars="213"/>
        <w:jc w:val="left"/>
        <w:rPr>
          <w:rFonts w:hint="eastAsia" w:ascii="仿宋" w:hAnsi="仿宋" w:eastAsia="仿宋"/>
          <w:sz w:val="30"/>
          <w:szCs w:val="30"/>
          <w:lang w:val="en-US" w:eastAsia="zh-CN"/>
        </w:rPr>
      </w:pPr>
      <w:r>
        <w:rPr>
          <w:rFonts w:hint="eastAsia" w:ascii="仿宋" w:hAnsi="仿宋" w:eastAsia="仿宋"/>
          <w:sz w:val="30"/>
          <w:szCs w:val="30"/>
          <w:lang w:val="en-US" w:eastAsia="zh-CN"/>
        </w:rPr>
        <w:t>（六）机关事业单位基本养老保险缴费支出：反映机关事业单位实施养老保险制度由单位缴纳的基本养老保险支出。</w:t>
      </w:r>
    </w:p>
    <w:p>
      <w:pPr>
        <w:numPr>
          <w:ilvl w:val="0"/>
          <w:numId w:val="0"/>
        </w:numPr>
        <w:ind w:left="0" w:leftChars="0" w:firstLine="639" w:firstLineChars="213"/>
        <w:jc w:val="left"/>
        <w:rPr>
          <w:rFonts w:hint="eastAsia" w:ascii="仿宋" w:hAnsi="仿宋" w:eastAsia="仿宋"/>
          <w:sz w:val="30"/>
          <w:szCs w:val="30"/>
          <w:lang w:val="en-US" w:eastAsia="zh-CN"/>
        </w:rPr>
      </w:pPr>
      <w:r>
        <w:rPr>
          <w:rFonts w:hint="eastAsia" w:ascii="仿宋" w:hAnsi="仿宋" w:eastAsia="仿宋"/>
          <w:sz w:val="30"/>
          <w:szCs w:val="30"/>
          <w:lang w:val="en-US" w:eastAsia="zh-CN"/>
        </w:rPr>
        <w:t>（七）事业单位医疗：反映财政部门集中安排的事业单位基本医疗保险缴费经费，未参加医疗保险的事业单位的公费医疗经费，按国家规定享受离休人员待遇的医疗经费。</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八</w:t>
      </w:r>
      <w:r>
        <w:rPr>
          <w:rFonts w:hint="eastAsia" w:ascii="仿宋" w:hAnsi="仿宋" w:eastAsia="仿宋"/>
          <w:sz w:val="30"/>
          <w:szCs w:val="30"/>
        </w:rPr>
        <w:t>）“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widowControl/>
        <w:spacing w:line="580" w:lineRule="exact"/>
        <w:jc w:val="left"/>
        <w:rPr>
          <w:rFonts w:hint="eastAsia" w:ascii="仿宋" w:hAnsi="仿宋" w:eastAsia="仿宋"/>
          <w:kern w:val="0"/>
          <w:sz w:val="30"/>
          <w:szCs w:val="30"/>
        </w:rPr>
      </w:pPr>
      <w:r>
        <w:rPr>
          <w:rFonts w:hint="eastAsia" w:ascii="仿宋" w:hAnsi="仿宋" w:eastAsia="仿宋"/>
          <w:sz w:val="30"/>
          <w:szCs w:val="30"/>
        </w:rPr>
        <w:t>（</w:t>
      </w:r>
      <w:r>
        <w:rPr>
          <w:rFonts w:hint="eastAsia" w:ascii="仿宋" w:hAnsi="仿宋" w:eastAsia="仿宋"/>
          <w:sz w:val="30"/>
          <w:szCs w:val="30"/>
          <w:lang w:eastAsia="zh-CN"/>
        </w:rPr>
        <w:t>九</w:t>
      </w:r>
      <w:r>
        <w:rPr>
          <w:rFonts w:hint="eastAsia" w:ascii="仿宋" w:hAnsi="仿宋" w:eastAsia="仿宋"/>
          <w:sz w:val="30"/>
          <w:szCs w:val="30"/>
        </w:rPr>
        <w:t>）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w:t>
      </w:r>
      <w:r>
        <w:rPr>
          <w:rFonts w:hint="eastAsia" w:ascii="仿宋" w:hAnsi="仿宋" w:eastAsia="仿宋"/>
          <w:sz w:val="30"/>
          <w:szCs w:val="30"/>
          <w:lang w:eastAsia="zh-CN"/>
        </w:rPr>
        <w:t>、公务用车运行维护费以及其他费用。</w:t>
      </w:r>
    </w:p>
    <w:p>
      <w:pPr>
        <w:ind w:firstLine="630"/>
        <w:jc w:val="left"/>
        <w:rPr>
          <w:rFonts w:ascii="仿宋" w:hAnsi="仿宋" w:eastAsia="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F0851"/>
    <w:multiLevelType w:val="singleLevel"/>
    <w:tmpl w:val="C3AF0851"/>
    <w:lvl w:ilvl="0" w:tentative="0">
      <w:start w:val="2"/>
      <w:numFmt w:val="chineseCounting"/>
      <w:suff w:val="space"/>
      <w:lvlText w:val="第%1部分"/>
      <w:lvlJc w:val="left"/>
      <w:rPr>
        <w:rFonts w:hint="eastAsia"/>
      </w:rPr>
    </w:lvl>
  </w:abstractNum>
  <w:abstractNum w:abstractNumId="1">
    <w:nsid w:val="C509543A"/>
    <w:multiLevelType w:val="singleLevel"/>
    <w:tmpl w:val="C509543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7647D"/>
    <w:rsid w:val="04EC17F0"/>
    <w:rsid w:val="0E920D39"/>
    <w:rsid w:val="141310A1"/>
    <w:rsid w:val="16A91C2C"/>
    <w:rsid w:val="1A871A21"/>
    <w:rsid w:val="2A8D7B28"/>
    <w:rsid w:val="30366B8E"/>
    <w:rsid w:val="352A495A"/>
    <w:rsid w:val="368E30C1"/>
    <w:rsid w:val="388502BD"/>
    <w:rsid w:val="39174A23"/>
    <w:rsid w:val="43DD43AE"/>
    <w:rsid w:val="45904265"/>
    <w:rsid w:val="4B8741FC"/>
    <w:rsid w:val="54155CD1"/>
    <w:rsid w:val="55CD7844"/>
    <w:rsid w:val="68E968B8"/>
    <w:rsid w:val="6CA435D5"/>
    <w:rsid w:val="6CFC6F2F"/>
    <w:rsid w:val="6DC02CF6"/>
    <w:rsid w:val="71B34497"/>
    <w:rsid w:val="72970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C</cp:lastModifiedBy>
  <dcterms:modified xsi:type="dcterms:W3CDTF">2020-10-12T02:28:02Z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