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6813B">
      <w:pPr>
        <w:spacing w:line="600" w:lineRule="exact"/>
        <w:jc w:val="center"/>
        <w:rPr>
          <w:rFonts w:hint="eastAsia" w:ascii="方正大标宋简体" w:eastAsia="方正大标宋简体"/>
          <w:sz w:val="44"/>
          <w:szCs w:val="36"/>
        </w:rPr>
      </w:pPr>
      <w:r>
        <w:rPr>
          <w:rFonts w:hint="eastAsia" w:ascii="方正大标宋简体" w:hAnsi="黑体" w:eastAsia="方正大标宋简体"/>
          <w:sz w:val="44"/>
          <w:szCs w:val="36"/>
        </w:rPr>
        <w:t>景德镇市人民政府驻北京联络处</w:t>
      </w:r>
      <w:r>
        <w:rPr>
          <w:rFonts w:hint="eastAsia" w:ascii="方正大标宋简体" w:eastAsia="方正大标宋简体"/>
          <w:sz w:val="44"/>
          <w:szCs w:val="36"/>
        </w:rPr>
        <w:t>2019年度部门决算</w:t>
      </w:r>
    </w:p>
    <w:p w14:paraId="504FB62E">
      <w:pPr>
        <w:spacing w:line="600" w:lineRule="exact"/>
        <w:jc w:val="center"/>
        <w:rPr>
          <w:rFonts w:ascii="黑体" w:eastAsia="黑体"/>
          <w:sz w:val="44"/>
          <w:szCs w:val="36"/>
        </w:rPr>
      </w:pPr>
    </w:p>
    <w:p w14:paraId="0DBB4D89">
      <w:pPr>
        <w:spacing w:line="600" w:lineRule="exact"/>
        <w:jc w:val="center"/>
        <w:rPr>
          <w:rFonts w:ascii="黑体" w:eastAsia="黑体"/>
          <w:sz w:val="40"/>
          <w:szCs w:val="36"/>
        </w:rPr>
      </w:pPr>
      <w:r>
        <w:rPr>
          <w:rFonts w:hint="eastAsia" w:ascii="黑体" w:eastAsia="黑体"/>
          <w:sz w:val="40"/>
          <w:szCs w:val="36"/>
        </w:rPr>
        <w:t>目</w:t>
      </w:r>
      <w:r>
        <w:rPr>
          <w:rFonts w:ascii="黑体" w:eastAsia="黑体"/>
          <w:sz w:val="40"/>
          <w:szCs w:val="36"/>
        </w:rPr>
        <w:t xml:space="preserve">    </w:t>
      </w:r>
      <w:r>
        <w:rPr>
          <w:rFonts w:hint="eastAsia" w:ascii="黑体" w:eastAsia="黑体"/>
          <w:sz w:val="40"/>
          <w:szCs w:val="36"/>
        </w:rPr>
        <w:t>录</w:t>
      </w:r>
    </w:p>
    <w:p w14:paraId="375B7D85">
      <w:pPr>
        <w:widowControl/>
        <w:spacing w:line="600" w:lineRule="exact"/>
        <w:ind w:firstLine="640"/>
        <w:jc w:val="left"/>
        <w:rPr>
          <w:rFonts w:ascii="仿宋_GB2312" w:eastAsia="仿宋_GB2312"/>
          <w:sz w:val="32"/>
          <w:szCs w:val="30"/>
        </w:rPr>
      </w:pPr>
    </w:p>
    <w:p w14:paraId="2762693A">
      <w:pPr>
        <w:widowControl/>
        <w:spacing w:line="640" w:lineRule="exact"/>
        <w:ind w:firstLine="640"/>
        <w:jc w:val="left"/>
        <w:rPr>
          <w:rFonts w:hint="eastAsia" w:ascii="黑体" w:eastAsia="黑体"/>
          <w:sz w:val="32"/>
          <w:szCs w:val="32"/>
        </w:rPr>
      </w:pPr>
      <w:r>
        <w:rPr>
          <w:rFonts w:hint="eastAsia" w:ascii="黑体" w:eastAsia="黑体"/>
          <w:sz w:val="32"/>
          <w:szCs w:val="32"/>
        </w:rPr>
        <w:t>第一部分  景德镇市人民政府驻北京联络处部门概况</w:t>
      </w:r>
    </w:p>
    <w:p w14:paraId="220FE38A">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一、部门主要职责</w:t>
      </w:r>
    </w:p>
    <w:p w14:paraId="1C2B779B">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二、部门基本情况</w:t>
      </w:r>
    </w:p>
    <w:p w14:paraId="76CF2976">
      <w:pPr>
        <w:widowControl/>
        <w:spacing w:line="640" w:lineRule="exact"/>
        <w:ind w:firstLine="640"/>
        <w:jc w:val="left"/>
        <w:rPr>
          <w:rFonts w:ascii="黑体" w:eastAsia="黑体"/>
          <w:sz w:val="32"/>
          <w:szCs w:val="32"/>
        </w:rPr>
      </w:pPr>
      <w:r>
        <w:rPr>
          <w:rFonts w:hint="eastAsia" w:ascii="黑体" w:eastAsia="黑体"/>
          <w:sz w:val="32"/>
          <w:szCs w:val="32"/>
        </w:rPr>
        <w:t>第二部分</w:t>
      </w:r>
      <w:r>
        <w:rPr>
          <w:rFonts w:ascii="黑体" w:eastAsia="黑体"/>
          <w:sz w:val="32"/>
          <w:szCs w:val="32"/>
        </w:rPr>
        <w:t xml:space="preserve">  2019</w:t>
      </w:r>
      <w:r>
        <w:rPr>
          <w:rFonts w:hint="eastAsia" w:ascii="黑体" w:eastAsia="黑体"/>
          <w:sz w:val="32"/>
          <w:szCs w:val="32"/>
        </w:rPr>
        <w:t>年度部门决算表</w:t>
      </w:r>
    </w:p>
    <w:p w14:paraId="02A57D24">
      <w:pPr>
        <w:widowControl/>
        <w:spacing w:line="640" w:lineRule="exact"/>
        <w:ind w:firstLine="1280" w:firstLineChars="400"/>
        <w:jc w:val="left"/>
        <w:rPr>
          <w:rFonts w:ascii="仿宋_GB2312" w:eastAsia="仿宋_GB2312"/>
          <w:sz w:val="32"/>
          <w:szCs w:val="32"/>
        </w:rPr>
      </w:pPr>
      <w:r>
        <w:rPr>
          <w:rFonts w:hint="eastAsia" w:ascii="仿宋_GB2312" w:eastAsia="仿宋_GB2312"/>
          <w:sz w:val="32"/>
          <w:szCs w:val="32"/>
        </w:rPr>
        <w:t>一、收入支出决算总表</w:t>
      </w:r>
    </w:p>
    <w:p w14:paraId="7574C32D">
      <w:pPr>
        <w:widowControl/>
        <w:spacing w:line="640" w:lineRule="exact"/>
        <w:ind w:firstLine="1280" w:firstLineChars="400"/>
        <w:jc w:val="left"/>
        <w:rPr>
          <w:rFonts w:ascii="仿宋_GB2312" w:eastAsia="仿宋_GB2312"/>
          <w:sz w:val="32"/>
          <w:szCs w:val="32"/>
        </w:rPr>
      </w:pPr>
      <w:r>
        <w:rPr>
          <w:rFonts w:hint="eastAsia" w:ascii="仿宋_GB2312" w:eastAsia="仿宋_GB2312"/>
          <w:sz w:val="32"/>
          <w:szCs w:val="32"/>
        </w:rPr>
        <w:t>二、收入决算表</w:t>
      </w:r>
    </w:p>
    <w:p w14:paraId="21DFD562">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三、支出决算表</w:t>
      </w:r>
    </w:p>
    <w:p w14:paraId="2F543A8C">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四、财政拨款收入支出决算总表</w:t>
      </w:r>
    </w:p>
    <w:p w14:paraId="28D90872">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五、一般公共预算财政拨款支出决算表</w:t>
      </w:r>
    </w:p>
    <w:p w14:paraId="1450CD73">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六、一般公共预算财政拨款基本支出决算表</w:t>
      </w:r>
    </w:p>
    <w:p w14:paraId="380C3384">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七、一般公共预算财政拨款“三公”经费支出决算</w:t>
      </w:r>
    </w:p>
    <w:p w14:paraId="3A4F1893">
      <w:pPr>
        <w:widowControl/>
        <w:spacing w:line="640" w:lineRule="exact"/>
        <w:ind w:firstLine="640"/>
        <w:jc w:val="left"/>
        <w:rPr>
          <w:rFonts w:ascii="仿宋_GB2312" w:eastAsia="仿宋_GB2312"/>
          <w:sz w:val="32"/>
          <w:szCs w:val="32"/>
        </w:rPr>
      </w:pPr>
      <w:r>
        <w:rPr>
          <w:rFonts w:hint="eastAsia" w:ascii="仿宋_GB2312" w:eastAsia="仿宋_GB2312"/>
          <w:sz w:val="32"/>
          <w:szCs w:val="32"/>
        </w:rPr>
        <w:t>表</w:t>
      </w:r>
    </w:p>
    <w:p w14:paraId="292F86C4">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八、政府性基金预算财政拨款收入支出决算表</w:t>
      </w:r>
    </w:p>
    <w:p w14:paraId="5851B549">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九、国有资产占用情况表</w:t>
      </w:r>
    </w:p>
    <w:p w14:paraId="10B3C5FD">
      <w:pPr>
        <w:widowControl/>
        <w:spacing w:line="640" w:lineRule="exact"/>
        <w:ind w:firstLine="640"/>
        <w:jc w:val="left"/>
        <w:rPr>
          <w:rFonts w:ascii="仿宋_GB2312" w:eastAsia="仿宋_GB2312"/>
          <w:sz w:val="32"/>
          <w:szCs w:val="32"/>
        </w:rPr>
      </w:pPr>
      <w:r>
        <w:rPr>
          <w:rFonts w:hint="eastAsia" w:ascii="黑体" w:eastAsia="黑体"/>
          <w:sz w:val="32"/>
          <w:szCs w:val="32"/>
        </w:rPr>
        <w:t>第三部分</w:t>
      </w:r>
      <w:r>
        <w:rPr>
          <w:rFonts w:ascii="黑体" w:eastAsia="黑体"/>
          <w:sz w:val="32"/>
          <w:szCs w:val="32"/>
        </w:rPr>
        <w:t xml:space="preserve">  2019</w:t>
      </w:r>
      <w:r>
        <w:rPr>
          <w:rFonts w:hint="eastAsia" w:ascii="黑体" w:eastAsia="黑体"/>
          <w:sz w:val="32"/>
          <w:szCs w:val="32"/>
        </w:rPr>
        <w:t>年度部门决算情况说明</w:t>
      </w:r>
    </w:p>
    <w:p w14:paraId="5B863D8A">
      <w:pPr>
        <w:widowControl/>
        <w:spacing w:line="640" w:lineRule="exact"/>
        <w:ind w:firstLine="1280" w:firstLineChars="400"/>
        <w:jc w:val="left"/>
        <w:rPr>
          <w:rFonts w:ascii="仿宋_GB2312" w:eastAsia="仿宋_GB2312"/>
          <w:sz w:val="32"/>
          <w:szCs w:val="32"/>
        </w:rPr>
      </w:pPr>
      <w:r>
        <w:rPr>
          <w:rFonts w:hint="eastAsia" w:ascii="仿宋_GB2312" w:eastAsia="仿宋_GB2312"/>
          <w:sz w:val="32"/>
          <w:szCs w:val="32"/>
        </w:rPr>
        <w:t>一、收入决算情况说明</w:t>
      </w:r>
    </w:p>
    <w:p w14:paraId="56806163">
      <w:pPr>
        <w:widowControl/>
        <w:spacing w:line="640" w:lineRule="exact"/>
        <w:ind w:firstLine="1280" w:firstLineChars="400"/>
        <w:jc w:val="left"/>
        <w:rPr>
          <w:rFonts w:ascii="仿宋_GB2312" w:eastAsia="仿宋_GB2312"/>
          <w:sz w:val="32"/>
          <w:szCs w:val="32"/>
        </w:rPr>
      </w:pPr>
      <w:r>
        <w:rPr>
          <w:rFonts w:hint="eastAsia" w:ascii="仿宋_GB2312" w:eastAsia="仿宋_GB2312"/>
          <w:sz w:val="32"/>
          <w:szCs w:val="32"/>
        </w:rPr>
        <w:t>二、支出决算情况说明</w:t>
      </w:r>
    </w:p>
    <w:p w14:paraId="0FBCB0DB">
      <w:pPr>
        <w:widowControl/>
        <w:spacing w:line="640" w:lineRule="exact"/>
        <w:ind w:firstLine="1280" w:firstLineChars="400"/>
        <w:jc w:val="left"/>
        <w:rPr>
          <w:rFonts w:ascii="仿宋_GB2312" w:eastAsia="仿宋_GB2312"/>
          <w:sz w:val="32"/>
          <w:szCs w:val="32"/>
        </w:rPr>
      </w:pPr>
      <w:r>
        <w:rPr>
          <w:rFonts w:hint="eastAsia" w:ascii="仿宋_GB2312" w:eastAsia="仿宋_GB2312"/>
          <w:sz w:val="32"/>
          <w:szCs w:val="32"/>
        </w:rPr>
        <w:t>三、财政拨款支出决算情况说明</w:t>
      </w:r>
    </w:p>
    <w:p w14:paraId="18193E4E">
      <w:pPr>
        <w:widowControl/>
        <w:spacing w:line="640" w:lineRule="exact"/>
        <w:ind w:firstLine="1280" w:firstLineChars="400"/>
        <w:jc w:val="left"/>
        <w:rPr>
          <w:rFonts w:ascii="仿宋_GB2312" w:eastAsia="仿宋_GB2312"/>
          <w:sz w:val="32"/>
          <w:szCs w:val="32"/>
        </w:rPr>
      </w:pPr>
      <w:r>
        <w:rPr>
          <w:rFonts w:hint="eastAsia" w:ascii="仿宋_GB2312" w:eastAsia="仿宋_GB2312"/>
          <w:sz w:val="32"/>
          <w:szCs w:val="32"/>
        </w:rPr>
        <w:t>四、一般公共预算财政拨款基本支出决算情况说明</w:t>
      </w:r>
    </w:p>
    <w:p w14:paraId="442BB2F8">
      <w:pPr>
        <w:widowControl/>
        <w:spacing w:line="640" w:lineRule="exact"/>
        <w:ind w:firstLine="1280" w:firstLineChars="400"/>
        <w:jc w:val="left"/>
        <w:rPr>
          <w:rFonts w:ascii="仿宋_GB2312" w:eastAsia="仿宋_GB2312"/>
          <w:sz w:val="32"/>
          <w:szCs w:val="32"/>
        </w:rPr>
      </w:pPr>
      <w:r>
        <w:rPr>
          <w:rFonts w:hint="eastAsia" w:ascii="仿宋_GB2312" w:eastAsia="仿宋_GB2312"/>
          <w:sz w:val="32"/>
          <w:szCs w:val="32"/>
        </w:rPr>
        <w:t>五、一般公共预算财政拨款“三公”经费支出决算</w:t>
      </w:r>
    </w:p>
    <w:p w14:paraId="066537BD">
      <w:pPr>
        <w:widowControl/>
        <w:spacing w:line="640" w:lineRule="exact"/>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情况说明</w:t>
      </w:r>
    </w:p>
    <w:p w14:paraId="5CD92C3C">
      <w:pPr>
        <w:widowControl/>
        <w:spacing w:line="640" w:lineRule="exact"/>
        <w:ind w:firstLine="1280" w:firstLineChars="400"/>
        <w:jc w:val="left"/>
        <w:rPr>
          <w:rFonts w:ascii="仿宋_GB2312" w:eastAsia="仿宋_GB2312"/>
          <w:sz w:val="32"/>
          <w:szCs w:val="32"/>
        </w:rPr>
      </w:pPr>
      <w:r>
        <w:rPr>
          <w:rFonts w:hint="eastAsia" w:ascii="仿宋_GB2312" w:eastAsia="仿宋_GB2312"/>
          <w:sz w:val="32"/>
          <w:szCs w:val="32"/>
        </w:rPr>
        <w:t>六、机关运行经费支出情况说明</w:t>
      </w:r>
    </w:p>
    <w:p w14:paraId="50FF50B1">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七、政府采购支出情况说明</w:t>
      </w:r>
    </w:p>
    <w:p w14:paraId="20DBE955">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八、国有资产占用情况说明</w:t>
      </w:r>
    </w:p>
    <w:p w14:paraId="1DB94EDA">
      <w:pPr>
        <w:widowControl/>
        <w:spacing w:line="640" w:lineRule="exact"/>
        <w:ind w:firstLine="64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九、预算绩效情况说明</w:t>
      </w:r>
    </w:p>
    <w:p w14:paraId="58E18A3B">
      <w:pPr>
        <w:widowControl/>
        <w:spacing w:line="640" w:lineRule="exact"/>
        <w:ind w:firstLine="640"/>
        <w:jc w:val="left"/>
        <w:rPr>
          <w:rFonts w:ascii="黑体" w:eastAsia="黑体"/>
          <w:sz w:val="32"/>
          <w:szCs w:val="32"/>
        </w:rPr>
      </w:pPr>
      <w:r>
        <w:rPr>
          <w:rFonts w:hint="eastAsia" w:ascii="黑体" w:eastAsia="黑体"/>
          <w:sz w:val="32"/>
          <w:szCs w:val="32"/>
        </w:rPr>
        <w:t>第四部分</w:t>
      </w:r>
      <w:r>
        <w:rPr>
          <w:rFonts w:ascii="黑体" w:eastAsia="黑体"/>
          <w:sz w:val="32"/>
          <w:szCs w:val="32"/>
        </w:rPr>
        <w:t xml:space="preserve">  </w:t>
      </w:r>
      <w:r>
        <w:rPr>
          <w:rFonts w:hint="eastAsia" w:ascii="黑体" w:eastAsia="黑体"/>
          <w:sz w:val="32"/>
          <w:szCs w:val="32"/>
        </w:rPr>
        <w:t>名词解释</w:t>
      </w:r>
    </w:p>
    <w:p w14:paraId="3AD9DC7F">
      <w:pPr>
        <w:ind w:firstLine="630"/>
        <w:jc w:val="center"/>
        <w:rPr>
          <w:rFonts w:ascii="仿宋_GB2312" w:eastAsia="仿宋_GB2312"/>
          <w:sz w:val="32"/>
          <w:szCs w:val="32"/>
        </w:rPr>
      </w:pPr>
    </w:p>
    <w:p w14:paraId="0AF20C62">
      <w:pPr>
        <w:ind w:firstLine="630"/>
        <w:jc w:val="center"/>
        <w:rPr>
          <w:rFonts w:ascii="仿宋_GB2312" w:eastAsia="仿宋_GB2312"/>
          <w:sz w:val="32"/>
          <w:szCs w:val="32"/>
        </w:rPr>
      </w:pPr>
    </w:p>
    <w:p w14:paraId="4238E18A">
      <w:pPr>
        <w:ind w:firstLine="630"/>
        <w:jc w:val="center"/>
        <w:rPr>
          <w:rFonts w:ascii="仿宋_GB2312" w:eastAsia="仿宋_GB2312"/>
          <w:sz w:val="32"/>
          <w:szCs w:val="32"/>
        </w:rPr>
      </w:pPr>
    </w:p>
    <w:p w14:paraId="3B26966B">
      <w:pPr>
        <w:ind w:firstLine="630"/>
        <w:jc w:val="center"/>
        <w:rPr>
          <w:rFonts w:ascii="仿宋_GB2312" w:eastAsia="仿宋_GB2312"/>
          <w:sz w:val="32"/>
          <w:szCs w:val="32"/>
        </w:rPr>
      </w:pPr>
    </w:p>
    <w:p w14:paraId="1977A695">
      <w:pPr>
        <w:ind w:firstLine="630"/>
        <w:jc w:val="center"/>
        <w:rPr>
          <w:rFonts w:ascii="仿宋_GB2312" w:eastAsia="仿宋_GB2312"/>
          <w:sz w:val="32"/>
          <w:szCs w:val="32"/>
        </w:rPr>
      </w:pPr>
    </w:p>
    <w:p w14:paraId="67205C70">
      <w:pPr>
        <w:ind w:firstLine="630"/>
        <w:jc w:val="center"/>
        <w:rPr>
          <w:rFonts w:ascii="仿宋_GB2312" w:eastAsia="仿宋_GB2312"/>
          <w:sz w:val="32"/>
          <w:szCs w:val="32"/>
        </w:rPr>
      </w:pPr>
    </w:p>
    <w:p w14:paraId="033B8599">
      <w:pPr>
        <w:ind w:firstLine="630"/>
        <w:jc w:val="center"/>
        <w:rPr>
          <w:rFonts w:ascii="仿宋_GB2312" w:eastAsia="仿宋_GB2312"/>
          <w:sz w:val="32"/>
          <w:szCs w:val="32"/>
        </w:rPr>
      </w:pPr>
    </w:p>
    <w:p w14:paraId="20D2124B">
      <w:pPr>
        <w:ind w:firstLine="630"/>
        <w:jc w:val="center"/>
        <w:rPr>
          <w:rFonts w:ascii="仿宋_GB2312" w:eastAsia="仿宋_GB2312"/>
          <w:sz w:val="32"/>
          <w:szCs w:val="32"/>
        </w:rPr>
      </w:pPr>
    </w:p>
    <w:p w14:paraId="256A74FF">
      <w:pPr>
        <w:rPr>
          <w:rFonts w:ascii="仿宋_GB2312" w:eastAsia="仿宋_GB2312"/>
          <w:sz w:val="32"/>
          <w:szCs w:val="32"/>
        </w:rPr>
      </w:pPr>
    </w:p>
    <w:p w14:paraId="47E8543B">
      <w:pPr>
        <w:ind w:firstLine="630"/>
        <w:jc w:val="center"/>
        <w:rPr>
          <w:rFonts w:ascii="仿宋_GB2312" w:eastAsia="仿宋_GB2312"/>
          <w:sz w:val="32"/>
          <w:szCs w:val="32"/>
        </w:rPr>
      </w:pPr>
    </w:p>
    <w:p w14:paraId="3CBEE983">
      <w:pPr>
        <w:ind w:firstLine="630"/>
        <w:jc w:val="center"/>
        <w:rPr>
          <w:rFonts w:ascii="仿宋_GB2312" w:eastAsia="仿宋_GB2312"/>
          <w:sz w:val="32"/>
          <w:szCs w:val="32"/>
        </w:rPr>
      </w:pPr>
    </w:p>
    <w:p w14:paraId="66F5050A">
      <w:pPr>
        <w:ind w:firstLine="630"/>
        <w:jc w:val="center"/>
        <w:rPr>
          <w:rFonts w:ascii="仿宋_GB2312" w:eastAsia="仿宋_GB2312"/>
          <w:sz w:val="32"/>
          <w:szCs w:val="32"/>
        </w:rPr>
      </w:pPr>
    </w:p>
    <w:p w14:paraId="01D378ED">
      <w:pPr>
        <w:ind w:firstLine="630"/>
        <w:jc w:val="center"/>
        <w:rPr>
          <w:rFonts w:ascii="仿宋_GB2312" w:eastAsia="仿宋_GB2312"/>
          <w:sz w:val="32"/>
          <w:szCs w:val="32"/>
        </w:rPr>
      </w:pPr>
    </w:p>
    <w:p w14:paraId="3C3A60B5">
      <w:pPr>
        <w:widowControl/>
        <w:spacing w:line="560" w:lineRule="exact"/>
        <w:jc w:val="center"/>
        <w:rPr>
          <w:rFonts w:ascii="仿宋_GB2312" w:eastAsia="仿宋_GB2312"/>
          <w:sz w:val="32"/>
          <w:szCs w:val="32"/>
        </w:rPr>
      </w:pPr>
      <w:r>
        <w:rPr>
          <w:rFonts w:hint="eastAsia" w:ascii="黑体" w:eastAsia="黑体"/>
          <w:sz w:val="32"/>
          <w:szCs w:val="32"/>
        </w:rPr>
        <w:t>第一部分  景德镇市人民政府驻北京联络处部门概况</w:t>
      </w:r>
    </w:p>
    <w:p w14:paraId="232FAD4A">
      <w:pPr>
        <w:keepNext w:val="0"/>
        <w:keepLines w:val="0"/>
        <w:pageBreakBefore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sz w:val="32"/>
          <w:szCs w:val="32"/>
        </w:rPr>
      </w:pPr>
    </w:p>
    <w:p w14:paraId="4302DAEA">
      <w:pPr>
        <w:keepNext w:val="0"/>
        <w:keepLines w:val="0"/>
        <w:pageBreakBefore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一、部门主要职能</w:t>
      </w:r>
    </w:p>
    <w:p w14:paraId="4C6640CF">
      <w:pPr>
        <w:keepNext w:val="0"/>
        <w:keepLines w:val="0"/>
        <w:pageBreakBefore w:val="0"/>
        <w:widowControl/>
        <w:kinsoku/>
        <w:wordWrap/>
        <w:overflowPunct/>
        <w:topLinePunct w:val="0"/>
        <w:autoSpaceDE/>
        <w:autoSpaceDN/>
        <w:bidi w:val="0"/>
        <w:adjustRightInd/>
        <w:snapToGrid/>
        <w:spacing w:line="640"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本部门的主要职能有：</w:t>
      </w:r>
    </w:p>
    <w:p w14:paraId="75371434">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（一）承担市委、市政府委托的工作，为本地区经济社会发展服务；负责我市在京的重大政务，经济活动联络协调和后勤服务工作。为本地区基层组织、社会组织和群众在京活动提供相关服务。</w:t>
      </w:r>
    </w:p>
    <w:p w14:paraId="7A8CF575">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（二）配合北京市做好维护首都稳定的有关工作，协助市有关部门做好我市赴京上访人员的信访劝返维稳工作。</w:t>
      </w:r>
    </w:p>
    <w:p w14:paraId="2DD21112">
      <w:pPr>
        <w:keepNext w:val="0"/>
        <w:keepLines w:val="0"/>
        <w:pageBreakBefore w:val="0"/>
        <w:widowControl/>
        <w:kinsoku/>
        <w:wordWrap/>
        <w:overflowPunct/>
        <w:topLinePunct w:val="0"/>
        <w:autoSpaceDE/>
        <w:autoSpaceDN/>
        <w:bidi w:val="0"/>
        <w:adjustRightInd/>
        <w:snapToGrid/>
        <w:spacing w:line="640"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（三）发挥宣传景德镇窗口和前哨作用，宣传景德镇历史名胜古迹、陶瓷文化和经济建设取得的成绩，扩大景德镇在北京乃至国内外的影响和知名度。</w:t>
      </w:r>
    </w:p>
    <w:p w14:paraId="7ABFB149">
      <w:pPr>
        <w:keepNext w:val="0"/>
        <w:keepLines w:val="0"/>
        <w:pageBreakBefore w:val="0"/>
        <w:widowControl/>
        <w:kinsoku/>
        <w:wordWrap/>
        <w:overflowPunct/>
        <w:topLinePunct w:val="0"/>
        <w:autoSpaceDE/>
        <w:autoSpaceDN/>
        <w:bidi w:val="0"/>
        <w:adjustRightInd/>
        <w:snapToGrid/>
        <w:spacing w:line="640" w:lineRule="exact"/>
        <w:ind w:firstLine="640"/>
        <w:jc w:val="left"/>
        <w:textAlignment w:val="auto"/>
        <w:rPr>
          <w:rFonts w:hint="eastAsia" w:ascii="仿宋" w:hAnsi="仿宋" w:eastAsia="仿宋" w:cs="仿宋"/>
          <w:sz w:val="32"/>
          <w:szCs w:val="32"/>
        </w:rPr>
      </w:pPr>
      <w:r>
        <w:rPr>
          <w:rFonts w:hint="eastAsia" w:ascii="仿宋" w:hAnsi="仿宋" w:eastAsia="仿宋" w:cs="仿宋"/>
          <w:sz w:val="32"/>
          <w:szCs w:val="32"/>
        </w:rPr>
        <w:t>（四）发挥信息网络作用，收集对景德镇市经济发展有参考价值的重要经济信息和发展动态，为市领导决策提供服务。</w:t>
      </w:r>
    </w:p>
    <w:p w14:paraId="1B412632">
      <w:pPr>
        <w:keepNext w:val="0"/>
        <w:keepLines w:val="0"/>
        <w:pageBreakBefore w:val="0"/>
        <w:kinsoku/>
        <w:wordWrap/>
        <w:overflowPunct/>
        <w:topLinePunct w:val="0"/>
        <w:autoSpaceDE/>
        <w:autoSpaceDN/>
        <w:bidi w:val="0"/>
        <w:adjustRightInd/>
        <w:snapToGrid/>
        <w:spacing w:line="640" w:lineRule="exact"/>
        <w:ind w:firstLine="629"/>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（五）协助党组织做好本地区在京活动流动党员的教育管理服务工作。</w:t>
      </w:r>
    </w:p>
    <w:p w14:paraId="64BD6942">
      <w:pPr>
        <w:keepNext w:val="0"/>
        <w:keepLines w:val="0"/>
        <w:pageBreakBefore w:val="0"/>
        <w:kinsoku/>
        <w:wordWrap/>
        <w:overflowPunct/>
        <w:topLinePunct w:val="0"/>
        <w:autoSpaceDE/>
        <w:autoSpaceDN/>
        <w:bidi w:val="0"/>
        <w:adjustRightInd/>
        <w:snapToGrid/>
        <w:spacing w:line="640" w:lineRule="exact"/>
        <w:ind w:firstLine="630"/>
        <w:jc w:val="left"/>
        <w:textAlignment w:val="auto"/>
        <w:rPr>
          <w:rFonts w:hint="eastAsia" w:ascii="仿宋" w:hAnsi="仿宋" w:eastAsia="仿宋" w:cs="仿宋"/>
          <w:sz w:val="32"/>
          <w:szCs w:val="32"/>
        </w:rPr>
      </w:pPr>
      <w:r>
        <w:rPr>
          <w:rFonts w:hint="eastAsia" w:ascii="仿宋" w:hAnsi="仿宋" w:eastAsia="仿宋" w:cs="仿宋"/>
          <w:sz w:val="32"/>
          <w:szCs w:val="32"/>
        </w:rPr>
        <w:t>二、部门基本情况</w:t>
      </w:r>
    </w:p>
    <w:p w14:paraId="15E20C9B">
      <w:pPr>
        <w:keepNext w:val="0"/>
        <w:keepLines w:val="0"/>
        <w:pageBreakBefore w:val="0"/>
        <w:kinsoku/>
        <w:wordWrap/>
        <w:overflowPunct/>
        <w:topLinePunct w:val="0"/>
        <w:autoSpaceDE/>
        <w:autoSpaceDN/>
        <w:bidi w:val="0"/>
        <w:adjustRightInd/>
        <w:snapToGrid/>
        <w:spacing w:line="640" w:lineRule="exact"/>
        <w:ind w:firstLine="629"/>
        <w:jc w:val="left"/>
        <w:textAlignment w:val="auto"/>
        <w:rPr>
          <w:rFonts w:hint="eastAsia" w:ascii="仿宋" w:hAnsi="仿宋" w:eastAsia="仿宋" w:cs="仿宋"/>
          <w:sz w:val="32"/>
          <w:szCs w:val="32"/>
        </w:rPr>
      </w:pPr>
      <w:r>
        <w:rPr>
          <w:rFonts w:hint="eastAsia" w:ascii="仿宋" w:hAnsi="仿宋" w:eastAsia="仿宋" w:cs="仿宋"/>
          <w:sz w:val="32"/>
          <w:szCs w:val="32"/>
        </w:rPr>
        <w:t>纳入本套部门决算汇编范围的单位共</w:t>
      </w:r>
      <w:r>
        <w:rPr>
          <w:rFonts w:hint="eastAsia" w:ascii="仿宋" w:hAnsi="仿宋" w:eastAsia="仿宋" w:cs="仿宋"/>
          <w:sz w:val="32"/>
          <w:szCs w:val="32"/>
          <w:lang w:val="en-US" w:eastAsia="zh-CN"/>
        </w:rPr>
        <w:t>1</w:t>
      </w:r>
      <w:r>
        <w:rPr>
          <w:rFonts w:hint="eastAsia" w:ascii="仿宋" w:hAnsi="仿宋" w:eastAsia="仿宋" w:cs="仿宋"/>
          <w:sz w:val="32"/>
          <w:szCs w:val="32"/>
        </w:rPr>
        <w:t>个，即驻京办。</w:t>
      </w:r>
    </w:p>
    <w:p w14:paraId="1D6E5FC6">
      <w:pPr>
        <w:keepNext w:val="0"/>
        <w:keepLines w:val="0"/>
        <w:pageBreakBefore w:val="0"/>
        <w:kinsoku/>
        <w:wordWrap/>
        <w:overflowPunct/>
        <w:topLinePunct w:val="0"/>
        <w:autoSpaceDE/>
        <w:autoSpaceDN/>
        <w:bidi w:val="0"/>
        <w:adjustRightInd/>
        <w:snapToGrid/>
        <w:spacing w:line="640" w:lineRule="exact"/>
        <w:ind w:firstLine="629"/>
        <w:jc w:val="left"/>
        <w:textAlignment w:val="auto"/>
        <w:rPr>
          <w:rFonts w:hint="eastAsia" w:ascii="仿宋_GB2312" w:eastAsia="仿宋_GB2312"/>
          <w:spacing w:val="-20"/>
          <w:sz w:val="32"/>
          <w:szCs w:val="32"/>
        </w:rPr>
      </w:pPr>
      <w:r>
        <w:rPr>
          <w:rFonts w:hint="eastAsia" w:ascii="仿宋" w:hAnsi="仿宋" w:eastAsia="仿宋" w:cs="仿宋"/>
          <w:sz w:val="32"/>
          <w:szCs w:val="32"/>
        </w:rPr>
        <w:t>本部门2019年年末实有人数</w:t>
      </w:r>
      <w:r>
        <w:rPr>
          <w:rFonts w:hint="eastAsia" w:ascii="仿宋" w:hAnsi="仿宋" w:eastAsia="仿宋" w:cs="仿宋"/>
          <w:sz w:val="32"/>
          <w:szCs w:val="32"/>
          <w:lang w:val="en-US" w:eastAsia="zh-CN"/>
        </w:rPr>
        <w:t>9</w:t>
      </w:r>
      <w:r>
        <w:rPr>
          <w:rFonts w:hint="eastAsia" w:ascii="仿宋" w:hAnsi="仿宋" w:eastAsia="仿宋" w:cs="仿宋"/>
          <w:sz w:val="32"/>
          <w:szCs w:val="32"/>
        </w:rPr>
        <w:t>人，其中在职人员</w:t>
      </w:r>
      <w:r>
        <w:rPr>
          <w:rFonts w:hint="eastAsia" w:ascii="仿宋" w:hAnsi="仿宋" w:eastAsia="仿宋" w:cs="仿宋"/>
          <w:sz w:val="32"/>
          <w:szCs w:val="32"/>
          <w:lang w:val="en-US" w:eastAsia="zh-CN"/>
        </w:rPr>
        <w:t>11</w:t>
      </w:r>
      <w:r>
        <w:rPr>
          <w:rFonts w:hint="eastAsia" w:ascii="仿宋" w:hAnsi="仿宋" w:eastAsia="仿宋" w:cs="仿宋"/>
          <w:sz w:val="32"/>
          <w:szCs w:val="32"/>
        </w:rPr>
        <w:t>人，</w:t>
      </w:r>
      <w:r>
        <w:rPr>
          <w:rFonts w:hint="eastAsia" w:ascii="仿宋" w:hAnsi="仿宋" w:eastAsia="仿宋" w:cs="仿宋"/>
          <w:spacing w:val="-20"/>
          <w:sz w:val="32"/>
          <w:szCs w:val="32"/>
        </w:rPr>
        <w:t>离休人员</w:t>
      </w:r>
      <w:r>
        <w:rPr>
          <w:rFonts w:hint="eastAsia" w:ascii="仿宋" w:hAnsi="仿宋" w:eastAsia="仿宋" w:cs="仿宋"/>
          <w:spacing w:val="-20"/>
          <w:sz w:val="32"/>
          <w:szCs w:val="32"/>
          <w:lang w:val="en-US" w:eastAsia="zh-CN"/>
        </w:rPr>
        <w:t>0</w:t>
      </w:r>
      <w:r>
        <w:rPr>
          <w:rFonts w:hint="eastAsia" w:ascii="仿宋" w:hAnsi="仿宋" w:eastAsia="仿宋" w:cs="仿宋"/>
          <w:spacing w:val="-20"/>
          <w:sz w:val="32"/>
          <w:szCs w:val="32"/>
        </w:rPr>
        <w:t>人，退休人员</w:t>
      </w:r>
      <w:r>
        <w:rPr>
          <w:rFonts w:hint="eastAsia" w:ascii="仿宋" w:hAnsi="仿宋" w:eastAsia="仿宋" w:cs="仿宋"/>
          <w:spacing w:val="-20"/>
          <w:sz w:val="32"/>
          <w:szCs w:val="32"/>
          <w:lang w:val="en-US" w:eastAsia="zh-CN"/>
        </w:rPr>
        <w:t>2</w:t>
      </w:r>
      <w:r>
        <w:rPr>
          <w:rFonts w:hint="eastAsia" w:ascii="仿宋" w:hAnsi="仿宋" w:eastAsia="仿宋" w:cs="仿宋"/>
          <w:spacing w:val="-20"/>
          <w:sz w:val="32"/>
          <w:szCs w:val="32"/>
        </w:rPr>
        <w:t>人；年末其他人员</w:t>
      </w:r>
      <w:r>
        <w:rPr>
          <w:rFonts w:hint="eastAsia" w:ascii="仿宋" w:hAnsi="仿宋" w:eastAsia="仿宋" w:cs="仿宋"/>
          <w:spacing w:val="-20"/>
          <w:sz w:val="32"/>
          <w:szCs w:val="32"/>
          <w:lang w:val="en-US" w:eastAsia="zh-CN"/>
        </w:rPr>
        <w:t>0</w:t>
      </w:r>
      <w:r>
        <w:rPr>
          <w:rFonts w:hint="eastAsia" w:ascii="仿宋" w:hAnsi="仿宋" w:eastAsia="仿宋" w:cs="仿宋"/>
          <w:spacing w:val="-20"/>
          <w:sz w:val="32"/>
          <w:szCs w:val="32"/>
        </w:rPr>
        <w:t>人；年末学生人数</w:t>
      </w:r>
      <w:r>
        <w:rPr>
          <w:rFonts w:hint="eastAsia" w:ascii="仿宋" w:hAnsi="仿宋" w:eastAsia="仿宋" w:cs="仿宋"/>
          <w:spacing w:val="-20"/>
          <w:sz w:val="32"/>
          <w:szCs w:val="32"/>
          <w:lang w:val="en-US" w:eastAsia="zh-CN"/>
        </w:rPr>
        <w:t>0</w:t>
      </w:r>
      <w:r>
        <w:rPr>
          <w:rFonts w:hint="eastAsia" w:ascii="仿宋" w:hAnsi="仿宋" w:eastAsia="仿宋" w:cs="仿宋"/>
          <w:spacing w:val="-20"/>
          <w:sz w:val="32"/>
          <w:szCs w:val="32"/>
        </w:rPr>
        <w:t>人。</w:t>
      </w:r>
    </w:p>
    <w:p w14:paraId="19FF392D">
      <w:pPr>
        <w:spacing w:line="500" w:lineRule="exact"/>
        <w:ind w:firstLine="629"/>
        <w:jc w:val="left"/>
        <w:rPr>
          <w:rFonts w:hint="eastAsia" w:ascii="仿宋_GB2312" w:eastAsia="仿宋_GB2312"/>
          <w:spacing w:val="-20"/>
          <w:sz w:val="32"/>
          <w:szCs w:val="32"/>
        </w:rPr>
      </w:pPr>
    </w:p>
    <w:p w14:paraId="5501D2A2">
      <w:pPr>
        <w:numPr>
          <w:ilvl w:val="0"/>
          <w:numId w:val="0"/>
        </w:numPr>
        <w:spacing w:line="540" w:lineRule="exact"/>
        <w:jc w:val="center"/>
        <w:rPr>
          <w:rFonts w:hint="eastAsia" w:ascii="黑体" w:eastAsia="黑体"/>
          <w:sz w:val="32"/>
          <w:szCs w:val="32"/>
          <w:lang w:val="en-US" w:eastAsia="zh-CN"/>
        </w:rPr>
      </w:pPr>
    </w:p>
    <w:p w14:paraId="15AC9028">
      <w:pPr>
        <w:numPr>
          <w:ilvl w:val="0"/>
          <w:numId w:val="0"/>
        </w:numPr>
        <w:spacing w:line="540" w:lineRule="exact"/>
        <w:jc w:val="center"/>
        <w:rPr>
          <w:rFonts w:hint="eastAsia" w:ascii="黑体" w:eastAsia="黑体"/>
          <w:sz w:val="32"/>
          <w:szCs w:val="32"/>
        </w:rPr>
      </w:pPr>
      <w:r>
        <w:rPr>
          <w:rFonts w:hint="eastAsia" w:ascii="黑体" w:eastAsia="黑体"/>
          <w:sz w:val="32"/>
          <w:szCs w:val="32"/>
          <w:lang w:val="en-US" w:eastAsia="zh-CN"/>
        </w:rPr>
        <w:t xml:space="preserve">第二部分 </w:t>
      </w:r>
      <w:r>
        <w:rPr>
          <w:rFonts w:ascii="黑体" w:eastAsia="黑体"/>
          <w:sz w:val="32"/>
          <w:szCs w:val="32"/>
        </w:rPr>
        <w:t xml:space="preserve"> 2019</w:t>
      </w:r>
      <w:r>
        <w:rPr>
          <w:rFonts w:hint="eastAsia" w:ascii="黑体" w:eastAsia="黑体"/>
          <w:sz w:val="32"/>
          <w:szCs w:val="32"/>
        </w:rPr>
        <w:t>年度部门决算表</w:t>
      </w:r>
    </w:p>
    <w:p w14:paraId="4CB8CED8">
      <w:pPr>
        <w:autoSpaceDE w:val="0"/>
        <w:autoSpaceDN w:val="0"/>
        <w:adjustRightInd w:val="0"/>
        <w:spacing w:line="360" w:lineRule="auto"/>
        <w:jc w:val="left"/>
        <w:rPr>
          <w:szCs w:val="30"/>
        </w:rPr>
      </w:pPr>
    </w:p>
    <w:p w14:paraId="0D6AB151">
      <w:pPr>
        <w:autoSpaceDE w:val="0"/>
        <w:autoSpaceDN w:val="0"/>
        <w:adjustRightInd w:val="0"/>
        <w:spacing w:line="360" w:lineRule="auto"/>
        <w:jc w:val="left"/>
        <w:rPr>
          <w:szCs w:val="30"/>
        </w:rPr>
      </w:pPr>
    </w:p>
    <w:p w14:paraId="765C906A">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8595" cy="5147945"/>
            <wp:effectExtent l="0" t="0" r="8255" b="14605"/>
            <wp:docPr id="15" name="图片 15" descr="1601950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601950122(1)"/>
                    <pic:cNvPicPr>
                      <a:picLocks noChangeAspect="1"/>
                    </pic:cNvPicPr>
                  </pic:nvPicPr>
                  <pic:blipFill>
                    <a:blip r:embed="rId4"/>
                    <a:stretch>
                      <a:fillRect/>
                    </a:stretch>
                  </pic:blipFill>
                  <pic:spPr>
                    <a:xfrm>
                      <a:off x="0" y="0"/>
                      <a:ext cx="5268595" cy="5147945"/>
                    </a:xfrm>
                    <a:prstGeom prst="rect">
                      <a:avLst/>
                    </a:prstGeom>
                  </pic:spPr>
                </pic:pic>
              </a:graphicData>
            </a:graphic>
          </wp:inline>
        </w:drawing>
      </w:r>
    </w:p>
    <w:p w14:paraId="7F3D7CF1">
      <w:pPr>
        <w:autoSpaceDE w:val="0"/>
        <w:autoSpaceDN w:val="0"/>
        <w:adjustRightInd w:val="0"/>
        <w:spacing w:line="360" w:lineRule="auto"/>
        <w:jc w:val="left"/>
        <w:rPr>
          <w:rFonts w:hint="eastAsia" w:eastAsia="宋体"/>
          <w:szCs w:val="30"/>
          <w:lang w:eastAsia="zh-CN"/>
        </w:rPr>
      </w:pPr>
    </w:p>
    <w:p w14:paraId="789CFCC3">
      <w:pPr>
        <w:autoSpaceDE w:val="0"/>
        <w:autoSpaceDN w:val="0"/>
        <w:adjustRightInd w:val="0"/>
        <w:spacing w:line="360" w:lineRule="auto"/>
        <w:jc w:val="left"/>
        <w:rPr>
          <w:rFonts w:hint="eastAsia" w:eastAsia="宋体"/>
          <w:lang w:eastAsia="zh-CN"/>
        </w:rPr>
      </w:pPr>
      <w:r>
        <w:rPr>
          <w:rFonts w:hint="eastAsia" w:eastAsia="宋体"/>
          <w:lang w:eastAsia="zh-CN"/>
        </w:rPr>
        <w:drawing>
          <wp:inline distT="0" distB="0" distL="114300" distR="114300">
            <wp:extent cx="5271135" cy="2814955"/>
            <wp:effectExtent l="0" t="0" r="5715" b="4445"/>
            <wp:docPr id="2" name="图片 2" descr="16019495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01949580(1)"/>
                    <pic:cNvPicPr>
                      <a:picLocks noChangeAspect="1"/>
                    </pic:cNvPicPr>
                  </pic:nvPicPr>
                  <pic:blipFill>
                    <a:blip r:embed="rId5"/>
                    <a:stretch>
                      <a:fillRect/>
                    </a:stretch>
                  </pic:blipFill>
                  <pic:spPr>
                    <a:xfrm>
                      <a:off x="0" y="0"/>
                      <a:ext cx="5271135" cy="2814955"/>
                    </a:xfrm>
                    <a:prstGeom prst="rect">
                      <a:avLst/>
                    </a:prstGeom>
                  </pic:spPr>
                </pic:pic>
              </a:graphicData>
            </a:graphic>
          </wp:inline>
        </w:drawing>
      </w:r>
    </w:p>
    <w:p w14:paraId="39B19266">
      <w:pPr>
        <w:autoSpaceDE w:val="0"/>
        <w:autoSpaceDN w:val="0"/>
        <w:adjustRightInd w:val="0"/>
        <w:spacing w:line="360" w:lineRule="auto"/>
        <w:jc w:val="left"/>
        <w:rPr>
          <w:rFonts w:hint="eastAsia" w:eastAsia="宋体"/>
          <w:lang w:eastAsia="zh-CN"/>
        </w:rPr>
      </w:pPr>
    </w:p>
    <w:p w14:paraId="4513EC9A">
      <w:pPr>
        <w:autoSpaceDE w:val="0"/>
        <w:autoSpaceDN w:val="0"/>
        <w:adjustRightInd w:val="0"/>
        <w:spacing w:line="360" w:lineRule="auto"/>
        <w:jc w:val="left"/>
        <w:rPr>
          <w:rFonts w:hint="eastAsia" w:eastAsia="宋体"/>
          <w:lang w:eastAsia="zh-CN"/>
        </w:rPr>
      </w:pPr>
    </w:p>
    <w:p w14:paraId="74AC745F">
      <w:pPr>
        <w:autoSpaceDE w:val="0"/>
        <w:autoSpaceDN w:val="0"/>
        <w:adjustRightInd w:val="0"/>
        <w:spacing w:line="360" w:lineRule="auto"/>
        <w:jc w:val="left"/>
        <w:rPr>
          <w:rFonts w:hint="eastAsia" w:eastAsia="宋体"/>
          <w:lang w:eastAsia="zh-CN"/>
        </w:rPr>
      </w:pPr>
    </w:p>
    <w:p w14:paraId="50140319">
      <w:pPr>
        <w:autoSpaceDE w:val="0"/>
        <w:autoSpaceDN w:val="0"/>
        <w:adjustRightInd w:val="0"/>
        <w:spacing w:line="360" w:lineRule="auto"/>
        <w:jc w:val="left"/>
        <w:rPr>
          <w:rFonts w:ascii="仿宋" w:hAnsi="仿宋" w:eastAsia="仿宋" w:cs="仿宋_GB2312"/>
          <w:kern w:val="0"/>
          <w:sz w:val="30"/>
          <w:szCs w:val="30"/>
        </w:rPr>
      </w:pPr>
      <w:r>
        <w:rPr>
          <w:rFonts w:hint="eastAsia" w:eastAsia="宋体"/>
          <w:lang w:eastAsia="zh-CN"/>
        </w:rPr>
        <w:drawing>
          <wp:inline distT="0" distB="0" distL="114300" distR="114300">
            <wp:extent cx="5270500" cy="3109595"/>
            <wp:effectExtent l="0" t="0" r="6350" b="14605"/>
            <wp:docPr id="5" name="图片 5" descr="16019496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01949639(1)"/>
                    <pic:cNvPicPr>
                      <a:picLocks noChangeAspect="1"/>
                    </pic:cNvPicPr>
                  </pic:nvPicPr>
                  <pic:blipFill>
                    <a:blip r:embed="rId6"/>
                    <a:stretch>
                      <a:fillRect/>
                    </a:stretch>
                  </pic:blipFill>
                  <pic:spPr>
                    <a:xfrm>
                      <a:off x="0" y="0"/>
                      <a:ext cx="5270500" cy="3109595"/>
                    </a:xfrm>
                    <a:prstGeom prst="rect">
                      <a:avLst/>
                    </a:prstGeom>
                  </pic:spPr>
                </pic:pic>
              </a:graphicData>
            </a:graphic>
          </wp:inline>
        </w:drawing>
      </w:r>
    </w:p>
    <w:p w14:paraId="3C31C74E">
      <w:pPr>
        <w:autoSpaceDE w:val="0"/>
        <w:autoSpaceDN w:val="0"/>
        <w:adjustRightInd w:val="0"/>
        <w:spacing w:line="360" w:lineRule="auto"/>
        <w:jc w:val="left"/>
        <w:rPr>
          <w:szCs w:val="30"/>
        </w:rPr>
      </w:pPr>
    </w:p>
    <w:p w14:paraId="4EEFAB31">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9865" cy="5118100"/>
            <wp:effectExtent l="0" t="0" r="6985" b="6350"/>
            <wp:docPr id="9" name="图片 9" descr="16019497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01949728(1)"/>
                    <pic:cNvPicPr>
                      <a:picLocks noChangeAspect="1"/>
                    </pic:cNvPicPr>
                  </pic:nvPicPr>
                  <pic:blipFill>
                    <a:blip r:embed="rId7"/>
                    <a:stretch>
                      <a:fillRect/>
                    </a:stretch>
                  </pic:blipFill>
                  <pic:spPr>
                    <a:xfrm>
                      <a:off x="0" y="0"/>
                      <a:ext cx="5269865" cy="5118100"/>
                    </a:xfrm>
                    <a:prstGeom prst="rect">
                      <a:avLst/>
                    </a:prstGeom>
                  </pic:spPr>
                </pic:pic>
              </a:graphicData>
            </a:graphic>
          </wp:inline>
        </w:drawing>
      </w:r>
    </w:p>
    <w:p w14:paraId="611E294F">
      <w:pPr>
        <w:autoSpaceDE w:val="0"/>
        <w:autoSpaceDN w:val="0"/>
        <w:adjustRightInd w:val="0"/>
        <w:spacing w:line="360" w:lineRule="auto"/>
        <w:jc w:val="left"/>
        <w:rPr>
          <w:rFonts w:hint="eastAsia" w:eastAsia="宋体"/>
          <w:szCs w:val="30"/>
          <w:lang w:eastAsia="zh-CN"/>
        </w:rPr>
      </w:pPr>
    </w:p>
    <w:p w14:paraId="7A13127F">
      <w:pPr>
        <w:autoSpaceDE w:val="0"/>
        <w:autoSpaceDN w:val="0"/>
        <w:adjustRightInd w:val="0"/>
        <w:spacing w:line="360" w:lineRule="auto"/>
        <w:jc w:val="left"/>
        <w:rPr>
          <w:szCs w:val="30"/>
        </w:rPr>
      </w:pPr>
      <w:r>
        <w:rPr>
          <w:rFonts w:hint="eastAsia" w:ascii="仿宋" w:hAnsi="仿宋" w:eastAsia="仿宋" w:cs="仿宋_GB2312"/>
          <w:kern w:val="0"/>
          <w:sz w:val="30"/>
          <w:szCs w:val="30"/>
          <w:lang w:eastAsia="zh-CN"/>
        </w:rPr>
        <w:drawing>
          <wp:inline distT="0" distB="0" distL="114300" distR="114300">
            <wp:extent cx="5270500" cy="3160395"/>
            <wp:effectExtent l="0" t="0" r="6350" b="1905"/>
            <wp:docPr id="10" name="图片 10" descr="16019498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01949809(1)"/>
                    <pic:cNvPicPr>
                      <a:picLocks noChangeAspect="1"/>
                    </pic:cNvPicPr>
                  </pic:nvPicPr>
                  <pic:blipFill>
                    <a:blip r:embed="rId8"/>
                    <a:stretch>
                      <a:fillRect/>
                    </a:stretch>
                  </pic:blipFill>
                  <pic:spPr>
                    <a:xfrm>
                      <a:off x="0" y="0"/>
                      <a:ext cx="5270500" cy="3160395"/>
                    </a:xfrm>
                    <a:prstGeom prst="rect">
                      <a:avLst/>
                    </a:prstGeom>
                  </pic:spPr>
                </pic:pic>
              </a:graphicData>
            </a:graphic>
          </wp:inline>
        </w:drawing>
      </w:r>
    </w:p>
    <w:p w14:paraId="5CA19D75">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9230" cy="8727440"/>
            <wp:effectExtent l="0" t="0" r="7620" b="16510"/>
            <wp:docPr id="16" name="图片 16" descr="1601970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601970120"/>
                    <pic:cNvPicPr>
                      <a:picLocks noChangeAspect="1"/>
                    </pic:cNvPicPr>
                  </pic:nvPicPr>
                  <pic:blipFill>
                    <a:blip r:embed="rId9"/>
                    <a:stretch>
                      <a:fillRect/>
                    </a:stretch>
                  </pic:blipFill>
                  <pic:spPr>
                    <a:xfrm>
                      <a:off x="0" y="0"/>
                      <a:ext cx="5269230" cy="8727440"/>
                    </a:xfrm>
                    <a:prstGeom prst="rect">
                      <a:avLst/>
                    </a:prstGeom>
                  </pic:spPr>
                </pic:pic>
              </a:graphicData>
            </a:graphic>
          </wp:inline>
        </w:drawing>
      </w:r>
    </w:p>
    <w:p w14:paraId="1857AD3D">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8595" cy="5002530"/>
            <wp:effectExtent l="0" t="0" r="8255" b="7620"/>
            <wp:docPr id="12" name="图片 12" descr="16019498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01949885(1)"/>
                    <pic:cNvPicPr>
                      <a:picLocks noChangeAspect="1"/>
                    </pic:cNvPicPr>
                  </pic:nvPicPr>
                  <pic:blipFill>
                    <a:blip r:embed="rId10"/>
                    <a:stretch>
                      <a:fillRect/>
                    </a:stretch>
                  </pic:blipFill>
                  <pic:spPr>
                    <a:xfrm>
                      <a:off x="0" y="0"/>
                      <a:ext cx="5268595" cy="5002530"/>
                    </a:xfrm>
                    <a:prstGeom prst="rect">
                      <a:avLst/>
                    </a:prstGeom>
                  </pic:spPr>
                </pic:pic>
              </a:graphicData>
            </a:graphic>
          </wp:inline>
        </w:drawing>
      </w:r>
    </w:p>
    <w:p w14:paraId="7C983228">
      <w:pPr>
        <w:autoSpaceDE w:val="0"/>
        <w:autoSpaceDN w:val="0"/>
        <w:adjustRightInd w:val="0"/>
        <w:spacing w:line="360" w:lineRule="auto"/>
        <w:jc w:val="left"/>
        <w:rPr>
          <w:szCs w:val="30"/>
        </w:rPr>
      </w:pPr>
    </w:p>
    <w:p w14:paraId="1715AD56">
      <w:pPr>
        <w:autoSpaceDE w:val="0"/>
        <w:autoSpaceDN w:val="0"/>
        <w:adjustRightInd w:val="0"/>
        <w:spacing w:line="360" w:lineRule="auto"/>
        <w:jc w:val="left"/>
        <w:rPr>
          <w:szCs w:val="30"/>
        </w:rPr>
      </w:pPr>
    </w:p>
    <w:p w14:paraId="7199CC35">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8595" cy="2463800"/>
            <wp:effectExtent l="0" t="0" r="8255" b="12700"/>
            <wp:docPr id="13" name="图片 13" descr="16019499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01949906(1)"/>
                    <pic:cNvPicPr>
                      <a:picLocks noChangeAspect="1"/>
                    </pic:cNvPicPr>
                  </pic:nvPicPr>
                  <pic:blipFill>
                    <a:blip r:embed="rId11"/>
                    <a:stretch>
                      <a:fillRect/>
                    </a:stretch>
                  </pic:blipFill>
                  <pic:spPr>
                    <a:xfrm>
                      <a:off x="0" y="0"/>
                      <a:ext cx="5268595" cy="2463800"/>
                    </a:xfrm>
                    <a:prstGeom prst="rect">
                      <a:avLst/>
                    </a:prstGeom>
                  </pic:spPr>
                </pic:pic>
              </a:graphicData>
            </a:graphic>
          </wp:inline>
        </w:drawing>
      </w:r>
    </w:p>
    <w:p w14:paraId="0776CE4A">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271770" cy="2959100"/>
            <wp:effectExtent l="0" t="0" r="5080" b="12700"/>
            <wp:docPr id="14" name="图片 14" descr="16019499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01949938(1)"/>
                    <pic:cNvPicPr>
                      <a:picLocks noChangeAspect="1"/>
                    </pic:cNvPicPr>
                  </pic:nvPicPr>
                  <pic:blipFill>
                    <a:blip r:embed="rId12"/>
                    <a:stretch>
                      <a:fillRect/>
                    </a:stretch>
                  </pic:blipFill>
                  <pic:spPr>
                    <a:xfrm>
                      <a:off x="0" y="0"/>
                      <a:ext cx="5271770" cy="2959100"/>
                    </a:xfrm>
                    <a:prstGeom prst="rect">
                      <a:avLst/>
                    </a:prstGeom>
                  </pic:spPr>
                </pic:pic>
              </a:graphicData>
            </a:graphic>
          </wp:inline>
        </w:drawing>
      </w:r>
    </w:p>
    <w:p w14:paraId="7EB473F5">
      <w:pPr>
        <w:widowControl/>
        <w:spacing w:line="600" w:lineRule="exact"/>
        <w:ind w:firstLine="640"/>
        <w:jc w:val="center"/>
        <w:rPr>
          <w:rFonts w:hint="eastAsia" w:ascii="宋体"/>
          <w:b/>
          <w:sz w:val="32"/>
          <w:szCs w:val="32"/>
        </w:rPr>
      </w:pPr>
    </w:p>
    <w:p w14:paraId="0755AFF1">
      <w:pPr>
        <w:widowControl/>
        <w:numPr>
          <w:ilvl w:val="0"/>
          <w:numId w:val="1"/>
        </w:numPr>
        <w:spacing w:line="600" w:lineRule="exact"/>
        <w:ind w:firstLine="640"/>
        <w:jc w:val="center"/>
        <w:rPr>
          <w:rFonts w:hint="eastAsia" w:ascii="黑体" w:hAnsi="宋体" w:eastAsia="黑体"/>
          <w:sz w:val="32"/>
          <w:szCs w:val="32"/>
        </w:rPr>
      </w:pPr>
      <w:r>
        <w:rPr>
          <w:rFonts w:hint="eastAsia" w:ascii="黑体" w:hAnsi="宋体" w:eastAsia="黑体"/>
          <w:sz w:val="32"/>
          <w:szCs w:val="32"/>
        </w:rPr>
        <w:t xml:space="preserve"> 2019年度部门决算情况说明</w:t>
      </w:r>
    </w:p>
    <w:p w14:paraId="2FEA6258">
      <w:pPr>
        <w:widowControl/>
        <w:numPr>
          <w:ilvl w:val="0"/>
          <w:numId w:val="0"/>
        </w:numPr>
        <w:spacing w:line="600" w:lineRule="exact"/>
        <w:jc w:val="both"/>
        <w:rPr>
          <w:rFonts w:hint="eastAsia" w:ascii="黑体" w:hAnsi="宋体" w:eastAsia="黑体"/>
          <w:sz w:val="32"/>
          <w:szCs w:val="32"/>
        </w:rPr>
      </w:pPr>
    </w:p>
    <w:p w14:paraId="3C98D04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eastAsia="黑体"/>
          <w:sz w:val="32"/>
          <w:szCs w:val="32"/>
        </w:rPr>
      </w:pPr>
      <w:r>
        <w:rPr>
          <w:rFonts w:hint="eastAsia" w:ascii="黑体" w:eastAsia="黑体"/>
          <w:sz w:val="32"/>
          <w:szCs w:val="32"/>
        </w:rPr>
        <w:t>一、收入决算情况说明</w:t>
      </w:r>
    </w:p>
    <w:p w14:paraId="7F8BE17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本部门2019年度收入总计</w:t>
      </w:r>
      <w:r>
        <w:rPr>
          <w:rFonts w:hint="eastAsia" w:ascii="仿宋" w:hAnsi="仿宋" w:eastAsia="仿宋" w:cs="仿宋"/>
          <w:sz w:val="32"/>
          <w:szCs w:val="32"/>
          <w:lang w:val="en-US" w:eastAsia="zh-CN"/>
        </w:rPr>
        <w:t>589.41</w:t>
      </w:r>
      <w:r>
        <w:rPr>
          <w:rFonts w:hint="eastAsia" w:ascii="仿宋" w:hAnsi="仿宋" w:eastAsia="仿宋" w:cs="仿宋"/>
          <w:sz w:val="32"/>
          <w:szCs w:val="32"/>
        </w:rPr>
        <w:t>万元，其中年初结转和结余</w:t>
      </w:r>
      <w:r>
        <w:rPr>
          <w:rFonts w:hint="eastAsia" w:ascii="仿宋" w:hAnsi="仿宋" w:eastAsia="仿宋" w:cs="仿宋"/>
          <w:sz w:val="32"/>
          <w:szCs w:val="32"/>
          <w:lang w:val="en-US" w:eastAsia="zh-CN"/>
        </w:rPr>
        <w:t>17.13</w:t>
      </w:r>
      <w:r>
        <w:rPr>
          <w:rFonts w:hint="eastAsia" w:ascii="仿宋" w:hAnsi="仿宋" w:eastAsia="仿宋" w:cs="仿宋"/>
          <w:sz w:val="32"/>
          <w:szCs w:val="32"/>
        </w:rPr>
        <w:t>万元，较2018年增加</w:t>
      </w:r>
      <w:r>
        <w:rPr>
          <w:rFonts w:hint="eastAsia" w:ascii="仿宋" w:hAnsi="仿宋" w:eastAsia="仿宋" w:cs="仿宋"/>
          <w:sz w:val="32"/>
          <w:szCs w:val="32"/>
          <w:lang w:val="en-US" w:eastAsia="zh-CN"/>
        </w:rPr>
        <w:t>15.75</w:t>
      </w:r>
      <w:r>
        <w:rPr>
          <w:rFonts w:hint="eastAsia" w:ascii="仿宋" w:hAnsi="仿宋" w:eastAsia="仿宋" w:cs="仿宋"/>
          <w:sz w:val="32"/>
          <w:szCs w:val="32"/>
        </w:rPr>
        <w:t>万元，增长</w:t>
      </w:r>
      <w:r>
        <w:rPr>
          <w:rFonts w:hint="eastAsia" w:ascii="仿宋" w:hAnsi="仿宋" w:eastAsia="仿宋" w:cs="仿宋"/>
          <w:sz w:val="32"/>
          <w:szCs w:val="32"/>
          <w:lang w:val="en-US" w:eastAsia="zh-CN"/>
        </w:rPr>
        <w:t>1141.3</w:t>
      </w:r>
      <w:r>
        <w:rPr>
          <w:rFonts w:hint="eastAsia" w:ascii="仿宋" w:hAnsi="仿宋" w:eastAsia="仿宋" w:cs="仿宋"/>
          <w:sz w:val="32"/>
          <w:szCs w:val="32"/>
        </w:rPr>
        <w:t>%；本年收入合计</w:t>
      </w:r>
      <w:r>
        <w:rPr>
          <w:rFonts w:hint="eastAsia" w:ascii="仿宋" w:hAnsi="仿宋" w:eastAsia="仿宋" w:cs="仿宋"/>
          <w:sz w:val="32"/>
          <w:szCs w:val="32"/>
          <w:lang w:val="en-US" w:eastAsia="zh-CN"/>
        </w:rPr>
        <w:t>572.28</w:t>
      </w:r>
      <w:r>
        <w:rPr>
          <w:rFonts w:hint="eastAsia" w:ascii="仿宋" w:hAnsi="仿宋" w:eastAsia="仿宋" w:cs="仿宋"/>
          <w:sz w:val="32"/>
          <w:szCs w:val="32"/>
        </w:rPr>
        <w:t>万元，较2018年增加</w:t>
      </w:r>
      <w:r>
        <w:rPr>
          <w:rFonts w:hint="eastAsia" w:ascii="仿宋" w:hAnsi="仿宋" w:eastAsia="仿宋" w:cs="仿宋"/>
          <w:sz w:val="32"/>
          <w:szCs w:val="32"/>
          <w:lang w:val="en-US" w:eastAsia="zh-CN"/>
        </w:rPr>
        <w:t>246.04</w:t>
      </w:r>
      <w:r>
        <w:rPr>
          <w:rFonts w:hint="eastAsia" w:ascii="仿宋" w:hAnsi="仿宋" w:eastAsia="仿宋" w:cs="仿宋"/>
          <w:sz w:val="32"/>
          <w:szCs w:val="32"/>
        </w:rPr>
        <w:t>万元，增长</w:t>
      </w:r>
      <w:r>
        <w:rPr>
          <w:rFonts w:hint="eastAsia" w:ascii="仿宋" w:hAnsi="仿宋" w:eastAsia="仿宋" w:cs="仿宋"/>
          <w:sz w:val="32"/>
          <w:szCs w:val="32"/>
          <w:lang w:val="en-US" w:eastAsia="zh-CN"/>
        </w:rPr>
        <w:t>75.41</w:t>
      </w:r>
      <w:r>
        <w:rPr>
          <w:rFonts w:hint="eastAsia" w:ascii="仿宋" w:hAnsi="仿宋" w:eastAsia="仿宋" w:cs="仿宋"/>
          <w:sz w:val="32"/>
          <w:szCs w:val="32"/>
        </w:rPr>
        <w:t>%，主要原因是：购置办公用设备。</w:t>
      </w:r>
    </w:p>
    <w:p w14:paraId="0BC650E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本年收入的具体构成为：财政拨款收入</w:t>
      </w:r>
      <w:r>
        <w:rPr>
          <w:rFonts w:hint="eastAsia" w:ascii="仿宋" w:hAnsi="仿宋" w:eastAsia="仿宋" w:cs="仿宋"/>
          <w:sz w:val="32"/>
          <w:szCs w:val="32"/>
          <w:lang w:val="en-US" w:eastAsia="zh-CN"/>
        </w:rPr>
        <w:t>554.11</w:t>
      </w:r>
      <w:r>
        <w:rPr>
          <w:rFonts w:hint="eastAsia" w:ascii="仿宋" w:hAnsi="仿宋" w:eastAsia="仿宋" w:cs="仿宋"/>
          <w:sz w:val="32"/>
          <w:szCs w:val="32"/>
        </w:rPr>
        <w:t>万元，占</w:t>
      </w:r>
      <w:r>
        <w:rPr>
          <w:rFonts w:hint="eastAsia" w:ascii="仿宋" w:hAnsi="仿宋" w:eastAsia="仿宋" w:cs="仿宋"/>
          <w:sz w:val="32"/>
          <w:szCs w:val="32"/>
          <w:lang w:val="en-US" w:eastAsia="zh-CN"/>
        </w:rPr>
        <w:t>96.82</w:t>
      </w:r>
      <w:r>
        <w:rPr>
          <w:rFonts w:hint="eastAsia" w:ascii="仿宋" w:hAnsi="仿宋" w:eastAsia="仿宋" w:cs="仿宋"/>
          <w:sz w:val="32"/>
          <w:szCs w:val="32"/>
        </w:rPr>
        <w:t>%；事业收入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%；经营收入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%；其他收入</w:t>
      </w:r>
      <w:r>
        <w:rPr>
          <w:rFonts w:hint="eastAsia" w:ascii="仿宋" w:hAnsi="仿宋" w:eastAsia="仿宋" w:cs="仿宋"/>
          <w:sz w:val="32"/>
          <w:szCs w:val="32"/>
          <w:lang w:val="en-US" w:eastAsia="zh-CN"/>
        </w:rPr>
        <w:t>18.16</w:t>
      </w:r>
      <w:r>
        <w:rPr>
          <w:rFonts w:hint="eastAsia" w:ascii="仿宋" w:hAnsi="仿宋" w:eastAsia="仿宋" w:cs="仿宋"/>
          <w:sz w:val="32"/>
          <w:szCs w:val="32"/>
        </w:rPr>
        <w:t>万元，占</w:t>
      </w:r>
      <w:r>
        <w:rPr>
          <w:rFonts w:hint="eastAsia" w:ascii="仿宋" w:hAnsi="仿宋" w:eastAsia="仿宋" w:cs="仿宋"/>
          <w:sz w:val="32"/>
          <w:szCs w:val="32"/>
          <w:lang w:val="en-US" w:eastAsia="zh-CN"/>
        </w:rPr>
        <w:t>3.18</w:t>
      </w:r>
      <w:r>
        <w:rPr>
          <w:rFonts w:hint="eastAsia" w:ascii="仿宋" w:hAnsi="仿宋" w:eastAsia="仿宋" w:cs="仿宋"/>
          <w:sz w:val="32"/>
          <w:szCs w:val="32"/>
        </w:rPr>
        <w:t xml:space="preserve">%。  </w:t>
      </w:r>
    </w:p>
    <w:p w14:paraId="367DEAD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eastAsia="黑体"/>
          <w:sz w:val="32"/>
          <w:szCs w:val="32"/>
        </w:rPr>
      </w:pPr>
      <w:r>
        <w:rPr>
          <w:rFonts w:hint="eastAsia" w:ascii="黑体" w:eastAsia="黑体"/>
          <w:sz w:val="32"/>
          <w:szCs w:val="32"/>
        </w:rPr>
        <w:t>二、支出决算情况说明</w:t>
      </w:r>
    </w:p>
    <w:p w14:paraId="0398D98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本部门2019年度支出总计</w:t>
      </w:r>
      <w:r>
        <w:rPr>
          <w:rFonts w:hint="eastAsia" w:ascii="仿宋_GB2312" w:eastAsia="仿宋_GB2312"/>
          <w:sz w:val="32"/>
          <w:szCs w:val="32"/>
          <w:lang w:val="en-US" w:eastAsia="zh-CN"/>
        </w:rPr>
        <w:t>589.41</w:t>
      </w:r>
      <w:r>
        <w:rPr>
          <w:rFonts w:hint="eastAsia" w:ascii="仿宋_GB2312" w:eastAsia="仿宋_GB2312"/>
          <w:sz w:val="32"/>
          <w:szCs w:val="32"/>
        </w:rPr>
        <w:t>万元，其中本年支出合计</w:t>
      </w:r>
      <w:r>
        <w:rPr>
          <w:rFonts w:hint="eastAsia" w:ascii="仿宋_GB2312" w:eastAsia="仿宋_GB2312"/>
          <w:sz w:val="32"/>
          <w:szCs w:val="32"/>
          <w:lang w:val="en-US" w:eastAsia="zh-CN"/>
        </w:rPr>
        <w:t>444.89</w:t>
      </w:r>
      <w:r>
        <w:rPr>
          <w:rFonts w:hint="eastAsia" w:ascii="仿宋_GB2312" w:eastAsia="仿宋_GB2312"/>
          <w:sz w:val="32"/>
          <w:szCs w:val="32"/>
        </w:rPr>
        <w:t>万元，较2018年增加</w:t>
      </w:r>
      <w:r>
        <w:rPr>
          <w:rFonts w:hint="eastAsia" w:ascii="仿宋_GB2312" w:eastAsia="仿宋_GB2312"/>
          <w:sz w:val="32"/>
          <w:szCs w:val="32"/>
          <w:lang w:val="en-US" w:eastAsia="zh-CN"/>
        </w:rPr>
        <w:t>135.78</w:t>
      </w:r>
      <w:r>
        <w:rPr>
          <w:rFonts w:hint="eastAsia" w:ascii="仿宋_GB2312" w:eastAsia="仿宋_GB2312"/>
          <w:sz w:val="32"/>
          <w:szCs w:val="32"/>
        </w:rPr>
        <w:t>万元，增长</w:t>
      </w:r>
      <w:r>
        <w:rPr>
          <w:rFonts w:hint="eastAsia" w:ascii="仿宋_GB2312" w:eastAsia="仿宋_GB2312"/>
          <w:sz w:val="32"/>
          <w:szCs w:val="32"/>
          <w:lang w:val="en-US" w:eastAsia="zh-CN"/>
        </w:rPr>
        <w:t>43.93</w:t>
      </w:r>
      <w:r>
        <w:rPr>
          <w:rFonts w:hint="eastAsia" w:ascii="仿宋_GB2312" w:eastAsia="仿宋_GB2312"/>
          <w:sz w:val="32"/>
          <w:szCs w:val="32"/>
        </w:rPr>
        <w:t>%，主要原因是：</w:t>
      </w:r>
      <w:r>
        <w:rPr>
          <w:rFonts w:hint="eastAsia" w:ascii="仿宋" w:hAnsi="仿宋" w:eastAsia="仿宋" w:cs="仿宋"/>
          <w:sz w:val="32"/>
          <w:szCs w:val="32"/>
        </w:rPr>
        <w:t>专项经费</w:t>
      </w:r>
      <w:r>
        <w:rPr>
          <w:rFonts w:hint="eastAsia" w:ascii="仿宋" w:hAnsi="仿宋" w:eastAsia="仿宋" w:cs="仿宋"/>
          <w:sz w:val="32"/>
          <w:szCs w:val="32"/>
          <w:lang w:val="en-US" w:eastAsia="zh-CN"/>
        </w:rPr>
        <w:t>增加</w:t>
      </w:r>
      <w:r>
        <w:rPr>
          <w:rFonts w:hint="eastAsia" w:ascii="仿宋_GB2312" w:eastAsia="仿宋_GB2312"/>
          <w:sz w:val="32"/>
          <w:szCs w:val="32"/>
        </w:rPr>
        <w:t>；年末结转和结余</w:t>
      </w:r>
      <w:r>
        <w:rPr>
          <w:rFonts w:hint="eastAsia" w:ascii="仿宋_GB2312" w:eastAsia="仿宋_GB2312"/>
          <w:sz w:val="32"/>
          <w:szCs w:val="32"/>
          <w:lang w:val="en-US" w:eastAsia="zh-CN"/>
        </w:rPr>
        <w:t>144.51</w:t>
      </w:r>
      <w:r>
        <w:rPr>
          <w:rFonts w:hint="eastAsia" w:ascii="仿宋_GB2312" w:eastAsia="仿宋_GB2312"/>
          <w:sz w:val="32"/>
          <w:szCs w:val="32"/>
        </w:rPr>
        <w:t>万元，较2018年增加</w:t>
      </w:r>
      <w:r>
        <w:rPr>
          <w:rFonts w:hint="eastAsia" w:ascii="仿宋_GB2312" w:eastAsia="仿宋_GB2312"/>
          <w:sz w:val="32"/>
          <w:szCs w:val="32"/>
          <w:lang w:val="en-US" w:eastAsia="zh-CN"/>
        </w:rPr>
        <w:t>126.01</w:t>
      </w:r>
      <w:r>
        <w:rPr>
          <w:rFonts w:hint="eastAsia" w:ascii="仿宋_GB2312" w:eastAsia="仿宋_GB2312"/>
          <w:sz w:val="32"/>
          <w:szCs w:val="32"/>
        </w:rPr>
        <w:t>万元，增长</w:t>
      </w:r>
      <w:r>
        <w:rPr>
          <w:rFonts w:hint="eastAsia" w:ascii="仿宋_GB2312" w:eastAsia="仿宋_GB2312"/>
          <w:sz w:val="32"/>
          <w:szCs w:val="32"/>
          <w:lang w:val="en-US" w:eastAsia="zh-CN"/>
        </w:rPr>
        <w:t>681.14</w:t>
      </w:r>
      <w:r>
        <w:rPr>
          <w:rFonts w:hint="eastAsia" w:ascii="仿宋_GB2312" w:eastAsia="仿宋_GB2312"/>
          <w:sz w:val="32"/>
          <w:szCs w:val="32"/>
        </w:rPr>
        <w:t>%，主要原因是：</w:t>
      </w:r>
      <w:r>
        <w:rPr>
          <w:rFonts w:hint="eastAsia" w:ascii="仿宋_GB2312" w:eastAsia="仿宋_GB2312"/>
          <w:sz w:val="32"/>
          <w:szCs w:val="32"/>
          <w:lang w:val="en-US" w:eastAsia="zh-CN"/>
        </w:rPr>
        <w:t>上年结余较多</w:t>
      </w:r>
      <w:r>
        <w:rPr>
          <w:rFonts w:hint="eastAsia" w:ascii="仿宋_GB2312" w:eastAsia="仿宋_GB2312"/>
          <w:sz w:val="32"/>
          <w:szCs w:val="32"/>
        </w:rPr>
        <w:t>。</w:t>
      </w:r>
    </w:p>
    <w:p w14:paraId="6A2B547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本年支出的具体构成为：基本支出</w:t>
      </w:r>
      <w:r>
        <w:rPr>
          <w:rFonts w:hint="eastAsia" w:ascii="仿宋_GB2312" w:eastAsia="仿宋_GB2312"/>
          <w:sz w:val="32"/>
          <w:szCs w:val="32"/>
          <w:lang w:val="en-US" w:eastAsia="zh-CN"/>
        </w:rPr>
        <w:t>444.89</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%；经营支出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%；其他支出（对附属单位补助支出、上缴上级支出）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hint="eastAsia" w:ascii="仿宋_GB2312" w:eastAsia="仿宋_GB2312"/>
          <w:sz w:val="32"/>
          <w:szCs w:val="32"/>
        </w:rPr>
        <w:t>%。</w:t>
      </w:r>
    </w:p>
    <w:p w14:paraId="4ED1563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eastAsia="黑体"/>
          <w:sz w:val="32"/>
          <w:szCs w:val="32"/>
        </w:rPr>
      </w:pPr>
      <w:r>
        <w:rPr>
          <w:rFonts w:hint="eastAsia" w:ascii="黑体" w:eastAsia="黑体"/>
          <w:sz w:val="32"/>
          <w:szCs w:val="32"/>
        </w:rPr>
        <w:t>三、财政拨款支出决算情况说明</w:t>
      </w:r>
    </w:p>
    <w:p w14:paraId="7992227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本部门2019年度财政拨款本年支出年初预算数为</w:t>
      </w:r>
      <w:r>
        <w:rPr>
          <w:rFonts w:hint="eastAsia" w:ascii="仿宋_GB2312" w:eastAsia="仿宋_GB2312"/>
          <w:sz w:val="32"/>
          <w:szCs w:val="32"/>
          <w:lang w:val="en-US" w:eastAsia="zh-CN"/>
        </w:rPr>
        <w:t>409.1</w:t>
      </w:r>
      <w:r>
        <w:rPr>
          <w:rFonts w:hint="eastAsia" w:ascii="仿宋_GB2312" w:eastAsia="仿宋_GB2312"/>
          <w:sz w:val="32"/>
          <w:szCs w:val="32"/>
        </w:rPr>
        <w:t>万元，决算数为</w:t>
      </w:r>
      <w:r>
        <w:rPr>
          <w:rFonts w:hint="eastAsia" w:ascii="仿宋_GB2312" w:eastAsia="仿宋_GB2312"/>
          <w:sz w:val="32"/>
          <w:szCs w:val="32"/>
          <w:lang w:val="en-US" w:eastAsia="zh-CN"/>
        </w:rPr>
        <w:t>444.89</w:t>
      </w:r>
      <w:r>
        <w:rPr>
          <w:rFonts w:hint="eastAsia" w:ascii="仿宋_GB2312" w:eastAsia="仿宋_GB2312"/>
          <w:sz w:val="32"/>
          <w:szCs w:val="32"/>
        </w:rPr>
        <w:t>万元，完成年初预算的</w:t>
      </w:r>
      <w:r>
        <w:rPr>
          <w:rFonts w:hint="eastAsia" w:ascii="仿宋_GB2312" w:eastAsia="仿宋_GB2312"/>
          <w:sz w:val="32"/>
          <w:szCs w:val="32"/>
          <w:lang w:val="en-US" w:eastAsia="zh-CN"/>
        </w:rPr>
        <w:t>108.75</w:t>
      </w:r>
      <w:r>
        <w:rPr>
          <w:rFonts w:hint="eastAsia" w:ascii="仿宋_GB2312" w:eastAsia="仿宋_GB2312"/>
          <w:sz w:val="32"/>
          <w:szCs w:val="32"/>
        </w:rPr>
        <w:t>%。其中：</w:t>
      </w:r>
    </w:p>
    <w:p w14:paraId="7D889AB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（一）一般公共服务支出年初预算数为</w:t>
      </w:r>
      <w:r>
        <w:rPr>
          <w:rFonts w:hint="eastAsia" w:ascii="仿宋_GB2312" w:eastAsia="仿宋_GB2312"/>
          <w:sz w:val="32"/>
          <w:szCs w:val="32"/>
          <w:lang w:val="en-US" w:eastAsia="zh-CN"/>
        </w:rPr>
        <w:t>409.1</w:t>
      </w:r>
      <w:r>
        <w:rPr>
          <w:rFonts w:hint="eastAsia" w:ascii="仿宋_GB2312" w:eastAsia="仿宋_GB2312"/>
          <w:sz w:val="32"/>
          <w:szCs w:val="32"/>
        </w:rPr>
        <w:t>万元，决算数为</w:t>
      </w:r>
      <w:r>
        <w:rPr>
          <w:rFonts w:hint="eastAsia" w:ascii="仿宋_GB2312" w:eastAsia="仿宋_GB2312"/>
          <w:sz w:val="32"/>
          <w:szCs w:val="32"/>
          <w:lang w:val="en-US" w:eastAsia="zh-CN"/>
        </w:rPr>
        <w:t>444.89</w:t>
      </w:r>
      <w:r>
        <w:rPr>
          <w:rFonts w:hint="eastAsia" w:ascii="仿宋_GB2312" w:eastAsia="仿宋_GB2312"/>
          <w:sz w:val="32"/>
          <w:szCs w:val="32"/>
        </w:rPr>
        <w:t>万元，完成年初预算的</w:t>
      </w:r>
      <w:r>
        <w:rPr>
          <w:rFonts w:hint="eastAsia" w:ascii="仿宋_GB2312" w:eastAsia="仿宋_GB2312"/>
          <w:sz w:val="32"/>
          <w:szCs w:val="32"/>
          <w:lang w:val="en-US" w:eastAsia="zh-CN"/>
        </w:rPr>
        <w:t>108.75</w:t>
      </w:r>
      <w:r>
        <w:rPr>
          <w:rFonts w:hint="eastAsia" w:ascii="仿宋_GB2312" w:eastAsia="仿宋_GB2312"/>
          <w:sz w:val="32"/>
          <w:szCs w:val="32"/>
        </w:rPr>
        <w:t>%，主要原因是：</w:t>
      </w:r>
      <w:r>
        <w:rPr>
          <w:rFonts w:hint="eastAsia" w:ascii="仿宋" w:hAnsi="仿宋" w:eastAsia="仿宋"/>
          <w:sz w:val="32"/>
          <w:szCs w:val="32"/>
        </w:rPr>
        <w:t>后续有调整预算</w:t>
      </w:r>
      <w:r>
        <w:rPr>
          <w:rFonts w:hint="eastAsia" w:ascii="仿宋_GB2312" w:eastAsia="仿宋_GB2312"/>
          <w:sz w:val="32"/>
          <w:szCs w:val="32"/>
        </w:rPr>
        <w:t>。</w:t>
      </w:r>
    </w:p>
    <w:p w14:paraId="4803380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（二）公共安全支出年初预算数为</w:t>
      </w:r>
      <w:r>
        <w:rPr>
          <w:rFonts w:hint="eastAsia" w:ascii="仿宋_GB2312" w:eastAsia="仿宋_GB2312"/>
          <w:sz w:val="32"/>
          <w:szCs w:val="32"/>
          <w:lang w:val="en-US" w:eastAsia="zh-CN"/>
        </w:rPr>
        <w:t>0</w:t>
      </w:r>
      <w:r>
        <w:rPr>
          <w:rFonts w:hint="eastAsia" w:ascii="仿宋_GB2312" w:eastAsia="仿宋_GB2312"/>
          <w:sz w:val="32"/>
          <w:szCs w:val="32"/>
        </w:rPr>
        <w:t>万元，决算数为</w:t>
      </w:r>
      <w:r>
        <w:rPr>
          <w:rFonts w:hint="eastAsia" w:ascii="仿宋_GB2312" w:eastAsia="仿宋_GB2312"/>
          <w:sz w:val="32"/>
          <w:szCs w:val="32"/>
          <w:lang w:val="en-US" w:eastAsia="zh-CN"/>
        </w:rPr>
        <w:t>0</w:t>
      </w:r>
      <w:r>
        <w:rPr>
          <w:rFonts w:hint="eastAsia" w:ascii="仿宋_GB2312" w:eastAsia="仿宋_GB2312"/>
          <w:sz w:val="32"/>
          <w:szCs w:val="32"/>
        </w:rPr>
        <w:t>万元，完成年初预算的</w:t>
      </w:r>
      <w:r>
        <w:rPr>
          <w:rFonts w:hint="eastAsia" w:ascii="仿宋_GB2312" w:eastAsia="仿宋_GB2312"/>
          <w:sz w:val="32"/>
          <w:szCs w:val="32"/>
          <w:lang w:val="en-US" w:eastAsia="zh-CN"/>
        </w:rPr>
        <w:t>0</w:t>
      </w:r>
      <w:r>
        <w:rPr>
          <w:rFonts w:hint="eastAsia" w:ascii="仿宋_GB2312" w:eastAsia="仿宋_GB2312"/>
          <w:sz w:val="32"/>
          <w:szCs w:val="32"/>
        </w:rPr>
        <w:t xml:space="preserve"> %，主要原因是：</w:t>
      </w:r>
      <w:r>
        <w:rPr>
          <w:rFonts w:hint="eastAsia" w:ascii="仿宋_GB2312" w:eastAsia="仿宋_GB2312"/>
          <w:sz w:val="32"/>
          <w:szCs w:val="32"/>
          <w:lang w:val="en-US" w:eastAsia="zh-CN"/>
        </w:rPr>
        <w:t>无</w:t>
      </w:r>
      <w:r>
        <w:rPr>
          <w:rFonts w:hint="eastAsia" w:ascii="仿宋_GB2312" w:eastAsia="仿宋_GB2312"/>
          <w:sz w:val="32"/>
          <w:szCs w:val="32"/>
        </w:rPr>
        <w:t>。</w:t>
      </w:r>
    </w:p>
    <w:p w14:paraId="270FE80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p>
    <w:p w14:paraId="338498D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黑体" w:eastAsia="黑体"/>
          <w:sz w:val="32"/>
          <w:szCs w:val="32"/>
        </w:rPr>
        <w:t>四、一般公共预算财政拨款基本支出决算情况说明</w:t>
      </w:r>
    </w:p>
    <w:p w14:paraId="3B5F5E8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本部门2019年度一般公共预算财政拨款基本支出</w:t>
      </w:r>
      <w:r>
        <w:rPr>
          <w:rFonts w:hint="eastAsia" w:ascii="仿宋_GB2312" w:eastAsia="仿宋_GB2312"/>
          <w:sz w:val="32"/>
          <w:szCs w:val="32"/>
          <w:lang w:val="en-US" w:eastAsia="zh-CN"/>
        </w:rPr>
        <w:t>444.89</w:t>
      </w:r>
      <w:r>
        <w:rPr>
          <w:rFonts w:hint="eastAsia" w:ascii="仿宋_GB2312" w:eastAsia="仿宋_GB2312"/>
          <w:sz w:val="32"/>
          <w:szCs w:val="32"/>
        </w:rPr>
        <w:t>万元，其中：</w:t>
      </w:r>
    </w:p>
    <w:p w14:paraId="712A890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（一）工资福利支出</w:t>
      </w:r>
      <w:r>
        <w:rPr>
          <w:rFonts w:hint="eastAsia" w:ascii="仿宋_GB2312" w:eastAsia="仿宋_GB2312"/>
          <w:sz w:val="32"/>
          <w:szCs w:val="32"/>
          <w:lang w:val="en-US" w:eastAsia="zh-CN"/>
        </w:rPr>
        <w:t>156.53</w:t>
      </w:r>
      <w:r>
        <w:rPr>
          <w:rFonts w:hint="eastAsia" w:ascii="仿宋_GB2312" w:eastAsia="仿宋_GB2312"/>
          <w:sz w:val="32"/>
          <w:szCs w:val="32"/>
        </w:rPr>
        <w:t>万元，较2018年增加</w:t>
      </w:r>
      <w:r>
        <w:rPr>
          <w:rFonts w:hint="eastAsia" w:ascii="仿宋_GB2312" w:eastAsia="仿宋_GB2312"/>
          <w:sz w:val="32"/>
          <w:szCs w:val="32"/>
          <w:lang w:val="en-US" w:eastAsia="zh-CN"/>
        </w:rPr>
        <w:t>23.86</w:t>
      </w:r>
      <w:r>
        <w:rPr>
          <w:rFonts w:hint="eastAsia" w:ascii="仿宋_GB2312" w:eastAsia="仿宋_GB2312"/>
          <w:sz w:val="32"/>
          <w:szCs w:val="32"/>
        </w:rPr>
        <w:t>万元，增长</w:t>
      </w:r>
      <w:r>
        <w:rPr>
          <w:rFonts w:hint="eastAsia" w:ascii="仿宋_GB2312" w:eastAsia="仿宋_GB2312"/>
          <w:sz w:val="32"/>
          <w:szCs w:val="32"/>
          <w:lang w:val="en-US" w:eastAsia="zh-CN"/>
        </w:rPr>
        <w:t>17.98</w:t>
      </w:r>
      <w:r>
        <w:rPr>
          <w:rFonts w:hint="eastAsia" w:ascii="仿宋_GB2312" w:eastAsia="仿宋_GB2312"/>
          <w:sz w:val="32"/>
          <w:szCs w:val="32"/>
        </w:rPr>
        <w:t>%，主要原因是：</w:t>
      </w:r>
      <w:r>
        <w:rPr>
          <w:rFonts w:hint="eastAsia" w:ascii="仿宋_GB2312" w:eastAsia="仿宋_GB2312"/>
          <w:sz w:val="32"/>
          <w:szCs w:val="32"/>
          <w:lang w:val="en-US" w:eastAsia="zh-CN"/>
        </w:rPr>
        <w:t>津贴补贴增加</w:t>
      </w:r>
      <w:r>
        <w:rPr>
          <w:rFonts w:hint="eastAsia" w:ascii="仿宋_GB2312" w:eastAsia="仿宋_GB2312"/>
          <w:sz w:val="32"/>
          <w:szCs w:val="32"/>
        </w:rPr>
        <w:t>。</w:t>
      </w:r>
    </w:p>
    <w:p w14:paraId="686235E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（二）商品和服务支出</w:t>
      </w:r>
      <w:r>
        <w:rPr>
          <w:rFonts w:hint="eastAsia" w:ascii="仿宋_GB2312" w:eastAsia="仿宋_GB2312"/>
          <w:sz w:val="32"/>
          <w:szCs w:val="32"/>
          <w:lang w:val="en-US" w:eastAsia="zh-CN"/>
        </w:rPr>
        <w:t>282.51</w:t>
      </w:r>
      <w:r>
        <w:rPr>
          <w:rFonts w:hint="eastAsia" w:ascii="仿宋_GB2312" w:eastAsia="仿宋_GB2312"/>
          <w:sz w:val="32"/>
          <w:szCs w:val="32"/>
        </w:rPr>
        <w:t>万元，较2018年增加</w:t>
      </w:r>
      <w:r>
        <w:rPr>
          <w:rFonts w:hint="eastAsia" w:ascii="仿宋_GB2312" w:eastAsia="仿宋_GB2312"/>
          <w:sz w:val="32"/>
          <w:szCs w:val="32"/>
          <w:lang w:val="en-US" w:eastAsia="zh-CN"/>
        </w:rPr>
        <w:t>108.48</w:t>
      </w:r>
      <w:r>
        <w:rPr>
          <w:rFonts w:hint="eastAsia" w:ascii="仿宋_GB2312" w:eastAsia="仿宋_GB2312"/>
          <w:sz w:val="32"/>
          <w:szCs w:val="32"/>
        </w:rPr>
        <w:t>万元，增长</w:t>
      </w:r>
      <w:r>
        <w:rPr>
          <w:rFonts w:hint="eastAsia" w:ascii="仿宋_GB2312" w:eastAsia="仿宋_GB2312"/>
          <w:sz w:val="32"/>
          <w:szCs w:val="32"/>
          <w:lang w:val="en-US" w:eastAsia="zh-CN"/>
        </w:rPr>
        <w:t>62.34</w:t>
      </w:r>
      <w:r>
        <w:rPr>
          <w:rFonts w:hint="eastAsia" w:ascii="仿宋_GB2312" w:eastAsia="仿宋_GB2312"/>
          <w:sz w:val="32"/>
          <w:szCs w:val="32"/>
        </w:rPr>
        <w:t>%，主要原因是：</w:t>
      </w:r>
      <w:r>
        <w:rPr>
          <w:rFonts w:hint="eastAsia" w:ascii="仿宋_GB2312" w:eastAsia="仿宋_GB2312"/>
          <w:sz w:val="32"/>
          <w:szCs w:val="32"/>
          <w:lang w:val="en-US" w:eastAsia="zh-CN"/>
        </w:rPr>
        <w:t>租赁费增加</w:t>
      </w:r>
      <w:r>
        <w:rPr>
          <w:rFonts w:hint="eastAsia" w:ascii="仿宋_GB2312" w:eastAsia="仿宋_GB2312"/>
          <w:sz w:val="32"/>
          <w:szCs w:val="32"/>
        </w:rPr>
        <w:t>。</w:t>
      </w:r>
    </w:p>
    <w:p w14:paraId="24996CA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（三）对个人和家庭补助支出</w:t>
      </w:r>
      <w:r>
        <w:rPr>
          <w:rFonts w:hint="eastAsia" w:ascii="仿宋_GB2312" w:eastAsia="仿宋_GB2312"/>
          <w:sz w:val="32"/>
          <w:szCs w:val="32"/>
          <w:lang w:val="en-US" w:eastAsia="zh-CN"/>
        </w:rPr>
        <w:t>3.81</w:t>
      </w:r>
      <w:r>
        <w:rPr>
          <w:rFonts w:hint="eastAsia" w:ascii="仿宋_GB2312" w:eastAsia="仿宋_GB2312"/>
          <w:sz w:val="32"/>
          <w:szCs w:val="32"/>
        </w:rPr>
        <w:t>万元，较2018年增加</w:t>
      </w:r>
      <w:r>
        <w:rPr>
          <w:rFonts w:hint="eastAsia" w:ascii="仿宋_GB2312" w:eastAsia="仿宋_GB2312"/>
          <w:sz w:val="32"/>
          <w:szCs w:val="32"/>
          <w:lang w:val="en-US" w:eastAsia="zh-CN"/>
        </w:rPr>
        <w:t>3.71</w:t>
      </w:r>
      <w:r>
        <w:rPr>
          <w:rFonts w:hint="eastAsia" w:ascii="仿宋_GB2312" w:eastAsia="仿宋_GB2312"/>
          <w:sz w:val="32"/>
          <w:szCs w:val="32"/>
        </w:rPr>
        <w:t>万元，增长</w:t>
      </w:r>
      <w:r>
        <w:rPr>
          <w:rFonts w:hint="eastAsia" w:ascii="仿宋_GB2312" w:eastAsia="仿宋_GB2312"/>
          <w:sz w:val="32"/>
          <w:szCs w:val="32"/>
          <w:lang w:val="en-US" w:eastAsia="zh-CN"/>
        </w:rPr>
        <w:t>3710</w:t>
      </w:r>
      <w:r>
        <w:rPr>
          <w:rFonts w:hint="eastAsia" w:ascii="仿宋_GB2312" w:eastAsia="仿宋_GB2312"/>
          <w:sz w:val="32"/>
          <w:szCs w:val="32"/>
        </w:rPr>
        <w:t>%，主要原因是：</w:t>
      </w:r>
      <w:r>
        <w:rPr>
          <w:rFonts w:hint="eastAsia" w:ascii="仿宋_GB2312" w:eastAsia="仿宋_GB2312"/>
          <w:sz w:val="32"/>
          <w:szCs w:val="32"/>
          <w:lang w:val="en-US" w:eastAsia="zh-CN"/>
        </w:rPr>
        <w:t>生活补贴增加</w:t>
      </w:r>
      <w:r>
        <w:rPr>
          <w:rFonts w:hint="eastAsia" w:ascii="仿宋_GB2312" w:eastAsia="仿宋_GB2312"/>
          <w:sz w:val="32"/>
          <w:szCs w:val="32"/>
        </w:rPr>
        <w:t>。</w:t>
      </w:r>
    </w:p>
    <w:p w14:paraId="6DB58CC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（四）资本性支出</w:t>
      </w:r>
      <w:r>
        <w:rPr>
          <w:rFonts w:hint="eastAsia" w:ascii="仿宋_GB2312" w:eastAsia="仿宋_GB2312"/>
          <w:sz w:val="32"/>
          <w:szCs w:val="32"/>
          <w:lang w:val="en-US" w:eastAsia="zh-CN"/>
        </w:rPr>
        <w:t>2.04</w:t>
      </w:r>
      <w:r>
        <w:rPr>
          <w:rFonts w:hint="eastAsia" w:ascii="仿宋_GB2312" w:eastAsia="仿宋_GB2312"/>
          <w:sz w:val="32"/>
          <w:szCs w:val="32"/>
        </w:rPr>
        <w:t>元，较2018年减少</w:t>
      </w:r>
      <w:r>
        <w:rPr>
          <w:rFonts w:hint="eastAsia" w:ascii="仿宋_GB2312" w:eastAsia="仿宋_GB2312"/>
          <w:sz w:val="32"/>
          <w:szCs w:val="32"/>
          <w:lang w:val="en-US" w:eastAsia="zh-CN"/>
        </w:rPr>
        <w:t>0.27</w:t>
      </w:r>
      <w:r>
        <w:rPr>
          <w:rFonts w:hint="eastAsia" w:ascii="仿宋_GB2312" w:eastAsia="仿宋_GB2312"/>
          <w:sz w:val="32"/>
          <w:szCs w:val="32"/>
        </w:rPr>
        <w:t>万元，下降</w:t>
      </w:r>
      <w:r>
        <w:rPr>
          <w:rFonts w:hint="eastAsia" w:ascii="仿宋_GB2312" w:eastAsia="仿宋_GB2312"/>
          <w:sz w:val="32"/>
          <w:szCs w:val="32"/>
          <w:lang w:val="en-US" w:eastAsia="zh-CN"/>
        </w:rPr>
        <w:t>11.69</w:t>
      </w:r>
      <w:r>
        <w:rPr>
          <w:rFonts w:hint="eastAsia" w:ascii="仿宋_GB2312" w:eastAsia="仿宋_GB2312"/>
          <w:sz w:val="32"/>
          <w:szCs w:val="32"/>
        </w:rPr>
        <w:t>%，主要原因是：</w:t>
      </w:r>
      <w:r>
        <w:rPr>
          <w:rFonts w:hint="eastAsia" w:ascii="仿宋" w:hAnsi="仿宋" w:eastAsia="仿宋"/>
          <w:sz w:val="32"/>
          <w:szCs w:val="32"/>
        </w:rPr>
        <w:t>购置办公设备</w:t>
      </w:r>
      <w:r>
        <w:rPr>
          <w:rFonts w:hint="eastAsia" w:ascii="仿宋" w:hAnsi="仿宋" w:eastAsia="仿宋"/>
          <w:sz w:val="32"/>
          <w:szCs w:val="32"/>
          <w:lang w:val="en-US" w:eastAsia="zh-CN"/>
        </w:rPr>
        <w:t>减少</w:t>
      </w:r>
      <w:r>
        <w:rPr>
          <w:rFonts w:hint="eastAsia" w:ascii="仿宋_GB2312" w:eastAsia="仿宋_GB2312"/>
          <w:sz w:val="32"/>
          <w:szCs w:val="32"/>
        </w:rPr>
        <w:t>。</w:t>
      </w:r>
    </w:p>
    <w:p w14:paraId="13F465B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eastAsia="黑体"/>
          <w:spacing w:val="-6"/>
          <w:sz w:val="32"/>
          <w:szCs w:val="32"/>
        </w:rPr>
      </w:pPr>
      <w:r>
        <w:rPr>
          <w:rFonts w:hint="eastAsia" w:ascii="黑体" w:eastAsia="黑体"/>
          <w:sz w:val="32"/>
          <w:szCs w:val="32"/>
        </w:rPr>
        <w:t>五、</w:t>
      </w:r>
      <w:r>
        <w:rPr>
          <w:rFonts w:hint="eastAsia" w:ascii="黑体" w:eastAsia="黑体"/>
          <w:spacing w:val="-6"/>
          <w:sz w:val="32"/>
          <w:szCs w:val="32"/>
        </w:rPr>
        <w:t>一般公共预算财政拨款“三公”经费支出决算情况说明</w:t>
      </w:r>
    </w:p>
    <w:p w14:paraId="0486B60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本部门2019年度一般公共预算财政拨款“三公”经费支出年初预算数为</w:t>
      </w:r>
      <w:r>
        <w:rPr>
          <w:rFonts w:hint="eastAsia" w:ascii="仿宋_GB2312" w:eastAsia="仿宋_GB2312"/>
          <w:sz w:val="32"/>
          <w:szCs w:val="32"/>
          <w:lang w:val="en-US" w:eastAsia="zh-CN"/>
        </w:rPr>
        <w:t>39.64</w:t>
      </w:r>
      <w:r>
        <w:rPr>
          <w:rFonts w:hint="eastAsia" w:ascii="仿宋_GB2312" w:eastAsia="仿宋_GB2312"/>
          <w:sz w:val="32"/>
          <w:szCs w:val="32"/>
        </w:rPr>
        <w:t>万元，决算数为</w:t>
      </w:r>
      <w:r>
        <w:rPr>
          <w:rFonts w:hint="eastAsia" w:ascii="仿宋_GB2312" w:eastAsia="仿宋_GB2312"/>
          <w:sz w:val="32"/>
          <w:szCs w:val="32"/>
          <w:lang w:val="en-US" w:eastAsia="zh-CN"/>
        </w:rPr>
        <w:t>39.64</w:t>
      </w:r>
      <w:r>
        <w:rPr>
          <w:rFonts w:hint="eastAsia" w:ascii="仿宋_GB2312" w:eastAsia="仿宋_GB2312"/>
          <w:sz w:val="32"/>
          <w:szCs w:val="32"/>
        </w:rPr>
        <w:t>万元，完成年初预算的</w:t>
      </w:r>
      <w:r>
        <w:rPr>
          <w:rFonts w:hint="eastAsia" w:ascii="仿宋_GB2312" w:eastAsia="仿宋_GB2312"/>
          <w:sz w:val="32"/>
          <w:szCs w:val="32"/>
          <w:lang w:val="en-US" w:eastAsia="zh-CN"/>
        </w:rPr>
        <w:t>100</w:t>
      </w:r>
      <w:r>
        <w:rPr>
          <w:rFonts w:hint="eastAsia" w:ascii="仿宋_GB2312" w:eastAsia="仿宋_GB2312"/>
          <w:sz w:val="32"/>
          <w:szCs w:val="32"/>
        </w:rPr>
        <w:t>%，决算数较2018年增加</w:t>
      </w:r>
      <w:r>
        <w:rPr>
          <w:rFonts w:hint="eastAsia" w:ascii="仿宋_GB2312" w:eastAsia="仿宋_GB2312"/>
          <w:sz w:val="32"/>
          <w:szCs w:val="32"/>
          <w:lang w:val="en-US" w:eastAsia="zh-CN"/>
        </w:rPr>
        <w:t>13.94</w:t>
      </w:r>
      <w:r>
        <w:rPr>
          <w:rFonts w:hint="eastAsia" w:ascii="仿宋_GB2312" w:eastAsia="仿宋_GB2312"/>
          <w:sz w:val="32"/>
          <w:szCs w:val="32"/>
        </w:rPr>
        <w:t>万元，增长</w:t>
      </w:r>
      <w:r>
        <w:rPr>
          <w:rFonts w:hint="eastAsia" w:ascii="仿宋_GB2312" w:eastAsia="仿宋_GB2312"/>
          <w:sz w:val="32"/>
          <w:szCs w:val="32"/>
          <w:lang w:val="en-US" w:eastAsia="zh-CN"/>
        </w:rPr>
        <w:t>54.24</w:t>
      </w:r>
      <w:r>
        <w:rPr>
          <w:rFonts w:hint="eastAsia" w:ascii="仿宋_GB2312" w:eastAsia="仿宋_GB2312"/>
          <w:sz w:val="32"/>
          <w:szCs w:val="32"/>
        </w:rPr>
        <w:t xml:space="preserve"> %，其中：</w:t>
      </w:r>
    </w:p>
    <w:p w14:paraId="74DB348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（一）因公出国（境）支出年初预算数为</w:t>
      </w:r>
      <w:r>
        <w:rPr>
          <w:rFonts w:hint="eastAsia" w:ascii="仿宋_GB2312" w:eastAsia="仿宋_GB2312"/>
          <w:sz w:val="32"/>
          <w:szCs w:val="32"/>
          <w:lang w:val="en-US" w:eastAsia="zh-CN"/>
        </w:rPr>
        <w:t>0</w:t>
      </w:r>
      <w:r>
        <w:rPr>
          <w:rFonts w:hint="eastAsia" w:ascii="仿宋_GB2312" w:eastAsia="仿宋_GB2312"/>
          <w:sz w:val="32"/>
          <w:szCs w:val="32"/>
        </w:rPr>
        <w:t>万元，决算数为</w:t>
      </w:r>
      <w:r>
        <w:rPr>
          <w:rFonts w:hint="eastAsia" w:ascii="仿宋_GB2312" w:eastAsia="仿宋_GB2312"/>
          <w:sz w:val="32"/>
          <w:szCs w:val="32"/>
          <w:lang w:val="en-US" w:eastAsia="zh-CN"/>
        </w:rPr>
        <w:t>0</w:t>
      </w:r>
      <w:r>
        <w:rPr>
          <w:rFonts w:hint="eastAsia" w:ascii="仿宋_GB2312" w:eastAsia="仿宋_GB2312"/>
          <w:sz w:val="32"/>
          <w:szCs w:val="32"/>
        </w:rPr>
        <w:t>万元，完成年初预算的</w:t>
      </w:r>
      <w:r>
        <w:rPr>
          <w:rFonts w:hint="eastAsia" w:ascii="仿宋_GB2312" w:eastAsia="仿宋_GB2312"/>
          <w:sz w:val="32"/>
          <w:szCs w:val="32"/>
          <w:lang w:val="en-US" w:eastAsia="zh-CN"/>
        </w:rPr>
        <w:t>0</w:t>
      </w:r>
      <w:r>
        <w:rPr>
          <w:rFonts w:hint="eastAsia" w:ascii="仿宋_GB2312" w:eastAsia="仿宋_GB2312"/>
          <w:sz w:val="32"/>
          <w:szCs w:val="32"/>
        </w:rPr>
        <w:t>%，决算数较2018年增加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hint="eastAsia" w:ascii="仿宋_GB2312" w:eastAsia="仿宋_GB2312"/>
          <w:sz w:val="32"/>
          <w:szCs w:val="32"/>
        </w:rPr>
        <w:t>%。决算数较年初预算数增加的主要原因是：</w:t>
      </w:r>
      <w:r>
        <w:rPr>
          <w:rFonts w:hint="eastAsia" w:ascii="仿宋_GB2312" w:eastAsia="仿宋_GB2312"/>
          <w:sz w:val="32"/>
          <w:szCs w:val="32"/>
          <w:lang w:val="en-US" w:eastAsia="zh-CN"/>
        </w:rPr>
        <w:t>无</w:t>
      </w:r>
      <w:r>
        <w:rPr>
          <w:rFonts w:hint="eastAsia" w:ascii="仿宋_GB2312" w:eastAsia="仿宋_GB2312"/>
          <w:sz w:val="32"/>
          <w:szCs w:val="32"/>
        </w:rPr>
        <w:t>。</w:t>
      </w:r>
    </w:p>
    <w:p w14:paraId="7569D91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（二）公务接待费支出年初预算数为</w:t>
      </w:r>
      <w:r>
        <w:rPr>
          <w:rFonts w:hint="eastAsia" w:ascii="仿宋_GB2312" w:eastAsia="仿宋_GB2312"/>
          <w:sz w:val="32"/>
          <w:szCs w:val="32"/>
          <w:lang w:val="en-US" w:eastAsia="zh-CN"/>
        </w:rPr>
        <w:t>23.82</w:t>
      </w:r>
      <w:r>
        <w:rPr>
          <w:rFonts w:hint="eastAsia" w:ascii="仿宋_GB2312" w:eastAsia="仿宋_GB2312"/>
          <w:sz w:val="32"/>
          <w:szCs w:val="32"/>
        </w:rPr>
        <w:t>万元，决算数为</w:t>
      </w:r>
      <w:r>
        <w:rPr>
          <w:rFonts w:hint="eastAsia" w:ascii="仿宋_GB2312" w:eastAsia="仿宋_GB2312"/>
          <w:sz w:val="32"/>
          <w:szCs w:val="32"/>
          <w:lang w:val="en-US" w:eastAsia="zh-CN"/>
        </w:rPr>
        <w:t>23.82</w:t>
      </w:r>
      <w:r>
        <w:rPr>
          <w:rFonts w:hint="eastAsia" w:ascii="仿宋_GB2312" w:eastAsia="仿宋_GB2312"/>
          <w:sz w:val="32"/>
          <w:szCs w:val="32"/>
        </w:rPr>
        <w:t>万元，完成年初预算的</w:t>
      </w:r>
      <w:r>
        <w:rPr>
          <w:rFonts w:hint="eastAsia" w:ascii="仿宋_GB2312" w:eastAsia="仿宋_GB2312"/>
          <w:sz w:val="32"/>
          <w:szCs w:val="32"/>
          <w:lang w:val="en-US" w:eastAsia="zh-CN"/>
        </w:rPr>
        <w:t>100</w:t>
      </w:r>
      <w:r>
        <w:rPr>
          <w:rFonts w:hint="eastAsia" w:ascii="仿宋_GB2312" w:eastAsia="仿宋_GB2312"/>
          <w:sz w:val="32"/>
          <w:szCs w:val="32"/>
        </w:rPr>
        <w:t>%，决算数较2018年增加</w:t>
      </w:r>
      <w:r>
        <w:rPr>
          <w:rFonts w:hint="eastAsia" w:ascii="仿宋_GB2312" w:eastAsia="仿宋_GB2312"/>
          <w:sz w:val="32"/>
          <w:szCs w:val="32"/>
          <w:lang w:val="en-US" w:eastAsia="zh-CN"/>
        </w:rPr>
        <w:t>12.52</w:t>
      </w:r>
      <w:r>
        <w:rPr>
          <w:rFonts w:hint="eastAsia" w:ascii="仿宋_GB2312" w:eastAsia="仿宋_GB2312"/>
          <w:sz w:val="32"/>
          <w:szCs w:val="32"/>
        </w:rPr>
        <w:t>万元，增长</w:t>
      </w:r>
      <w:r>
        <w:rPr>
          <w:rFonts w:hint="eastAsia" w:ascii="仿宋_GB2312" w:eastAsia="仿宋_GB2312"/>
          <w:sz w:val="32"/>
          <w:szCs w:val="32"/>
          <w:lang w:val="en-US" w:eastAsia="zh-CN"/>
        </w:rPr>
        <w:t>110.8</w:t>
      </w:r>
      <w:r>
        <w:rPr>
          <w:rFonts w:hint="eastAsia" w:ascii="仿宋_GB2312" w:eastAsia="仿宋_GB2312"/>
          <w:sz w:val="32"/>
          <w:szCs w:val="32"/>
        </w:rPr>
        <w:t>%。决算数较年初预算数增加的主要原因是：</w:t>
      </w:r>
      <w:r>
        <w:rPr>
          <w:rFonts w:hint="eastAsia" w:ascii="仿宋_GB2312" w:eastAsia="仿宋_GB2312"/>
          <w:sz w:val="32"/>
          <w:szCs w:val="32"/>
          <w:lang w:val="en-US" w:eastAsia="zh-CN"/>
        </w:rPr>
        <w:t>因办公事项较多引起接待较多</w:t>
      </w:r>
      <w:r>
        <w:rPr>
          <w:rFonts w:hint="eastAsia" w:ascii="仿宋_GB2312" w:eastAsia="仿宋_GB2312"/>
          <w:sz w:val="32"/>
          <w:szCs w:val="32"/>
        </w:rPr>
        <w:t>。</w:t>
      </w:r>
    </w:p>
    <w:p w14:paraId="110A0B0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（三）公务用车购置及运行维护费支出</w:t>
      </w:r>
      <w:r>
        <w:rPr>
          <w:rFonts w:hint="eastAsia" w:ascii="仿宋_GB2312" w:eastAsia="仿宋_GB2312"/>
          <w:sz w:val="32"/>
          <w:szCs w:val="32"/>
          <w:lang w:val="en-US" w:eastAsia="zh-CN"/>
        </w:rPr>
        <w:t>15.82</w:t>
      </w:r>
      <w:r>
        <w:rPr>
          <w:rFonts w:hint="eastAsia" w:ascii="仿宋_GB2312" w:eastAsia="仿宋_GB2312"/>
          <w:sz w:val="32"/>
          <w:szCs w:val="32"/>
        </w:rPr>
        <w:t>万元，其中公务用车购置年初预算数为</w:t>
      </w:r>
      <w:r>
        <w:rPr>
          <w:rFonts w:hint="eastAsia" w:ascii="仿宋_GB2312" w:eastAsia="仿宋_GB2312"/>
          <w:sz w:val="32"/>
          <w:szCs w:val="32"/>
          <w:lang w:val="en-US" w:eastAsia="zh-CN"/>
        </w:rPr>
        <w:t>0</w:t>
      </w:r>
      <w:r>
        <w:rPr>
          <w:rFonts w:hint="eastAsia" w:ascii="仿宋_GB2312" w:eastAsia="仿宋_GB2312"/>
          <w:sz w:val="32"/>
          <w:szCs w:val="32"/>
        </w:rPr>
        <w:t>万元，决算数为</w:t>
      </w:r>
      <w:r>
        <w:rPr>
          <w:rFonts w:hint="eastAsia" w:ascii="仿宋_GB2312" w:eastAsia="仿宋_GB2312"/>
          <w:sz w:val="32"/>
          <w:szCs w:val="32"/>
          <w:lang w:val="en-US" w:eastAsia="zh-CN"/>
        </w:rPr>
        <w:t>0</w:t>
      </w:r>
      <w:r>
        <w:rPr>
          <w:rFonts w:hint="eastAsia" w:ascii="仿宋_GB2312" w:eastAsia="仿宋_GB2312"/>
          <w:sz w:val="32"/>
          <w:szCs w:val="32"/>
        </w:rPr>
        <w:t>万元，完成年初预算的</w:t>
      </w:r>
      <w:r>
        <w:rPr>
          <w:rFonts w:hint="eastAsia" w:ascii="仿宋_GB2312" w:eastAsia="仿宋_GB2312"/>
          <w:sz w:val="32"/>
          <w:szCs w:val="32"/>
          <w:lang w:val="en-US" w:eastAsia="zh-CN"/>
        </w:rPr>
        <w:t>0</w:t>
      </w:r>
      <w:r>
        <w:rPr>
          <w:rFonts w:hint="eastAsia" w:ascii="仿宋_GB2312" w:eastAsia="仿宋_GB2312"/>
          <w:sz w:val="32"/>
          <w:szCs w:val="32"/>
        </w:rPr>
        <w:t>%，决算数较2018年增加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hint="eastAsia" w:ascii="仿宋_GB2312" w:eastAsia="仿宋_GB2312"/>
          <w:sz w:val="32"/>
          <w:szCs w:val="32"/>
        </w:rPr>
        <w:t>%。决算数较年初预算数增加的主要原因是：</w:t>
      </w:r>
      <w:r>
        <w:rPr>
          <w:rFonts w:hint="eastAsia" w:ascii="仿宋_GB2312" w:eastAsia="仿宋_GB2312"/>
          <w:sz w:val="32"/>
          <w:szCs w:val="32"/>
          <w:lang w:val="en-US" w:eastAsia="zh-CN"/>
        </w:rPr>
        <w:t>无</w:t>
      </w:r>
      <w:r>
        <w:rPr>
          <w:rFonts w:hint="eastAsia" w:ascii="仿宋_GB2312" w:eastAsia="仿宋_GB2312"/>
          <w:sz w:val="32"/>
          <w:szCs w:val="32"/>
        </w:rPr>
        <w:t>；公务用车运行维护费支出年初预算数为</w:t>
      </w:r>
      <w:r>
        <w:rPr>
          <w:rFonts w:hint="eastAsia" w:ascii="仿宋_GB2312" w:eastAsia="仿宋_GB2312"/>
          <w:sz w:val="32"/>
          <w:szCs w:val="32"/>
          <w:lang w:val="en-US" w:eastAsia="zh-CN"/>
        </w:rPr>
        <w:t>15.82</w:t>
      </w:r>
      <w:r>
        <w:rPr>
          <w:rFonts w:hint="eastAsia" w:ascii="仿宋_GB2312" w:eastAsia="仿宋_GB2312"/>
          <w:sz w:val="32"/>
          <w:szCs w:val="32"/>
        </w:rPr>
        <w:t>万元，决算数为</w:t>
      </w:r>
      <w:r>
        <w:rPr>
          <w:rFonts w:hint="eastAsia" w:ascii="仿宋_GB2312" w:eastAsia="仿宋_GB2312"/>
          <w:sz w:val="32"/>
          <w:szCs w:val="32"/>
          <w:lang w:val="en-US" w:eastAsia="zh-CN"/>
        </w:rPr>
        <w:t>15.82</w:t>
      </w:r>
      <w:r>
        <w:rPr>
          <w:rFonts w:hint="eastAsia" w:ascii="仿宋_GB2312" w:eastAsia="仿宋_GB2312"/>
          <w:sz w:val="32"/>
          <w:szCs w:val="32"/>
        </w:rPr>
        <w:t>万元，完成年初预算的</w:t>
      </w:r>
      <w:r>
        <w:rPr>
          <w:rFonts w:hint="eastAsia" w:ascii="仿宋_GB2312" w:eastAsia="仿宋_GB2312"/>
          <w:sz w:val="32"/>
          <w:szCs w:val="32"/>
          <w:lang w:val="en-US" w:eastAsia="zh-CN"/>
        </w:rPr>
        <w:t>100</w:t>
      </w:r>
      <w:r>
        <w:rPr>
          <w:rFonts w:hint="eastAsia" w:ascii="仿宋_GB2312" w:eastAsia="仿宋_GB2312"/>
          <w:sz w:val="32"/>
          <w:szCs w:val="32"/>
        </w:rPr>
        <w:t>%，决算数较2018年增加</w:t>
      </w:r>
      <w:r>
        <w:rPr>
          <w:rFonts w:hint="eastAsia" w:ascii="仿宋_GB2312" w:eastAsia="仿宋_GB2312"/>
          <w:sz w:val="32"/>
          <w:szCs w:val="32"/>
          <w:lang w:val="en-US" w:eastAsia="zh-CN"/>
        </w:rPr>
        <w:t>1.42</w:t>
      </w:r>
      <w:r>
        <w:rPr>
          <w:rFonts w:hint="eastAsia" w:ascii="仿宋_GB2312" w:eastAsia="仿宋_GB2312"/>
          <w:sz w:val="32"/>
          <w:szCs w:val="32"/>
        </w:rPr>
        <w:t>万元，增长</w:t>
      </w:r>
      <w:r>
        <w:rPr>
          <w:rFonts w:hint="eastAsia" w:ascii="仿宋_GB2312" w:eastAsia="仿宋_GB2312"/>
          <w:sz w:val="32"/>
          <w:szCs w:val="32"/>
          <w:lang w:val="en-US" w:eastAsia="zh-CN"/>
        </w:rPr>
        <w:t>9.86</w:t>
      </w:r>
      <w:r>
        <w:rPr>
          <w:rFonts w:hint="eastAsia" w:ascii="仿宋_GB2312" w:eastAsia="仿宋_GB2312"/>
          <w:sz w:val="32"/>
          <w:szCs w:val="32"/>
        </w:rPr>
        <w:t>%。决算数较年初预算数增加的主要原因是：</w:t>
      </w:r>
      <w:r>
        <w:rPr>
          <w:rFonts w:hint="eastAsia" w:ascii="仿宋" w:hAnsi="仿宋" w:eastAsia="仿宋"/>
          <w:sz w:val="32"/>
          <w:szCs w:val="32"/>
        </w:rPr>
        <w:t>增加车的维护运营</w:t>
      </w:r>
      <w:r>
        <w:rPr>
          <w:rFonts w:hint="eastAsia" w:ascii="仿宋_GB2312" w:eastAsia="仿宋_GB2312"/>
          <w:sz w:val="32"/>
          <w:szCs w:val="32"/>
        </w:rPr>
        <w:t>。</w:t>
      </w:r>
    </w:p>
    <w:p w14:paraId="1087775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eastAsia="黑体"/>
          <w:sz w:val="32"/>
          <w:szCs w:val="32"/>
        </w:rPr>
      </w:pPr>
      <w:r>
        <w:rPr>
          <w:rFonts w:hint="eastAsia" w:ascii="黑体" w:eastAsia="黑体"/>
          <w:sz w:val="32"/>
          <w:szCs w:val="32"/>
        </w:rPr>
        <w:t>六、机关运行经费支出情况说明</w:t>
      </w:r>
    </w:p>
    <w:p w14:paraId="5C7535F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本部门2019年度机关运行经费支出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万元（与部门决算中行政单位和参照公务员法管理事业单位一般公共预算财政拨款基本支出中公用经费之和保持一致），较年初预算数增加（减少）</w:t>
      </w:r>
      <w:r>
        <w:rPr>
          <w:rFonts w:hint="eastAsia" w:ascii="仿宋_GB2312" w:eastAsia="仿宋_GB2312"/>
          <w:sz w:val="32"/>
          <w:szCs w:val="32"/>
          <w:lang w:val="en-US" w:eastAsia="zh-CN"/>
        </w:rPr>
        <w:t>0</w:t>
      </w:r>
      <w:r>
        <w:rPr>
          <w:rFonts w:hint="eastAsia" w:ascii="仿宋_GB2312" w:eastAsia="仿宋_GB2312"/>
          <w:sz w:val="32"/>
          <w:szCs w:val="32"/>
        </w:rPr>
        <w:t>万元，增长（降低）</w:t>
      </w:r>
      <w:r>
        <w:rPr>
          <w:rFonts w:hint="eastAsia" w:ascii="仿宋_GB2312" w:eastAsia="仿宋_GB2312"/>
          <w:sz w:val="32"/>
          <w:szCs w:val="32"/>
          <w:lang w:val="en-US" w:eastAsia="zh-CN"/>
        </w:rPr>
        <w:t>0</w:t>
      </w:r>
      <w:r>
        <w:rPr>
          <w:rFonts w:hint="eastAsia" w:ascii="仿宋_GB2312" w:eastAsia="仿宋_GB2312"/>
          <w:sz w:val="32"/>
          <w:szCs w:val="32"/>
        </w:rPr>
        <w:t xml:space="preserve"> %，主要原因是：办公设施设备购置经费增加（减少）/资产运行维护支出增加（减少）/信息系统运行维护支出增加（减少）/人员编制数量增加（减少）/落实过紧日子要求压减XX支出/......等（具体增减原因由部门根据实际情况填列）。 </w:t>
      </w:r>
    </w:p>
    <w:p w14:paraId="76CCDBA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黑体" w:eastAsia="黑体"/>
          <w:sz w:val="32"/>
          <w:szCs w:val="32"/>
        </w:rPr>
        <w:t>七、政府采购支出情况说明</w:t>
      </w:r>
    </w:p>
    <w:p w14:paraId="32872CB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本部门2019年度政府采购支出总额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hint="eastAsia" w:ascii="仿宋_GB2312" w:eastAsia="仿宋_GB2312"/>
          <w:sz w:val="32"/>
          <w:szCs w:val="32"/>
        </w:rPr>
        <w:t>%。（省级部门公开的政府采购金额的计算口径为：本部门纳入2019年部门预算范围的各项政府采购支出金额之和，不包括涉密采购项目的支出金额。）</w:t>
      </w:r>
    </w:p>
    <w:p w14:paraId="1BE2800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eastAsia="黑体"/>
          <w:sz w:val="32"/>
          <w:szCs w:val="32"/>
        </w:rPr>
      </w:pPr>
      <w:r>
        <w:rPr>
          <w:rFonts w:hint="eastAsia" w:ascii="黑体" w:eastAsia="黑体"/>
          <w:sz w:val="32"/>
          <w:szCs w:val="32"/>
        </w:rPr>
        <w:t>八、国有资产占用情况说明</w:t>
      </w:r>
    </w:p>
    <w:p w14:paraId="54D7AED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截至</w:t>
      </w:r>
      <w:bookmarkStart w:id="0" w:name="_GoBack"/>
      <w:bookmarkEnd w:id="0"/>
      <w:r>
        <w:rPr>
          <w:rFonts w:hint="eastAsia" w:ascii="仿宋_GB2312" w:eastAsia="仿宋_GB2312"/>
          <w:sz w:val="32"/>
          <w:szCs w:val="32"/>
        </w:rPr>
        <w:t>2019年12月31日，本部门国有资产占用情况见公开09表《国有资产占用情况表》。其中车辆中的其他用车主要是</w:t>
      </w:r>
      <w:r>
        <w:rPr>
          <w:rFonts w:hint="eastAsia" w:ascii="仿宋" w:hAnsi="仿宋" w:eastAsia="仿宋"/>
          <w:kern w:val="0"/>
          <w:sz w:val="32"/>
          <w:szCs w:val="32"/>
          <w:lang w:eastAsia="zh-CN"/>
        </w:rPr>
        <w:t>轿车</w:t>
      </w:r>
      <w:r>
        <w:rPr>
          <w:rFonts w:hint="eastAsia" w:ascii="仿宋" w:hAnsi="仿宋" w:eastAsia="仿宋"/>
          <w:kern w:val="0"/>
          <w:sz w:val="32"/>
          <w:szCs w:val="32"/>
          <w:lang w:val="en-US" w:eastAsia="zh-CN"/>
        </w:rPr>
        <w:t>3辆，商务车1辆</w:t>
      </w:r>
      <w:r>
        <w:rPr>
          <w:rFonts w:hint="eastAsia" w:ascii="仿宋_GB2312" w:eastAsia="仿宋_GB2312"/>
          <w:sz w:val="32"/>
          <w:szCs w:val="32"/>
        </w:rPr>
        <w:t>。</w:t>
      </w:r>
    </w:p>
    <w:p w14:paraId="7407E98A">
      <w:pPr>
        <w:keepNext w:val="0"/>
        <w:keepLines w:val="0"/>
        <w:pageBreakBefore w:val="0"/>
        <w:widowControl w:val="0"/>
        <w:numPr>
          <w:ilvl w:val="0"/>
          <w:numId w:val="2"/>
        </w:numPr>
        <w:kinsoku/>
        <w:wordWrap/>
        <w:overflowPunct/>
        <w:topLinePunct w:val="0"/>
        <w:autoSpaceDE/>
        <w:autoSpaceDN/>
        <w:bidi w:val="0"/>
        <w:adjustRightInd/>
        <w:snapToGrid/>
        <w:spacing w:line="640" w:lineRule="exact"/>
        <w:ind w:firstLine="640" w:firstLineChars="200"/>
        <w:textAlignment w:val="auto"/>
        <w:rPr>
          <w:rFonts w:hint="eastAsia" w:ascii="黑体" w:eastAsia="黑体"/>
          <w:sz w:val="32"/>
          <w:szCs w:val="32"/>
        </w:rPr>
      </w:pPr>
      <w:r>
        <w:rPr>
          <w:rFonts w:hint="eastAsia" w:ascii="黑体" w:eastAsia="黑体"/>
          <w:sz w:val="32"/>
          <w:szCs w:val="32"/>
        </w:rPr>
        <w:t>预算绩效情况说明</w:t>
      </w:r>
    </w:p>
    <w:p w14:paraId="7B02DD6B">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（一）绩效管理工作开展情况。</w:t>
      </w:r>
    </w:p>
    <w:p w14:paraId="1DE8CDA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根据预算绩效管理要求，我部门组织对2019年度一般公共预算项目支出全面开展绩效自评，其中，一级项目</w:t>
      </w:r>
      <w:r>
        <w:rPr>
          <w:rFonts w:hint="eastAsia" w:ascii="仿宋_GB2312" w:eastAsia="仿宋_GB2312"/>
          <w:sz w:val="32"/>
          <w:szCs w:val="32"/>
          <w:lang w:val="en-US" w:eastAsia="zh-CN"/>
        </w:rPr>
        <w:t>0</w:t>
      </w:r>
      <w:r>
        <w:rPr>
          <w:rFonts w:hint="eastAsia" w:ascii="仿宋_GB2312" w:eastAsia="仿宋_GB2312"/>
          <w:sz w:val="32"/>
          <w:szCs w:val="32"/>
        </w:rPr>
        <w:t>个，二级项目</w:t>
      </w:r>
      <w:r>
        <w:rPr>
          <w:rFonts w:hint="eastAsia" w:ascii="仿宋_GB2312" w:eastAsia="仿宋_GB2312"/>
          <w:sz w:val="32"/>
          <w:szCs w:val="32"/>
          <w:lang w:val="en-US" w:eastAsia="zh-CN"/>
        </w:rPr>
        <w:t>0</w:t>
      </w:r>
      <w:r>
        <w:rPr>
          <w:rFonts w:hint="eastAsia" w:ascii="仿宋_GB2312" w:eastAsia="仿宋_GB2312"/>
          <w:sz w:val="32"/>
          <w:szCs w:val="32"/>
        </w:rPr>
        <w:t>个，共涉及资金</w:t>
      </w:r>
      <w:r>
        <w:rPr>
          <w:rFonts w:hint="eastAsia" w:ascii="仿宋_GB2312" w:eastAsia="仿宋_GB2312"/>
          <w:sz w:val="32"/>
          <w:szCs w:val="32"/>
          <w:lang w:val="en-US" w:eastAsia="zh-CN"/>
        </w:rPr>
        <w:t>0</w:t>
      </w:r>
      <w:r>
        <w:rPr>
          <w:rFonts w:hint="eastAsia" w:ascii="仿宋_GB2312" w:eastAsia="仿宋_GB2312"/>
          <w:sz w:val="32"/>
          <w:szCs w:val="32"/>
        </w:rPr>
        <w:t>万元，占一般公共预算项目支出总额的</w:t>
      </w:r>
      <w:r>
        <w:rPr>
          <w:rFonts w:hint="eastAsia" w:ascii="仿宋_GB2312" w:eastAsia="仿宋_GB2312"/>
          <w:sz w:val="32"/>
          <w:szCs w:val="32"/>
          <w:lang w:val="en-US" w:eastAsia="zh-CN"/>
        </w:rPr>
        <w:t>0</w:t>
      </w:r>
      <w:r>
        <w:rPr>
          <w:rFonts w:hint="eastAsia" w:ascii="仿宋_GB2312" w:eastAsia="仿宋_GB2312"/>
          <w:sz w:val="32"/>
          <w:szCs w:val="32"/>
        </w:rPr>
        <w:t>%。</w:t>
      </w:r>
    </w:p>
    <w:p w14:paraId="0576902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w:t>
      </w:r>
      <w:r>
        <w:rPr>
          <w:rFonts w:hint="eastAsia" w:ascii="仿宋_GB2312" w:eastAsia="仿宋_GB2312"/>
          <w:sz w:val="32"/>
          <w:szCs w:val="32"/>
        </w:rPr>
        <w:t>部门决算中项目绩效自评结果</w:t>
      </w:r>
    </w:p>
    <w:p w14:paraId="0135CE56">
      <w:pPr>
        <w:numPr>
          <w:ilvl w:val="0"/>
          <w:numId w:val="0"/>
        </w:numPr>
        <w:spacing w:line="560" w:lineRule="exact"/>
        <w:jc w:val="both"/>
        <w:rPr>
          <w:rFonts w:hint="eastAsia" w:ascii="仿宋_GB2312" w:eastAsia="仿宋_GB2312"/>
          <w:sz w:val="32"/>
          <w:szCs w:val="32"/>
        </w:rPr>
      </w:pPr>
    </w:p>
    <w:p w14:paraId="75A4B9BB">
      <w:pPr>
        <w:widowControl w:val="0"/>
        <w:numPr>
          <w:ilvl w:val="0"/>
          <w:numId w:val="0"/>
        </w:numPr>
        <w:spacing w:line="240" w:lineRule="auto"/>
        <w:jc w:val="both"/>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5271135" cy="4476750"/>
            <wp:effectExtent l="0" t="0" r="1905" b="3810"/>
            <wp:docPr id="6" name="图片 6" descr="ca6087c730b20940fa58c6dab047c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a6087c730b20940fa58c6dab047cc7"/>
                    <pic:cNvPicPr>
                      <a:picLocks noChangeAspect="1"/>
                    </pic:cNvPicPr>
                  </pic:nvPicPr>
                  <pic:blipFill>
                    <a:blip r:embed="rId13"/>
                    <a:stretch>
                      <a:fillRect/>
                    </a:stretch>
                  </pic:blipFill>
                  <pic:spPr>
                    <a:xfrm>
                      <a:off x="0" y="0"/>
                      <a:ext cx="5271135" cy="4476750"/>
                    </a:xfrm>
                    <a:prstGeom prst="rect">
                      <a:avLst/>
                    </a:prstGeom>
                  </pic:spPr>
                </pic:pic>
              </a:graphicData>
            </a:graphic>
          </wp:inline>
        </w:drawing>
      </w:r>
    </w:p>
    <w:p w14:paraId="024D9391">
      <w:pPr>
        <w:widowControl w:val="0"/>
        <w:numPr>
          <w:ilvl w:val="0"/>
          <w:numId w:val="0"/>
        </w:numPr>
        <w:spacing w:line="240" w:lineRule="auto"/>
        <w:jc w:val="both"/>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5271135" cy="3011805"/>
            <wp:effectExtent l="0" t="0" r="1905" b="5715"/>
            <wp:docPr id="7" name="图片 7" descr="ae698d3646c792422d96ecfbd2fdc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e698d3646c792422d96ecfbd2fdcc3"/>
                    <pic:cNvPicPr>
                      <a:picLocks noChangeAspect="1"/>
                    </pic:cNvPicPr>
                  </pic:nvPicPr>
                  <pic:blipFill>
                    <a:blip r:embed="rId14"/>
                    <a:stretch>
                      <a:fillRect/>
                    </a:stretch>
                  </pic:blipFill>
                  <pic:spPr>
                    <a:xfrm>
                      <a:off x="0" y="0"/>
                      <a:ext cx="5271135" cy="3011805"/>
                    </a:xfrm>
                    <a:prstGeom prst="rect">
                      <a:avLst/>
                    </a:prstGeom>
                  </pic:spPr>
                </pic:pic>
              </a:graphicData>
            </a:graphic>
          </wp:inline>
        </w:drawing>
      </w:r>
    </w:p>
    <w:p w14:paraId="32E04DFE">
      <w:pPr>
        <w:widowControl w:val="0"/>
        <w:numPr>
          <w:ilvl w:val="0"/>
          <w:numId w:val="0"/>
        </w:numPr>
        <w:spacing w:line="240" w:lineRule="auto"/>
        <w:jc w:val="both"/>
        <w:rPr>
          <w:rFonts w:hint="eastAsia" w:ascii="仿宋_GB2312" w:eastAsia="仿宋_GB2312"/>
          <w:sz w:val="32"/>
          <w:szCs w:val="32"/>
          <w:lang w:eastAsia="zh-CN"/>
        </w:rPr>
      </w:pPr>
    </w:p>
    <w:p w14:paraId="7217B2C5">
      <w:pPr>
        <w:widowControl w:val="0"/>
        <w:numPr>
          <w:ilvl w:val="0"/>
          <w:numId w:val="0"/>
        </w:numPr>
        <w:spacing w:line="240" w:lineRule="auto"/>
        <w:jc w:val="both"/>
        <w:rPr>
          <w:rFonts w:hint="eastAsia" w:ascii="仿宋_GB2312" w:eastAsia="仿宋_GB2312"/>
          <w:sz w:val="32"/>
          <w:szCs w:val="32"/>
          <w:lang w:eastAsia="zh-CN"/>
        </w:rPr>
      </w:pPr>
    </w:p>
    <w:p w14:paraId="26F8BF6F">
      <w:pPr>
        <w:widowControl w:val="0"/>
        <w:numPr>
          <w:ilvl w:val="0"/>
          <w:numId w:val="0"/>
        </w:numPr>
        <w:spacing w:line="240" w:lineRule="auto"/>
        <w:jc w:val="both"/>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5271135" cy="4032250"/>
            <wp:effectExtent l="0" t="0" r="1905" b="6350"/>
            <wp:docPr id="11" name="图片 11" descr="16020337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02033756(1)"/>
                    <pic:cNvPicPr>
                      <a:picLocks noChangeAspect="1"/>
                    </pic:cNvPicPr>
                  </pic:nvPicPr>
                  <pic:blipFill>
                    <a:blip r:embed="rId15"/>
                    <a:stretch>
                      <a:fillRect/>
                    </a:stretch>
                  </pic:blipFill>
                  <pic:spPr>
                    <a:xfrm>
                      <a:off x="0" y="0"/>
                      <a:ext cx="5271135" cy="4032250"/>
                    </a:xfrm>
                    <a:prstGeom prst="rect">
                      <a:avLst/>
                    </a:prstGeom>
                  </pic:spPr>
                </pic:pic>
              </a:graphicData>
            </a:graphic>
          </wp:inline>
        </w:drawing>
      </w:r>
    </w:p>
    <w:p w14:paraId="582F5C5F">
      <w:pPr>
        <w:widowControl w:val="0"/>
        <w:numPr>
          <w:ilvl w:val="0"/>
          <w:numId w:val="0"/>
        </w:numPr>
        <w:spacing w:line="240" w:lineRule="auto"/>
        <w:jc w:val="both"/>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5309235" cy="2018665"/>
            <wp:effectExtent l="0" t="0" r="9525" b="8255"/>
            <wp:docPr id="17" name="图片 17" descr="16020337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602033789(1)"/>
                    <pic:cNvPicPr>
                      <a:picLocks noChangeAspect="1"/>
                    </pic:cNvPicPr>
                  </pic:nvPicPr>
                  <pic:blipFill>
                    <a:blip r:embed="rId16"/>
                    <a:stretch>
                      <a:fillRect/>
                    </a:stretch>
                  </pic:blipFill>
                  <pic:spPr>
                    <a:xfrm>
                      <a:off x="0" y="0"/>
                      <a:ext cx="5309235" cy="2018665"/>
                    </a:xfrm>
                    <a:prstGeom prst="rect">
                      <a:avLst/>
                    </a:prstGeom>
                  </pic:spPr>
                </pic:pic>
              </a:graphicData>
            </a:graphic>
          </wp:inline>
        </w:drawing>
      </w:r>
    </w:p>
    <w:p w14:paraId="292D7358">
      <w:pPr>
        <w:spacing w:line="360" w:lineRule="auto"/>
        <w:ind w:firstLine="643" w:firstLineChars="200"/>
        <w:rPr>
          <w:rFonts w:hint="eastAsia" w:ascii="楷体" w:hAnsi="楷体" w:eastAsia="楷体" w:cs="楷体"/>
          <w:b/>
          <w:bCs/>
          <w:color w:val="000000"/>
          <w:sz w:val="32"/>
          <w:szCs w:val="32"/>
        </w:rPr>
      </w:pPr>
      <w:r>
        <w:rPr>
          <w:rFonts w:hint="eastAsia" w:ascii="楷体" w:hAnsi="楷体" w:eastAsia="楷体" w:cs="楷体"/>
          <w:b/>
          <w:bCs/>
          <w:color w:val="000000"/>
          <w:sz w:val="32"/>
          <w:szCs w:val="32"/>
        </w:rPr>
        <w:t>存在的问题及原因分析</w:t>
      </w:r>
    </w:p>
    <w:p w14:paraId="6A63B800">
      <w:pPr>
        <w:pStyle w:val="4"/>
        <w:snapToGrid w:val="0"/>
        <w:spacing w:before="0" w:after="0" w:line="580" w:lineRule="exact"/>
        <w:ind w:firstLine="643"/>
        <w:rPr>
          <w:rFonts w:hint="eastAsia" w:ascii="仿宋" w:hAnsi="仿宋" w:eastAsia="仿宋" w:cs="仿宋"/>
          <w:b w:val="0"/>
          <w:color w:val="000000"/>
          <w:sz w:val="32"/>
          <w:szCs w:val="32"/>
        </w:rPr>
      </w:pPr>
      <w:r>
        <w:rPr>
          <w:rFonts w:hint="eastAsia" w:ascii="仿宋" w:hAnsi="仿宋" w:eastAsia="仿宋" w:cs="仿宋"/>
          <w:bCs/>
          <w:color w:val="000000"/>
          <w:sz w:val="32"/>
          <w:szCs w:val="32"/>
        </w:rPr>
        <w:t>1、预算绩效管理意识不够强。</w:t>
      </w:r>
      <w:r>
        <w:rPr>
          <w:rFonts w:hint="eastAsia" w:ascii="仿宋" w:hAnsi="仿宋" w:eastAsia="仿宋" w:cs="仿宋"/>
          <w:b w:val="0"/>
          <w:color w:val="000000"/>
          <w:sz w:val="32"/>
          <w:szCs w:val="32"/>
        </w:rPr>
        <w:t>主要原因是对项目预算绩效管理工作认识有待进一步提高。</w:t>
      </w:r>
    </w:p>
    <w:p w14:paraId="420A0B3A">
      <w:pPr>
        <w:spacing w:line="580" w:lineRule="exact"/>
        <w:ind w:firstLine="643" w:firstLineChars="200"/>
        <w:rPr>
          <w:rFonts w:hint="eastAsia" w:ascii="仿宋" w:hAnsi="仿宋" w:eastAsia="仿宋" w:cs="仿宋"/>
          <w:color w:val="000000"/>
          <w:sz w:val="32"/>
          <w:szCs w:val="32"/>
        </w:rPr>
      </w:pPr>
      <w:r>
        <w:rPr>
          <w:rFonts w:hint="eastAsia" w:ascii="仿宋" w:hAnsi="仿宋" w:eastAsia="仿宋" w:cs="仿宋"/>
          <w:b/>
          <w:bCs/>
          <w:sz w:val="32"/>
          <w:szCs w:val="32"/>
        </w:rPr>
        <w:t>2、项目管理制度不够健全。</w:t>
      </w:r>
      <w:r>
        <w:rPr>
          <w:rFonts w:hint="eastAsia" w:ascii="仿宋" w:hAnsi="仿宋" w:eastAsia="仿宋" w:cs="仿宋"/>
          <w:color w:val="000000"/>
          <w:sz w:val="32"/>
          <w:szCs w:val="32"/>
        </w:rPr>
        <w:t>主要原因是项目实施的财务和业务管理制度及执行有待进一步完善。</w:t>
      </w:r>
    </w:p>
    <w:p w14:paraId="2D7BCE10">
      <w:pPr>
        <w:numPr>
          <w:ilvl w:val="0"/>
          <w:numId w:val="0"/>
        </w:numPr>
        <w:spacing w:line="58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有关建议</w:t>
      </w:r>
    </w:p>
    <w:p w14:paraId="5261B096">
      <w:pPr>
        <w:pStyle w:val="4"/>
        <w:snapToGrid w:val="0"/>
        <w:spacing w:before="0" w:after="0" w:line="580" w:lineRule="exact"/>
        <w:ind w:firstLine="643"/>
        <w:rPr>
          <w:rFonts w:hint="eastAsia" w:ascii="仿宋" w:hAnsi="仿宋" w:eastAsia="仿宋" w:cs="仿宋"/>
          <w:b w:val="0"/>
          <w:sz w:val="32"/>
          <w:szCs w:val="32"/>
        </w:rPr>
      </w:pPr>
      <w:r>
        <w:rPr>
          <w:rFonts w:hint="eastAsia" w:ascii="仿宋" w:hAnsi="仿宋" w:eastAsia="仿宋" w:cs="仿宋"/>
          <w:bCs/>
          <w:sz w:val="32"/>
          <w:szCs w:val="32"/>
        </w:rPr>
        <w:t>（一）建议进一步增强</w:t>
      </w:r>
      <w:r>
        <w:rPr>
          <w:rFonts w:hint="eastAsia" w:ascii="仿宋" w:hAnsi="仿宋" w:eastAsia="仿宋" w:cs="仿宋"/>
          <w:bCs/>
          <w:color w:val="000000"/>
          <w:sz w:val="32"/>
          <w:szCs w:val="32"/>
        </w:rPr>
        <w:t>项目预算</w:t>
      </w:r>
      <w:r>
        <w:rPr>
          <w:rFonts w:hint="eastAsia" w:ascii="仿宋" w:hAnsi="仿宋" w:eastAsia="仿宋" w:cs="仿宋"/>
          <w:bCs/>
          <w:sz w:val="32"/>
          <w:szCs w:val="32"/>
        </w:rPr>
        <w:t>绩效管理认识。</w:t>
      </w:r>
      <w:r>
        <w:rPr>
          <w:rFonts w:hint="eastAsia" w:ascii="仿宋" w:hAnsi="仿宋" w:eastAsia="仿宋" w:cs="仿宋"/>
          <w:b w:val="0"/>
          <w:sz w:val="32"/>
          <w:szCs w:val="32"/>
        </w:rPr>
        <w:t>根据上级有关要求和规定，合理设定财政项目支出绩效目标，在申报年度预算同时报送《项目支出绩效目标申报表》，做到绩效目标设立依据充分、符合实际，绩效指标清晰明确、细化具体，加强</w:t>
      </w:r>
      <w:r>
        <w:rPr>
          <w:rFonts w:hint="eastAsia" w:ascii="仿宋" w:hAnsi="仿宋" w:eastAsia="仿宋" w:cs="仿宋"/>
          <w:b w:val="0"/>
          <w:color w:val="000000"/>
          <w:sz w:val="32"/>
          <w:szCs w:val="32"/>
        </w:rPr>
        <w:t>预算批复项目资金规范管理。</w:t>
      </w:r>
    </w:p>
    <w:p w14:paraId="5E4B1867">
      <w:pPr>
        <w:spacing w:line="580" w:lineRule="exact"/>
        <w:ind w:firstLine="643" w:firstLineChars="200"/>
        <w:rPr>
          <w:rFonts w:hint="eastAsia" w:ascii="仿宋" w:hAnsi="仿宋" w:eastAsia="仿宋" w:cs="仿宋"/>
          <w:sz w:val="32"/>
          <w:szCs w:val="32"/>
        </w:rPr>
      </w:pPr>
      <w:r>
        <w:rPr>
          <w:rFonts w:hint="eastAsia" w:ascii="仿宋" w:hAnsi="仿宋" w:eastAsia="仿宋" w:cs="仿宋"/>
          <w:b/>
          <w:bCs/>
          <w:color w:val="000000"/>
          <w:sz w:val="32"/>
          <w:szCs w:val="32"/>
        </w:rPr>
        <w:t>（二）建议进一步健全项目管理制度。</w:t>
      </w:r>
      <w:r>
        <w:rPr>
          <w:rFonts w:hint="eastAsia" w:ascii="仿宋" w:hAnsi="仿宋" w:eastAsia="仿宋" w:cs="仿宋"/>
          <w:color w:val="000000"/>
          <w:sz w:val="32"/>
          <w:szCs w:val="32"/>
        </w:rPr>
        <w:t>按照上级有关要求和规定，结合工作实际，完善项目实施的财务和业务管理制度，严格执行项目实施相关管理规定，健全项目长效管理机制，</w:t>
      </w:r>
      <w:r>
        <w:rPr>
          <w:rFonts w:hint="eastAsia" w:ascii="仿宋" w:hAnsi="仿宋" w:eastAsia="仿宋" w:cs="仿宋"/>
          <w:sz w:val="32"/>
          <w:szCs w:val="32"/>
        </w:rPr>
        <w:t>加强服务保障体系建设，提升服务保障工作水平，为建好景德镇国际陶瓷文化传承创新试验区做出新的贡献，让驻京联络处成为展示“与世界对话国际瓷都”的靓丽名片。</w:t>
      </w:r>
    </w:p>
    <w:p w14:paraId="73FA0D05">
      <w:pPr>
        <w:spacing w:line="580" w:lineRule="exact"/>
        <w:ind w:firstLine="640" w:firstLineChars="200"/>
        <w:rPr>
          <w:rFonts w:hint="eastAsia" w:ascii="仿宋" w:hAnsi="仿宋" w:eastAsia="仿宋" w:cs="仿宋"/>
          <w:color w:val="000000"/>
          <w:sz w:val="32"/>
          <w:szCs w:val="32"/>
          <w:lang w:eastAsia="zh-CN"/>
        </w:rPr>
      </w:pPr>
    </w:p>
    <w:p w14:paraId="7D3F9241">
      <w:pPr>
        <w:spacing w:line="560" w:lineRule="exact"/>
        <w:ind w:firstLine="160" w:firstLineChars="50"/>
        <w:jc w:val="center"/>
        <w:rPr>
          <w:rFonts w:hint="eastAsia" w:ascii="黑体" w:eastAsia="黑体"/>
          <w:sz w:val="32"/>
          <w:szCs w:val="32"/>
        </w:rPr>
      </w:pPr>
      <w:r>
        <w:rPr>
          <w:rFonts w:hint="eastAsia" w:ascii="黑体" w:eastAsia="黑体"/>
          <w:sz w:val="32"/>
          <w:szCs w:val="32"/>
        </w:rPr>
        <w:t>第四部分  名词解释</w:t>
      </w:r>
    </w:p>
    <w:p w14:paraId="2AD67215">
      <w:pPr>
        <w:spacing w:line="560" w:lineRule="exact"/>
        <w:ind w:firstLine="640" w:firstLineChars="200"/>
        <w:rPr>
          <w:rFonts w:hint="eastAsia" w:ascii="仿宋_GB2312" w:eastAsia="仿宋_GB2312"/>
          <w:sz w:val="32"/>
          <w:szCs w:val="32"/>
        </w:rPr>
      </w:pPr>
    </w:p>
    <w:p w14:paraId="52FEE5B7">
      <w:pPr>
        <w:autoSpaceDE w:val="0"/>
        <w:autoSpaceDN w:val="0"/>
        <w:adjustRightInd w:val="0"/>
        <w:ind w:firstLine="640" w:firstLineChars="200"/>
        <w:jc w:val="left"/>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（一）财政拨款：指市级财政当年拨付的资金。</w:t>
      </w:r>
    </w:p>
    <w:p w14:paraId="75E96A4B">
      <w:pPr>
        <w:autoSpaceDE w:val="0"/>
        <w:autoSpaceDN w:val="0"/>
        <w:adjustRightInd w:val="0"/>
        <w:ind w:firstLine="640"/>
        <w:jc w:val="left"/>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（二）事业收入：指事业单位开展专业业务活动及辅助活动取得的收入。</w:t>
      </w:r>
    </w:p>
    <w:p w14:paraId="31FBE132">
      <w:pPr>
        <w:autoSpaceDE w:val="0"/>
        <w:autoSpaceDN w:val="0"/>
        <w:adjustRightInd w:val="0"/>
        <w:ind w:firstLine="640"/>
        <w:jc w:val="left"/>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（三）行政运行：反映行政单位（包括参公单位）的基本支出。</w:t>
      </w:r>
    </w:p>
    <w:p w14:paraId="28B51819">
      <w:pPr>
        <w:autoSpaceDE w:val="0"/>
        <w:autoSpaceDN w:val="0"/>
        <w:adjustRightInd w:val="0"/>
        <w:spacing w:line="600" w:lineRule="atLeast"/>
        <w:ind w:firstLine="640"/>
        <w:jc w:val="left"/>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四）“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14:paraId="6694EAD0">
      <w:pPr>
        <w:widowControl/>
        <w:spacing w:line="580" w:lineRule="exact"/>
        <w:ind w:firstLine="640" w:firstLineChars="200"/>
        <w:jc w:val="left"/>
        <w:rPr>
          <w:rFonts w:hint="eastAsia" w:ascii="仿宋" w:hAnsi="仿宋" w:eastAsia="仿宋" w:cs="仿宋"/>
          <w:sz w:val="32"/>
          <w:szCs w:val="32"/>
        </w:rPr>
      </w:pPr>
      <w:r>
        <w:rPr>
          <w:rFonts w:hint="eastAsia" w:ascii="仿宋" w:hAnsi="仿宋" w:eastAsia="仿宋" w:cs="仿宋"/>
          <w:kern w:val="0"/>
          <w:sz w:val="32"/>
          <w:szCs w:val="32"/>
          <w:lang w:val="zh-CN"/>
        </w:rPr>
        <w:t>（五）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14:paraId="7B2CFFF7">
      <w:pPr>
        <w:rPr>
          <w:rFonts w:hint="eastAsia" w:ascii="仿宋" w:hAnsi="仿宋" w:eastAsia="仿宋" w:cs="仿宋"/>
          <w:sz w:val="32"/>
          <w:szCs w:val="32"/>
        </w:rPr>
      </w:pPr>
    </w:p>
    <w:p w14:paraId="6B8ECF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8AF57D"/>
    <w:multiLevelType w:val="singleLevel"/>
    <w:tmpl w:val="3C8AF57D"/>
    <w:lvl w:ilvl="0" w:tentative="0">
      <w:start w:val="9"/>
      <w:numFmt w:val="chineseCounting"/>
      <w:suff w:val="nothing"/>
      <w:lvlText w:val="%1、"/>
      <w:lvlJc w:val="left"/>
      <w:rPr>
        <w:rFonts w:hint="eastAsia"/>
      </w:rPr>
    </w:lvl>
  </w:abstractNum>
  <w:abstractNum w:abstractNumId="1">
    <w:nsid w:val="7F402101"/>
    <w:multiLevelType w:val="singleLevel"/>
    <w:tmpl w:val="7F402101"/>
    <w:lvl w:ilvl="0" w:tentative="0">
      <w:start w:val="3"/>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7D49B4"/>
    <w:rsid w:val="058C10FE"/>
    <w:rsid w:val="13711E82"/>
    <w:rsid w:val="14510BD6"/>
    <w:rsid w:val="18F62F88"/>
    <w:rsid w:val="1B2E6E79"/>
    <w:rsid w:val="24382DFD"/>
    <w:rsid w:val="2A2C10A1"/>
    <w:rsid w:val="2A6F4211"/>
    <w:rsid w:val="302855A0"/>
    <w:rsid w:val="3B581EA4"/>
    <w:rsid w:val="3F545C4F"/>
    <w:rsid w:val="442952F5"/>
    <w:rsid w:val="4A6376C4"/>
    <w:rsid w:val="54497F2E"/>
    <w:rsid w:val="5EBF656B"/>
    <w:rsid w:val="68AD68FC"/>
    <w:rsid w:val="6E454E36"/>
    <w:rsid w:val="723C0F54"/>
    <w:rsid w:val="73224D2F"/>
    <w:rsid w:val="73C01588"/>
    <w:rsid w:val="76B55283"/>
    <w:rsid w:val="787D49B4"/>
    <w:rsid w:val="79823DF7"/>
    <w:rsid w:val="7BF77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闻政标题5"/>
    <w:basedOn w:val="1"/>
    <w:qFormat/>
    <w:uiPriority w:val="0"/>
    <w:pPr>
      <w:spacing w:before="120" w:after="60" w:line="500" w:lineRule="exact"/>
      <w:ind w:firstLine="200" w:firstLineChars="200"/>
    </w:pPr>
    <w:rPr>
      <w:rFonts w:ascii="Times New Roman" w:hAnsi="Times New Roman" w:eastAsia="仿宋_GB2312"/>
      <w:b/>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3264</Words>
  <Characters>3614</Characters>
  <Lines>0</Lines>
  <Paragraphs>0</Paragraphs>
  <TotalTime>7</TotalTime>
  <ScaleCrop>false</ScaleCrop>
  <LinksUpToDate>false</LinksUpToDate>
  <CharactersWithSpaces>3692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2020-09-29T07:34:00Z</dcterms:created>
  <dc:creator>jt2</dc:creator>
  <cp:lastModifiedBy>嘟嘟</cp:lastModifiedBy>
  <dcterms:modified xsi:type="dcterms:W3CDTF">2026-07-20T09:19:18Z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D1B91E77CA8C4A8294C474ABE74F0042_12</vt:lpwstr>
  </property>
</Properties>
</file>