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54" w:lineRule="exact"/>
        <w:ind w:left="120" w:right="0" w:firstLine="0"/>
        <w:jc w:val="left"/>
        <w:rPr>
          <w:rFonts w:hint="eastAsia" w:ascii="楷体_GB2312" w:eastAsia="仿宋"/>
          <w:sz w:val="28"/>
          <w:lang w:eastAsia="zh-CN"/>
        </w:rPr>
      </w:pPr>
      <w:r>
        <w:rPr>
          <w:rFonts w:ascii="楷体_GB2312"/>
          <w:sz w:val="28"/>
        </w:rPr>
        <w:t>2</w:t>
      </w:r>
      <w:r>
        <w:rPr>
          <w:rFonts w:hint="eastAsia" w:ascii="楷体_GB2312"/>
          <w:sz w:val="28"/>
          <w:lang w:val="en-US" w:eastAsia="zh-CN"/>
        </w:rPr>
        <w:t>0</w:t>
      </w:r>
      <w:bookmarkStart w:id="0" w:name="_GoBack"/>
      <w:bookmarkEnd w:id="0"/>
    </w:p>
    <w:p>
      <w:pPr>
        <w:pStyle w:val="2"/>
        <w:spacing w:before="0"/>
        <w:ind w:left="0"/>
        <w:rPr>
          <w:rFonts w:ascii="楷体_GB2312"/>
          <w:sz w:val="20"/>
        </w:rPr>
      </w:pPr>
    </w:p>
    <w:p>
      <w:pPr>
        <w:pStyle w:val="2"/>
        <w:spacing w:before="0"/>
        <w:ind w:left="0"/>
        <w:rPr>
          <w:rFonts w:ascii="楷体_GB2312"/>
          <w:sz w:val="20"/>
        </w:rPr>
      </w:pPr>
    </w:p>
    <w:p>
      <w:pPr>
        <w:pStyle w:val="2"/>
        <w:spacing w:before="4"/>
        <w:ind w:left="0"/>
        <w:rPr>
          <w:rFonts w:ascii="楷体_GB2312"/>
          <w:sz w:val="23"/>
        </w:rPr>
      </w:pPr>
    </w:p>
    <w:p>
      <w:pPr>
        <w:spacing w:before="0" w:line="316" w:lineRule="auto"/>
        <w:ind w:left="3373" w:right="884" w:hanging="2387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2019</w:t>
      </w:r>
      <w:r>
        <w:rPr>
          <w:rFonts w:hint="eastAsia" w:ascii="黑体" w:eastAsia="黑体"/>
          <w:spacing w:val="-10"/>
          <w:sz w:val="36"/>
        </w:rPr>
        <w:t xml:space="preserve"> 年税收返还及转移支付决算的说明</w:t>
      </w:r>
    </w:p>
    <w:p>
      <w:pPr>
        <w:autoSpaceDE/>
        <w:autoSpaceDN/>
        <w:spacing w:before="0" w:after="0" w:line="240" w:lineRule="auto"/>
        <w:ind w:left="0" w:right="0" w:firstLine="640" w:firstLineChars="200"/>
        <w:jc w:val="both"/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一、税收返还收入决算数为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3620</w:t>
      </w: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万元，其中增值税税收返还收入为1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万元；增值税“五五分享”税收返还收入为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2634</w:t>
      </w: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万元；其他税收返还收入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838</w:t>
      </w: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二、一般性转移支付收入决算数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11771</w:t>
      </w: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万元，其中均衡性转移支付收入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万元；结算补助收入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11032</w:t>
      </w: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万元；固定数额补助收入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万元；科学技术共同财政事权转移支付收入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11万元；文化旅游体育与传媒共同财政事权转移支付收入30万元；社会保障和就业共同财政事权转移支付收入493万元</w:t>
      </w: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三、专项转移支付收入决算数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4006</w:t>
      </w: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万元。</w:t>
      </w:r>
    </w:p>
    <w:p/>
    <w:p>
      <w:pPr>
        <w:pStyle w:val="2"/>
        <w:spacing w:before="48" w:line="357" w:lineRule="auto"/>
        <w:ind w:right="256"/>
        <w:jc w:val="both"/>
      </w:pPr>
    </w:p>
    <w:sectPr>
      <w:pgSz w:w="11910" w:h="16840"/>
      <w:pgMar w:top="1500" w:right="15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37B9F"/>
    <w:rsid w:val="25BA2D2B"/>
    <w:rsid w:val="4F946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5"/>
      <w:ind w:left="120"/>
    </w:pPr>
    <w:rPr>
      <w:rFonts w:ascii="仿宋" w:hAnsi="仿宋" w:eastAsia="仿宋" w:cs="仿宋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2020-09-23T17:31:00Z</dcterms:created>
  <dc:creator>邓亮</dc:creator>
  <cp:lastModifiedBy>Wen超</cp:lastModifiedBy>
  <dcterms:modified xsi:type="dcterms:W3CDTF">2020-10-22T04:13:28Z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