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"/>
        <w:ind w:left="150" w:right="0" w:firstLine="0"/>
        <w:jc w:val="left"/>
        <w:rPr>
          <w:rFonts w:hint="eastAsia" w:eastAsia="宋体"/>
          <w:sz w:val="20"/>
          <w:lang w:eastAsia="zh-CN"/>
        </w:rPr>
      </w:pPr>
      <w:r>
        <w:rPr>
          <w:sz w:val="20"/>
        </w:rPr>
        <w:t>1</w:t>
      </w:r>
      <w:r>
        <w:rPr>
          <w:rFonts w:hint="eastAsia"/>
          <w:sz w:val="20"/>
          <w:lang w:val="en-US" w:eastAsia="zh-CN"/>
        </w:rPr>
        <w:t>6</w:t>
      </w:r>
      <w:bookmarkStart w:id="0" w:name="_GoBack"/>
      <w:bookmarkEnd w:id="0"/>
    </w:p>
    <w:p>
      <w:pPr>
        <w:pStyle w:val="2"/>
        <w:spacing w:before="134"/>
        <w:ind w:left="1338"/>
      </w:pPr>
      <w:r>
        <w:t>二○一九年江西省省级国有资本经营预算支出决算表</w:t>
      </w:r>
    </w:p>
    <w:p>
      <w:pPr>
        <w:spacing w:before="8" w:line="240" w:lineRule="auto"/>
        <w:rPr>
          <w:b/>
          <w:sz w:val="9"/>
        </w:rPr>
      </w:pPr>
    </w:p>
    <w:p>
      <w:pPr>
        <w:spacing w:before="38"/>
        <w:ind w:left="0" w:right="339" w:firstLine="0"/>
        <w:jc w:val="right"/>
        <w:rPr>
          <w:sz w:val="20"/>
        </w:rPr>
      </w:pPr>
      <w:r>
        <w:rPr>
          <w:w w:val="95"/>
          <w:sz w:val="20"/>
        </w:rPr>
        <w:t>单位：万元</w:t>
      </w:r>
    </w:p>
    <w:p>
      <w:pPr>
        <w:spacing w:before="3" w:after="1" w:line="240" w:lineRule="auto"/>
        <w:rPr>
          <w:sz w:val="8"/>
        </w:rPr>
      </w:pPr>
    </w:p>
    <w:tbl>
      <w:tblPr>
        <w:tblStyle w:val="3"/>
        <w:tblW w:w="0" w:type="auto"/>
        <w:tblInd w:w="10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2"/>
        <w:gridCol w:w="1064"/>
        <w:gridCol w:w="1063"/>
        <w:gridCol w:w="1064"/>
        <w:gridCol w:w="11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4652" w:type="dxa"/>
          </w:tcPr>
          <w:p>
            <w:pPr>
              <w:pStyle w:val="7"/>
              <w:spacing w:before="1"/>
              <w:ind w:right="0"/>
              <w:jc w:val="left"/>
              <w:rPr>
                <w:sz w:val="16"/>
              </w:rPr>
            </w:pPr>
          </w:p>
          <w:p>
            <w:pPr>
              <w:pStyle w:val="7"/>
              <w:spacing w:before="0"/>
              <w:ind w:left="4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预算科目</w:t>
            </w:r>
          </w:p>
        </w:tc>
        <w:tc>
          <w:tcPr>
            <w:tcW w:w="1064" w:type="dxa"/>
          </w:tcPr>
          <w:p>
            <w:pPr>
              <w:pStyle w:val="7"/>
              <w:spacing w:before="88" w:line="254" w:lineRule="exact"/>
              <w:ind w:left="216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2019年</w:t>
            </w:r>
          </w:p>
          <w:p>
            <w:pPr>
              <w:pStyle w:val="7"/>
              <w:spacing w:before="0" w:line="254" w:lineRule="exact"/>
              <w:ind w:left="22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预算数</w:t>
            </w:r>
          </w:p>
        </w:tc>
        <w:tc>
          <w:tcPr>
            <w:tcW w:w="1063" w:type="dxa"/>
          </w:tcPr>
          <w:p>
            <w:pPr>
              <w:pStyle w:val="7"/>
              <w:spacing w:before="88" w:line="254" w:lineRule="exact"/>
              <w:ind w:left="216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2019年</w:t>
            </w:r>
          </w:p>
          <w:p>
            <w:pPr>
              <w:pStyle w:val="7"/>
              <w:spacing w:before="0" w:line="254" w:lineRule="exact"/>
              <w:ind w:left="22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决算数</w:t>
            </w:r>
          </w:p>
        </w:tc>
        <w:tc>
          <w:tcPr>
            <w:tcW w:w="1064" w:type="dxa"/>
          </w:tcPr>
          <w:p>
            <w:pPr>
              <w:pStyle w:val="7"/>
              <w:spacing w:before="123" w:line="248" w:lineRule="exact"/>
              <w:ind w:left="69" w:right="51" w:firstLine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决算数是预算数的%</w:t>
            </w:r>
          </w:p>
        </w:tc>
        <w:tc>
          <w:tcPr>
            <w:tcW w:w="1118" w:type="dxa"/>
          </w:tcPr>
          <w:p>
            <w:pPr>
              <w:pStyle w:val="7"/>
              <w:spacing w:before="123" w:line="248" w:lineRule="exact"/>
              <w:ind w:left="199" w:right="28" w:hanging="1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与上年决算数增减%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一、社会保障和就业支出</w:t>
            </w:r>
          </w:p>
        </w:tc>
        <w:tc>
          <w:tcPr>
            <w:tcW w:w="1064" w:type="dxa"/>
          </w:tcPr>
          <w:p/>
        </w:tc>
        <w:tc>
          <w:tcPr>
            <w:tcW w:w="1063" w:type="dxa"/>
          </w:tcPr>
          <w:p/>
        </w:tc>
        <w:tc>
          <w:tcPr>
            <w:tcW w:w="1064" w:type="dxa"/>
          </w:tcPr>
          <w:p/>
        </w:tc>
        <w:tc>
          <w:tcPr>
            <w:tcW w:w="1118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652" w:type="dxa"/>
          </w:tcPr>
          <w:p>
            <w:pPr>
              <w:pStyle w:val="7"/>
              <w:spacing w:before="74"/>
              <w:ind w:left="42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国有资本经营预算补充社保基金支出</w:t>
            </w:r>
          </w:p>
        </w:tc>
        <w:tc>
          <w:tcPr>
            <w:tcW w:w="1064" w:type="dxa"/>
          </w:tcPr>
          <w:p/>
        </w:tc>
        <w:tc>
          <w:tcPr>
            <w:tcW w:w="1063" w:type="dxa"/>
          </w:tcPr>
          <w:p/>
        </w:tc>
        <w:tc>
          <w:tcPr>
            <w:tcW w:w="1064" w:type="dxa"/>
          </w:tcPr>
          <w:p/>
        </w:tc>
        <w:tc>
          <w:tcPr>
            <w:tcW w:w="1118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二、国有资本经营预算支出</w:t>
            </w:r>
          </w:p>
        </w:tc>
        <w:tc>
          <w:tcPr>
            <w:tcW w:w="106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7"/>
              <w:ind w:right="20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（一）解决历史遗留问题及改革成本支出</w:t>
            </w:r>
          </w:p>
        </w:tc>
        <w:tc>
          <w:tcPr>
            <w:tcW w:w="106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7"/>
              <w:ind w:right="20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1.国有企业办职教幼教补助支出</w:t>
            </w:r>
          </w:p>
        </w:tc>
        <w:tc>
          <w:tcPr>
            <w:tcW w:w="1064" w:type="dxa"/>
          </w:tcPr>
          <w:p/>
        </w:tc>
        <w:tc>
          <w:tcPr>
            <w:tcW w:w="1063" w:type="dxa"/>
          </w:tcPr>
          <w:p/>
        </w:tc>
        <w:tc>
          <w:tcPr>
            <w:tcW w:w="1064" w:type="dxa"/>
          </w:tcPr>
          <w:p/>
        </w:tc>
        <w:tc>
          <w:tcPr>
            <w:tcW w:w="1118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2.国有企业退休人员社会化管理补助支出</w:t>
            </w:r>
          </w:p>
        </w:tc>
        <w:tc>
          <w:tcPr>
            <w:tcW w:w="1064" w:type="dxa"/>
          </w:tcPr>
          <w:p/>
        </w:tc>
        <w:tc>
          <w:tcPr>
            <w:tcW w:w="1063" w:type="dxa"/>
          </w:tcPr>
          <w:p/>
        </w:tc>
        <w:tc>
          <w:tcPr>
            <w:tcW w:w="1064" w:type="dxa"/>
          </w:tcPr>
          <w:p/>
        </w:tc>
        <w:tc>
          <w:tcPr>
            <w:tcW w:w="1118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3.“三供一业”移交补助支出</w:t>
            </w:r>
          </w:p>
        </w:tc>
        <w:tc>
          <w:tcPr>
            <w:tcW w:w="106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7"/>
              <w:ind w:right="20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4.国有企业改革成本支出</w:t>
            </w:r>
          </w:p>
        </w:tc>
        <w:tc>
          <w:tcPr>
            <w:tcW w:w="106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7"/>
              <w:ind w:right="20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652" w:type="dxa"/>
          </w:tcPr>
          <w:p>
            <w:pPr>
              <w:pStyle w:val="7"/>
              <w:spacing w:before="74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5.离休干部医药费补助支出</w:t>
            </w:r>
          </w:p>
        </w:tc>
        <w:tc>
          <w:tcPr>
            <w:tcW w:w="1064" w:type="dxa"/>
          </w:tcPr>
          <w:p/>
        </w:tc>
        <w:tc>
          <w:tcPr>
            <w:tcW w:w="1063" w:type="dxa"/>
          </w:tcPr>
          <w:p/>
        </w:tc>
        <w:tc>
          <w:tcPr>
            <w:tcW w:w="1064" w:type="dxa"/>
          </w:tcPr>
          <w:p/>
        </w:tc>
        <w:tc>
          <w:tcPr>
            <w:tcW w:w="1118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6.其他解决历史遗留问题及改革成本支出</w:t>
            </w:r>
          </w:p>
        </w:tc>
        <w:tc>
          <w:tcPr>
            <w:tcW w:w="106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7"/>
              <w:ind w:right="20"/>
              <w:rPr>
                <w:sz w:val="20"/>
              </w:rPr>
            </w:pPr>
          </w:p>
        </w:tc>
        <w:tc>
          <w:tcPr>
            <w:tcW w:w="1118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（二）国有企业资本金注入</w:t>
            </w:r>
          </w:p>
        </w:tc>
        <w:tc>
          <w:tcPr>
            <w:tcW w:w="106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7"/>
              <w:ind w:right="20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1.国有经济结构调整支出</w:t>
            </w:r>
          </w:p>
        </w:tc>
        <w:tc>
          <w:tcPr>
            <w:tcW w:w="106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7"/>
              <w:ind w:right="20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2.公益性设施投资支出</w:t>
            </w:r>
          </w:p>
        </w:tc>
        <w:tc>
          <w:tcPr>
            <w:tcW w:w="1064" w:type="dxa"/>
          </w:tcPr>
          <w:p/>
        </w:tc>
        <w:tc>
          <w:tcPr>
            <w:tcW w:w="1063" w:type="dxa"/>
          </w:tcPr>
          <w:p/>
        </w:tc>
        <w:tc>
          <w:tcPr>
            <w:tcW w:w="1064" w:type="dxa"/>
          </w:tcPr>
          <w:p/>
        </w:tc>
        <w:tc>
          <w:tcPr>
            <w:tcW w:w="1118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3.前瞻性战略性产业发展支出</w:t>
            </w:r>
          </w:p>
        </w:tc>
        <w:tc>
          <w:tcPr>
            <w:tcW w:w="1064" w:type="dxa"/>
          </w:tcPr>
          <w:p/>
        </w:tc>
        <w:tc>
          <w:tcPr>
            <w:tcW w:w="1063" w:type="dxa"/>
          </w:tcPr>
          <w:p/>
        </w:tc>
        <w:tc>
          <w:tcPr>
            <w:tcW w:w="1064" w:type="dxa"/>
          </w:tcPr>
          <w:p/>
        </w:tc>
        <w:tc>
          <w:tcPr>
            <w:tcW w:w="1118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4.生态环境保护支出</w:t>
            </w:r>
          </w:p>
        </w:tc>
        <w:tc>
          <w:tcPr>
            <w:tcW w:w="1064" w:type="dxa"/>
          </w:tcPr>
          <w:p/>
        </w:tc>
        <w:tc>
          <w:tcPr>
            <w:tcW w:w="1063" w:type="dxa"/>
          </w:tcPr>
          <w:p/>
        </w:tc>
        <w:tc>
          <w:tcPr>
            <w:tcW w:w="1064" w:type="dxa"/>
          </w:tcPr>
          <w:p/>
        </w:tc>
        <w:tc>
          <w:tcPr>
            <w:tcW w:w="1118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652" w:type="dxa"/>
          </w:tcPr>
          <w:p>
            <w:pPr>
              <w:pStyle w:val="7"/>
              <w:spacing w:before="74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5.支持科技进步支出</w:t>
            </w:r>
          </w:p>
        </w:tc>
        <w:tc>
          <w:tcPr>
            <w:tcW w:w="1064" w:type="dxa"/>
          </w:tcPr>
          <w:p/>
        </w:tc>
        <w:tc>
          <w:tcPr>
            <w:tcW w:w="1063" w:type="dxa"/>
          </w:tcPr>
          <w:p/>
        </w:tc>
        <w:tc>
          <w:tcPr>
            <w:tcW w:w="1064" w:type="dxa"/>
          </w:tcPr>
          <w:p/>
        </w:tc>
        <w:tc>
          <w:tcPr>
            <w:tcW w:w="1118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6.保障国家经济安全支出</w:t>
            </w:r>
          </w:p>
        </w:tc>
        <w:tc>
          <w:tcPr>
            <w:tcW w:w="1064" w:type="dxa"/>
          </w:tcPr>
          <w:p/>
        </w:tc>
        <w:tc>
          <w:tcPr>
            <w:tcW w:w="1063" w:type="dxa"/>
          </w:tcPr>
          <w:p/>
        </w:tc>
        <w:tc>
          <w:tcPr>
            <w:tcW w:w="1064" w:type="dxa"/>
          </w:tcPr>
          <w:p/>
        </w:tc>
        <w:tc>
          <w:tcPr>
            <w:tcW w:w="1118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7.对外投资合作支出</w:t>
            </w:r>
          </w:p>
        </w:tc>
        <w:tc>
          <w:tcPr>
            <w:tcW w:w="1064" w:type="dxa"/>
          </w:tcPr>
          <w:p/>
        </w:tc>
        <w:tc>
          <w:tcPr>
            <w:tcW w:w="1063" w:type="dxa"/>
          </w:tcPr>
          <w:p/>
        </w:tc>
        <w:tc>
          <w:tcPr>
            <w:tcW w:w="1064" w:type="dxa"/>
          </w:tcPr>
          <w:p/>
        </w:tc>
        <w:tc>
          <w:tcPr>
            <w:tcW w:w="1118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8.其他国有企业资本金注入</w:t>
            </w:r>
          </w:p>
        </w:tc>
        <w:tc>
          <w:tcPr>
            <w:tcW w:w="106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7"/>
              <w:ind w:right="20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（三）国有企业政策性补贴</w:t>
            </w:r>
          </w:p>
        </w:tc>
        <w:tc>
          <w:tcPr>
            <w:tcW w:w="1064" w:type="dxa"/>
          </w:tcPr>
          <w:p/>
        </w:tc>
        <w:tc>
          <w:tcPr>
            <w:tcW w:w="1063" w:type="dxa"/>
          </w:tcPr>
          <w:p/>
        </w:tc>
        <w:tc>
          <w:tcPr>
            <w:tcW w:w="1064" w:type="dxa"/>
          </w:tcPr>
          <w:p/>
        </w:tc>
        <w:tc>
          <w:tcPr>
            <w:tcW w:w="1118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32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国有企业政策性补贴</w:t>
            </w:r>
          </w:p>
        </w:tc>
        <w:tc>
          <w:tcPr>
            <w:tcW w:w="1064" w:type="dxa"/>
          </w:tcPr>
          <w:p/>
        </w:tc>
        <w:tc>
          <w:tcPr>
            <w:tcW w:w="1063" w:type="dxa"/>
          </w:tcPr>
          <w:p/>
        </w:tc>
        <w:tc>
          <w:tcPr>
            <w:tcW w:w="1064" w:type="dxa"/>
          </w:tcPr>
          <w:p/>
        </w:tc>
        <w:tc>
          <w:tcPr>
            <w:tcW w:w="1118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（四）其他国有资本经营预算支出</w:t>
            </w:r>
          </w:p>
        </w:tc>
        <w:tc>
          <w:tcPr>
            <w:tcW w:w="106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7"/>
              <w:ind w:right="20"/>
              <w:rPr>
                <w:sz w:val="20"/>
              </w:rPr>
            </w:pPr>
          </w:p>
        </w:tc>
        <w:tc>
          <w:tcPr>
            <w:tcW w:w="1118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652" w:type="dxa"/>
          </w:tcPr>
          <w:p>
            <w:pPr>
              <w:pStyle w:val="7"/>
              <w:tabs>
                <w:tab w:val="left" w:pos="705"/>
              </w:tabs>
              <w:ind w:left="3" w:right="0"/>
              <w:jc w:val="center"/>
              <w:rPr>
                <w:sz w:val="20"/>
              </w:rPr>
            </w:pPr>
            <w:r>
              <w:rPr>
                <w:sz w:val="20"/>
              </w:rPr>
              <w:t>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计</w:t>
            </w:r>
          </w:p>
        </w:tc>
        <w:tc>
          <w:tcPr>
            <w:tcW w:w="106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7"/>
              <w:ind w:right="20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924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加：国有资本经营预算调出资金</w:t>
            </w:r>
          </w:p>
        </w:tc>
        <w:tc>
          <w:tcPr>
            <w:tcW w:w="106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7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774</w:t>
            </w:r>
          </w:p>
        </w:tc>
        <w:tc>
          <w:tcPr>
            <w:tcW w:w="1064" w:type="dxa"/>
          </w:tcPr>
          <w:p>
            <w:pPr>
              <w:pStyle w:val="7"/>
              <w:ind w:right="20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724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加：国有资本经营预算转移支付支出</w:t>
            </w:r>
          </w:p>
        </w:tc>
        <w:tc>
          <w:tcPr>
            <w:tcW w:w="1064" w:type="dxa"/>
          </w:tcPr>
          <w:p/>
        </w:tc>
        <w:tc>
          <w:tcPr>
            <w:tcW w:w="1063" w:type="dxa"/>
          </w:tcPr>
          <w:p/>
        </w:tc>
        <w:tc>
          <w:tcPr>
            <w:tcW w:w="1064" w:type="dxa"/>
          </w:tcPr>
          <w:p/>
        </w:tc>
        <w:tc>
          <w:tcPr>
            <w:tcW w:w="1118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4" w:right="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支出合计</w:t>
            </w:r>
          </w:p>
        </w:tc>
        <w:tc>
          <w:tcPr>
            <w:tcW w:w="106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7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774</w:t>
            </w:r>
          </w:p>
        </w:tc>
        <w:tc>
          <w:tcPr>
            <w:tcW w:w="1064" w:type="dxa"/>
          </w:tcPr>
          <w:p>
            <w:pPr>
              <w:pStyle w:val="7"/>
              <w:ind w:right="20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ind w:left="4" w:right="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结转下年</w:t>
            </w:r>
          </w:p>
        </w:tc>
        <w:tc>
          <w:tcPr>
            <w:tcW w:w="1064" w:type="dxa"/>
          </w:tcPr>
          <w:p/>
        </w:tc>
        <w:tc>
          <w:tcPr>
            <w:tcW w:w="1063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4" w:type="dxa"/>
          </w:tcPr>
          <w:p/>
        </w:tc>
        <w:tc>
          <w:tcPr>
            <w:tcW w:w="1118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652" w:type="dxa"/>
          </w:tcPr>
          <w:p>
            <w:pPr>
              <w:pStyle w:val="7"/>
              <w:tabs>
                <w:tab w:val="left" w:pos="770"/>
              </w:tabs>
              <w:spacing w:before="66"/>
              <w:ind w:left="19" w:right="0"/>
              <w:jc w:val="center"/>
              <w:rPr>
                <w:sz w:val="20"/>
              </w:rPr>
            </w:pPr>
            <w:r>
              <w:rPr>
                <w:sz w:val="20"/>
              </w:rPr>
              <w:t>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计</w:t>
            </w:r>
          </w:p>
        </w:tc>
        <w:tc>
          <w:tcPr>
            <w:tcW w:w="106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7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774</w:t>
            </w:r>
          </w:p>
        </w:tc>
        <w:tc>
          <w:tcPr>
            <w:tcW w:w="1064" w:type="dxa"/>
          </w:tcPr>
          <w:p>
            <w:pPr>
              <w:pStyle w:val="7"/>
              <w:ind w:right="20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7"/>
              <w:rPr>
                <w:sz w:val="20"/>
              </w:rPr>
            </w:pPr>
          </w:p>
        </w:tc>
      </w:tr>
    </w:tbl>
    <w:p/>
    <w:sectPr>
      <w:type w:val="continuous"/>
      <w:pgSz w:w="11910" w:h="16840"/>
      <w:pgMar w:top="800" w:right="1680" w:bottom="280" w:left="8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A3DF2"/>
    <w:rsid w:val="6AFA4B37"/>
    <w:rsid w:val="74924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宋体" w:hAnsi="宋体" w:eastAsia="宋体" w:cs="宋体"/>
      <w:b/>
      <w:bCs/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73"/>
      <w:ind w:right="19"/>
      <w:jc w:val="right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2020-09-23T17:29:00Z</dcterms:created>
  <dc:creator>温奇峰</dc:creator>
  <cp:lastModifiedBy>Wen超</cp:lastModifiedBy>
  <dcterms:modified xsi:type="dcterms:W3CDTF">2020-10-22T04:11:30Z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2052-11.1.0.10072</vt:lpwstr>
  </property>
</Properties>
</file>