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BFB0">
      <w:pPr>
        <w:spacing w:line="600" w:lineRule="exact"/>
        <w:jc w:val="center"/>
        <w:rPr>
          <w:rFonts w:hint="eastAsia" w:ascii="黑体" w:eastAsia="黑体"/>
          <w:sz w:val="44"/>
          <w:szCs w:val="36"/>
        </w:rPr>
      </w:pPr>
      <w:r>
        <w:rPr>
          <w:rFonts w:hint="eastAsia" w:ascii="黑体" w:hAnsi="黑体" w:eastAsia="黑体"/>
          <w:sz w:val="44"/>
          <w:szCs w:val="36"/>
          <w:lang w:eastAsia="zh-CN"/>
        </w:rPr>
        <w:t>景德镇市自然资源和规划局（原市国土资源局）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8003CAF">
      <w:pPr>
        <w:spacing w:line="600" w:lineRule="exact"/>
        <w:jc w:val="center"/>
        <w:rPr>
          <w:rFonts w:hint="eastAsia" w:ascii="黑体" w:eastAsia="黑体"/>
          <w:sz w:val="40"/>
          <w:szCs w:val="36"/>
        </w:rPr>
      </w:pPr>
      <w:r>
        <w:rPr>
          <w:rFonts w:hint="eastAsia" w:ascii="黑体" w:eastAsia="黑体"/>
          <w:sz w:val="40"/>
          <w:szCs w:val="36"/>
        </w:rPr>
        <w:t>目    录</w:t>
      </w:r>
    </w:p>
    <w:p w14:paraId="3653ADB6">
      <w:pPr>
        <w:widowControl/>
        <w:spacing w:line="600" w:lineRule="exact"/>
        <w:ind w:firstLine="640"/>
        <w:jc w:val="left"/>
        <w:rPr>
          <w:rFonts w:hint="eastAsia" w:ascii="仿宋_GB2312" w:eastAsia="仿宋_GB2312"/>
          <w:sz w:val="32"/>
          <w:szCs w:val="30"/>
        </w:rPr>
      </w:pPr>
    </w:p>
    <w:p w14:paraId="1A3BA708">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景德镇市自然资源和规划局（原市国土资源局）</w:t>
      </w:r>
      <w:r>
        <w:rPr>
          <w:rFonts w:hint="eastAsia" w:ascii="黑体" w:hAnsi="黑体" w:eastAsia="黑体"/>
          <w:b/>
          <w:sz w:val="32"/>
          <w:szCs w:val="32"/>
        </w:rPr>
        <w:t>概况</w:t>
      </w:r>
    </w:p>
    <w:p w14:paraId="315B8440">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2F9E8B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00B90F36">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B6B9ED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40E2A4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023CB45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38DEFC7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C4836C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695D6FF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0A2E2B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D84476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502133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53B58E0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4870D59">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B320B1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530620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DF4170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37EA42F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4D169F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w:t>
      </w:r>
      <w:r>
        <w:rPr>
          <w:rFonts w:hint="eastAsia" w:ascii="仿宋" w:hAnsi="仿宋" w:eastAsia="仿宋"/>
          <w:sz w:val="32"/>
          <w:szCs w:val="30"/>
          <w:lang w:val="en-US" w:eastAsia="zh-CN"/>
        </w:rPr>
        <w:t xml:space="preserve"> </w:t>
      </w:r>
      <w:r>
        <w:rPr>
          <w:rFonts w:hint="eastAsia" w:ascii="仿宋" w:hAnsi="仿宋" w:eastAsia="仿宋"/>
          <w:sz w:val="32"/>
          <w:szCs w:val="30"/>
        </w:rPr>
        <w:t>”经费支出决算</w:t>
      </w:r>
    </w:p>
    <w:p w14:paraId="11C01962">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0D069B9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4328F3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616DD7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5A5588C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736D05F7">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181C2CE1">
      <w:pPr>
        <w:ind w:firstLine="630"/>
        <w:jc w:val="center"/>
        <w:rPr>
          <w:rFonts w:hint="eastAsia" w:ascii="宋体" w:hAnsi="宋体"/>
          <w:b/>
          <w:sz w:val="36"/>
          <w:szCs w:val="36"/>
        </w:rPr>
      </w:pPr>
    </w:p>
    <w:p w14:paraId="6173F7BD">
      <w:pPr>
        <w:ind w:firstLine="630"/>
        <w:jc w:val="center"/>
        <w:rPr>
          <w:rFonts w:hint="eastAsia" w:ascii="宋体" w:hAnsi="宋体"/>
          <w:b/>
          <w:sz w:val="36"/>
          <w:szCs w:val="36"/>
        </w:rPr>
      </w:pPr>
    </w:p>
    <w:p w14:paraId="568F28ED">
      <w:pPr>
        <w:ind w:firstLine="630"/>
        <w:jc w:val="center"/>
        <w:rPr>
          <w:rFonts w:hint="eastAsia" w:ascii="宋体" w:hAnsi="宋体"/>
          <w:b/>
          <w:sz w:val="36"/>
          <w:szCs w:val="36"/>
        </w:rPr>
      </w:pPr>
    </w:p>
    <w:p w14:paraId="41280163">
      <w:pPr>
        <w:ind w:firstLine="630"/>
        <w:jc w:val="center"/>
        <w:rPr>
          <w:rFonts w:hint="eastAsia" w:ascii="宋体" w:hAnsi="宋体"/>
          <w:b/>
          <w:sz w:val="36"/>
          <w:szCs w:val="36"/>
        </w:rPr>
      </w:pPr>
    </w:p>
    <w:p w14:paraId="4CDE1B74">
      <w:pPr>
        <w:ind w:firstLine="630"/>
        <w:jc w:val="center"/>
        <w:rPr>
          <w:rFonts w:hint="eastAsia" w:ascii="宋体" w:hAnsi="宋体"/>
          <w:b/>
          <w:sz w:val="36"/>
          <w:szCs w:val="36"/>
        </w:rPr>
      </w:pPr>
    </w:p>
    <w:p w14:paraId="1EE8C4FA">
      <w:pPr>
        <w:ind w:firstLine="630"/>
        <w:jc w:val="center"/>
        <w:rPr>
          <w:rFonts w:hint="eastAsia" w:ascii="宋体" w:hAnsi="宋体"/>
          <w:b/>
          <w:sz w:val="36"/>
          <w:szCs w:val="36"/>
        </w:rPr>
      </w:pPr>
    </w:p>
    <w:p w14:paraId="4B9ADC3E">
      <w:pPr>
        <w:ind w:firstLine="630"/>
        <w:jc w:val="center"/>
        <w:rPr>
          <w:rFonts w:hint="eastAsia" w:ascii="宋体" w:hAnsi="宋体"/>
          <w:b/>
          <w:sz w:val="36"/>
          <w:szCs w:val="36"/>
        </w:rPr>
      </w:pPr>
    </w:p>
    <w:p w14:paraId="3D9C652F">
      <w:pPr>
        <w:ind w:firstLine="630"/>
        <w:jc w:val="center"/>
        <w:rPr>
          <w:rFonts w:hint="eastAsia" w:ascii="宋体" w:hAnsi="宋体"/>
          <w:b/>
          <w:sz w:val="36"/>
          <w:szCs w:val="36"/>
        </w:rPr>
      </w:pPr>
    </w:p>
    <w:p w14:paraId="486AAAF9">
      <w:pPr>
        <w:jc w:val="both"/>
        <w:rPr>
          <w:rFonts w:hint="eastAsia" w:ascii="宋体" w:hAnsi="宋体"/>
          <w:b/>
          <w:sz w:val="36"/>
          <w:szCs w:val="36"/>
        </w:rPr>
      </w:pPr>
    </w:p>
    <w:p w14:paraId="472173FF">
      <w:pPr>
        <w:ind w:firstLine="630"/>
        <w:jc w:val="center"/>
        <w:rPr>
          <w:rFonts w:hint="eastAsia" w:ascii="宋体" w:hAnsi="宋体"/>
          <w:b/>
          <w:sz w:val="36"/>
          <w:szCs w:val="36"/>
        </w:rPr>
      </w:pPr>
    </w:p>
    <w:p w14:paraId="2ED19ECB">
      <w:pPr>
        <w:ind w:firstLine="630"/>
        <w:jc w:val="center"/>
        <w:rPr>
          <w:rFonts w:hint="eastAsia" w:ascii="宋体" w:hAnsi="宋体"/>
          <w:b/>
          <w:sz w:val="36"/>
          <w:szCs w:val="36"/>
        </w:rPr>
      </w:pPr>
    </w:p>
    <w:p w14:paraId="2696F645">
      <w:pPr>
        <w:ind w:firstLine="630"/>
        <w:jc w:val="center"/>
        <w:rPr>
          <w:rFonts w:hint="eastAsia" w:ascii="宋体" w:hAnsi="宋体"/>
          <w:b/>
          <w:sz w:val="36"/>
          <w:szCs w:val="36"/>
        </w:rPr>
      </w:pPr>
    </w:p>
    <w:p w14:paraId="7268733E">
      <w:pPr>
        <w:ind w:firstLine="630"/>
        <w:jc w:val="center"/>
        <w:rPr>
          <w:rFonts w:hint="eastAsia" w:ascii="宋体" w:hAnsi="宋体"/>
          <w:b/>
          <w:sz w:val="36"/>
          <w:szCs w:val="36"/>
        </w:rPr>
      </w:pPr>
    </w:p>
    <w:p w14:paraId="31CDB84C">
      <w:pPr>
        <w:widowControl/>
        <w:spacing w:line="580" w:lineRule="exact"/>
        <w:jc w:val="center"/>
        <w:rPr>
          <w:rFonts w:hint="eastAsia" w:ascii="宋体" w:hAnsi="宋体"/>
          <w:b/>
          <w:sz w:val="32"/>
          <w:szCs w:val="30"/>
        </w:rPr>
      </w:pPr>
    </w:p>
    <w:p w14:paraId="551C5437">
      <w:pPr>
        <w:widowControl/>
        <w:spacing w:line="580" w:lineRule="exact"/>
        <w:jc w:val="center"/>
        <w:rPr>
          <w:rFonts w:hint="eastAsia" w:ascii="宋体" w:hAnsi="宋体"/>
          <w:b/>
          <w:spacing w:val="-20"/>
          <w:sz w:val="32"/>
          <w:szCs w:val="30"/>
        </w:rPr>
      </w:pPr>
      <w:r>
        <w:rPr>
          <w:rFonts w:hint="eastAsia" w:ascii="宋体" w:hAnsi="宋体"/>
          <w:b/>
          <w:spacing w:val="-20"/>
          <w:sz w:val="32"/>
          <w:szCs w:val="30"/>
        </w:rPr>
        <w:t xml:space="preserve">第一部分  </w:t>
      </w:r>
      <w:r>
        <w:rPr>
          <w:rFonts w:hint="eastAsia" w:ascii="宋体" w:hAnsi="宋体"/>
          <w:b/>
          <w:spacing w:val="-20"/>
          <w:sz w:val="32"/>
          <w:szCs w:val="32"/>
          <w:lang w:eastAsia="zh-CN"/>
        </w:rPr>
        <w:t>景德镇市自然资源和规划局（原市国土资源局）</w:t>
      </w:r>
      <w:r>
        <w:rPr>
          <w:rFonts w:hint="eastAsia" w:ascii="宋体" w:hAnsi="宋体"/>
          <w:b/>
          <w:spacing w:val="-20"/>
          <w:sz w:val="32"/>
          <w:szCs w:val="30"/>
        </w:rPr>
        <w:t>概况</w:t>
      </w:r>
    </w:p>
    <w:p w14:paraId="6BFCBD80">
      <w:pPr>
        <w:ind w:firstLine="630"/>
        <w:jc w:val="center"/>
        <w:rPr>
          <w:rFonts w:hint="eastAsia"/>
          <w:sz w:val="32"/>
          <w:szCs w:val="32"/>
        </w:rPr>
      </w:pPr>
    </w:p>
    <w:p w14:paraId="0095CFA3">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5A77B00">
      <w:pPr>
        <w:pStyle w:val="2"/>
        <w:spacing w:before="0" w:beforeAutospacing="0" w:after="0" w:afterAutospacing="0" w:line="560" w:lineRule="exact"/>
        <w:ind w:firstLine="482"/>
        <w:rPr>
          <w:rFonts w:hint="eastAsia" w:ascii="仿宋_GB2312" w:eastAsia="仿宋_GB2312" w:cs="仿宋_GB2312"/>
          <w:sz w:val="32"/>
          <w:szCs w:val="32"/>
        </w:rPr>
      </w:pPr>
      <w:r>
        <w:rPr>
          <w:rFonts w:hint="eastAsia" w:ascii="仿宋_GB2312" w:eastAsia="仿宋_GB2312" w:cs="仿宋_GB2312"/>
          <w:sz w:val="32"/>
          <w:szCs w:val="32"/>
          <w:lang w:eastAsia="zh-CN"/>
        </w:rPr>
        <w:t>景德镇市自然资源和规划</w:t>
      </w:r>
      <w:r>
        <w:rPr>
          <w:rFonts w:hint="eastAsia" w:ascii="仿宋_GB2312" w:eastAsia="仿宋_GB2312" w:cs="仿宋_GB2312"/>
          <w:sz w:val="32"/>
          <w:szCs w:val="32"/>
        </w:rPr>
        <w:t>局是主管工作的市政府组成部门，主要职责是：</w:t>
      </w:r>
    </w:p>
    <w:p w14:paraId="604A0F9F">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一）履行全民所有土地、矿产、森林、草原（草地）、湿地、水等自然资源资产所有者职责和所有国土空间用途管制职责。贯彻执行国家、省自然资源和国土空间规划及测绘等法律法规，拟订并组织实施自然资源和国土空间规划及测绘等政策措施。</w:t>
      </w:r>
    </w:p>
    <w:p w14:paraId="431FFE78">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二）负责自然资源调查监测评价和统一确权登记工作。贯彻执行国家、省自然资源调查监测评价的指标体系和统计标准，建立统一规范的自然资源调查监测评价制度。实施自然资源基础调查、专项调查和监测。负责自然资源调查监测评价成果的监督管理和信息发布。负责市本级自然资源调查监测评价工作，指导县（市）自然资源调查监测评价工作。制定各类自然资源和不动产统一确权登记、权籍调查、不动产测绘、争议调处、成果应用的制度、标准、规范。建立健全全市自然资源和不动产登记、交易信息管理基础平台。负责市本级自然资源和不动产登记、交易资料收集、整理、共享、汇交管理等，提供社会查询服务。指导监督县（市）自然资源和不动产确权登记工作。</w:t>
      </w:r>
    </w:p>
    <w:p w14:paraId="54B7BBBE">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三）负责自然资源资产有偿使用和合理开发利用工作。贯彻执行全民所有自然资源资产统计制度，负责全民所有自然资源资产核算。编制全民所有自然资源资产负债表，执行考核标准。执行全民所有自然资源资产划拨、出让、租赁、作价出资和土地储备政策，合理配置全民所有自然资源资产。负责自然资源资产价值评估管理，依法征收相关资产收益。贯彻执行自然资源发展规划，执行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318ED58F">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四）负责建立空间规划体系。落实主体功能区战略和制度，组织编制和修订市本级国土空间规划和相关专项规划，指导和审查县（市）国土空间规划和相关专项规划。拟订规划编制计划，提出年度规划编制任务建议并组织实施。开展资源环境承载力和国土空间开发适宜性评价，建立国土空间规划实施监测、评估和预警体系。组织划定生态保护红线、永久基本农田、城镇开发边界等控制线，构建节约资源和保护环境的生产、生活、生态空间布局。</w:t>
      </w:r>
    </w:p>
    <w:p w14:paraId="1296E1F3">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五）负责组织实施批准的国土空间规划和相关专项规划。建立健全国土空间用途管制制度，研究拟订城乡规划措施并监督实施。贯彻执行国土空间规划和建设项目规划管理的法律法规，研究制定国土空间规划和建设项目规划管理的规定、细则、实施办法。组织拟订并实施土地等自然资源年度利用计划。负责市本级各类建设项目规划审批工作，指导并监督县（市）各类建设项目规划审批工作。负责土地等国土空间用途转用工作。负责土地征收征用储备工作。承担报国务院、省政府、市政府批准的土地转用、征收征用工作。</w:t>
      </w:r>
    </w:p>
    <w:p w14:paraId="5D7170BB">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六）负责统筹国土空间生态修复。牵头组织编制国土空间生态修复规划并实施有关生态修复重大工程。负责国土空间综合整治、土地整理复垦、矿山地质环境恢复治理、矿业遗迹保护等工作。牵头建立和实施生态保护补偿等制度，制定合理利用社会资金进行生态修复的政策措施，提出重大备选项目。</w:t>
      </w:r>
    </w:p>
    <w:p w14:paraId="24FDC1EF">
      <w:pPr>
        <w:pStyle w:val="2"/>
        <w:spacing w:before="0" w:beforeAutospacing="0" w:after="0" w:afterAutospacing="0" w:line="560" w:lineRule="exact"/>
        <w:ind w:firstLine="482"/>
        <w:rPr>
          <w:rFonts w:ascii="仿宋" w:hAnsi="仿宋" w:eastAsia="仿宋" w:cs="仿宋"/>
          <w:color w:val="000000"/>
          <w:sz w:val="32"/>
          <w:szCs w:val="32"/>
        </w:rPr>
      </w:pPr>
      <w:r>
        <w:rPr>
          <w:rFonts w:hint="eastAsia" w:ascii="仿宋" w:hAnsi="仿宋" w:eastAsia="仿宋" w:cs="仿宋"/>
          <w:color w:val="000000"/>
          <w:sz w:val="32"/>
          <w:szCs w:val="32"/>
        </w:rPr>
        <w:t>（七）负责组织实施最严格的耕地保护制度。贯彻执行最严格的耕地保护政策，负责耕地数量、质量、生态保护。组织实施耕地保护责任目标考核和永久基本农田特殊保护。完善并执行耕地占补平衡制度，监督占用耕地补偿制度执行情况。</w:t>
      </w:r>
      <w:r>
        <w:rPr>
          <w:rFonts w:eastAsia="仿宋" w:cs="Times New Roman"/>
          <w:color w:val="000000"/>
          <w:sz w:val="32"/>
          <w:szCs w:val="32"/>
        </w:rPr>
        <w:t>  </w:t>
      </w:r>
      <w:r>
        <w:rPr>
          <w:rFonts w:ascii="仿宋" w:hAnsi="仿宋" w:eastAsia="仿宋" w:cs="仿宋"/>
          <w:color w:val="000000"/>
          <w:sz w:val="32"/>
          <w:szCs w:val="32"/>
        </w:rPr>
        <w:t xml:space="preserve"> </w:t>
      </w:r>
    </w:p>
    <w:p w14:paraId="1E766F58">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八）负责管理地质勘查相关工作。监督管理全市的地质调查、矿产勘查项目，组织实施市重大地质调查、矿产勘查专项。负责地质灾害预防和治理，监测、监督管理地下水过量开采、疏干及引发的地面沉降等地质问题。负责古生物化石等地质遗迹的监督管理。</w:t>
      </w:r>
    </w:p>
    <w:p w14:paraId="7A1E7DEE">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九）负责落实综合防灾减灾规划相关要求，组织编制地质灾害防治规划和落实上级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5EDC30A0">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（十）负责矿产资源管理工作。负责权限内矿产资源储量、压覆矿产资源管理。负责矿业权管理。会同有关部门承担保护性开采的特定矿种、优势矿产的调控及相关管理工作。监督指导矿产资源合理利用和保护。</w:t>
      </w:r>
    </w:p>
    <w:p w14:paraId="62B61A8E">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一）负责测绘地理信息管理工作。负责市本级基础测绘与测绘行业管理和测绘资质资格与信用管理，监督管理全市地理信息安全和市场秩序。负责地理信息公共服务和地图管理。负责测量标志保护和管理。规范和管理权限内卫星导航定位基准站。</w:t>
      </w:r>
    </w:p>
    <w:p w14:paraId="3E04D89D">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二）推动自然资源领域科技发展和人才队伍建设。制定并实施自然资源领域科技创新发展和人才培养规划、计划。监督实施技术标准、规程规范。组织实施市级科技工程及创新能力建设，推进自然资源信息化和信息资料的公共服务。组织开展自然资源领域对外交流合作。组织实施自然资源和规划工作人才队伍建设政策措施，统筹推进全市自然资源和规划工作人才队伍建设。</w:t>
      </w:r>
    </w:p>
    <w:p w14:paraId="13B319C9">
      <w:pPr>
        <w:pStyle w:val="2"/>
        <w:spacing w:before="0" w:beforeAutospacing="0" w:after="0" w:afterAutospacing="0" w:line="560" w:lineRule="exact"/>
        <w:ind w:firstLine="482"/>
        <w:rPr>
          <w:rFonts w:ascii="仿宋" w:hAnsi="仿宋" w:eastAsia="仿宋" w:cs="Times New Roman"/>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十三）负责全市自然资源和规划系统安全生产方面的监督管理工作。</w:t>
      </w:r>
    </w:p>
    <w:p w14:paraId="414645C9">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四）根据市委、市政府授权，对落实关于自然资源和国土空间规划的方针政策、决策部署及法律法规执行情况进行督察。查处自然资源开发利用和国土空间规划及测绘重大违法案件。指导县（市）有关行政执法工作。</w:t>
      </w:r>
    </w:p>
    <w:p w14:paraId="1EEC0C2A">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（十五）按照中央、省要求，继续深入推进自然资源资产管理体制改革试点工作。</w:t>
      </w:r>
    </w:p>
    <w:p w14:paraId="4C5E5181">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（十六）全市自然资源和规划系统干部管理体制，按照“分级管理，下管一级”的原则进行管理，实行双重领导，以上一级自然资源主管部门党组管理为主，所在地方党委协助管理。</w:t>
      </w:r>
    </w:p>
    <w:p w14:paraId="61842DE8">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（十七）统一领导和管理市林业局。</w:t>
      </w:r>
    </w:p>
    <w:p w14:paraId="26BC7164">
      <w:pPr>
        <w:pStyle w:val="2"/>
        <w:spacing w:before="0" w:beforeAutospacing="0" w:after="0" w:afterAutospacing="0" w:line="560" w:lineRule="exact"/>
        <w:ind w:firstLine="482"/>
        <w:rPr>
          <w:rFonts w:ascii="仿宋_GB2312" w:eastAsia="仿宋_GB2312"/>
          <w:sz w:val="32"/>
          <w:szCs w:val="32"/>
        </w:rPr>
      </w:pPr>
      <w:r>
        <w:rPr>
          <w:rFonts w:hint="eastAsia" w:ascii="仿宋" w:hAnsi="仿宋" w:eastAsia="仿宋" w:cs="仿宋"/>
          <w:sz w:val="32"/>
          <w:szCs w:val="32"/>
        </w:rPr>
        <w:t>（十八）完成省自然资源厅和市委、市政府交办的其他任务</w:t>
      </w:r>
    </w:p>
    <w:p w14:paraId="7D54173C">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4ECF0496">
      <w:pPr>
        <w:ind w:firstLine="630"/>
        <w:jc w:val="left"/>
        <w:rPr>
          <w:rFonts w:hint="eastAsia" w:ascii="仿宋_GB2312" w:eastAsia="仿宋_GB2312"/>
          <w:sz w:val="32"/>
          <w:szCs w:val="32"/>
        </w:rPr>
      </w:pPr>
      <w:r>
        <w:rPr>
          <w:rFonts w:hint="eastAsia" w:ascii="仿宋_GB2312" w:eastAsia="仿宋_GB2312"/>
          <w:sz w:val="32"/>
          <w:szCs w:val="32"/>
        </w:rPr>
        <w:t>纳入本套部门决算汇编范围的单位共</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个，包括：景德镇市国土资源局（本级）、景德镇市国土资源局昌江分局、景德镇市国土资源局珠山分局、景德镇市国土资源局陶瓷工业园区分局、景德镇市国土资源局高新技术产业园区分局、景德镇市国土资源执法监察大队、景德镇市国土资源财务中心、景德镇市国土资源信息中心、景德镇市土地整理中心、景德镇市土地储备中心、景德镇市地产市场管理处、景德镇市不动产登记中心、景德镇市不动产登记档案馆</w:t>
      </w:r>
      <w:r>
        <w:rPr>
          <w:rFonts w:hint="eastAsia" w:ascii="仿宋_GB2312" w:eastAsia="仿宋_GB2312"/>
          <w:sz w:val="32"/>
          <w:szCs w:val="32"/>
          <w:lang w:eastAsia="zh-CN"/>
        </w:rPr>
        <w:t>、景德镇市地质灾害应急中心</w:t>
      </w:r>
      <w:r>
        <w:rPr>
          <w:rFonts w:hint="eastAsia" w:ascii="仿宋_GB2312" w:eastAsia="仿宋_GB2312"/>
          <w:sz w:val="32"/>
          <w:szCs w:val="32"/>
        </w:rPr>
        <w:t>。</w:t>
      </w:r>
    </w:p>
    <w:p w14:paraId="37011CD8">
      <w:pPr>
        <w:ind w:firstLine="630"/>
        <w:jc w:val="left"/>
        <w:rPr>
          <w:rFonts w:hint="eastAsia" w:ascii="宋体" w:hAnsi="宋体"/>
          <w:b/>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194</w:t>
      </w:r>
      <w:r>
        <w:rPr>
          <w:rFonts w:hint="eastAsia" w:ascii="仿宋" w:hAnsi="仿宋" w:eastAsia="仿宋"/>
          <w:sz w:val="30"/>
          <w:szCs w:val="30"/>
        </w:rPr>
        <w:t>人，其中在职人员</w:t>
      </w:r>
      <w:r>
        <w:rPr>
          <w:rFonts w:hint="eastAsia" w:ascii="仿宋" w:hAnsi="仿宋" w:eastAsia="仿宋"/>
          <w:sz w:val="30"/>
          <w:szCs w:val="30"/>
          <w:lang w:val="en-US" w:eastAsia="zh-CN"/>
        </w:rPr>
        <w:t>189</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4</w:t>
      </w:r>
      <w:r>
        <w:rPr>
          <w:rFonts w:hint="eastAsia" w:ascii="仿宋" w:hAnsi="仿宋" w:eastAsia="仿宋"/>
          <w:sz w:val="30"/>
          <w:szCs w:val="30"/>
        </w:rPr>
        <w:t>人</w:t>
      </w:r>
      <w:r>
        <w:rPr>
          <w:rFonts w:hint="eastAsia" w:ascii="仿宋" w:hAnsi="仿宋" w:eastAsia="仿宋"/>
          <w:sz w:val="30"/>
          <w:szCs w:val="30"/>
          <w:lang w:eastAsia="zh-CN"/>
        </w:rPr>
        <w:t>（未纳入社保人员）</w:t>
      </w:r>
      <w:r>
        <w:rPr>
          <w:rFonts w:hint="eastAsia" w:ascii="仿宋" w:hAnsi="仿宋" w:eastAsia="仿宋"/>
          <w:sz w:val="30"/>
          <w:szCs w:val="30"/>
        </w:rPr>
        <w:t>；</w:t>
      </w:r>
      <w:r>
        <w:rPr>
          <w:rFonts w:hint="eastAsia" w:ascii="仿宋" w:hAnsi="仿宋" w:eastAsia="仿宋"/>
          <w:sz w:val="30"/>
          <w:szCs w:val="30"/>
          <w:lang w:val="en-US" w:eastAsia="zh-CN"/>
        </w:rPr>
        <w:t>年末其他人员70人；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263CD48E">
      <w:pPr>
        <w:widowControl/>
        <w:spacing w:line="600" w:lineRule="exact"/>
        <w:jc w:val="both"/>
        <w:rPr>
          <w:rFonts w:hint="eastAsia" w:ascii="宋体" w:hAnsi="宋体"/>
          <w:b/>
          <w:sz w:val="32"/>
          <w:szCs w:val="32"/>
        </w:rPr>
      </w:pPr>
    </w:p>
    <w:p w14:paraId="045F1E62">
      <w:pPr>
        <w:widowControl/>
        <w:spacing w:line="600" w:lineRule="exact"/>
        <w:jc w:val="both"/>
        <w:rPr>
          <w:rFonts w:hint="eastAsia" w:ascii="宋体" w:hAnsi="宋体"/>
          <w:b/>
          <w:sz w:val="32"/>
          <w:szCs w:val="32"/>
        </w:rPr>
      </w:pPr>
    </w:p>
    <w:p w14:paraId="3E9AEAE4">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77863639">
      <w:pPr>
        <w:autoSpaceDE w:val="0"/>
        <w:autoSpaceDN w:val="0"/>
        <w:adjustRightInd w:val="0"/>
        <w:spacing w:line="360" w:lineRule="auto"/>
        <w:jc w:val="left"/>
        <w:rPr>
          <w:rFonts w:hint="eastAsia"/>
          <w:szCs w:val="30"/>
        </w:rPr>
      </w:pPr>
    </w:p>
    <w:p w14:paraId="714EB99B">
      <w:pPr>
        <w:autoSpaceDE w:val="0"/>
        <w:autoSpaceDN w:val="0"/>
        <w:adjustRightInd w:val="0"/>
        <w:spacing w:line="360" w:lineRule="auto"/>
        <w:jc w:val="left"/>
        <w:rPr>
          <w:rFonts w:hint="eastAsia"/>
          <w:szCs w:val="30"/>
        </w:rPr>
      </w:pPr>
      <w:r>
        <w:drawing>
          <wp:inline distT="0" distB="0" distL="114300" distR="114300">
            <wp:extent cx="5268595" cy="5673090"/>
            <wp:effectExtent l="0" t="0" r="8255"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5673090"/>
                    </a:xfrm>
                    <a:prstGeom prst="rect">
                      <a:avLst/>
                    </a:prstGeom>
                    <a:noFill/>
                    <a:ln>
                      <a:noFill/>
                    </a:ln>
                  </pic:spPr>
                </pic:pic>
              </a:graphicData>
            </a:graphic>
          </wp:inline>
        </w:drawing>
      </w:r>
    </w:p>
    <w:p w14:paraId="27FD87EB">
      <w:pPr>
        <w:autoSpaceDE w:val="0"/>
        <w:autoSpaceDN w:val="0"/>
        <w:adjustRightInd w:val="0"/>
        <w:spacing w:line="360" w:lineRule="auto"/>
        <w:jc w:val="left"/>
        <w:rPr>
          <w:rFonts w:hint="eastAsia" w:ascii="仿宋" w:hAnsi="仿宋" w:eastAsia="仿宋" w:cs="仿宋_GB2312"/>
          <w:kern w:val="0"/>
          <w:sz w:val="30"/>
          <w:szCs w:val="30"/>
        </w:rPr>
      </w:pPr>
    </w:p>
    <w:p w14:paraId="567419C1">
      <w:pPr>
        <w:autoSpaceDE w:val="0"/>
        <w:autoSpaceDN w:val="0"/>
        <w:adjustRightInd w:val="0"/>
        <w:spacing w:line="360" w:lineRule="auto"/>
        <w:jc w:val="left"/>
      </w:pPr>
      <w:r>
        <w:drawing>
          <wp:inline distT="0" distB="0" distL="114300" distR="114300">
            <wp:extent cx="5271135" cy="6257290"/>
            <wp:effectExtent l="0" t="0" r="5715"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271135" cy="6257290"/>
                    </a:xfrm>
                    <a:prstGeom prst="rect">
                      <a:avLst/>
                    </a:prstGeom>
                    <a:noFill/>
                    <a:ln>
                      <a:noFill/>
                    </a:ln>
                  </pic:spPr>
                </pic:pic>
              </a:graphicData>
            </a:graphic>
          </wp:inline>
        </w:drawing>
      </w:r>
    </w:p>
    <w:p w14:paraId="2022AEEB">
      <w:pPr>
        <w:autoSpaceDE w:val="0"/>
        <w:autoSpaceDN w:val="0"/>
        <w:adjustRightInd w:val="0"/>
        <w:spacing w:line="360" w:lineRule="auto"/>
        <w:jc w:val="left"/>
      </w:pPr>
    </w:p>
    <w:p w14:paraId="7A7FE70C">
      <w:pPr>
        <w:autoSpaceDE w:val="0"/>
        <w:autoSpaceDN w:val="0"/>
        <w:adjustRightInd w:val="0"/>
        <w:spacing w:line="360" w:lineRule="auto"/>
        <w:jc w:val="left"/>
        <w:rPr>
          <w:rFonts w:hint="eastAsia"/>
        </w:rPr>
      </w:pPr>
    </w:p>
    <w:p w14:paraId="0416FA5E">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6611620"/>
            <wp:effectExtent l="0" t="0" r="6350" b="177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70500" cy="6611620"/>
                    </a:xfrm>
                    <a:prstGeom prst="rect">
                      <a:avLst/>
                    </a:prstGeom>
                    <a:noFill/>
                    <a:ln>
                      <a:noFill/>
                    </a:ln>
                  </pic:spPr>
                </pic:pic>
              </a:graphicData>
            </a:graphic>
          </wp:inline>
        </w:drawing>
      </w:r>
    </w:p>
    <w:p w14:paraId="4A75F194">
      <w:pPr>
        <w:autoSpaceDE w:val="0"/>
        <w:autoSpaceDN w:val="0"/>
        <w:adjustRightInd w:val="0"/>
        <w:spacing w:line="360" w:lineRule="auto"/>
        <w:jc w:val="left"/>
        <w:rPr>
          <w:rFonts w:hint="eastAsia"/>
          <w:szCs w:val="30"/>
        </w:rPr>
      </w:pPr>
    </w:p>
    <w:p w14:paraId="2F01CB8C">
      <w:pPr>
        <w:autoSpaceDE w:val="0"/>
        <w:autoSpaceDN w:val="0"/>
        <w:adjustRightInd w:val="0"/>
        <w:spacing w:line="360" w:lineRule="auto"/>
        <w:jc w:val="left"/>
        <w:rPr>
          <w:rFonts w:hint="eastAsia"/>
          <w:szCs w:val="30"/>
        </w:rPr>
      </w:pPr>
      <w:r>
        <w:drawing>
          <wp:inline distT="0" distB="0" distL="114300" distR="114300">
            <wp:extent cx="5269865" cy="4709795"/>
            <wp:effectExtent l="0" t="0" r="6985" b="1460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5269865" cy="4709795"/>
                    </a:xfrm>
                    <a:prstGeom prst="rect">
                      <a:avLst/>
                    </a:prstGeom>
                    <a:noFill/>
                    <a:ln>
                      <a:noFill/>
                    </a:ln>
                  </pic:spPr>
                </pic:pic>
              </a:graphicData>
            </a:graphic>
          </wp:inline>
        </w:drawing>
      </w:r>
    </w:p>
    <w:p w14:paraId="07B67416">
      <w:pPr>
        <w:autoSpaceDE w:val="0"/>
        <w:autoSpaceDN w:val="0"/>
        <w:adjustRightInd w:val="0"/>
        <w:spacing w:line="360" w:lineRule="auto"/>
        <w:jc w:val="left"/>
        <w:rPr>
          <w:rFonts w:hint="eastAsia" w:ascii="仿宋" w:hAnsi="仿宋" w:eastAsia="仿宋" w:cs="仿宋_GB2312"/>
          <w:kern w:val="0"/>
          <w:sz w:val="30"/>
          <w:szCs w:val="30"/>
        </w:rPr>
      </w:pPr>
    </w:p>
    <w:p w14:paraId="2FD75048">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8168005"/>
            <wp:effectExtent l="0" t="0" r="6350" b="444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8"/>
                    <a:stretch>
                      <a:fillRect/>
                    </a:stretch>
                  </pic:blipFill>
                  <pic:spPr>
                    <a:xfrm>
                      <a:off x="0" y="0"/>
                      <a:ext cx="5270500" cy="8168005"/>
                    </a:xfrm>
                    <a:prstGeom prst="rect">
                      <a:avLst/>
                    </a:prstGeom>
                    <a:noFill/>
                    <a:ln>
                      <a:noFill/>
                    </a:ln>
                  </pic:spPr>
                </pic:pic>
              </a:graphicData>
            </a:graphic>
          </wp:inline>
        </w:drawing>
      </w:r>
    </w:p>
    <w:p w14:paraId="73F0F19E">
      <w:pPr>
        <w:autoSpaceDE w:val="0"/>
        <w:autoSpaceDN w:val="0"/>
        <w:adjustRightInd w:val="0"/>
        <w:spacing w:line="360" w:lineRule="auto"/>
        <w:jc w:val="left"/>
        <w:rPr>
          <w:rFonts w:hint="eastAsia"/>
          <w:szCs w:val="30"/>
        </w:rPr>
      </w:pPr>
    </w:p>
    <w:p w14:paraId="11F4D9C5">
      <w:pPr>
        <w:autoSpaceDE w:val="0"/>
        <w:autoSpaceDN w:val="0"/>
        <w:adjustRightInd w:val="0"/>
        <w:spacing w:line="360" w:lineRule="auto"/>
        <w:jc w:val="left"/>
        <w:rPr>
          <w:rFonts w:hint="eastAsia"/>
          <w:szCs w:val="30"/>
        </w:rPr>
      </w:pPr>
      <w:r>
        <w:drawing>
          <wp:inline distT="0" distB="0" distL="114300" distR="114300">
            <wp:extent cx="5266690" cy="9105265"/>
            <wp:effectExtent l="0" t="0" r="10160" b="63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7252F366">
      <w:pPr>
        <w:autoSpaceDE w:val="0"/>
        <w:autoSpaceDN w:val="0"/>
        <w:adjustRightInd w:val="0"/>
        <w:spacing w:line="360" w:lineRule="auto"/>
        <w:jc w:val="left"/>
        <w:rPr>
          <w:rFonts w:hint="eastAsia"/>
          <w:szCs w:val="30"/>
        </w:rPr>
      </w:pPr>
      <w:r>
        <w:drawing>
          <wp:inline distT="0" distB="0" distL="114300" distR="114300">
            <wp:extent cx="5270500" cy="4681855"/>
            <wp:effectExtent l="0" t="0" r="6350" b="444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0"/>
                    <a:stretch>
                      <a:fillRect/>
                    </a:stretch>
                  </pic:blipFill>
                  <pic:spPr>
                    <a:xfrm>
                      <a:off x="0" y="0"/>
                      <a:ext cx="5270500" cy="4681855"/>
                    </a:xfrm>
                    <a:prstGeom prst="rect">
                      <a:avLst/>
                    </a:prstGeom>
                    <a:noFill/>
                    <a:ln>
                      <a:noFill/>
                    </a:ln>
                  </pic:spPr>
                </pic:pic>
              </a:graphicData>
            </a:graphic>
          </wp:inline>
        </w:drawing>
      </w:r>
    </w:p>
    <w:p w14:paraId="3321D3DE">
      <w:pPr>
        <w:autoSpaceDE w:val="0"/>
        <w:autoSpaceDN w:val="0"/>
        <w:adjustRightInd w:val="0"/>
        <w:spacing w:line="360" w:lineRule="auto"/>
        <w:jc w:val="left"/>
        <w:rPr>
          <w:rFonts w:hint="eastAsia"/>
          <w:szCs w:val="30"/>
        </w:rPr>
      </w:pPr>
    </w:p>
    <w:p w14:paraId="6EC8B44C">
      <w:pPr>
        <w:autoSpaceDE w:val="0"/>
        <w:autoSpaceDN w:val="0"/>
        <w:adjustRightInd w:val="0"/>
        <w:spacing w:line="360" w:lineRule="auto"/>
        <w:jc w:val="left"/>
        <w:rPr>
          <w:rFonts w:hint="eastAsia"/>
          <w:szCs w:val="30"/>
        </w:rPr>
      </w:pPr>
    </w:p>
    <w:p w14:paraId="66340CFA">
      <w:pPr>
        <w:autoSpaceDE w:val="0"/>
        <w:autoSpaceDN w:val="0"/>
        <w:adjustRightInd w:val="0"/>
        <w:spacing w:line="360" w:lineRule="auto"/>
        <w:jc w:val="left"/>
        <w:rPr>
          <w:rFonts w:hint="eastAsia"/>
          <w:szCs w:val="30"/>
        </w:rPr>
      </w:pPr>
      <w:r>
        <w:drawing>
          <wp:inline distT="0" distB="0" distL="114300" distR="114300">
            <wp:extent cx="5268595" cy="1897380"/>
            <wp:effectExtent l="0" t="0" r="8255" b="762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1"/>
                    <a:stretch>
                      <a:fillRect/>
                    </a:stretch>
                  </pic:blipFill>
                  <pic:spPr>
                    <a:xfrm>
                      <a:off x="0" y="0"/>
                      <a:ext cx="5268595" cy="1897380"/>
                    </a:xfrm>
                    <a:prstGeom prst="rect">
                      <a:avLst/>
                    </a:prstGeom>
                    <a:noFill/>
                    <a:ln>
                      <a:noFill/>
                    </a:ln>
                  </pic:spPr>
                </pic:pic>
              </a:graphicData>
            </a:graphic>
          </wp:inline>
        </w:drawing>
      </w:r>
    </w:p>
    <w:p w14:paraId="326C206E">
      <w:pPr>
        <w:autoSpaceDE w:val="0"/>
        <w:autoSpaceDN w:val="0"/>
        <w:adjustRightInd w:val="0"/>
        <w:spacing w:line="360" w:lineRule="auto"/>
        <w:jc w:val="left"/>
        <w:rPr>
          <w:rFonts w:hint="eastAsia"/>
          <w:szCs w:val="30"/>
        </w:rPr>
      </w:pPr>
    </w:p>
    <w:p w14:paraId="6906260B">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962525" cy="29622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962525" cy="2962275"/>
                    </a:xfrm>
                    <a:prstGeom prst="rect">
                      <a:avLst/>
                    </a:prstGeom>
                    <a:noFill/>
                    <a:ln>
                      <a:noFill/>
                    </a:ln>
                  </pic:spPr>
                </pic:pic>
              </a:graphicData>
            </a:graphic>
          </wp:inline>
        </w:drawing>
      </w:r>
    </w:p>
    <w:p w14:paraId="4C7658B4">
      <w:pPr>
        <w:widowControl/>
        <w:spacing w:line="600" w:lineRule="exact"/>
        <w:ind w:firstLine="640"/>
        <w:jc w:val="center"/>
        <w:rPr>
          <w:rFonts w:hint="eastAsia" w:ascii="宋体" w:hAnsi="宋体"/>
          <w:b/>
          <w:sz w:val="32"/>
          <w:szCs w:val="32"/>
        </w:rPr>
      </w:pPr>
    </w:p>
    <w:p w14:paraId="725A4344">
      <w:pPr>
        <w:widowControl/>
        <w:spacing w:line="600" w:lineRule="exact"/>
        <w:ind w:firstLine="640"/>
        <w:jc w:val="center"/>
        <w:rPr>
          <w:rFonts w:hint="eastAsia" w:ascii="宋体" w:hAnsi="宋体"/>
          <w:b/>
          <w:sz w:val="32"/>
          <w:szCs w:val="32"/>
        </w:rPr>
      </w:pPr>
    </w:p>
    <w:p w14:paraId="570BCAC4">
      <w:pPr>
        <w:widowControl/>
        <w:spacing w:line="600" w:lineRule="exact"/>
        <w:ind w:firstLine="640"/>
        <w:jc w:val="center"/>
        <w:rPr>
          <w:rFonts w:hint="eastAsia" w:ascii="宋体" w:hAnsi="宋体"/>
          <w:b/>
          <w:sz w:val="32"/>
          <w:szCs w:val="32"/>
        </w:rPr>
      </w:pPr>
    </w:p>
    <w:p w14:paraId="51EF7879">
      <w:pPr>
        <w:widowControl/>
        <w:spacing w:line="600" w:lineRule="exact"/>
        <w:ind w:firstLine="640"/>
        <w:jc w:val="center"/>
        <w:rPr>
          <w:rFonts w:hint="eastAsia" w:ascii="宋体" w:hAnsi="宋体"/>
          <w:b/>
          <w:sz w:val="32"/>
          <w:szCs w:val="32"/>
        </w:rPr>
      </w:pPr>
    </w:p>
    <w:p w14:paraId="7E57AECF">
      <w:pPr>
        <w:widowControl/>
        <w:spacing w:line="600" w:lineRule="exact"/>
        <w:ind w:firstLine="640"/>
        <w:jc w:val="center"/>
        <w:rPr>
          <w:rFonts w:hint="eastAsia" w:ascii="宋体" w:hAnsi="宋体"/>
          <w:b/>
          <w:sz w:val="32"/>
          <w:szCs w:val="32"/>
        </w:rPr>
      </w:pPr>
    </w:p>
    <w:p w14:paraId="4CD3A5D4">
      <w:pPr>
        <w:widowControl/>
        <w:spacing w:line="600" w:lineRule="exact"/>
        <w:ind w:firstLine="640"/>
        <w:jc w:val="center"/>
        <w:rPr>
          <w:rFonts w:hint="eastAsia" w:ascii="宋体" w:hAnsi="宋体"/>
          <w:b/>
          <w:sz w:val="32"/>
          <w:szCs w:val="32"/>
        </w:rPr>
      </w:pPr>
    </w:p>
    <w:p w14:paraId="01EBC58F">
      <w:pPr>
        <w:widowControl/>
        <w:spacing w:line="600" w:lineRule="exact"/>
        <w:jc w:val="both"/>
        <w:rPr>
          <w:rFonts w:hint="eastAsia" w:ascii="宋体" w:hAnsi="宋体"/>
          <w:b/>
          <w:sz w:val="32"/>
          <w:szCs w:val="32"/>
        </w:rPr>
      </w:pPr>
    </w:p>
    <w:p w14:paraId="76331A45">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4AEC3A3E">
      <w:pPr>
        <w:ind w:firstLine="630"/>
        <w:jc w:val="left"/>
        <w:rPr>
          <w:rFonts w:hint="eastAsia" w:ascii="仿宋" w:hAnsi="仿宋" w:eastAsia="仿宋"/>
          <w:sz w:val="30"/>
          <w:szCs w:val="30"/>
        </w:rPr>
      </w:pPr>
    </w:p>
    <w:p w14:paraId="52F18B42">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43E8B4B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12691.62</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1536.13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399.94</w:t>
      </w:r>
      <w:r>
        <w:rPr>
          <w:rFonts w:hint="eastAsia" w:ascii="仿宋" w:hAnsi="仿宋" w:eastAsia="仿宋"/>
          <w:sz w:val="30"/>
          <w:szCs w:val="30"/>
        </w:rPr>
        <w:t>万元，增长</w:t>
      </w:r>
      <w:r>
        <w:rPr>
          <w:rFonts w:hint="eastAsia" w:ascii="仿宋" w:hAnsi="仿宋" w:eastAsia="仿宋"/>
          <w:sz w:val="30"/>
          <w:szCs w:val="30"/>
          <w:lang w:val="en-US" w:eastAsia="zh-CN"/>
        </w:rPr>
        <w:t>35.2</w:t>
      </w:r>
      <w:r>
        <w:rPr>
          <w:rFonts w:hint="eastAsia" w:ascii="仿宋" w:hAnsi="仿宋" w:eastAsia="仿宋"/>
          <w:sz w:val="30"/>
          <w:szCs w:val="30"/>
        </w:rPr>
        <w:t>%；本年收入合计</w:t>
      </w:r>
      <w:r>
        <w:rPr>
          <w:rFonts w:hint="eastAsia" w:ascii="仿宋" w:hAnsi="仿宋" w:eastAsia="仿宋"/>
          <w:sz w:val="30"/>
          <w:szCs w:val="30"/>
          <w:lang w:val="en-US" w:eastAsia="zh-CN"/>
        </w:rPr>
        <w:t>11154.31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56.20</w:t>
      </w:r>
      <w:r>
        <w:rPr>
          <w:rFonts w:hint="eastAsia" w:ascii="仿宋" w:hAnsi="仿宋" w:eastAsia="仿宋"/>
          <w:sz w:val="30"/>
          <w:szCs w:val="30"/>
        </w:rPr>
        <w:t>万元，下降</w:t>
      </w:r>
      <w:r>
        <w:rPr>
          <w:rFonts w:hint="eastAsia" w:ascii="仿宋" w:hAnsi="仿宋" w:eastAsia="仿宋"/>
          <w:sz w:val="30"/>
          <w:szCs w:val="30"/>
          <w:lang w:val="en-US" w:eastAsia="zh-CN"/>
        </w:rPr>
        <w:t>0.5</w:t>
      </w:r>
      <w:r>
        <w:rPr>
          <w:rFonts w:hint="eastAsia" w:ascii="仿宋" w:hAnsi="仿宋" w:eastAsia="仿宋"/>
          <w:sz w:val="30"/>
          <w:szCs w:val="30"/>
        </w:rPr>
        <w:t>%，主要原因是：</w:t>
      </w:r>
      <w:r>
        <w:rPr>
          <w:rFonts w:hint="eastAsia" w:ascii="仿宋" w:hAnsi="仿宋" w:eastAsia="仿宋"/>
          <w:sz w:val="30"/>
          <w:szCs w:val="30"/>
          <w:lang w:eastAsia="zh-CN"/>
        </w:rPr>
        <w:t>财政拨款收入增加</w:t>
      </w:r>
      <w:r>
        <w:rPr>
          <w:rFonts w:hint="eastAsia" w:ascii="仿宋" w:hAnsi="仿宋" w:eastAsia="仿宋"/>
          <w:sz w:val="30"/>
          <w:szCs w:val="30"/>
          <w:lang w:val="en-US" w:eastAsia="zh-CN"/>
        </w:rPr>
        <w:t>17.46万元，</w:t>
      </w:r>
      <w:r>
        <w:rPr>
          <w:rFonts w:hint="eastAsia" w:ascii="仿宋" w:hAnsi="仿宋" w:eastAsia="仿宋"/>
          <w:sz w:val="30"/>
          <w:szCs w:val="30"/>
          <w:lang w:eastAsia="zh-CN"/>
        </w:rPr>
        <w:t>其他收入减少</w:t>
      </w:r>
      <w:r>
        <w:rPr>
          <w:rFonts w:hint="eastAsia" w:ascii="仿宋" w:hAnsi="仿宋" w:eastAsia="仿宋"/>
          <w:sz w:val="30"/>
          <w:szCs w:val="30"/>
          <w:lang w:val="en-US" w:eastAsia="zh-CN"/>
        </w:rPr>
        <w:t>73.66万元</w:t>
      </w:r>
      <w:r>
        <w:rPr>
          <w:rFonts w:hint="eastAsia" w:ascii="仿宋" w:hAnsi="仿宋" w:eastAsia="仿宋"/>
          <w:sz w:val="30"/>
          <w:szCs w:val="30"/>
        </w:rPr>
        <w:t>。</w:t>
      </w:r>
    </w:p>
    <w:p w14:paraId="595FEC4D">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10313.05</w:t>
      </w:r>
      <w:r>
        <w:rPr>
          <w:rFonts w:hint="eastAsia" w:ascii="仿宋" w:hAnsi="仿宋" w:eastAsia="仿宋"/>
          <w:sz w:val="30"/>
          <w:szCs w:val="30"/>
        </w:rPr>
        <w:t>万元，占</w:t>
      </w:r>
      <w:r>
        <w:rPr>
          <w:rFonts w:hint="eastAsia" w:ascii="仿宋" w:hAnsi="仿宋" w:eastAsia="仿宋"/>
          <w:sz w:val="30"/>
          <w:szCs w:val="30"/>
          <w:lang w:val="en-US" w:eastAsia="zh-CN"/>
        </w:rPr>
        <w:t>92.46</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841.26</w:t>
      </w:r>
      <w:r>
        <w:rPr>
          <w:rFonts w:hint="eastAsia" w:ascii="仿宋" w:hAnsi="仿宋" w:eastAsia="仿宋"/>
          <w:sz w:val="30"/>
          <w:szCs w:val="30"/>
        </w:rPr>
        <w:t>万元，占</w:t>
      </w:r>
      <w:r>
        <w:rPr>
          <w:rFonts w:hint="eastAsia" w:ascii="仿宋" w:hAnsi="仿宋" w:eastAsia="仿宋"/>
          <w:sz w:val="30"/>
          <w:szCs w:val="30"/>
          <w:lang w:val="en-US" w:eastAsia="zh-CN"/>
        </w:rPr>
        <w:t>7.54</w:t>
      </w:r>
      <w:r>
        <w:rPr>
          <w:rFonts w:hint="eastAsia" w:ascii="仿宋" w:hAnsi="仿宋" w:eastAsia="仿宋"/>
          <w:sz w:val="30"/>
          <w:szCs w:val="30"/>
        </w:rPr>
        <w:t xml:space="preserve">%。  </w:t>
      </w:r>
    </w:p>
    <w:p w14:paraId="75BA43B2">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1FC6F54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12691.62</w:t>
      </w:r>
      <w:r>
        <w:rPr>
          <w:rFonts w:hint="eastAsia" w:ascii="仿宋" w:hAnsi="仿宋" w:eastAsia="仿宋"/>
          <w:sz w:val="30"/>
          <w:szCs w:val="30"/>
        </w:rPr>
        <w:t>万元，其中本年支出合计</w:t>
      </w:r>
      <w:r>
        <w:rPr>
          <w:rFonts w:hint="eastAsia" w:ascii="仿宋" w:hAnsi="仿宋" w:eastAsia="仿宋"/>
          <w:sz w:val="30"/>
          <w:szCs w:val="30"/>
          <w:lang w:val="en-US" w:eastAsia="zh-CN"/>
        </w:rPr>
        <w:t>11175.20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372.14</w:t>
      </w:r>
      <w:r>
        <w:rPr>
          <w:rFonts w:hint="eastAsia" w:ascii="仿宋" w:hAnsi="仿宋" w:eastAsia="仿宋"/>
          <w:sz w:val="30"/>
          <w:szCs w:val="30"/>
        </w:rPr>
        <w:t>万元，增长</w:t>
      </w:r>
      <w:r>
        <w:rPr>
          <w:rFonts w:hint="eastAsia" w:ascii="仿宋" w:hAnsi="仿宋" w:eastAsia="仿宋"/>
          <w:sz w:val="30"/>
          <w:szCs w:val="30"/>
          <w:lang w:val="en-US" w:eastAsia="zh-CN"/>
        </w:rPr>
        <w:t>3.44</w:t>
      </w:r>
      <w:r>
        <w:rPr>
          <w:rFonts w:hint="eastAsia" w:ascii="仿宋" w:hAnsi="仿宋" w:eastAsia="仿宋"/>
          <w:sz w:val="30"/>
          <w:szCs w:val="30"/>
        </w:rPr>
        <w:t>%，主要原因是：</w:t>
      </w:r>
      <w:r>
        <w:rPr>
          <w:rFonts w:hint="eastAsia" w:ascii="仿宋_GB2312" w:hAnsi="宋体" w:eastAsia="仿宋_GB2312" w:cs="仿宋_GB2312"/>
          <w:sz w:val="32"/>
          <w:szCs w:val="32"/>
          <w:lang w:eastAsia="zh-CN"/>
        </w:rPr>
        <w:t>本年度新增</w:t>
      </w:r>
      <w:r>
        <w:rPr>
          <w:rFonts w:hint="eastAsia" w:ascii="仿宋_GB2312" w:hAnsi="宋体" w:eastAsia="仿宋_GB2312" w:cs="仿宋_GB2312"/>
          <w:sz w:val="32"/>
          <w:szCs w:val="32"/>
          <w:lang w:val="en-US" w:eastAsia="zh-CN"/>
        </w:rPr>
        <w:t>1家预算单位（景德镇市地质灾害应急中心）</w:t>
      </w:r>
      <w:r>
        <w:rPr>
          <w:rFonts w:hint="eastAsia" w:ascii="仿宋" w:hAnsi="仿宋" w:eastAsia="仿宋"/>
          <w:sz w:val="30"/>
          <w:szCs w:val="30"/>
        </w:rPr>
        <w:t>；年末结转和结余</w:t>
      </w:r>
      <w:r>
        <w:rPr>
          <w:rFonts w:hint="eastAsia" w:ascii="仿宋" w:hAnsi="仿宋" w:eastAsia="仿宋"/>
          <w:sz w:val="30"/>
          <w:szCs w:val="30"/>
          <w:lang w:val="en-US" w:eastAsia="zh-CN"/>
        </w:rPr>
        <w:t>1516.42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27.22</w:t>
      </w:r>
      <w:r>
        <w:rPr>
          <w:rFonts w:hint="eastAsia" w:ascii="仿宋" w:hAnsi="仿宋" w:eastAsia="仿宋"/>
          <w:sz w:val="30"/>
          <w:szCs w:val="30"/>
        </w:rPr>
        <w:t>万元，下降</w:t>
      </w:r>
      <w:r>
        <w:rPr>
          <w:rFonts w:hint="eastAsia" w:ascii="仿宋" w:hAnsi="仿宋" w:eastAsia="仿宋"/>
          <w:sz w:val="30"/>
          <w:szCs w:val="30"/>
          <w:lang w:val="en-US" w:eastAsia="zh-CN"/>
        </w:rPr>
        <w:t>1.76</w:t>
      </w:r>
      <w:r>
        <w:rPr>
          <w:rFonts w:hint="eastAsia" w:ascii="仿宋" w:hAnsi="仿宋" w:eastAsia="仿宋"/>
          <w:sz w:val="30"/>
          <w:szCs w:val="30"/>
        </w:rPr>
        <w:t>%，主要原因是：</w:t>
      </w:r>
      <w:r>
        <w:rPr>
          <w:rFonts w:hint="eastAsia" w:ascii="仿宋" w:hAnsi="仿宋" w:eastAsia="仿宋"/>
          <w:sz w:val="30"/>
          <w:szCs w:val="30"/>
          <w:lang w:eastAsia="zh-CN"/>
        </w:rPr>
        <w:t>结合全市存量资金清理要求，项目支出进度加快</w:t>
      </w:r>
      <w:r>
        <w:rPr>
          <w:rFonts w:hint="eastAsia" w:ascii="仿宋" w:hAnsi="仿宋" w:eastAsia="仿宋"/>
          <w:sz w:val="30"/>
          <w:szCs w:val="30"/>
        </w:rPr>
        <w:t>。</w:t>
      </w:r>
    </w:p>
    <w:p w14:paraId="1D84B4D4">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3362.91</w:t>
      </w:r>
      <w:r>
        <w:rPr>
          <w:rFonts w:hint="eastAsia" w:ascii="仿宋" w:hAnsi="仿宋" w:eastAsia="仿宋"/>
          <w:sz w:val="30"/>
          <w:szCs w:val="30"/>
        </w:rPr>
        <w:t>万元，占</w:t>
      </w:r>
      <w:r>
        <w:rPr>
          <w:rFonts w:hint="eastAsia" w:ascii="仿宋" w:hAnsi="仿宋" w:eastAsia="仿宋"/>
          <w:sz w:val="30"/>
          <w:szCs w:val="30"/>
          <w:lang w:val="en-US" w:eastAsia="zh-CN"/>
        </w:rPr>
        <w:t>30.09</w:t>
      </w:r>
      <w:r>
        <w:rPr>
          <w:rFonts w:hint="eastAsia" w:ascii="仿宋" w:hAnsi="仿宋" w:eastAsia="仿宋"/>
          <w:sz w:val="30"/>
          <w:szCs w:val="30"/>
        </w:rPr>
        <w:t>%；项目支出</w:t>
      </w:r>
      <w:r>
        <w:rPr>
          <w:rFonts w:hint="eastAsia" w:ascii="仿宋" w:hAnsi="仿宋" w:eastAsia="仿宋"/>
          <w:sz w:val="30"/>
          <w:szCs w:val="30"/>
          <w:lang w:val="en-US" w:eastAsia="zh-CN"/>
        </w:rPr>
        <w:t>7812.29</w:t>
      </w:r>
      <w:r>
        <w:rPr>
          <w:rFonts w:hint="eastAsia" w:ascii="仿宋" w:hAnsi="仿宋" w:eastAsia="仿宋"/>
          <w:sz w:val="30"/>
          <w:szCs w:val="30"/>
        </w:rPr>
        <w:t>万元，占</w:t>
      </w:r>
      <w:r>
        <w:rPr>
          <w:rFonts w:hint="eastAsia" w:ascii="仿宋" w:hAnsi="仿宋" w:eastAsia="仿宋"/>
          <w:sz w:val="30"/>
          <w:szCs w:val="30"/>
          <w:lang w:val="en-US" w:eastAsia="zh-CN"/>
        </w:rPr>
        <w:t>69.91</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13522A2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23686C1">
      <w:pPr>
        <w:ind w:firstLine="630"/>
        <w:jc w:val="left"/>
        <w:rPr>
          <w:rFonts w:hint="eastAsia" w:ascii="仿宋" w:hAnsi="仿宋" w:eastAsia="仿宋"/>
          <w:color w:val="auto"/>
          <w:sz w:val="30"/>
          <w:szCs w:val="30"/>
        </w:rPr>
      </w:pPr>
      <w:r>
        <w:rPr>
          <w:rFonts w:hint="eastAsia" w:ascii="仿宋" w:hAnsi="仿宋" w:eastAsia="仿宋"/>
          <w:color w:val="auto"/>
          <w:sz w:val="30"/>
          <w:szCs w:val="30"/>
        </w:rPr>
        <w:t>本部门201</w:t>
      </w:r>
      <w:r>
        <w:rPr>
          <w:rFonts w:hint="eastAsia" w:ascii="仿宋" w:hAnsi="仿宋" w:eastAsia="仿宋"/>
          <w:color w:val="auto"/>
          <w:sz w:val="30"/>
          <w:szCs w:val="30"/>
          <w:lang w:val="en-US" w:eastAsia="zh-CN"/>
        </w:rPr>
        <w:t>9</w:t>
      </w:r>
      <w:r>
        <w:rPr>
          <w:rFonts w:hint="eastAsia" w:ascii="仿宋" w:hAnsi="仿宋" w:eastAsia="仿宋"/>
          <w:color w:val="auto"/>
          <w:sz w:val="30"/>
          <w:szCs w:val="30"/>
        </w:rPr>
        <w:t>年度财政拨款本年支出年初预算数为</w:t>
      </w:r>
      <w:r>
        <w:rPr>
          <w:rFonts w:hint="eastAsia" w:ascii="仿宋" w:hAnsi="仿宋" w:eastAsia="仿宋"/>
          <w:color w:val="auto"/>
          <w:sz w:val="30"/>
          <w:szCs w:val="30"/>
          <w:lang w:val="en-US" w:eastAsia="zh-CN"/>
        </w:rPr>
        <w:t>5977.42</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10361.10</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173.34</w:t>
      </w:r>
      <w:r>
        <w:rPr>
          <w:rFonts w:hint="eastAsia" w:ascii="仿宋" w:hAnsi="仿宋" w:eastAsia="仿宋"/>
          <w:color w:val="auto"/>
          <w:sz w:val="30"/>
          <w:szCs w:val="30"/>
        </w:rPr>
        <w:t>%。其中：</w:t>
      </w:r>
    </w:p>
    <w:p w14:paraId="0D7FB4FE">
      <w:pPr>
        <w:ind w:firstLine="630"/>
        <w:jc w:val="left"/>
        <w:rPr>
          <w:rFonts w:hint="eastAsia" w:ascii="仿宋" w:hAnsi="仿宋" w:eastAsia="仿宋"/>
          <w:color w:val="auto"/>
          <w:sz w:val="30"/>
          <w:szCs w:val="30"/>
        </w:rPr>
      </w:pPr>
      <w:r>
        <w:rPr>
          <w:rFonts w:hint="eastAsia" w:ascii="仿宋" w:hAnsi="仿宋" w:eastAsia="仿宋"/>
          <w:color w:val="auto"/>
          <w:sz w:val="30"/>
          <w:szCs w:val="30"/>
        </w:rPr>
        <w:t>（一）一般公共服务支出年初预算数为</w:t>
      </w:r>
      <w:r>
        <w:rPr>
          <w:rFonts w:hint="eastAsia" w:ascii="仿宋" w:hAnsi="仿宋" w:eastAsia="仿宋"/>
          <w:color w:val="auto"/>
          <w:sz w:val="30"/>
          <w:szCs w:val="30"/>
          <w:lang w:val="en-US" w:eastAsia="zh-CN"/>
        </w:rPr>
        <w:t>89.58</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268.69</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299.94</w:t>
      </w:r>
      <w:r>
        <w:rPr>
          <w:rFonts w:hint="eastAsia" w:ascii="仿宋" w:hAnsi="仿宋" w:eastAsia="仿宋"/>
          <w:color w:val="auto"/>
          <w:sz w:val="30"/>
          <w:szCs w:val="30"/>
        </w:rPr>
        <w:t>%，主要原因是：</w:t>
      </w:r>
      <w:r>
        <w:rPr>
          <w:rFonts w:hint="eastAsia" w:ascii="仿宋" w:hAnsi="仿宋" w:eastAsia="仿宋"/>
          <w:color w:val="auto"/>
          <w:sz w:val="30"/>
          <w:szCs w:val="30"/>
          <w:lang w:eastAsia="zh-CN"/>
        </w:rPr>
        <w:t>新增财政拨付办公大楼租金支出</w:t>
      </w:r>
      <w:r>
        <w:rPr>
          <w:rFonts w:hint="eastAsia" w:ascii="仿宋" w:hAnsi="仿宋" w:eastAsia="仿宋"/>
          <w:color w:val="auto"/>
          <w:sz w:val="30"/>
          <w:szCs w:val="30"/>
          <w:lang w:val="en-US" w:eastAsia="zh-CN"/>
        </w:rPr>
        <w:t>174.40万元</w:t>
      </w:r>
      <w:r>
        <w:rPr>
          <w:rFonts w:hint="eastAsia" w:ascii="仿宋" w:hAnsi="仿宋" w:eastAsia="仿宋"/>
          <w:color w:val="auto"/>
          <w:sz w:val="30"/>
          <w:szCs w:val="30"/>
        </w:rPr>
        <w:t>。</w:t>
      </w:r>
    </w:p>
    <w:p w14:paraId="0EB94B03">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eastAsia="zh-CN"/>
        </w:rPr>
        <w:t>（二）社会保障和就业支出年初预算数为</w:t>
      </w:r>
      <w:r>
        <w:rPr>
          <w:rFonts w:hint="eastAsia" w:ascii="仿宋" w:hAnsi="仿宋" w:eastAsia="仿宋"/>
          <w:color w:val="auto"/>
          <w:sz w:val="30"/>
          <w:szCs w:val="30"/>
          <w:lang w:val="en-US" w:eastAsia="zh-CN"/>
        </w:rPr>
        <w:t>224.62万元，决算数为193.73万元，完成年初预算的86.25%，主要原因是：景德镇市不动产登记中心社会保障和就业支出预决算编制口径不一致，预算编制对应社会保障和就业支出功能科目，决算编制对应非税收入安排支出功能科目。</w:t>
      </w:r>
    </w:p>
    <w:p w14:paraId="0C48EAF0">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（三）卫生健康支出年初预算数为</w:t>
      </w:r>
      <w:r>
        <w:rPr>
          <w:rFonts w:hint="eastAsia" w:ascii="仿宋" w:hAnsi="仿宋" w:eastAsia="仿宋"/>
          <w:color w:val="auto"/>
          <w:sz w:val="30"/>
          <w:szCs w:val="30"/>
          <w:lang w:val="en-US" w:eastAsia="zh-CN"/>
        </w:rPr>
        <w:t>128.21万元，决算数为93.53万元，完成年初预算的72.95%，主要原因是：因社保新系统上线导致本年度公务员医疗补助险跨年度支出。</w:t>
      </w:r>
    </w:p>
    <w:p w14:paraId="3B4F4649">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（四）节能环保支出年初预算数为0万元，决算数为1.29万元，主要原因是：为上年度项目结转结余款支出。</w:t>
      </w:r>
    </w:p>
    <w:p w14:paraId="01F031D9">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（五）城乡社区支出年初预算数为550万元，决算数为604.33万元，完成年初预算的109.88%，主要原因是：决算数包含上年项目结转结余款本年支出数。</w:t>
      </w:r>
    </w:p>
    <w:p w14:paraId="00AE9E41">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（六）自然资源海洋气象等支出年初预算数为</w:t>
      </w:r>
      <w:r>
        <w:rPr>
          <w:rFonts w:hint="eastAsia" w:ascii="仿宋" w:hAnsi="仿宋" w:eastAsia="仿宋"/>
          <w:color w:val="auto"/>
          <w:sz w:val="30"/>
          <w:szCs w:val="30"/>
          <w:lang w:val="en-US" w:eastAsia="zh-CN"/>
        </w:rPr>
        <w:t>4776.44万元，决算数9043.12万元，完成年初预算的189.33%，主要原因是：一是局本级增加主管部门集中收入安排支出500万元和项目支出303.75万元，二是市国土资源执法监察支队加大处罚力度罚没返还收入安排支出195.44万元，三是市土地整理中心根据建设用地报批“占一补一”追加耕地开垦费支出2724.22万元，四是市地质灾害应急中心增加地质灾害防治和恢复化验室建设等支出174.16万元，五是决算数包含上年项目结转结余款本年支出数。</w:t>
      </w:r>
    </w:p>
    <w:p w14:paraId="610F0250">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七）住房保障支出年初预算数为178.57万元，决算数112.5万元，完成年初预算的63%，主要原因是：景德镇市不动产登记中心住房保障支出预决算编制口径不一致，预算编制对应住房保障支出功能科目，决算编制对应非税收入安排支出功能科目。</w:t>
      </w:r>
    </w:p>
    <w:p w14:paraId="011EEBC3">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（八）灾害防治及应急管理支出年初预算数为30.00万元，决算数42.92万元，完成年初预算的143.07%，主要原因是：上年项目结转结余款支出12.92万元。</w:t>
      </w:r>
    </w:p>
    <w:p w14:paraId="49FBEA92">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（九）其他支出年初预算数为0万元，决算数为1.00万元，主要原因是：为上年度项目结转结余款支出。</w:t>
      </w:r>
    </w:p>
    <w:p w14:paraId="71BB886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753BC7A">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2668.37</w:t>
      </w:r>
      <w:r>
        <w:rPr>
          <w:rFonts w:hint="eastAsia" w:ascii="仿宋" w:hAnsi="仿宋" w:eastAsia="仿宋"/>
          <w:sz w:val="30"/>
          <w:szCs w:val="30"/>
        </w:rPr>
        <w:t>万元，其中：</w:t>
      </w:r>
    </w:p>
    <w:p w14:paraId="621650E5">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2257.53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261.29</w:t>
      </w:r>
      <w:r>
        <w:rPr>
          <w:rFonts w:hint="eastAsia" w:ascii="仿宋" w:hAnsi="仿宋" w:eastAsia="仿宋"/>
          <w:sz w:val="30"/>
          <w:szCs w:val="30"/>
        </w:rPr>
        <w:t xml:space="preserve">  万元，增长</w:t>
      </w:r>
      <w:r>
        <w:rPr>
          <w:rFonts w:hint="eastAsia" w:ascii="仿宋" w:hAnsi="仿宋" w:eastAsia="仿宋"/>
          <w:sz w:val="30"/>
          <w:szCs w:val="30"/>
          <w:lang w:val="en-US" w:eastAsia="zh-CN"/>
        </w:rPr>
        <w:t>13.09</w:t>
      </w:r>
      <w:r>
        <w:rPr>
          <w:rFonts w:hint="eastAsia" w:ascii="仿宋" w:hAnsi="仿宋" w:eastAsia="仿宋"/>
          <w:sz w:val="30"/>
          <w:szCs w:val="30"/>
        </w:rPr>
        <w:t>%，主要原因是：</w:t>
      </w:r>
      <w:r>
        <w:rPr>
          <w:rFonts w:hint="eastAsia" w:ascii="仿宋" w:hAnsi="仿宋" w:eastAsia="仿宋"/>
          <w:sz w:val="30"/>
          <w:szCs w:val="30"/>
          <w:lang w:eastAsia="zh-CN"/>
        </w:rPr>
        <w:t>一是基本工资普通和职务晋级调资等；二是新增</w:t>
      </w:r>
      <w:r>
        <w:rPr>
          <w:rFonts w:hint="eastAsia" w:ascii="仿宋" w:hAnsi="仿宋" w:eastAsia="仿宋"/>
          <w:sz w:val="30"/>
          <w:szCs w:val="30"/>
          <w:lang w:val="en-US" w:eastAsia="zh-CN"/>
        </w:rPr>
        <w:t>1家预算单位（市地质灾害应急中心）</w:t>
      </w:r>
      <w:r>
        <w:rPr>
          <w:rFonts w:hint="eastAsia" w:ascii="仿宋" w:hAnsi="仿宋" w:eastAsia="仿宋"/>
          <w:sz w:val="30"/>
          <w:szCs w:val="30"/>
        </w:rPr>
        <w:t>。</w:t>
      </w:r>
    </w:p>
    <w:p w14:paraId="34BEF53D">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308.85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2.22</w:t>
      </w:r>
      <w:r>
        <w:rPr>
          <w:rFonts w:hint="eastAsia" w:ascii="仿宋" w:hAnsi="仿宋" w:eastAsia="仿宋"/>
          <w:sz w:val="30"/>
          <w:szCs w:val="30"/>
        </w:rPr>
        <w:t>万元，下降</w:t>
      </w:r>
      <w:r>
        <w:rPr>
          <w:rFonts w:hint="eastAsia" w:ascii="仿宋" w:hAnsi="仿宋" w:eastAsia="仿宋"/>
          <w:sz w:val="30"/>
          <w:szCs w:val="30"/>
          <w:lang w:val="en-US" w:eastAsia="zh-CN"/>
        </w:rPr>
        <w:t>0.71</w:t>
      </w:r>
      <w:r>
        <w:rPr>
          <w:rFonts w:hint="eastAsia" w:ascii="仿宋" w:hAnsi="仿宋" w:eastAsia="仿宋"/>
          <w:sz w:val="30"/>
          <w:szCs w:val="30"/>
        </w:rPr>
        <w:t>%，主要原因是：</w:t>
      </w:r>
      <w:r>
        <w:rPr>
          <w:rFonts w:hint="eastAsia" w:ascii="仿宋" w:hAnsi="仿宋" w:eastAsia="仿宋"/>
          <w:sz w:val="30"/>
          <w:szCs w:val="30"/>
          <w:lang w:eastAsia="zh-CN"/>
        </w:rPr>
        <w:t>严格管控公务支出，做好厉行节约</w:t>
      </w:r>
      <w:r>
        <w:rPr>
          <w:rFonts w:hint="eastAsia" w:ascii="仿宋" w:hAnsi="仿宋" w:eastAsia="仿宋"/>
          <w:sz w:val="30"/>
          <w:szCs w:val="30"/>
        </w:rPr>
        <w:t>。</w:t>
      </w:r>
    </w:p>
    <w:p w14:paraId="0B11415D">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38.87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6.68</w:t>
      </w:r>
      <w:r>
        <w:rPr>
          <w:rFonts w:hint="eastAsia" w:ascii="仿宋" w:hAnsi="仿宋" w:eastAsia="仿宋"/>
          <w:sz w:val="30"/>
          <w:szCs w:val="30"/>
        </w:rPr>
        <w:t>万元，增长</w:t>
      </w:r>
      <w:r>
        <w:rPr>
          <w:rFonts w:hint="eastAsia" w:ascii="仿宋" w:hAnsi="仿宋" w:eastAsia="仿宋"/>
          <w:sz w:val="30"/>
          <w:szCs w:val="30"/>
          <w:lang w:val="en-US" w:eastAsia="zh-CN"/>
        </w:rPr>
        <w:t>20.75</w:t>
      </w:r>
      <w:r>
        <w:rPr>
          <w:rFonts w:hint="eastAsia" w:ascii="仿宋" w:hAnsi="仿宋" w:eastAsia="仿宋"/>
          <w:sz w:val="30"/>
          <w:szCs w:val="30"/>
        </w:rPr>
        <w:t>%，主要原因是：</w:t>
      </w:r>
      <w:r>
        <w:rPr>
          <w:rFonts w:hint="eastAsia" w:ascii="仿宋" w:hAnsi="仿宋" w:eastAsia="仿宋"/>
          <w:sz w:val="30"/>
          <w:szCs w:val="30"/>
          <w:lang w:eastAsia="zh-CN"/>
        </w:rPr>
        <w:t>离退休费和奖励金增加</w:t>
      </w:r>
      <w:r>
        <w:rPr>
          <w:rFonts w:hint="eastAsia" w:ascii="仿宋" w:hAnsi="仿宋" w:eastAsia="仿宋"/>
          <w:sz w:val="30"/>
          <w:szCs w:val="30"/>
        </w:rPr>
        <w:t>。</w:t>
      </w:r>
    </w:p>
    <w:p w14:paraId="4A49A1CA">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63.12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26.43</w:t>
      </w:r>
      <w:r>
        <w:rPr>
          <w:rFonts w:hint="eastAsia" w:ascii="仿宋" w:hAnsi="仿宋" w:eastAsia="仿宋"/>
          <w:sz w:val="30"/>
          <w:szCs w:val="30"/>
        </w:rPr>
        <w:t>万元，增长</w:t>
      </w:r>
      <w:r>
        <w:rPr>
          <w:rFonts w:hint="eastAsia" w:ascii="仿宋" w:hAnsi="仿宋" w:eastAsia="仿宋"/>
          <w:sz w:val="30"/>
          <w:szCs w:val="30"/>
          <w:lang w:val="en-US" w:eastAsia="zh-CN"/>
        </w:rPr>
        <w:t>72.04</w:t>
      </w:r>
      <w:r>
        <w:rPr>
          <w:rFonts w:hint="eastAsia" w:ascii="仿宋" w:hAnsi="仿宋" w:eastAsia="仿宋"/>
          <w:sz w:val="30"/>
          <w:szCs w:val="30"/>
        </w:rPr>
        <w:t>%，主要原因是：</w:t>
      </w:r>
      <w:r>
        <w:rPr>
          <w:rFonts w:hint="eastAsia" w:ascii="仿宋" w:hAnsi="仿宋" w:eastAsia="仿宋"/>
          <w:sz w:val="30"/>
          <w:szCs w:val="30"/>
          <w:lang w:eastAsia="zh-CN"/>
        </w:rPr>
        <w:t>落实国务院督导意见，市不动产登记中心</w:t>
      </w:r>
      <w:r>
        <w:rPr>
          <w:rFonts w:hint="eastAsia" w:ascii="仿宋" w:hAnsi="仿宋" w:eastAsia="仿宋"/>
          <w:sz w:val="30"/>
          <w:szCs w:val="30"/>
        </w:rPr>
        <w:t>退回不动产登记费39</w:t>
      </w:r>
      <w:r>
        <w:rPr>
          <w:rFonts w:hint="eastAsia" w:ascii="仿宋" w:hAnsi="仿宋" w:eastAsia="仿宋"/>
          <w:sz w:val="30"/>
          <w:szCs w:val="30"/>
          <w:lang w:val="en-US" w:eastAsia="zh-CN"/>
        </w:rPr>
        <w:t>.</w:t>
      </w:r>
      <w:r>
        <w:rPr>
          <w:rFonts w:hint="eastAsia" w:ascii="仿宋" w:hAnsi="仿宋" w:eastAsia="仿宋"/>
          <w:sz w:val="30"/>
          <w:szCs w:val="30"/>
        </w:rPr>
        <w:t>80</w:t>
      </w:r>
      <w:r>
        <w:rPr>
          <w:rFonts w:hint="eastAsia" w:ascii="仿宋" w:hAnsi="仿宋" w:eastAsia="仿宋"/>
          <w:sz w:val="30"/>
          <w:szCs w:val="30"/>
          <w:lang w:eastAsia="zh-CN"/>
        </w:rPr>
        <w:t>万</w:t>
      </w:r>
      <w:r>
        <w:rPr>
          <w:rFonts w:hint="eastAsia" w:ascii="仿宋" w:hAnsi="仿宋" w:eastAsia="仿宋"/>
          <w:sz w:val="30"/>
          <w:szCs w:val="30"/>
        </w:rPr>
        <w:t>元</w:t>
      </w:r>
      <w:r>
        <w:rPr>
          <w:rFonts w:hint="eastAsia" w:ascii="仿宋" w:hAnsi="仿宋" w:eastAsia="仿宋"/>
          <w:sz w:val="30"/>
          <w:szCs w:val="30"/>
          <w:lang w:eastAsia="zh-CN"/>
        </w:rPr>
        <w:t>，列入其他资本性支出科目</w:t>
      </w:r>
      <w:r>
        <w:rPr>
          <w:rFonts w:hint="eastAsia" w:ascii="仿宋" w:hAnsi="仿宋" w:eastAsia="仿宋"/>
          <w:sz w:val="30"/>
          <w:szCs w:val="30"/>
        </w:rPr>
        <w:t>。</w:t>
      </w:r>
    </w:p>
    <w:p w14:paraId="6F96E40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92D0E4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150.46</w:t>
      </w:r>
      <w:r>
        <w:rPr>
          <w:rFonts w:hint="eastAsia" w:ascii="仿宋" w:hAnsi="仿宋" w:eastAsia="仿宋"/>
          <w:sz w:val="30"/>
          <w:szCs w:val="30"/>
        </w:rPr>
        <w:t>万元，决算数为</w:t>
      </w:r>
      <w:r>
        <w:rPr>
          <w:rFonts w:hint="eastAsia" w:ascii="仿宋" w:hAnsi="仿宋" w:eastAsia="仿宋"/>
          <w:sz w:val="30"/>
          <w:szCs w:val="30"/>
          <w:lang w:val="en-US" w:eastAsia="zh-CN"/>
        </w:rPr>
        <w:t>25.81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17.15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12.45</w:t>
      </w:r>
      <w:r>
        <w:rPr>
          <w:rFonts w:hint="eastAsia" w:ascii="仿宋" w:hAnsi="仿宋" w:eastAsia="仿宋"/>
          <w:sz w:val="30"/>
          <w:szCs w:val="30"/>
        </w:rPr>
        <w:t>万元，下降</w:t>
      </w:r>
      <w:r>
        <w:rPr>
          <w:rFonts w:hint="eastAsia" w:ascii="仿宋" w:hAnsi="仿宋" w:eastAsia="仿宋"/>
          <w:sz w:val="30"/>
          <w:szCs w:val="30"/>
          <w:lang w:val="en-US" w:eastAsia="zh-CN"/>
        </w:rPr>
        <w:t>32.54</w:t>
      </w:r>
      <w:r>
        <w:rPr>
          <w:rFonts w:hint="eastAsia" w:ascii="仿宋" w:hAnsi="仿宋" w:eastAsia="仿宋"/>
          <w:sz w:val="30"/>
          <w:szCs w:val="30"/>
        </w:rPr>
        <w:t>%，其中：</w:t>
      </w:r>
    </w:p>
    <w:p w14:paraId="3EDB8794">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10.00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w:t>
      </w:r>
    </w:p>
    <w:p w14:paraId="5F328345">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119.10</w:t>
      </w:r>
      <w:r>
        <w:rPr>
          <w:rFonts w:hint="eastAsia" w:ascii="仿宋" w:hAnsi="仿宋" w:eastAsia="仿宋"/>
          <w:sz w:val="30"/>
          <w:szCs w:val="30"/>
        </w:rPr>
        <w:t>万元，决算数为</w:t>
      </w:r>
      <w:r>
        <w:rPr>
          <w:rFonts w:hint="eastAsia" w:ascii="仿宋" w:hAnsi="仿宋" w:eastAsia="仿宋"/>
          <w:sz w:val="30"/>
          <w:szCs w:val="30"/>
          <w:lang w:val="en-US" w:eastAsia="zh-CN"/>
        </w:rPr>
        <w:t>12.89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10.82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10.14</w:t>
      </w:r>
      <w:r>
        <w:rPr>
          <w:rFonts w:hint="eastAsia" w:ascii="仿宋" w:hAnsi="仿宋" w:eastAsia="仿宋"/>
          <w:sz w:val="30"/>
          <w:szCs w:val="30"/>
        </w:rPr>
        <w:t>万元，下降</w:t>
      </w:r>
      <w:r>
        <w:rPr>
          <w:rFonts w:hint="eastAsia" w:ascii="仿宋" w:hAnsi="仿宋" w:eastAsia="仿宋"/>
          <w:sz w:val="30"/>
          <w:szCs w:val="30"/>
          <w:lang w:val="en-US" w:eastAsia="zh-CN"/>
        </w:rPr>
        <w:t>44.03</w:t>
      </w:r>
      <w:r>
        <w:rPr>
          <w:rFonts w:hint="eastAsia" w:ascii="仿宋" w:hAnsi="仿宋" w:eastAsia="仿宋"/>
          <w:sz w:val="30"/>
          <w:szCs w:val="30"/>
        </w:rPr>
        <w:t>%。决算数较年初预算数减少的主要原因是：</w:t>
      </w:r>
      <w:r>
        <w:rPr>
          <w:rFonts w:hint="eastAsia" w:ascii="仿宋" w:hAnsi="仿宋" w:eastAsia="仿宋"/>
          <w:kern w:val="2"/>
          <w:sz w:val="30"/>
          <w:szCs w:val="30"/>
          <w:lang w:val="en-US" w:eastAsia="zh-CN" w:bidi="ar-SA"/>
        </w:rPr>
        <w:t>规范公务接待流程，力求务实节俭，严格执行公务接待标准，严格控制公务接待费用支出，并依托省公务消费网络监管系统，进一步加强公务消费管理</w:t>
      </w:r>
      <w:r>
        <w:rPr>
          <w:rFonts w:hint="eastAsia" w:ascii="仿宋" w:hAnsi="仿宋" w:eastAsia="仿宋"/>
          <w:sz w:val="30"/>
          <w:szCs w:val="30"/>
        </w:rPr>
        <w:t>。</w:t>
      </w:r>
    </w:p>
    <w:p w14:paraId="166239A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12.92</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21.36</w:t>
      </w:r>
      <w:r>
        <w:rPr>
          <w:rFonts w:hint="eastAsia" w:ascii="仿宋" w:hAnsi="仿宋" w:eastAsia="仿宋"/>
          <w:sz w:val="30"/>
          <w:szCs w:val="30"/>
        </w:rPr>
        <w:t>万元，决算数为</w:t>
      </w:r>
      <w:r>
        <w:rPr>
          <w:rFonts w:hint="eastAsia" w:ascii="仿宋" w:hAnsi="仿宋" w:eastAsia="仿宋"/>
          <w:sz w:val="30"/>
          <w:szCs w:val="30"/>
          <w:lang w:val="en-US" w:eastAsia="zh-CN"/>
        </w:rPr>
        <w:t>12.92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60.49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2.31</w:t>
      </w:r>
      <w:r>
        <w:rPr>
          <w:rFonts w:hint="eastAsia" w:ascii="仿宋" w:hAnsi="仿宋" w:eastAsia="仿宋"/>
          <w:sz w:val="30"/>
          <w:szCs w:val="30"/>
        </w:rPr>
        <w:t>万元，下降</w:t>
      </w:r>
      <w:r>
        <w:rPr>
          <w:rFonts w:hint="eastAsia" w:ascii="仿宋" w:hAnsi="仿宋" w:eastAsia="仿宋"/>
          <w:sz w:val="30"/>
          <w:szCs w:val="30"/>
          <w:lang w:val="en-US" w:eastAsia="zh-CN"/>
        </w:rPr>
        <w:t>15.17</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实行“谁使用、谁负责”原则，认真执行公务用车使用管理制度，规范公务用车的使用，从而减少公务用车运行维护费开支</w:t>
      </w:r>
      <w:r>
        <w:rPr>
          <w:rFonts w:hint="eastAsia" w:ascii="仿宋" w:hAnsi="仿宋" w:eastAsia="仿宋"/>
          <w:sz w:val="30"/>
          <w:szCs w:val="30"/>
        </w:rPr>
        <w:t>。</w:t>
      </w:r>
    </w:p>
    <w:p w14:paraId="5B490AE0">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D349937">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134.35</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27.34</w:t>
      </w:r>
      <w:r>
        <w:rPr>
          <w:rFonts w:hint="eastAsia" w:ascii="仿宋" w:hAnsi="仿宋" w:eastAsia="仿宋"/>
          <w:sz w:val="30"/>
          <w:szCs w:val="30"/>
        </w:rPr>
        <w:t>万元，降低</w:t>
      </w:r>
      <w:r>
        <w:rPr>
          <w:rFonts w:hint="eastAsia" w:ascii="仿宋" w:hAnsi="仿宋" w:eastAsia="仿宋"/>
          <w:sz w:val="30"/>
          <w:szCs w:val="30"/>
          <w:lang w:val="en-US" w:eastAsia="zh-CN"/>
        </w:rPr>
        <w:t>16.91</w:t>
      </w:r>
      <w:r>
        <w:rPr>
          <w:rFonts w:hint="eastAsia" w:ascii="仿宋" w:hAnsi="仿宋" w:eastAsia="仿宋"/>
          <w:sz w:val="30"/>
          <w:szCs w:val="30"/>
        </w:rPr>
        <w:t>%，主要原因是：贯彻落实中央八项规定，坚持</w:t>
      </w:r>
      <w:r>
        <w:rPr>
          <w:rFonts w:hint="eastAsia" w:ascii="仿宋" w:hAnsi="仿宋" w:eastAsia="仿宋"/>
          <w:sz w:val="30"/>
          <w:szCs w:val="30"/>
          <w:lang w:val="en-US" w:eastAsia="zh-CN"/>
        </w:rPr>
        <w:t>厉行节约、反对铺张浪费、进一步加强公务支出管理，在办公费、差旅费、印刷费、公务招待费等方面支出下降</w:t>
      </w:r>
      <w:r>
        <w:rPr>
          <w:rFonts w:hint="eastAsia" w:ascii="仿宋" w:hAnsi="仿宋" w:eastAsia="仿宋"/>
          <w:sz w:val="30"/>
          <w:szCs w:val="30"/>
        </w:rPr>
        <w:t xml:space="preserve">。 </w:t>
      </w:r>
    </w:p>
    <w:p w14:paraId="66A546ED">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2371B516">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522.04</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196.29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325.74</w:t>
      </w:r>
      <w:r>
        <w:rPr>
          <w:rFonts w:hint="eastAsia" w:ascii="仿宋" w:hAnsi="仿宋" w:eastAsia="仿宋"/>
          <w:sz w:val="30"/>
          <w:szCs w:val="30"/>
        </w:rPr>
        <w:t>万元。（省级部门公开的政府采购金额的计算口径为：本部门纳入201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42E9056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35742E51">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r>
        <w:rPr>
          <w:rFonts w:hint="eastAsia" w:ascii="仿宋" w:hAnsi="仿宋" w:eastAsia="仿宋"/>
          <w:kern w:val="0"/>
          <w:sz w:val="30"/>
          <w:szCs w:val="30"/>
        </w:rPr>
        <w:t>本部门</w:t>
      </w:r>
      <w:r>
        <w:rPr>
          <w:rFonts w:hint="eastAsia" w:ascii="仿宋" w:hAnsi="仿宋" w:eastAsia="仿宋"/>
          <w:kern w:val="0"/>
          <w:sz w:val="30"/>
          <w:szCs w:val="30"/>
          <w:lang w:val="en-US" w:eastAsia="zh-CN"/>
        </w:rPr>
        <w:t>车辆数共计5辆。</w:t>
      </w:r>
      <w:r>
        <w:rPr>
          <w:rFonts w:hint="eastAsia" w:ascii="仿宋" w:hAnsi="仿宋" w:eastAsia="仿宋"/>
          <w:kern w:val="0"/>
          <w:sz w:val="30"/>
          <w:szCs w:val="30"/>
        </w:rPr>
        <w:t>其中，执法执勤用车</w:t>
      </w:r>
      <w:r>
        <w:rPr>
          <w:rFonts w:hint="eastAsia" w:ascii="仿宋" w:hAnsi="仿宋" w:eastAsia="仿宋"/>
          <w:kern w:val="0"/>
          <w:sz w:val="30"/>
          <w:szCs w:val="30"/>
          <w:lang w:val="en-US" w:eastAsia="zh-CN"/>
        </w:rPr>
        <w:t>4</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局下属事业单位市地质灾害应急中心用于地质灾害应急用车</w:t>
      </w:r>
      <w:r>
        <w:rPr>
          <w:rFonts w:hint="eastAsia" w:ascii="仿宋" w:hAnsi="仿宋" w:eastAsia="仿宋"/>
          <w:kern w:val="0"/>
          <w:sz w:val="30"/>
          <w:szCs w:val="30"/>
        </w:rPr>
        <w:t>。</w:t>
      </w:r>
    </w:p>
    <w:p w14:paraId="140FCD08">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A4EA8EE">
      <w:pPr>
        <w:ind w:firstLine="562" w:firstLineChars="200"/>
        <w:rPr>
          <w:rFonts w:hint="eastAsia" w:ascii="宋体" w:hAnsi="宋体" w:eastAsia="宋体"/>
          <w:b/>
          <w:bCs/>
          <w:sz w:val="28"/>
          <w:szCs w:val="28"/>
        </w:rPr>
      </w:pPr>
      <w:r>
        <w:rPr>
          <w:rFonts w:hint="eastAsia" w:ascii="宋体" w:hAnsi="宋体" w:eastAsia="宋体"/>
          <w:b/>
          <w:bCs/>
          <w:sz w:val="28"/>
          <w:szCs w:val="28"/>
        </w:rPr>
        <w:t>（一）绩效管理工作开展情况。</w:t>
      </w:r>
    </w:p>
    <w:p w14:paraId="05563D43">
      <w:pPr>
        <w:ind w:firstLine="630"/>
        <w:jc w:val="left"/>
        <w:rPr>
          <w:rFonts w:hint="eastAsia" w:ascii="仿宋" w:hAnsi="仿宋" w:eastAsia="仿宋"/>
          <w:kern w:val="0"/>
          <w:sz w:val="30"/>
          <w:szCs w:val="30"/>
        </w:rPr>
      </w:pPr>
      <w:r>
        <w:rPr>
          <w:rFonts w:hint="eastAsia" w:ascii="仿宋" w:hAnsi="仿宋" w:eastAsia="仿宋"/>
          <w:kern w:val="0"/>
          <w:sz w:val="30"/>
          <w:szCs w:val="30"/>
        </w:rPr>
        <w:t>根据预算绩效管理要求，我部门组织对2019年度一般公共预算项目支出全面开展绩效自评，其中，一级项目</w:t>
      </w:r>
      <w:r>
        <w:rPr>
          <w:rFonts w:hint="eastAsia" w:ascii="仿宋" w:hAnsi="仿宋" w:eastAsia="仿宋"/>
          <w:kern w:val="0"/>
          <w:sz w:val="30"/>
          <w:szCs w:val="30"/>
          <w:lang w:val="en-US" w:eastAsia="zh-CN"/>
        </w:rPr>
        <w:t>9</w:t>
      </w:r>
      <w:r>
        <w:rPr>
          <w:rFonts w:hint="eastAsia" w:ascii="仿宋" w:hAnsi="仿宋" w:eastAsia="仿宋"/>
          <w:kern w:val="0"/>
          <w:sz w:val="30"/>
          <w:szCs w:val="30"/>
        </w:rPr>
        <w:t>个，二级项目</w:t>
      </w:r>
      <w:r>
        <w:rPr>
          <w:rFonts w:hint="eastAsia" w:ascii="仿宋" w:hAnsi="仿宋" w:eastAsia="仿宋"/>
          <w:kern w:val="0"/>
          <w:sz w:val="30"/>
          <w:szCs w:val="30"/>
          <w:lang w:val="en-US" w:eastAsia="zh-CN"/>
        </w:rPr>
        <w:t>7</w:t>
      </w:r>
      <w:r>
        <w:rPr>
          <w:rFonts w:hint="eastAsia" w:ascii="仿宋" w:hAnsi="仿宋" w:eastAsia="仿宋"/>
          <w:kern w:val="0"/>
          <w:sz w:val="30"/>
          <w:szCs w:val="30"/>
        </w:rPr>
        <w:t>个，共涉及资金</w:t>
      </w:r>
      <w:r>
        <w:rPr>
          <w:rFonts w:hint="eastAsia" w:ascii="仿宋" w:hAnsi="仿宋" w:eastAsia="仿宋"/>
          <w:kern w:val="0"/>
          <w:sz w:val="30"/>
          <w:szCs w:val="30"/>
          <w:lang w:val="en-US" w:eastAsia="zh-CN"/>
        </w:rPr>
        <w:t>6129.26</w:t>
      </w:r>
      <w:r>
        <w:rPr>
          <w:rFonts w:hint="eastAsia" w:ascii="仿宋" w:hAnsi="仿宋" w:eastAsia="仿宋"/>
          <w:kern w:val="0"/>
          <w:sz w:val="30"/>
          <w:szCs w:val="30"/>
        </w:rPr>
        <w:t>万元，占一般公共预算项目支出总额的</w:t>
      </w:r>
      <w:r>
        <w:rPr>
          <w:rFonts w:hint="eastAsia" w:ascii="仿宋" w:hAnsi="仿宋" w:eastAsia="仿宋"/>
          <w:kern w:val="0"/>
          <w:sz w:val="30"/>
          <w:szCs w:val="30"/>
          <w:lang w:val="en-US" w:eastAsia="zh-CN"/>
        </w:rPr>
        <w:t>100</w:t>
      </w:r>
      <w:r>
        <w:rPr>
          <w:rFonts w:hint="eastAsia" w:ascii="仿宋" w:hAnsi="仿宋" w:eastAsia="仿宋"/>
          <w:kern w:val="0"/>
          <w:sz w:val="30"/>
          <w:szCs w:val="30"/>
        </w:rPr>
        <w:t>%。组织对2019年度</w:t>
      </w:r>
      <w:r>
        <w:rPr>
          <w:rFonts w:hint="eastAsia" w:ascii="仿宋" w:hAnsi="仿宋" w:eastAsia="仿宋"/>
          <w:kern w:val="0"/>
          <w:sz w:val="30"/>
          <w:szCs w:val="30"/>
          <w:lang w:eastAsia="zh-CN"/>
        </w:rPr>
        <w:t>核心数据库异地容灾备份、清房办（历史遗留办公室）专项经费</w:t>
      </w:r>
      <w:r>
        <w:rPr>
          <w:rFonts w:hint="eastAsia" w:ascii="仿宋" w:hAnsi="仿宋" w:eastAsia="仿宋"/>
          <w:kern w:val="0"/>
          <w:sz w:val="30"/>
          <w:szCs w:val="30"/>
        </w:rPr>
        <w:t>等</w:t>
      </w:r>
      <w:r>
        <w:rPr>
          <w:rFonts w:hint="eastAsia" w:ascii="仿宋" w:hAnsi="仿宋" w:eastAsia="仿宋"/>
          <w:kern w:val="0"/>
          <w:sz w:val="30"/>
          <w:szCs w:val="30"/>
          <w:lang w:val="en-US" w:eastAsia="zh-CN"/>
        </w:rPr>
        <w:t>2</w:t>
      </w:r>
      <w:r>
        <w:rPr>
          <w:rFonts w:hint="eastAsia" w:ascii="仿宋" w:hAnsi="仿宋" w:eastAsia="仿宋"/>
          <w:kern w:val="0"/>
          <w:sz w:val="30"/>
          <w:szCs w:val="30"/>
        </w:rPr>
        <w:t>个政府性基金预算项目支出开展绩效自评，共涉及资金</w:t>
      </w:r>
      <w:r>
        <w:rPr>
          <w:rFonts w:hint="eastAsia" w:ascii="仿宋" w:hAnsi="仿宋" w:eastAsia="仿宋"/>
          <w:kern w:val="0"/>
          <w:sz w:val="30"/>
          <w:szCs w:val="30"/>
          <w:lang w:val="en-US" w:eastAsia="zh-CN"/>
        </w:rPr>
        <w:t>92.95</w:t>
      </w:r>
      <w:r>
        <w:rPr>
          <w:rFonts w:hint="eastAsia" w:ascii="仿宋" w:hAnsi="仿宋" w:eastAsia="仿宋"/>
          <w:kern w:val="0"/>
          <w:sz w:val="30"/>
          <w:szCs w:val="30"/>
        </w:rPr>
        <w:t>万元，占政府性基金预算项目支出总额的</w:t>
      </w:r>
      <w:r>
        <w:rPr>
          <w:rFonts w:hint="eastAsia" w:ascii="仿宋" w:hAnsi="仿宋" w:eastAsia="仿宋"/>
          <w:kern w:val="0"/>
          <w:sz w:val="30"/>
          <w:szCs w:val="30"/>
          <w:lang w:val="en-US" w:eastAsia="zh-CN"/>
        </w:rPr>
        <w:t>100</w:t>
      </w:r>
      <w:r>
        <w:rPr>
          <w:rFonts w:hint="eastAsia" w:ascii="仿宋" w:hAnsi="仿宋" w:eastAsia="仿宋"/>
          <w:kern w:val="0"/>
          <w:sz w:val="30"/>
          <w:szCs w:val="30"/>
        </w:rPr>
        <w:t>%。</w:t>
      </w:r>
    </w:p>
    <w:p w14:paraId="160E9360">
      <w:pPr>
        <w:ind w:firstLine="630"/>
        <w:jc w:val="left"/>
        <w:rPr>
          <w:rFonts w:hint="eastAsia" w:ascii="仿宋" w:hAnsi="仿宋" w:eastAsia="仿宋"/>
          <w:kern w:val="0"/>
          <w:sz w:val="30"/>
          <w:szCs w:val="30"/>
        </w:rPr>
      </w:pPr>
      <w:r>
        <w:rPr>
          <w:rFonts w:hint="eastAsia" w:ascii="仿宋" w:hAnsi="仿宋" w:eastAsia="仿宋"/>
          <w:kern w:val="0"/>
          <w:sz w:val="30"/>
          <w:szCs w:val="30"/>
        </w:rPr>
        <w:t>所有项目均委托景德镇恒成联合会计师事务所作为第三方机构开展绩效评价。从评价情况来看，大部分项目产出成果较好，管理水平较高，但部分项目的长效管理机制不够完善，需要进一步强化预算绩效可持续管理。</w:t>
      </w:r>
    </w:p>
    <w:p w14:paraId="32CC3AF7">
      <w:pPr>
        <w:ind w:firstLine="630"/>
        <w:jc w:val="left"/>
        <w:rPr>
          <w:rFonts w:hint="eastAsia" w:ascii="仿宋" w:hAnsi="仿宋" w:eastAsia="仿宋"/>
          <w:kern w:val="0"/>
          <w:sz w:val="30"/>
          <w:szCs w:val="30"/>
        </w:rPr>
      </w:pPr>
      <w:r>
        <w:rPr>
          <w:rFonts w:hint="eastAsia" w:ascii="仿宋" w:hAnsi="仿宋" w:eastAsia="仿宋"/>
          <w:kern w:val="0"/>
          <w:sz w:val="30"/>
          <w:szCs w:val="30"/>
        </w:rPr>
        <w:t>  我部门未组织开展整体支出绩效评价试点。</w:t>
      </w:r>
    </w:p>
    <w:p w14:paraId="108A71CE">
      <w:pPr>
        <w:ind w:firstLine="562" w:firstLineChars="200"/>
        <w:rPr>
          <w:rFonts w:ascii="宋体" w:hAnsi="宋体" w:eastAsia="宋体"/>
          <w:b/>
          <w:bCs/>
          <w:sz w:val="28"/>
          <w:szCs w:val="28"/>
        </w:rPr>
      </w:pPr>
      <w:r>
        <w:rPr>
          <w:rFonts w:hint="eastAsia" w:ascii="宋体" w:hAnsi="宋体" w:eastAsia="宋体"/>
          <w:b/>
          <w:bCs/>
          <w:sz w:val="28"/>
          <w:szCs w:val="28"/>
        </w:rPr>
        <w:t>（二）部门决算中项目绩效自评结果（选择</w:t>
      </w:r>
      <w:r>
        <w:rPr>
          <w:rFonts w:ascii="宋体" w:hAnsi="宋体" w:eastAsia="宋体"/>
          <w:b/>
          <w:bCs/>
          <w:sz w:val="28"/>
          <w:szCs w:val="28"/>
        </w:rPr>
        <w:t>1至2个项目）。</w:t>
      </w:r>
    </w:p>
    <w:p w14:paraId="05FF1841">
      <w:pPr>
        <w:ind w:firstLine="600" w:firstLineChars="200"/>
        <w:rPr>
          <w:rFonts w:ascii="宋体" w:hAnsi="宋体" w:eastAsia="宋体"/>
          <w:sz w:val="28"/>
          <w:szCs w:val="28"/>
        </w:rPr>
      </w:pPr>
      <w:r>
        <w:rPr>
          <w:rFonts w:hint="eastAsia" w:ascii="仿宋" w:hAnsi="仿宋" w:eastAsia="仿宋"/>
          <w:kern w:val="0"/>
          <w:sz w:val="30"/>
          <w:szCs w:val="30"/>
        </w:rPr>
        <w:t>我部门今年在省级部门决算中反映2000国家大地坐标系数据转换采购项目及景德镇市国土资源局数据容灾项目绩效自评结果。</w:t>
      </w:r>
    </w:p>
    <w:p w14:paraId="45AB54C0">
      <w:pPr>
        <w:ind w:firstLine="562" w:firstLineChars="200"/>
        <w:rPr>
          <w:rFonts w:ascii="宋体" w:hAnsi="宋体" w:eastAsia="宋体"/>
          <w:b/>
          <w:bCs/>
          <w:sz w:val="28"/>
          <w:szCs w:val="28"/>
        </w:rPr>
      </w:pPr>
      <w:r>
        <w:rPr>
          <w:rFonts w:ascii="宋体" w:hAnsi="宋体" w:eastAsia="宋体"/>
          <w:b/>
          <w:bCs/>
          <w:sz w:val="28"/>
          <w:szCs w:val="28"/>
        </w:rPr>
        <w:t>2000国家大地坐标系数据转换采购项目绩效自评综述：</w:t>
      </w:r>
    </w:p>
    <w:p w14:paraId="4134B742">
      <w:pPr>
        <w:ind w:firstLine="600" w:firstLineChars="200"/>
        <w:rPr>
          <w:rFonts w:hint="eastAsia" w:ascii="仿宋" w:hAnsi="仿宋" w:eastAsia="仿宋"/>
          <w:kern w:val="0"/>
          <w:sz w:val="30"/>
          <w:szCs w:val="30"/>
        </w:rPr>
      </w:pPr>
      <w:r>
        <w:rPr>
          <w:rFonts w:hint="eastAsia" w:ascii="仿宋" w:hAnsi="仿宋" w:eastAsia="仿宋"/>
          <w:kern w:val="0"/>
          <w:sz w:val="30"/>
          <w:szCs w:val="30"/>
        </w:rPr>
        <w:t>根据年初设定的绩效目标，2000国家大地坐标系数据转换采购项目自评得分为90分。项目全年预算数为120万元，执行数为0万元，完成预算的0%。</w:t>
      </w:r>
    </w:p>
    <w:p w14:paraId="2B442C9F">
      <w:pPr>
        <w:ind w:firstLine="562" w:firstLineChars="200"/>
        <w:rPr>
          <w:rFonts w:ascii="宋体" w:hAnsi="宋体" w:eastAsia="宋体"/>
          <w:b/>
          <w:bCs/>
          <w:sz w:val="28"/>
          <w:szCs w:val="28"/>
        </w:rPr>
      </w:pPr>
      <w:r>
        <w:rPr>
          <w:rFonts w:ascii="宋体" w:hAnsi="宋体" w:eastAsia="宋体"/>
          <w:b/>
          <w:bCs/>
          <w:sz w:val="28"/>
          <w:szCs w:val="28"/>
        </w:rPr>
        <w:t>主要产出和效果：</w:t>
      </w:r>
    </w:p>
    <w:p w14:paraId="55312AF2">
      <w:pPr>
        <w:ind w:firstLine="600" w:firstLineChars="200"/>
        <w:rPr>
          <w:rFonts w:hint="eastAsia" w:ascii="仿宋" w:hAnsi="仿宋" w:eastAsia="仿宋"/>
          <w:kern w:val="0"/>
          <w:sz w:val="30"/>
          <w:szCs w:val="30"/>
        </w:rPr>
      </w:pPr>
      <w:r>
        <w:rPr>
          <w:rFonts w:hint="eastAsia" w:ascii="仿宋" w:hAnsi="仿宋" w:eastAsia="仿宋"/>
          <w:kern w:val="0"/>
          <w:sz w:val="30"/>
          <w:szCs w:val="30"/>
        </w:rPr>
        <w:t>一是通过项目实施，对转换完成的数据成果按《国土资源数据2000国家大地坐标系转换技术要求》进行数据质量二级检查，最终对相关成果进行整理，完成了3套专业图形工作站设备采购，13项数据坐标转换。</w:t>
      </w:r>
    </w:p>
    <w:p w14:paraId="709C1147">
      <w:pPr>
        <w:ind w:firstLine="600" w:firstLineChars="200"/>
        <w:rPr>
          <w:rFonts w:hint="eastAsia" w:ascii="仿宋" w:hAnsi="仿宋" w:eastAsia="仿宋"/>
          <w:kern w:val="0"/>
          <w:sz w:val="30"/>
          <w:szCs w:val="30"/>
        </w:rPr>
      </w:pPr>
      <w:r>
        <w:rPr>
          <w:rFonts w:hint="eastAsia" w:ascii="仿宋" w:hAnsi="仿宋" w:eastAsia="仿宋"/>
          <w:kern w:val="0"/>
          <w:sz w:val="30"/>
          <w:szCs w:val="30"/>
        </w:rPr>
        <w:t>二是通过转换的数据完整准确，为各项社会经济活动的基础性保障，对国民经济建设、社会发展产生巨大的社会效益，有利于防震减灾、公共应急与预警系统的建设和维护。</w:t>
      </w:r>
    </w:p>
    <w:p w14:paraId="38B27934">
      <w:pPr>
        <w:ind w:firstLine="562" w:firstLineChars="200"/>
        <w:rPr>
          <w:rFonts w:ascii="宋体" w:hAnsi="宋体" w:eastAsia="宋体"/>
          <w:sz w:val="28"/>
          <w:szCs w:val="28"/>
        </w:rPr>
      </w:pPr>
      <w:r>
        <w:rPr>
          <w:rFonts w:ascii="宋体" w:hAnsi="宋体" w:eastAsia="宋体"/>
          <w:b/>
          <w:bCs/>
          <w:sz w:val="28"/>
          <w:szCs w:val="28"/>
        </w:rPr>
        <w:t>发现的问题及原因：</w:t>
      </w:r>
    </w:p>
    <w:p w14:paraId="3742BBCD">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项目资金支付率0%，主要原因是项目资金的支付在合同履行完毕后支付。</w:t>
      </w:r>
    </w:p>
    <w:p w14:paraId="450D24FD">
      <w:pPr>
        <w:ind w:firstLine="562" w:firstLineChars="200"/>
        <w:rPr>
          <w:rFonts w:ascii="宋体" w:hAnsi="宋体" w:eastAsia="宋体"/>
          <w:b/>
          <w:bCs/>
          <w:sz w:val="28"/>
          <w:szCs w:val="28"/>
        </w:rPr>
      </w:pPr>
      <w:r>
        <w:rPr>
          <w:rFonts w:hint="eastAsia" w:ascii="宋体" w:hAnsi="宋体" w:eastAsia="宋体"/>
          <w:b/>
          <w:bCs/>
          <w:sz w:val="28"/>
          <w:szCs w:val="28"/>
        </w:rPr>
        <w:t>下一步改进措施：</w:t>
      </w:r>
    </w:p>
    <w:p w14:paraId="74E47638">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项目资金在合同内容执行完成后及时支付。</w:t>
      </w:r>
    </w:p>
    <w:p w14:paraId="61B9C2D8">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项目支出绩效自评表如下表所示：</w:t>
      </w:r>
    </w:p>
    <w:p w14:paraId="5EAD7AA0">
      <w:pPr>
        <w:widowControl/>
        <w:jc w:val="left"/>
        <w:rPr>
          <w:rFonts w:ascii="宋体" w:hAnsi="宋体" w:eastAsia="宋体"/>
          <w:sz w:val="28"/>
          <w:szCs w:val="28"/>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0A1B61C2">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4DDBC03D">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3699BFED">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3A3952CC">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2019</w:t>
            </w:r>
            <w:r>
              <w:rPr>
                <w:rFonts w:hint="eastAsia" w:ascii="宋体" w:hAnsi="宋体" w:eastAsia="宋体" w:cs="宋体"/>
                <w:kern w:val="0"/>
                <w:sz w:val="22"/>
              </w:rPr>
              <w:t>年度）</w:t>
            </w:r>
          </w:p>
        </w:tc>
      </w:tr>
      <w:tr w14:paraId="161A4B7A">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B861D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2841B2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2000国家大地坐标系数据转换采购项目</w:t>
            </w:r>
          </w:p>
        </w:tc>
      </w:tr>
      <w:tr w14:paraId="60FF2D7A">
        <w:tblPrEx>
          <w:tblCellMar>
            <w:top w:w="0" w:type="dxa"/>
            <w:left w:w="108" w:type="dxa"/>
            <w:bottom w:w="0" w:type="dxa"/>
            <w:right w:w="108" w:type="dxa"/>
          </w:tblCellMar>
        </w:tblPrEx>
        <w:trPr>
          <w:trHeight w:val="658"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43803F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054416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景德镇市自然资源和规划局</w:t>
            </w:r>
          </w:p>
        </w:tc>
        <w:tc>
          <w:tcPr>
            <w:tcW w:w="1134" w:type="dxa"/>
            <w:gridSpan w:val="2"/>
            <w:tcBorders>
              <w:top w:val="nil"/>
              <w:left w:val="nil"/>
              <w:bottom w:val="single" w:color="auto" w:sz="4" w:space="0"/>
              <w:right w:val="single" w:color="auto" w:sz="4" w:space="0"/>
            </w:tcBorders>
            <w:vAlign w:val="center"/>
          </w:tcPr>
          <w:p w14:paraId="1C56E1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4B6ED0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w:t>
            </w:r>
          </w:p>
          <w:p w14:paraId="08F1B9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规划局</w:t>
            </w:r>
          </w:p>
        </w:tc>
      </w:tr>
      <w:tr w14:paraId="0BC0FCDC">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747485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6A473DF5">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14:paraId="086107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49E28D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1461F2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78CD2F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0BBAFB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7511A2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BBAD2F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3FEA033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B584413">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2394F5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229972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5989CB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vAlign w:val="center"/>
          </w:tcPr>
          <w:p w14:paraId="79D306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167DD9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14:paraId="5C9E62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r>
      <w:tr w14:paraId="027003C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458320C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47E01B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0567000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5DB508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7586E0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vAlign w:val="center"/>
          </w:tcPr>
          <w:p w14:paraId="7F99EF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4A88D4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14:paraId="65320E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2B950D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D606C0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95859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7AA08DD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03C4F5C">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F684DFF">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5B53EB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61BC247">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2C5E85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5FE685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81A1A6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9708E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33EAB2C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05911F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A8026D4">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4F7228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6213CFA3">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58EA6C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F821FC4">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15B060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136778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7D4335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69534DEF">
        <w:tblPrEx>
          <w:tblCellMar>
            <w:top w:w="0" w:type="dxa"/>
            <w:left w:w="108" w:type="dxa"/>
            <w:bottom w:w="0" w:type="dxa"/>
            <w:right w:w="108" w:type="dxa"/>
          </w:tblCellMar>
        </w:tblPrEx>
        <w:trPr>
          <w:trHeight w:val="3016"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45CB6A56">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2C370D83">
            <w:pPr>
              <w:widowControl/>
              <w:spacing w:line="24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现行大地坐标系历经50年，对国民经济建设作出了重大的贡献，效益显著。但其成果受技术条件制约，精度偏低、无法满足新技术的要求。空间技术的发展成熟与广泛应用迫切要求国家提供精度、地心、动态、实用、统一的大地坐标系作为各项社会经济活动的基础性保障。采用2000国家大地坐标系可对国民经济建设、社会发展产生巨大的社会效益。采用2000国家大地坐标系，有利于防震减灾、公共应急与预警系统的建设和维护。</w:t>
            </w:r>
          </w:p>
          <w:p w14:paraId="1C6EB7B3">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2）完成项目方案编制，专业图形工作站设备平台准备，进行数据转换，并委托第三方对转换完成的数据成果按《国土资源数据2000国家大地坐标系转换技术要求》进行数据质量二级检查，最终对相关成果进行整理。</w:t>
            </w:r>
          </w:p>
        </w:tc>
        <w:tc>
          <w:tcPr>
            <w:tcW w:w="3402" w:type="dxa"/>
            <w:gridSpan w:val="7"/>
            <w:tcBorders>
              <w:top w:val="single" w:color="auto" w:sz="4" w:space="0"/>
              <w:left w:val="nil"/>
              <w:bottom w:val="single" w:color="auto" w:sz="4" w:space="0"/>
              <w:right w:val="single" w:color="auto" w:sz="4" w:space="0"/>
            </w:tcBorders>
          </w:tcPr>
          <w:p w14:paraId="59D7D066">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通过项目实施，对转换完成的数据成果按《国土资源数据2000国家大地坐标系转换技术要求》进行数据质量二级检查，最终对相关成果进行整理，完成了3套</w:t>
            </w:r>
            <w:r>
              <w:rPr>
                <w:rFonts w:hint="eastAsia" w:ascii="宋体" w:hAnsi="宋体" w:eastAsia="宋体" w:cs="宋体"/>
                <w:color w:val="000000"/>
                <w:kern w:val="0"/>
                <w:sz w:val="18"/>
                <w:szCs w:val="18"/>
              </w:rPr>
              <w:t>专业图形工作站设备采购，1</w:t>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项数据坐标转换。</w:t>
            </w:r>
          </w:p>
        </w:tc>
      </w:tr>
      <w:tr w14:paraId="1F4B8953">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5377CE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14:paraId="0EB5F9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21DB9E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44D31A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3098E1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B4E96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6144B8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4144D3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5B2C2B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3369F2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62BC36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A68BF4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FBDC653">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248861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14:paraId="4B20FC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111A418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方案编制完成率</w:t>
            </w:r>
          </w:p>
        </w:tc>
        <w:tc>
          <w:tcPr>
            <w:tcW w:w="850" w:type="dxa"/>
            <w:tcBorders>
              <w:top w:val="nil"/>
              <w:left w:val="nil"/>
              <w:bottom w:val="single" w:color="auto" w:sz="4" w:space="0"/>
              <w:right w:val="single" w:color="auto" w:sz="4" w:space="0"/>
            </w:tcBorders>
            <w:vAlign w:val="center"/>
          </w:tcPr>
          <w:p w14:paraId="66FBB1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1项100%</w:t>
            </w:r>
          </w:p>
        </w:tc>
        <w:tc>
          <w:tcPr>
            <w:tcW w:w="851" w:type="dxa"/>
            <w:tcBorders>
              <w:top w:val="nil"/>
              <w:left w:val="nil"/>
              <w:bottom w:val="single" w:color="auto" w:sz="4" w:space="0"/>
              <w:right w:val="single" w:color="auto" w:sz="4" w:space="0"/>
            </w:tcBorders>
            <w:vAlign w:val="center"/>
          </w:tcPr>
          <w:p w14:paraId="7BBE554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1项</w:t>
            </w:r>
          </w:p>
        </w:tc>
        <w:tc>
          <w:tcPr>
            <w:tcW w:w="567" w:type="dxa"/>
            <w:gridSpan w:val="2"/>
            <w:tcBorders>
              <w:top w:val="nil"/>
              <w:left w:val="nil"/>
              <w:bottom w:val="single" w:color="auto" w:sz="4" w:space="0"/>
              <w:right w:val="single" w:color="auto" w:sz="4" w:space="0"/>
            </w:tcBorders>
            <w:vAlign w:val="center"/>
          </w:tcPr>
          <w:p w14:paraId="66F4BA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071B37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C6D4F75">
            <w:pPr>
              <w:widowControl/>
              <w:spacing w:line="240" w:lineRule="exact"/>
              <w:jc w:val="center"/>
              <w:rPr>
                <w:rFonts w:ascii="宋体" w:hAnsi="宋体" w:eastAsia="宋体" w:cs="宋体"/>
                <w:kern w:val="0"/>
                <w:sz w:val="18"/>
                <w:szCs w:val="18"/>
              </w:rPr>
            </w:pPr>
          </w:p>
        </w:tc>
      </w:tr>
      <w:tr w14:paraId="2640E503">
        <w:tblPrEx>
          <w:tblCellMar>
            <w:top w:w="0" w:type="dxa"/>
            <w:left w:w="108" w:type="dxa"/>
            <w:bottom w:w="0" w:type="dxa"/>
            <w:right w:w="108" w:type="dxa"/>
          </w:tblCellMar>
        </w:tblPrEx>
        <w:trPr>
          <w:trHeight w:val="589" w:hRule="exact"/>
          <w:jc w:val="center"/>
        </w:trPr>
        <w:tc>
          <w:tcPr>
            <w:tcW w:w="588" w:type="dxa"/>
            <w:vMerge w:val="continue"/>
            <w:tcBorders>
              <w:left w:val="single" w:color="auto" w:sz="4" w:space="0"/>
              <w:right w:val="single" w:color="auto" w:sz="4" w:space="0"/>
            </w:tcBorders>
            <w:vAlign w:val="center"/>
          </w:tcPr>
          <w:p w14:paraId="0218E6A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FFA03A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9D15C4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9FB13B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专业图形工作站设备采购完成率</w:t>
            </w:r>
          </w:p>
        </w:tc>
        <w:tc>
          <w:tcPr>
            <w:tcW w:w="850" w:type="dxa"/>
            <w:tcBorders>
              <w:top w:val="nil"/>
              <w:left w:val="nil"/>
              <w:bottom w:val="single" w:color="auto" w:sz="4" w:space="0"/>
              <w:right w:val="single" w:color="auto" w:sz="4" w:space="0"/>
            </w:tcBorders>
            <w:vAlign w:val="center"/>
          </w:tcPr>
          <w:p w14:paraId="248999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3套</w:t>
            </w:r>
          </w:p>
        </w:tc>
        <w:tc>
          <w:tcPr>
            <w:tcW w:w="851" w:type="dxa"/>
            <w:tcBorders>
              <w:top w:val="nil"/>
              <w:left w:val="nil"/>
              <w:bottom w:val="single" w:color="auto" w:sz="4" w:space="0"/>
              <w:right w:val="single" w:color="auto" w:sz="4" w:space="0"/>
            </w:tcBorders>
            <w:vAlign w:val="center"/>
          </w:tcPr>
          <w:p w14:paraId="5C5D37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3套</w:t>
            </w:r>
          </w:p>
        </w:tc>
        <w:tc>
          <w:tcPr>
            <w:tcW w:w="567" w:type="dxa"/>
            <w:gridSpan w:val="2"/>
            <w:tcBorders>
              <w:top w:val="nil"/>
              <w:left w:val="nil"/>
              <w:bottom w:val="single" w:color="auto" w:sz="4" w:space="0"/>
              <w:right w:val="single" w:color="auto" w:sz="4" w:space="0"/>
            </w:tcBorders>
            <w:vAlign w:val="center"/>
          </w:tcPr>
          <w:p w14:paraId="37ACBA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095B2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1255810">
            <w:pPr>
              <w:widowControl/>
              <w:spacing w:line="240" w:lineRule="exact"/>
              <w:jc w:val="center"/>
              <w:rPr>
                <w:rFonts w:ascii="宋体" w:hAnsi="宋体" w:eastAsia="宋体" w:cs="宋体"/>
                <w:kern w:val="0"/>
                <w:sz w:val="18"/>
                <w:szCs w:val="18"/>
              </w:rPr>
            </w:pPr>
          </w:p>
        </w:tc>
      </w:tr>
      <w:tr w14:paraId="0885FB3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A73043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0EFD8C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861587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27DB51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数据坐标转换完成率</w:t>
            </w:r>
          </w:p>
        </w:tc>
        <w:tc>
          <w:tcPr>
            <w:tcW w:w="850" w:type="dxa"/>
            <w:tcBorders>
              <w:top w:val="nil"/>
              <w:left w:val="nil"/>
              <w:bottom w:val="single" w:color="auto" w:sz="4" w:space="0"/>
              <w:right w:val="single" w:color="auto" w:sz="4" w:space="0"/>
            </w:tcBorders>
            <w:vAlign w:val="center"/>
          </w:tcPr>
          <w:p w14:paraId="6F2218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13项</w:t>
            </w:r>
          </w:p>
        </w:tc>
        <w:tc>
          <w:tcPr>
            <w:tcW w:w="851" w:type="dxa"/>
            <w:tcBorders>
              <w:top w:val="nil"/>
              <w:left w:val="nil"/>
              <w:bottom w:val="single" w:color="auto" w:sz="4" w:space="0"/>
              <w:right w:val="single" w:color="auto" w:sz="4" w:space="0"/>
            </w:tcBorders>
            <w:vAlign w:val="center"/>
          </w:tcPr>
          <w:p w14:paraId="722DEB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13项</w:t>
            </w:r>
          </w:p>
        </w:tc>
        <w:tc>
          <w:tcPr>
            <w:tcW w:w="567" w:type="dxa"/>
            <w:gridSpan w:val="2"/>
            <w:tcBorders>
              <w:top w:val="nil"/>
              <w:left w:val="nil"/>
              <w:bottom w:val="single" w:color="auto" w:sz="4" w:space="0"/>
              <w:right w:val="single" w:color="auto" w:sz="4" w:space="0"/>
            </w:tcBorders>
            <w:vAlign w:val="center"/>
          </w:tcPr>
          <w:p w14:paraId="5897A8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C612D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232D4B77">
            <w:pPr>
              <w:widowControl/>
              <w:spacing w:line="240" w:lineRule="exact"/>
              <w:jc w:val="center"/>
              <w:rPr>
                <w:rFonts w:ascii="宋体" w:hAnsi="宋体" w:eastAsia="宋体" w:cs="宋体"/>
                <w:kern w:val="0"/>
                <w:sz w:val="18"/>
                <w:szCs w:val="18"/>
              </w:rPr>
            </w:pPr>
          </w:p>
        </w:tc>
      </w:tr>
      <w:tr w14:paraId="0994E482">
        <w:tblPrEx>
          <w:tblCellMar>
            <w:top w:w="0" w:type="dxa"/>
            <w:left w:w="108" w:type="dxa"/>
            <w:bottom w:w="0" w:type="dxa"/>
            <w:right w:w="108" w:type="dxa"/>
          </w:tblCellMar>
        </w:tblPrEx>
        <w:trPr>
          <w:trHeight w:val="544" w:hRule="exact"/>
          <w:jc w:val="center"/>
        </w:trPr>
        <w:tc>
          <w:tcPr>
            <w:tcW w:w="588" w:type="dxa"/>
            <w:vMerge w:val="continue"/>
            <w:tcBorders>
              <w:left w:val="single" w:color="auto" w:sz="4" w:space="0"/>
              <w:right w:val="single" w:color="auto" w:sz="4" w:space="0"/>
            </w:tcBorders>
            <w:vAlign w:val="center"/>
          </w:tcPr>
          <w:p w14:paraId="173E4AC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96692D2">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1C3BDB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3CD688B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委托检验合格率</w:t>
            </w:r>
          </w:p>
        </w:tc>
        <w:tc>
          <w:tcPr>
            <w:tcW w:w="850" w:type="dxa"/>
            <w:tcBorders>
              <w:top w:val="nil"/>
              <w:left w:val="nil"/>
              <w:bottom w:val="single" w:color="auto" w:sz="4" w:space="0"/>
              <w:right w:val="single" w:color="auto" w:sz="4" w:space="0"/>
            </w:tcBorders>
            <w:vAlign w:val="center"/>
          </w:tcPr>
          <w:p w14:paraId="3E6083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检验</w:t>
            </w:r>
          </w:p>
          <w:p w14:paraId="0458DD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合格</w:t>
            </w:r>
          </w:p>
        </w:tc>
        <w:tc>
          <w:tcPr>
            <w:tcW w:w="851" w:type="dxa"/>
            <w:tcBorders>
              <w:top w:val="nil"/>
              <w:left w:val="nil"/>
              <w:bottom w:val="single" w:color="auto" w:sz="4" w:space="0"/>
              <w:right w:val="single" w:color="auto" w:sz="4" w:space="0"/>
            </w:tcBorders>
            <w:vAlign w:val="center"/>
          </w:tcPr>
          <w:p w14:paraId="49F665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检验</w:t>
            </w:r>
          </w:p>
          <w:p w14:paraId="08654C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合格</w:t>
            </w:r>
          </w:p>
        </w:tc>
        <w:tc>
          <w:tcPr>
            <w:tcW w:w="567" w:type="dxa"/>
            <w:gridSpan w:val="2"/>
            <w:tcBorders>
              <w:top w:val="nil"/>
              <w:left w:val="nil"/>
              <w:bottom w:val="single" w:color="auto" w:sz="4" w:space="0"/>
              <w:right w:val="single" w:color="auto" w:sz="4" w:space="0"/>
            </w:tcBorders>
            <w:vAlign w:val="center"/>
          </w:tcPr>
          <w:p w14:paraId="04160208">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290E9344">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37B70BBC">
            <w:pPr>
              <w:widowControl/>
              <w:spacing w:line="240" w:lineRule="exact"/>
              <w:jc w:val="center"/>
              <w:rPr>
                <w:rFonts w:ascii="宋体" w:hAnsi="宋体" w:eastAsia="宋体" w:cs="宋体"/>
                <w:kern w:val="0"/>
                <w:sz w:val="18"/>
                <w:szCs w:val="18"/>
              </w:rPr>
            </w:pPr>
          </w:p>
        </w:tc>
      </w:tr>
      <w:tr w14:paraId="09680F58">
        <w:tblPrEx>
          <w:tblCellMar>
            <w:top w:w="0" w:type="dxa"/>
            <w:left w:w="108" w:type="dxa"/>
            <w:bottom w:w="0" w:type="dxa"/>
            <w:right w:w="108" w:type="dxa"/>
          </w:tblCellMar>
        </w:tblPrEx>
        <w:trPr>
          <w:trHeight w:val="580" w:hRule="exact"/>
          <w:jc w:val="center"/>
        </w:trPr>
        <w:tc>
          <w:tcPr>
            <w:tcW w:w="588" w:type="dxa"/>
            <w:vMerge w:val="continue"/>
            <w:tcBorders>
              <w:left w:val="single" w:color="auto" w:sz="4" w:space="0"/>
              <w:right w:val="single" w:color="auto" w:sz="4" w:space="0"/>
            </w:tcBorders>
            <w:vAlign w:val="center"/>
          </w:tcPr>
          <w:p w14:paraId="4938C88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97EE37F">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52A32D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7B43DA3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方案编制完成及时率</w:t>
            </w:r>
          </w:p>
        </w:tc>
        <w:tc>
          <w:tcPr>
            <w:tcW w:w="850" w:type="dxa"/>
            <w:tcBorders>
              <w:top w:val="nil"/>
              <w:left w:val="nil"/>
              <w:bottom w:val="single" w:color="auto" w:sz="4" w:space="0"/>
              <w:right w:val="single" w:color="auto" w:sz="4" w:space="0"/>
            </w:tcBorders>
            <w:vAlign w:val="center"/>
          </w:tcPr>
          <w:p w14:paraId="6A55DF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2B20C5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851" w:type="dxa"/>
            <w:tcBorders>
              <w:top w:val="nil"/>
              <w:left w:val="nil"/>
              <w:bottom w:val="single" w:color="auto" w:sz="4" w:space="0"/>
              <w:right w:val="single" w:color="auto" w:sz="4" w:space="0"/>
            </w:tcBorders>
            <w:vAlign w:val="center"/>
          </w:tcPr>
          <w:p w14:paraId="41416E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310651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567" w:type="dxa"/>
            <w:gridSpan w:val="2"/>
            <w:tcBorders>
              <w:top w:val="nil"/>
              <w:left w:val="nil"/>
              <w:bottom w:val="single" w:color="auto" w:sz="4" w:space="0"/>
              <w:right w:val="single" w:color="auto" w:sz="4" w:space="0"/>
            </w:tcBorders>
            <w:vAlign w:val="center"/>
          </w:tcPr>
          <w:p w14:paraId="52232A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4E9234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14BBF51">
            <w:pPr>
              <w:widowControl/>
              <w:spacing w:line="240" w:lineRule="exact"/>
              <w:jc w:val="center"/>
              <w:rPr>
                <w:rFonts w:ascii="宋体" w:hAnsi="宋体" w:eastAsia="宋体" w:cs="宋体"/>
                <w:kern w:val="0"/>
                <w:sz w:val="18"/>
                <w:szCs w:val="18"/>
              </w:rPr>
            </w:pPr>
          </w:p>
        </w:tc>
      </w:tr>
      <w:tr w14:paraId="062BC9CD">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14:paraId="680D63A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C74630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5CC3CB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980719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专业图形工作站设备采购完成及时率</w:t>
            </w:r>
          </w:p>
        </w:tc>
        <w:tc>
          <w:tcPr>
            <w:tcW w:w="850" w:type="dxa"/>
            <w:tcBorders>
              <w:top w:val="nil"/>
              <w:left w:val="nil"/>
              <w:bottom w:val="single" w:color="auto" w:sz="4" w:space="0"/>
              <w:right w:val="single" w:color="auto" w:sz="4" w:space="0"/>
            </w:tcBorders>
            <w:vAlign w:val="center"/>
          </w:tcPr>
          <w:p w14:paraId="2CB63D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及时完成</w:t>
            </w:r>
          </w:p>
        </w:tc>
        <w:tc>
          <w:tcPr>
            <w:tcW w:w="851" w:type="dxa"/>
            <w:tcBorders>
              <w:top w:val="nil"/>
              <w:left w:val="nil"/>
              <w:bottom w:val="single" w:color="auto" w:sz="4" w:space="0"/>
              <w:right w:val="single" w:color="auto" w:sz="4" w:space="0"/>
            </w:tcBorders>
            <w:vAlign w:val="center"/>
          </w:tcPr>
          <w:p w14:paraId="63EADB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及时完成</w:t>
            </w:r>
          </w:p>
        </w:tc>
        <w:tc>
          <w:tcPr>
            <w:tcW w:w="567" w:type="dxa"/>
            <w:gridSpan w:val="2"/>
            <w:tcBorders>
              <w:top w:val="nil"/>
              <w:left w:val="nil"/>
              <w:bottom w:val="single" w:color="auto" w:sz="4" w:space="0"/>
              <w:right w:val="single" w:color="auto" w:sz="4" w:space="0"/>
            </w:tcBorders>
            <w:vAlign w:val="center"/>
          </w:tcPr>
          <w:p w14:paraId="68BEF1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502CA6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E9F4BB2">
            <w:pPr>
              <w:widowControl/>
              <w:spacing w:line="240" w:lineRule="exact"/>
              <w:jc w:val="center"/>
              <w:rPr>
                <w:rFonts w:ascii="宋体" w:hAnsi="宋体" w:eastAsia="宋体" w:cs="宋体"/>
                <w:kern w:val="0"/>
                <w:sz w:val="18"/>
                <w:szCs w:val="18"/>
              </w:rPr>
            </w:pPr>
          </w:p>
        </w:tc>
      </w:tr>
      <w:tr w14:paraId="7AECCA00">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14:paraId="38DB1D2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DDAD14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B05494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991F01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数据坐标转换完成及时率</w:t>
            </w:r>
          </w:p>
        </w:tc>
        <w:tc>
          <w:tcPr>
            <w:tcW w:w="850" w:type="dxa"/>
            <w:tcBorders>
              <w:top w:val="nil"/>
              <w:left w:val="nil"/>
              <w:bottom w:val="single" w:color="auto" w:sz="4" w:space="0"/>
              <w:right w:val="single" w:color="auto" w:sz="4" w:space="0"/>
            </w:tcBorders>
            <w:vAlign w:val="center"/>
          </w:tcPr>
          <w:p w14:paraId="3DD2CE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106E2D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851" w:type="dxa"/>
            <w:tcBorders>
              <w:top w:val="nil"/>
              <w:left w:val="nil"/>
              <w:bottom w:val="single" w:color="auto" w:sz="4" w:space="0"/>
              <w:right w:val="single" w:color="auto" w:sz="4" w:space="0"/>
            </w:tcBorders>
            <w:vAlign w:val="center"/>
          </w:tcPr>
          <w:p w14:paraId="1B862A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5B6518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567" w:type="dxa"/>
            <w:gridSpan w:val="2"/>
            <w:tcBorders>
              <w:top w:val="nil"/>
              <w:left w:val="nil"/>
              <w:bottom w:val="single" w:color="auto" w:sz="4" w:space="0"/>
              <w:right w:val="single" w:color="auto" w:sz="4" w:space="0"/>
            </w:tcBorders>
            <w:vAlign w:val="center"/>
          </w:tcPr>
          <w:p w14:paraId="4D715D6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58A010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5C6D6384">
            <w:pPr>
              <w:widowControl/>
              <w:spacing w:line="240" w:lineRule="exact"/>
              <w:jc w:val="center"/>
              <w:rPr>
                <w:rFonts w:ascii="宋体" w:hAnsi="宋体" w:eastAsia="宋体" w:cs="宋体"/>
                <w:kern w:val="0"/>
                <w:sz w:val="18"/>
                <w:szCs w:val="18"/>
              </w:rPr>
            </w:pPr>
          </w:p>
        </w:tc>
      </w:tr>
      <w:tr w14:paraId="70DAC2B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01D7CE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4D70519">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11E514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696F49D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预算控制率</w:t>
            </w:r>
          </w:p>
        </w:tc>
        <w:tc>
          <w:tcPr>
            <w:tcW w:w="850" w:type="dxa"/>
            <w:tcBorders>
              <w:top w:val="nil"/>
              <w:left w:val="nil"/>
              <w:bottom w:val="single" w:color="auto" w:sz="4" w:space="0"/>
              <w:right w:val="single" w:color="auto" w:sz="4" w:space="0"/>
            </w:tcBorders>
            <w:vAlign w:val="center"/>
          </w:tcPr>
          <w:p w14:paraId="2FA5B8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0EABF9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251B49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2CFDAB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0762818A">
            <w:pPr>
              <w:widowControl/>
              <w:spacing w:line="240" w:lineRule="exact"/>
              <w:jc w:val="center"/>
              <w:rPr>
                <w:rFonts w:ascii="宋体" w:hAnsi="宋体" w:eastAsia="宋体" w:cs="宋体"/>
                <w:kern w:val="0"/>
                <w:sz w:val="18"/>
                <w:szCs w:val="18"/>
              </w:rPr>
            </w:pPr>
          </w:p>
        </w:tc>
      </w:tr>
      <w:tr w14:paraId="2A68B11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2905AE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DBE1564">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147D0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7C6E8E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731F97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转换数据准确率</w:t>
            </w:r>
          </w:p>
        </w:tc>
        <w:tc>
          <w:tcPr>
            <w:tcW w:w="850" w:type="dxa"/>
            <w:tcBorders>
              <w:top w:val="nil"/>
              <w:left w:val="nil"/>
              <w:bottom w:val="single" w:color="auto" w:sz="4" w:space="0"/>
              <w:right w:val="single" w:color="auto" w:sz="4" w:space="0"/>
            </w:tcBorders>
            <w:vAlign w:val="center"/>
          </w:tcPr>
          <w:p w14:paraId="5D0770A0">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013DFDE8">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6D1641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3495B5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03A0672B">
            <w:pPr>
              <w:widowControl/>
              <w:spacing w:line="240" w:lineRule="exact"/>
              <w:jc w:val="center"/>
              <w:rPr>
                <w:rFonts w:ascii="宋体" w:hAnsi="宋体" w:eastAsia="宋体" w:cs="宋体"/>
                <w:kern w:val="0"/>
                <w:sz w:val="18"/>
                <w:szCs w:val="18"/>
              </w:rPr>
            </w:pPr>
          </w:p>
        </w:tc>
      </w:tr>
      <w:tr w14:paraId="62C73DB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F14C92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FA3F74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A81B6C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5FE7F2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转换数据完整率</w:t>
            </w:r>
          </w:p>
        </w:tc>
        <w:tc>
          <w:tcPr>
            <w:tcW w:w="850" w:type="dxa"/>
            <w:tcBorders>
              <w:top w:val="nil"/>
              <w:left w:val="nil"/>
              <w:bottom w:val="single" w:color="auto" w:sz="4" w:space="0"/>
              <w:right w:val="single" w:color="auto" w:sz="4" w:space="0"/>
            </w:tcBorders>
            <w:vAlign w:val="center"/>
          </w:tcPr>
          <w:p w14:paraId="2F1D8B80">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09A967B2">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239EE1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1E061E9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8C0011E">
            <w:pPr>
              <w:widowControl/>
              <w:spacing w:line="240" w:lineRule="exact"/>
              <w:jc w:val="center"/>
              <w:rPr>
                <w:rFonts w:ascii="宋体" w:hAnsi="宋体" w:eastAsia="宋体" w:cs="宋体"/>
                <w:kern w:val="0"/>
                <w:sz w:val="18"/>
                <w:szCs w:val="18"/>
              </w:rPr>
            </w:pPr>
          </w:p>
        </w:tc>
      </w:tr>
      <w:tr w14:paraId="37F6E253">
        <w:tblPrEx>
          <w:tblCellMar>
            <w:top w:w="0" w:type="dxa"/>
            <w:left w:w="108" w:type="dxa"/>
            <w:bottom w:w="0" w:type="dxa"/>
            <w:right w:w="108" w:type="dxa"/>
          </w:tblCellMar>
        </w:tblPrEx>
        <w:trPr>
          <w:trHeight w:val="1070" w:hRule="exact"/>
          <w:jc w:val="center"/>
        </w:trPr>
        <w:tc>
          <w:tcPr>
            <w:tcW w:w="588" w:type="dxa"/>
            <w:vMerge w:val="continue"/>
            <w:tcBorders>
              <w:left w:val="single" w:color="auto" w:sz="4" w:space="0"/>
              <w:right w:val="single" w:color="auto" w:sz="4" w:space="0"/>
            </w:tcBorders>
            <w:vAlign w:val="center"/>
          </w:tcPr>
          <w:p w14:paraId="1927F9A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84DEFC5">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364AE4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vMerge w:val="restart"/>
            <w:tcBorders>
              <w:top w:val="single" w:color="auto" w:sz="4" w:space="0"/>
              <w:left w:val="nil"/>
              <w:right w:val="single" w:color="auto" w:sz="4" w:space="0"/>
            </w:tcBorders>
            <w:vAlign w:val="center"/>
          </w:tcPr>
          <w:p w14:paraId="3A3FFD4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w:t>
            </w:r>
          </w:p>
        </w:tc>
        <w:tc>
          <w:tcPr>
            <w:tcW w:w="850" w:type="dxa"/>
            <w:tcBorders>
              <w:top w:val="nil"/>
              <w:left w:val="nil"/>
              <w:bottom w:val="single" w:color="auto" w:sz="4" w:space="0"/>
              <w:right w:val="single" w:color="auto" w:sz="4" w:space="0"/>
            </w:tcBorders>
            <w:vAlign w:val="center"/>
          </w:tcPr>
          <w:p w14:paraId="781E55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严格执行保密规定和程序</w:t>
            </w:r>
          </w:p>
        </w:tc>
        <w:tc>
          <w:tcPr>
            <w:tcW w:w="851" w:type="dxa"/>
            <w:tcBorders>
              <w:top w:val="nil"/>
              <w:left w:val="nil"/>
              <w:bottom w:val="single" w:color="auto" w:sz="4" w:space="0"/>
              <w:right w:val="single" w:color="auto" w:sz="4" w:space="0"/>
            </w:tcBorders>
            <w:vAlign w:val="center"/>
          </w:tcPr>
          <w:p w14:paraId="45063AB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严格执行保密规定和程序</w:t>
            </w:r>
          </w:p>
        </w:tc>
        <w:tc>
          <w:tcPr>
            <w:tcW w:w="567" w:type="dxa"/>
            <w:gridSpan w:val="2"/>
            <w:tcBorders>
              <w:top w:val="nil"/>
              <w:left w:val="nil"/>
              <w:bottom w:val="single" w:color="auto" w:sz="4" w:space="0"/>
              <w:right w:val="single" w:color="auto" w:sz="4" w:space="0"/>
            </w:tcBorders>
            <w:vAlign w:val="center"/>
          </w:tcPr>
          <w:p w14:paraId="26CC6E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369FC1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FDA28EB">
            <w:pPr>
              <w:widowControl/>
              <w:spacing w:line="240" w:lineRule="exact"/>
              <w:jc w:val="center"/>
              <w:rPr>
                <w:rFonts w:ascii="宋体" w:hAnsi="宋体" w:eastAsia="宋体" w:cs="宋体"/>
                <w:kern w:val="0"/>
                <w:sz w:val="18"/>
                <w:szCs w:val="18"/>
              </w:rPr>
            </w:pPr>
          </w:p>
        </w:tc>
      </w:tr>
      <w:tr w14:paraId="7BC930C3">
        <w:tblPrEx>
          <w:tblCellMar>
            <w:top w:w="0" w:type="dxa"/>
            <w:left w:w="108" w:type="dxa"/>
            <w:bottom w:w="0" w:type="dxa"/>
            <w:right w:w="108" w:type="dxa"/>
          </w:tblCellMar>
        </w:tblPrEx>
        <w:trPr>
          <w:trHeight w:val="860" w:hRule="exact"/>
          <w:jc w:val="center"/>
        </w:trPr>
        <w:tc>
          <w:tcPr>
            <w:tcW w:w="588" w:type="dxa"/>
            <w:vMerge w:val="continue"/>
            <w:tcBorders>
              <w:left w:val="single" w:color="auto" w:sz="4" w:space="0"/>
              <w:right w:val="single" w:color="auto" w:sz="4" w:space="0"/>
            </w:tcBorders>
            <w:vAlign w:val="center"/>
          </w:tcPr>
          <w:p w14:paraId="1E93B65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BBCCDB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19A50E4">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right w:val="single" w:color="auto" w:sz="4" w:space="0"/>
            </w:tcBorders>
            <w:vAlign w:val="center"/>
          </w:tcPr>
          <w:p w14:paraId="51A7C080">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70A16A2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切实履行监督检查</w:t>
            </w:r>
          </w:p>
        </w:tc>
        <w:tc>
          <w:tcPr>
            <w:tcW w:w="851" w:type="dxa"/>
            <w:tcBorders>
              <w:top w:val="nil"/>
              <w:left w:val="nil"/>
              <w:bottom w:val="single" w:color="auto" w:sz="4" w:space="0"/>
              <w:right w:val="single" w:color="auto" w:sz="4" w:space="0"/>
            </w:tcBorders>
            <w:vAlign w:val="center"/>
          </w:tcPr>
          <w:p w14:paraId="4FF440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切实履行监督检查</w:t>
            </w:r>
          </w:p>
        </w:tc>
        <w:tc>
          <w:tcPr>
            <w:tcW w:w="567" w:type="dxa"/>
            <w:gridSpan w:val="2"/>
            <w:tcBorders>
              <w:top w:val="nil"/>
              <w:left w:val="nil"/>
              <w:bottom w:val="single" w:color="auto" w:sz="4" w:space="0"/>
              <w:right w:val="single" w:color="auto" w:sz="4" w:space="0"/>
            </w:tcBorders>
            <w:vAlign w:val="center"/>
          </w:tcPr>
          <w:p w14:paraId="68ED33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52F59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00DA165F">
            <w:pPr>
              <w:widowControl/>
              <w:spacing w:line="240" w:lineRule="exact"/>
              <w:jc w:val="center"/>
              <w:rPr>
                <w:rFonts w:ascii="宋体" w:hAnsi="宋体" w:eastAsia="宋体" w:cs="宋体"/>
                <w:kern w:val="0"/>
                <w:sz w:val="18"/>
                <w:szCs w:val="18"/>
              </w:rPr>
            </w:pPr>
          </w:p>
        </w:tc>
      </w:tr>
      <w:tr w14:paraId="22CDC2CC">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14:paraId="5B69297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35B1A1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346CD72">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14:paraId="7B91A32C">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0724D0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851" w:type="dxa"/>
            <w:tcBorders>
              <w:top w:val="nil"/>
              <w:left w:val="nil"/>
              <w:bottom w:val="single" w:color="auto" w:sz="4" w:space="0"/>
              <w:right w:val="single" w:color="auto" w:sz="4" w:space="0"/>
            </w:tcBorders>
            <w:vAlign w:val="center"/>
          </w:tcPr>
          <w:p w14:paraId="423486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567" w:type="dxa"/>
            <w:gridSpan w:val="2"/>
            <w:tcBorders>
              <w:top w:val="nil"/>
              <w:left w:val="nil"/>
              <w:bottom w:val="single" w:color="auto" w:sz="4" w:space="0"/>
              <w:right w:val="single" w:color="auto" w:sz="4" w:space="0"/>
            </w:tcBorders>
            <w:vAlign w:val="center"/>
          </w:tcPr>
          <w:p w14:paraId="266B9B6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005777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030A916">
            <w:pPr>
              <w:widowControl/>
              <w:spacing w:line="240" w:lineRule="exact"/>
              <w:jc w:val="center"/>
              <w:rPr>
                <w:rFonts w:ascii="宋体" w:hAnsi="宋体" w:eastAsia="宋体" w:cs="宋体"/>
                <w:kern w:val="0"/>
                <w:sz w:val="18"/>
                <w:szCs w:val="18"/>
              </w:rPr>
            </w:pPr>
          </w:p>
        </w:tc>
      </w:tr>
      <w:tr w14:paraId="0C4CD7E5">
        <w:tblPrEx>
          <w:tblCellMar>
            <w:top w:w="0" w:type="dxa"/>
            <w:left w:w="108" w:type="dxa"/>
            <w:bottom w:w="0" w:type="dxa"/>
            <w:right w:w="108" w:type="dxa"/>
          </w:tblCellMar>
        </w:tblPrEx>
        <w:trPr>
          <w:trHeight w:val="881" w:hRule="exact"/>
          <w:jc w:val="center"/>
        </w:trPr>
        <w:tc>
          <w:tcPr>
            <w:tcW w:w="588" w:type="dxa"/>
            <w:vMerge w:val="continue"/>
            <w:tcBorders>
              <w:left w:val="single" w:color="auto" w:sz="4" w:space="0"/>
              <w:right w:val="single" w:color="auto" w:sz="4" w:space="0"/>
            </w:tcBorders>
            <w:vAlign w:val="center"/>
          </w:tcPr>
          <w:p w14:paraId="42B04A1A">
            <w:pPr>
              <w:widowControl/>
              <w:spacing w:line="240" w:lineRule="exact"/>
              <w:jc w:val="center"/>
              <w:rPr>
                <w:rFonts w:ascii="宋体" w:hAnsi="宋体" w:eastAsia="宋体" w:cs="宋体"/>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14:paraId="6B688A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1F2748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single" w:color="auto" w:sz="4" w:space="0"/>
              <w:left w:val="single" w:color="auto" w:sz="4" w:space="0"/>
              <w:bottom w:val="single" w:color="auto" w:sz="4" w:space="0"/>
              <w:right w:val="single" w:color="auto" w:sz="4" w:space="0"/>
            </w:tcBorders>
            <w:vAlign w:val="center"/>
          </w:tcPr>
          <w:p w14:paraId="523B2C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5EC54D8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员工满意率</w:t>
            </w:r>
          </w:p>
        </w:tc>
        <w:tc>
          <w:tcPr>
            <w:tcW w:w="850" w:type="dxa"/>
            <w:tcBorders>
              <w:top w:val="single" w:color="auto" w:sz="4" w:space="0"/>
              <w:left w:val="nil"/>
              <w:bottom w:val="single" w:color="auto" w:sz="4" w:space="0"/>
              <w:right w:val="single" w:color="auto" w:sz="4" w:space="0"/>
            </w:tcBorders>
            <w:vAlign w:val="center"/>
          </w:tcPr>
          <w:p w14:paraId="7BAA6A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851" w:type="dxa"/>
            <w:tcBorders>
              <w:top w:val="single" w:color="auto" w:sz="4" w:space="0"/>
              <w:left w:val="nil"/>
              <w:bottom w:val="single" w:color="auto" w:sz="4" w:space="0"/>
              <w:right w:val="single" w:color="auto" w:sz="4" w:space="0"/>
            </w:tcBorders>
            <w:vAlign w:val="center"/>
          </w:tcPr>
          <w:p w14:paraId="4CEEAA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1.58</w:t>
            </w:r>
            <w:r>
              <w:rPr>
                <w:rFonts w:hint="eastAsia" w:ascii="宋体" w:hAnsi="宋体" w:eastAsia="宋体" w:cs="宋体"/>
                <w:kern w:val="0"/>
                <w:sz w:val="18"/>
                <w:szCs w:val="18"/>
              </w:rPr>
              <w:t>%</w:t>
            </w:r>
          </w:p>
        </w:tc>
        <w:tc>
          <w:tcPr>
            <w:tcW w:w="567" w:type="dxa"/>
            <w:gridSpan w:val="2"/>
            <w:tcBorders>
              <w:top w:val="single" w:color="auto" w:sz="4" w:space="0"/>
              <w:left w:val="nil"/>
              <w:bottom w:val="single" w:color="auto" w:sz="4" w:space="0"/>
              <w:right w:val="single" w:color="auto" w:sz="4" w:space="0"/>
            </w:tcBorders>
            <w:vAlign w:val="center"/>
          </w:tcPr>
          <w:p w14:paraId="3A0EB0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single" w:color="auto" w:sz="4" w:space="0"/>
              <w:left w:val="nil"/>
              <w:bottom w:val="single" w:color="auto" w:sz="4" w:space="0"/>
              <w:right w:val="single" w:color="auto" w:sz="4" w:space="0"/>
            </w:tcBorders>
            <w:vAlign w:val="center"/>
          </w:tcPr>
          <w:p w14:paraId="736BEE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00ED03B">
            <w:pPr>
              <w:widowControl/>
              <w:spacing w:line="240" w:lineRule="exact"/>
              <w:jc w:val="center"/>
              <w:rPr>
                <w:rFonts w:ascii="宋体" w:hAnsi="宋体" w:eastAsia="宋体" w:cs="宋体"/>
                <w:kern w:val="0"/>
                <w:sz w:val="18"/>
                <w:szCs w:val="18"/>
              </w:rPr>
            </w:pPr>
          </w:p>
        </w:tc>
      </w:tr>
      <w:tr w14:paraId="0A8181B7">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3BD4457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010D67B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557EC94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7E1341B4">
            <w:pPr>
              <w:widowControl/>
              <w:spacing w:line="240" w:lineRule="exact"/>
              <w:jc w:val="center"/>
              <w:rPr>
                <w:rFonts w:ascii="宋体" w:hAnsi="宋体" w:eastAsia="宋体" w:cs="宋体"/>
                <w:kern w:val="0"/>
                <w:sz w:val="18"/>
                <w:szCs w:val="18"/>
              </w:rPr>
            </w:pPr>
          </w:p>
        </w:tc>
      </w:tr>
    </w:tbl>
    <w:p w14:paraId="315663CE">
      <w:pPr>
        <w:ind w:firstLine="560" w:firstLineChars="200"/>
        <w:rPr>
          <w:rFonts w:ascii="宋体" w:hAnsi="宋体" w:eastAsia="宋体"/>
          <w:sz w:val="28"/>
          <w:szCs w:val="28"/>
        </w:rPr>
      </w:pPr>
    </w:p>
    <w:p w14:paraId="028D989C">
      <w:pPr>
        <w:widowControl/>
        <w:jc w:val="left"/>
        <w:rPr>
          <w:rFonts w:hint="eastAsia" w:ascii="宋体" w:hAnsi="宋体" w:eastAsia="宋体"/>
          <w:sz w:val="28"/>
          <w:szCs w:val="28"/>
        </w:rPr>
      </w:pPr>
    </w:p>
    <w:p w14:paraId="0D2871CC">
      <w:pPr>
        <w:widowControl/>
        <w:jc w:val="left"/>
        <w:rPr>
          <w:rFonts w:hint="eastAsia" w:ascii="宋体" w:hAnsi="宋体" w:eastAsia="宋体"/>
          <w:sz w:val="28"/>
          <w:szCs w:val="28"/>
        </w:rPr>
      </w:pPr>
    </w:p>
    <w:p w14:paraId="577A7FE7">
      <w:pPr>
        <w:ind w:firstLine="562" w:firstLineChars="200"/>
        <w:rPr>
          <w:rFonts w:ascii="宋体" w:hAnsi="宋体" w:eastAsia="宋体"/>
          <w:b/>
          <w:bCs/>
          <w:sz w:val="28"/>
          <w:szCs w:val="28"/>
        </w:rPr>
      </w:pPr>
      <w:r>
        <w:rPr>
          <w:rFonts w:hint="eastAsia" w:ascii="宋体" w:hAnsi="宋体" w:eastAsia="宋体"/>
          <w:b/>
          <w:bCs/>
          <w:sz w:val="28"/>
          <w:szCs w:val="28"/>
        </w:rPr>
        <w:t>景德镇市国土资源局数据容灾项目</w:t>
      </w:r>
      <w:r>
        <w:rPr>
          <w:rFonts w:ascii="宋体" w:hAnsi="宋体" w:eastAsia="宋体"/>
          <w:b/>
          <w:bCs/>
          <w:sz w:val="28"/>
          <w:szCs w:val="28"/>
        </w:rPr>
        <w:t>绩效自评综述</w:t>
      </w:r>
      <w:r>
        <w:rPr>
          <w:rFonts w:hint="eastAsia" w:ascii="宋体" w:hAnsi="宋体" w:eastAsia="宋体"/>
          <w:b/>
          <w:bCs/>
          <w:sz w:val="28"/>
          <w:szCs w:val="28"/>
        </w:rPr>
        <w:t>：</w:t>
      </w:r>
    </w:p>
    <w:p w14:paraId="4AED912A">
      <w:pPr>
        <w:ind w:firstLine="600" w:firstLineChars="200"/>
        <w:rPr>
          <w:rFonts w:hint="eastAsia" w:ascii="仿宋" w:hAnsi="仿宋" w:eastAsia="仿宋"/>
          <w:kern w:val="0"/>
          <w:sz w:val="30"/>
          <w:szCs w:val="30"/>
        </w:rPr>
      </w:pPr>
      <w:r>
        <w:rPr>
          <w:rFonts w:hint="eastAsia" w:ascii="仿宋" w:hAnsi="仿宋" w:eastAsia="仿宋"/>
          <w:kern w:val="0"/>
          <w:sz w:val="30"/>
          <w:szCs w:val="30"/>
        </w:rPr>
        <w:t>根据年初设定的绩效目标，城市地图集编制项目绩效自评得分为95分。项目全年预算数为95.85万元，执行数为91.05万元，完成预算的95%。</w:t>
      </w:r>
    </w:p>
    <w:p w14:paraId="45864B5D">
      <w:pPr>
        <w:ind w:firstLine="562" w:firstLineChars="200"/>
        <w:rPr>
          <w:rFonts w:ascii="宋体" w:hAnsi="宋体" w:eastAsia="宋体"/>
          <w:b/>
          <w:bCs/>
          <w:sz w:val="28"/>
          <w:szCs w:val="28"/>
        </w:rPr>
      </w:pPr>
      <w:r>
        <w:rPr>
          <w:rFonts w:ascii="宋体" w:hAnsi="宋体" w:eastAsia="宋体"/>
          <w:b/>
          <w:bCs/>
          <w:sz w:val="28"/>
          <w:szCs w:val="28"/>
        </w:rPr>
        <w:t>主要产出和效果：</w:t>
      </w:r>
    </w:p>
    <w:p w14:paraId="0AF8399F">
      <w:pPr>
        <w:ind w:firstLine="600" w:firstLineChars="200"/>
        <w:rPr>
          <w:rFonts w:hint="eastAsia" w:ascii="仿宋" w:hAnsi="仿宋" w:eastAsia="仿宋"/>
          <w:kern w:val="0"/>
          <w:sz w:val="30"/>
          <w:szCs w:val="30"/>
        </w:rPr>
      </w:pPr>
      <w:r>
        <w:rPr>
          <w:rFonts w:hint="eastAsia" w:ascii="仿宋" w:hAnsi="仿宋" w:eastAsia="仿宋"/>
          <w:kern w:val="0"/>
          <w:sz w:val="30"/>
          <w:szCs w:val="30"/>
        </w:rPr>
        <w:t>一是通过项目实施，完成了本地容灾网关、异地容灾网关、灾备一体化硬件接平台、本地接管平台（云平台软件）等软硬件的安装、调试。</w:t>
      </w:r>
    </w:p>
    <w:p w14:paraId="0E8A2C22">
      <w:pPr>
        <w:ind w:firstLine="600" w:firstLineChars="200"/>
        <w:rPr>
          <w:rFonts w:hint="eastAsia" w:ascii="仿宋" w:hAnsi="仿宋" w:eastAsia="仿宋"/>
          <w:kern w:val="0"/>
          <w:sz w:val="30"/>
          <w:szCs w:val="30"/>
        </w:rPr>
      </w:pPr>
      <w:r>
        <w:rPr>
          <w:rFonts w:hint="eastAsia" w:ascii="仿宋" w:hAnsi="仿宋" w:eastAsia="仿宋"/>
          <w:kern w:val="0"/>
          <w:sz w:val="30"/>
          <w:szCs w:val="30"/>
        </w:rPr>
        <w:t>二是通过项目实施，有效保障了系统数据的安全，未发生数据丢失情况。</w:t>
      </w:r>
    </w:p>
    <w:p w14:paraId="1859B981">
      <w:pPr>
        <w:ind w:firstLine="562" w:firstLineChars="200"/>
        <w:rPr>
          <w:rFonts w:ascii="宋体" w:hAnsi="宋体" w:eastAsia="宋体"/>
          <w:sz w:val="28"/>
          <w:szCs w:val="28"/>
        </w:rPr>
      </w:pPr>
      <w:r>
        <w:rPr>
          <w:rFonts w:ascii="宋体" w:hAnsi="宋体" w:eastAsia="宋体"/>
          <w:b/>
          <w:bCs/>
          <w:sz w:val="28"/>
          <w:szCs w:val="28"/>
        </w:rPr>
        <w:t>发现的问题及原因：</w:t>
      </w:r>
    </w:p>
    <w:p w14:paraId="1D54D88C">
      <w:pPr>
        <w:ind w:firstLine="600" w:firstLineChars="200"/>
        <w:rPr>
          <w:rFonts w:hint="eastAsia" w:ascii="仿宋" w:hAnsi="仿宋" w:eastAsia="仿宋"/>
          <w:kern w:val="0"/>
          <w:sz w:val="30"/>
          <w:szCs w:val="30"/>
        </w:rPr>
      </w:pPr>
      <w:r>
        <w:rPr>
          <w:rFonts w:hint="eastAsia" w:ascii="仿宋" w:hAnsi="仿宋" w:eastAsia="仿宋"/>
          <w:kern w:val="0"/>
          <w:sz w:val="30"/>
          <w:szCs w:val="30"/>
        </w:rPr>
        <w:t>未能针对处理突发情况制定应急处置机制，需进一步完善。</w:t>
      </w:r>
    </w:p>
    <w:p w14:paraId="2E3F8111">
      <w:pPr>
        <w:ind w:firstLine="562" w:firstLineChars="200"/>
        <w:rPr>
          <w:rFonts w:ascii="宋体" w:hAnsi="宋体" w:eastAsia="宋体"/>
          <w:b/>
          <w:bCs/>
          <w:sz w:val="28"/>
          <w:szCs w:val="28"/>
        </w:rPr>
      </w:pPr>
      <w:r>
        <w:rPr>
          <w:rFonts w:ascii="宋体" w:hAnsi="宋体" w:eastAsia="宋体"/>
          <w:b/>
          <w:bCs/>
          <w:sz w:val="28"/>
          <w:szCs w:val="28"/>
        </w:rPr>
        <w:t>下一步改进措施：</w:t>
      </w:r>
    </w:p>
    <w:p w14:paraId="13DE7CEB">
      <w:pPr>
        <w:ind w:firstLine="600" w:firstLineChars="200"/>
        <w:rPr>
          <w:rFonts w:hint="eastAsia" w:ascii="仿宋" w:hAnsi="仿宋" w:eastAsia="仿宋"/>
          <w:kern w:val="0"/>
          <w:sz w:val="30"/>
          <w:szCs w:val="30"/>
        </w:rPr>
      </w:pPr>
      <w:r>
        <w:rPr>
          <w:rFonts w:hint="eastAsia" w:ascii="仿宋" w:hAnsi="仿宋" w:eastAsia="仿宋"/>
          <w:kern w:val="0"/>
          <w:sz w:val="30"/>
          <w:szCs w:val="30"/>
        </w:rPr>
        <w:t>与服务单位协商完善应急处置机制，同时设立应急小组，处理突发情况。</w:t>
      </w:r>
    </w:p>
    <w:p w14:paraId="049934B5">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项目支出绩效自评表如下表所示：</w:t>
      </w:r>
    </w:p>
    <w:p w14:paraId="74E68C9C">
      <w:pPr>
        <w:widowControl/>
        <w:jc w:val="left"/>
        <w:rPr>
          <w:rFonts w:ascii="宋体" w:hAnsi="宋体" w:eastAsia="宋体"/>
          <w:sz w:val="28"/>
          <w:szCs w:val="28"/>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57C967AD">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7B0730EB">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2C9A8054">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416B32B9">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2019</w:t>
            </w:r>
            <w:r>
              <w:rPr>
                <w:rFonts w:hint="eastAsia" w:ascii="宋体" w:hAnsi="宋体" w:eastAsia="宋体" w:cs="宋体"/>
                <w:kern w:val="0"/>
                <w:sz w:val="22"/>
              </w:rPr>
              <w:t>年度）</w:t>
            </w:r>
          </w:p>
        </w:tc>
      </w:tr>
      <w:tr w14:paraId="1A84BB50">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42DDE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78916E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景德镇市国土资源局数据容灾项目</w:t>
            </w:r>
          </w:p>
        </w:tc>
      </w:tr>
      <w:tr w14:paraId="22C5599D">
        <w:tblPrEx>
          <w:tblCellMar>
            <w:top w:w="0" w:type="dxa"/>
            <w:left w:w="108" w:type="dxa"/>
            <w:bottom w:w="0" w:type="dxa"/>
            <w:right w:w="108" w:type="dxa"/>
          </w:tblCellMar>
        </w:tblPrEx>
        <w:trPr>
          <w:trHeight w:val="658"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14CEB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051B37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景德镇市自然资源和规划局</w:t>
            </w:r>
          </w:p>
        </w:tc>
        <w:tc>
          <w:tcPr>
            <w:tcW w:w="1134" w:type="dxa"/>
            <w:gridSpan w:val="2"/>
            <w:tcBorders>
              <w:top w:val="nil"/>
              <w:left w:val="nil"/>
              <w:bottom w:val="single" w:color="auto" w:sz="4" w:space="0"/>
              <w:right w:val="single" w:color="auto" w:sz="4" w:space="0"/>
            </w:tcBorders>
            <w:vAlign w:val="center"/>
          </w:tcPr>
          <w:p w14:paraId="267564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33680C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w:t>
            </w:r>
          </w:p>
          <w:p w14:paraId="17F2949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规划局</w:t>
            </w:r>
          </w:p>
        </w:tc>
      </w:tr>
      <w:tr w14:paraId="2C405B2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62AE1C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6D6A920E">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14:paraId="311B0F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2E0BDC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5BE8F5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25B3F2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513342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478A36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27C78BE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B6943B8">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11E51BA1">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7D400F4C">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54FCBC3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4D9CD39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91.05</w:t>
            </w:r>
          </w:p>
        </w:tc>
        <w:tc>
          <w:tcPr>
            <w:tcW w:w="709" w:type="dxa"/>
            <w:gridSpan w:val="2"/>
            <w:tcBorders>
              <w:top w:val="nil"/>
              <w:left w:val="nil"/>
              <w:bottom w:val="single" w:color="auto" w:sz="4" w:space="0"/>
              <w:right w:val="single" w:color="auto" w:sz="4" w:space="0"/>
            </w:tcBorders>
            <w:vAlign w:val="center"/>
          </w:tcPr>
          <w:p w14:paraId="4B0D49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3BC73DFF">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w:t>
            </w:r>
          </w:p>
        </w:tc>
        <w:tc>
          <w:tcPr>
            <w:tcW w:w="708" w:type="dxa"/>
            <w:tcBorders>
              <w:top w:val="nil"/>
              <w:left w:val="nil"/>
              <w:bottom w:val="single" w:color="auto" w:sz="4" w:space="0"/>
              <w:right w:val="single" w:color="auto" w:sz="4" w:space="0"/>
            </w:tcBorders>
            <w:vAlign w:val="center"/>
          </w:tcPr>
          <w:p w14:paraId="3E137F99">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0</w:t>
            </w:r>
          </w:p>
        </w:tc>
      </w:tr>
      <w:tr w14:paraId="09CF24D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70FE855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1BF66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54136ABD">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4DCAC4B9">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414AEB32">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91.05</w:t>
            </w:r>
          </w:p>
        </w:tc>
        <w:tc>
          <w:tcPr>
            <w:tcW w:w="709" w:type="dxa"/>
            <w:gridSpan w:val="2"/>
            <w:tcBorders>
              <w:top w:val="nil"/>
              <w:left w:val="nil"/>
              <w:bottom w:val="single" w:color="auto" w:sz="4" w:space="0"/>
              <w:right w:val="single" w:color="auto" w:sz="4" w:space="0"/>
            </w:tcBorders>
            <w:vAlign w:val="center"/>
          </w:tcPr>
          <w:p w14:paraId="4166B6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39E96C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14:paraId="5DF5E4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4E8AC1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CC7B1B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5D751E7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75D0637F">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BC0722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A0B2764">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319DB6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62101D13">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704B41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8A49DE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0E9F696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0213C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269319C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0EEBD4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ABAE7CE">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2576E0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218B3A9">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34AFFE7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81A69DB">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10D600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3C2EEF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1AD57C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2C491858">
        <w:tblPrEx>
          <w:tblCellMar>
            <w:top w:w="0" w:type="dxa"/>
            <w:left w:w="108" w:type="dxa"/>
            <w:bottom w:w="0" w:type="dxa"/>
            <w:right w:w="108" w:type="dxa"/>
          </w:tblCellMar>
        </w:tblPrEx>
        <w:trPr>
          <w:trHeight w:val="1159"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54F98937">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tcPr>
          <w:p w14:paraId="2E8462F0">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完成本地容灾网关、异地容灾网关、灾备一体化硬件接平台、本地接管平台（云平台软件）等软硬件的安装、调试、培训。</w:t>
            </w:r>
          </w:p>
        </w:tc>
        <w:tc>
          <w:tcPr>
            <w:tcW w:w="3402" w:type="dxa"/>
            <w:gridSpan w:val="7"/>
            <w:tcBorders>
              <w:top w:val="single" w:color="auto" w:sz="4" w:space="0"/>
              <w:left w:val="nil"/>
              <w:bottom w:val="single" w:color="auto" w:sz="4" w:space="0"/>
              <w:right w:val="single" w:color="auto" w:sz="4" w:space="0"/>
            </w:tcBorders>
          </w:tcPr>
          <w:p w14:paraId="4F4B9486">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通过项目实施，完成了本地容灾网关、异地容灾网关、灾备一体化硬件接平台、本地接管平台（云平台软件）等软硬件的安装、调试。</w:t>
            </w:r>
          </w:p>
        </w:tc>
      </w:tr>
      <w:tr w14:paraId="0D0ECA1C">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19DF72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14:paraId="4361B5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3FA947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0999117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25C88C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6C443E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56B080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A1F9E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46456B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57472B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735D24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47C3D73F">
        <w:tblPrEx>
          <w:tblCellMar>
            <w:top w:w="0" w:type="dxa"/>
            <w:left w:w="108" w:type="dxa"/>
            <w:bottom w:w="0" w:type="dxa"/>
            <w:right w:w="108" w:type="dxa"/>
          </w:tblCellMar>
        </w:tblPrEx>
        <w:trPr>
          <w:trHeight w:val="602" w:hRule="exact"/>
          <w:jc w:val="center"/>
        </w:trPr>
        <w:tc>
          <w:tcPr>
            <w:tcW w:w="588" w:type="dxa"/>
            <w:vMerge w:val="continue"/>
            <w:tcBorders>
              <w:left w:val="single" w:color="auto" w:sz="4" w:space="0"/>
              <w:right w:val="single" w:color="auto" w:sz="4" w:space="0"/>
            </w:tcBorders>
            <w:vAlign w:val="center"/>
          </w:tcPr>
          <w:p w14:paraId="292CF90C">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738FDD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14:paraId="40026D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4D303E5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本地容灾网关建设完成率</w:t>
            </w:r>
          </w:p>
        </w:tc>
        <w:tc>
          <w:tcPr>
            <w:tcW w:w="850" w:type="dxa"/>
            <w:tcBorders>
              <w:top w:val="nil"/>
              <w:left w:val="nil"/>
              <w:bottom w:val="single" w:color="auto" w:sz="4" w:space="0"/>
              <w:right w:val="single" w:color="auto" w:sz="4" w:space="0"/>
            </w:tcBorders>
            <w:vAlign w:val="center"/>
          </w:tcPr>
          <w:p w14:paraId="5CC7D2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49F6FC0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086819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222E56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3B2C803F">
            <w:pPr>
              <w:widowControl/>
              <w:spacing w:line="240" w:lineRule="exact"/>
              <w:jc w:val="center"/>
              <w:rPr>
                <w:rFonts w:ascii="宋体" w:hAnsi="宋体" w:eastAsia="宋体" w:cs="宋体"/>
                <w:kern w:val="0"/>
                <w:sz w:val="18"/>
                <w:szCs w:val="18"/>
              </w:rPr>
            </w:pPr>
          </w:p>
        </w:tc>
      </w:tr>
      <w:tr w14:paraId="494D5E4B">
        <w:tblPrEx>
          <w:tblCellMar>
            <w:top w:w="0" w:type="dxa"/>
            <w:left w:w="108" w:type="dxa"/>
            <w:bottom w:w="0" w:type="dxa"/>
            <w:right w:w="108" w:type="dxa"/>
          </w:tblCellMar>
        </w:tblPrEx>
        <w:trPr>
          <w:trHeight w:val="589" w:hRule="exact"/>
          <w:jc w:val="center"/>
        </w:trPr>
        <w:tc>
          <w:tcPr>
            <w:tcW w:w="588" w:type="dxa"/>
            <w:vMerge w:val="continue"/>
            <w:tcBorders>
              <w:left w:val="single" w:color="auto" w:sz="4" w:space="0"/>
              <w:right w:val="single" w:color="auto" w:sz="4" w:space="0"/>
            </w:tcBorders>
            <w:vAlign w:val="center"/>
          </w:tcPr>
          <w:p w14:paraId="5922AA9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13E8E6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26107C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3F29185">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异地容灾网关建设完成率</w:t>
            </w:r>
          </w:p>
        </w:tc>
        <w:tc>
          <w:tcPr>
            <w:tcW w:w="850" w:type="dxa"/>
            <w:tcBorders>
              <w:top w:val="nil"/>
              <w:left w:val="nil"/>
              <w:bottom w:val="single" w:color="auto" w:sz="4" w:space="0"/>
              <w:right w:val="single" w:color="auto" w:sz="4" w:space="0"/>
            </w:tcBorders>
            <w:vAlign w:val="center"/>
          </w:tcPr>
          <w:p w14:paraId="0C4C0B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21FEAA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005634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26207C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C2E001C">
            <w:pPr>
              <w:widowControl/>
              <w:spacing w:line="240" w:lineRule="exact"/>
              <w:jc w:val="center"/>
              <w:rPr>
                <w:rFonts w:ascii="宋体" w:hAnsi="宋体" w:eastAsia="宋体" w:cs="宋体"/>
                <w:kern w:val="0"/>
                <w:sz w:val="18"/>
                <w:szCs w:val="18"/>
              </w:rPr>
            </w:pPr>
          </w:p>
        </w:tc>
      </w:tr>
      <w:tr w14:paraId="60ACC0CE">
        <w:tblPrEx>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vAlign w:val="center"/>
          </w:tcPr>
          <w:p w14:paraId="246082C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9F97C4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C04560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870DBF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灾备一体化硬件接平台建设完成率</w:t>
            </w:r>
          </w:p>
        </w:tc>
        <w:tc>
          <w:tcPr>
            <w:tcW w:w="850" w:type="dxa"/>
            <w:tcBorders>
              <w:top w:val="nil"/>
              <w:left w:val="nil"/>
              <w:bottom w:val="single" w:color="auto" w:sz="4" w:space="0"/>
              <w:right w:val="single" w:color="auto" w:sz="4" w:space="0"/>
            </w:tcBorders>
            <w:vAlign w:val="center"/>
          </w:tcPr>
          <w:p w14:paraId="27D8CE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352A9D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2534F49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3F7BAD9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5A08C9D">
            <w:pPr>
              <w:widowControl/>
              <w:spacing w:line="240" w:lineRule="exact"/>
              <w:jc w:val="center"/>
              <w:rPr>
                <w:rFonts w:ascii="宋体" w:hAnsi="宋体" w:eastAsia="宋体" w:cs="宋体"/>
                <w:kern w:val="0"/>
                <w:sz w:val="18"/>
                <w:szCs w:val="18"/>
              </w:rPr>
            </w:pPr>
          </w:p>
        </w:tc>
      </w:tr>
      <w:tr w14:paraId="687A6698">
        <w:tblPrEx>
          <w:tblCellMar>
            <w:top w:w="0" w:type="dxa"/>
            <w:left w:w="108" w:type="dxa"/>
            <w:bottom w:w="0" w:type="dxa"/>
            <w:right w:w="108" w:type="dxa"/>
          </w:tblCellMar>
        </w:tblPrEx>
        <w:trPr>
          <w:trHeight w:val="548" w:hRule="exact"/>
          <w:jc w:val="center"/>
        </w:trPr>
        <w:tc>
          <w:tcPr>
            <w:tcW w:w="588" w:type="dxa"/>
            <w:vMerge w:val="continue"/>
            <w:tcBorders>
              <w:left w:val="single" w:color="auto" w:sz="4" w:space="0"/>
              <w:right w:val="single" w:color="auto" w:sz="4" w:space="0"/>
            </w:tcBorders>
            <w:vAlign w:val="center"/>
          </w:tcPr>
          <w:p w14:paraId="33F3982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308D63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4ADBCA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B8955F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本地接管平台（云平台软件）建设完成率</w:t>
            </w:r>
          </w:p>
        </w:tc>
        <w:tc>
          <w:tcPr>
            <w:tcW w:w="850" w:type="dxa"/>
            <w:tcBorders>
              <w:top w:val="nil"/>
              <w:left w:val="nil"/>
              <w:bottom w:val="single" w:color="auto" w:sz="4" w:space="0"/>
              <w:right w:val="single" w:color="auto" w:sz="4" w:space="0"/>
            </w:tcBorders>
            <w:vAlign w:val="center"/>
          </w:tcPr>
          <w:p w14:paraId="40ADAB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66331E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11F8F6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3EF792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D3E6892">
            <w:pPr>
              <w:widowControl/>
              <w:spacing w:line="240" w:lineRule="exact"/>
              <w:jc w:val="center"/>
              <w:rPr>
                <w:rFonts w:ascii="宋体" w:hAnsi="宋体" w:eastAsia="宋体" w:cs="宋体"/>
                <w:kern w:val="0"/>
                <w:sz w:val="18"/>
                <w:szCs w:val="18"/>
              </w:rPr>
            </w:pPr>
          </w:p>
        </w:tc>
      </w:tr>
      <w:tr w14:paraId="2B35D380">
        <w:tblPrEx>
          <w:tblCellMar>
            <w:top w:w="0" w:type="dxa"/>
            <w:left w:w="108" w:type="dxa"/>
            <w:bottom w:w="0" w:type="dxa"/>
            <w:right w:w="108" w:type="dxa"/>
          </w:tblCellMar>
        </w:tblPrEx>
        <w:trPr>
          <w:trHeight w:val="544" w:hRule="exact"/>
          <w:jc w:val="center"/>
        </w:trPr>
        <w:tc>
          <w:tcPr>
            <w:tcW w:w="588" w:type="dxa"/>
            <w:vMerge w:val="continue"/>
            <w:tcBorders>
              <w:left w:val="single" w:color="auto" w:sz="4" w:space="0"/>
              <w:right w:val="single" w:color="auto" w:sz="4" w:space="0"/>
            </w:tcBorders>
            <w:vAlign w:val="center"/>
          </w:tcPr>
          <w:p w14:paraId="310D48E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BF58013">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6F9107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0D492343">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数据容灾项目验收合格率</w:t>
            </w:r>
          </w:p>
        </w:tc>
        <w:tc>
          <w:tcPr>
            <w:tcW w:w="850" w:type="dxa"/>
            <w:tcBorders>
              <w:top w:val="nil"/>
              <w:left w:val="nil"/>
              <w:bottom w:val="single" w:color="auto" w:sz="4" w:space="0"/>
              <w:right w:val="single" w:color="auto" w:sz="4" w:space="0"/>
            </w:tcBorders>
            <w:vAlign w:val="center"/>
          </w:tcPr>
          <w:p w14:paraId="06AF7E6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6D5BF0C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6C97F65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63A518EE">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C142A9A">
            <w:pPr>
              <w:widowControl/>
              <w:spacing w:line="240" w:lineRule="exact"/>
              <w:jc w:val="center"/>
              <w:rPr>
                <w:rFonts w:ascii="宋体" w:hAnsi="宋体" w:eastAsia="宋体" w:cs="宋体"/>
                <w:kern w:val="0"/>
                <w:sz w:val="18"/>
                <w:szCs w:val="18"/>
              </w:rPr>
            </w:pPr>
          </w:p>
        </w:tc>
      </w:tr>
      <w:tr w14:paraId="0F716CD1">
        <w:tblPrEx>
          <w:tblCellMar>
            <w:top w:w="0" w:type="dxa"/>
            <w:left w:w="108" w:type="dxa"/>
            <w:bottom w:w="0" w:type="dxa"/>
            <w:right w:w="108" w:type="dxa"/>
          </w:tblCellMar>
        </w:tblPrEx>
        <w:trPr>
          <w:trHeight w:val="580" w:hRule="exact"/>
          <w:jc w:val="center"/>
        </w:trPr>
        <w:tc>
          <w:tcPr>
            <w:tcW w:w="588" w:type="dxa"/>
            <w:vMerge w:val="continue"/>
            <w:tcBorders>
              <w:left w:val="single" w:color="auto" w:sz="4" w:space="0"/>
              <w:right w:val="single" w:color="auto" w:sz="4" w:space="0"/>
            </w:tcBorders>
            <w:vAlign w:val="center"/>
          </w:tcPr>
          <w:p w14:paraId="77BA9ED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8B13A9A">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227553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tcPr>
          <w:p w14:paraId="46364DE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本地容灾网关建设完成及时率</w:t>
            </w:r>
          </w:p>
        </w:tc>
        <w:tc>
          <w:tcPr>
            <w:tcW w:w="850" w:type="dxa"/>
            <w:tcBorders>
              <w:top w:val="nil"/>
              <w:left w:val="nil"/>
              <w:bottom w:val="single" w:color="auto" w:sz="4" w:space="0"/>
              <w:right w:val="single" w:color="auto" w:sz="4" w:space="0"/>
            </w:tcBorders>
            <w:vAlign w:val="center"/>
          </w:tcPr>
          <w:p w14:paraId="699935D5">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7C2EFC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689366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63D60F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2215F0EB">
            <w:pPr>
              <w:widowControl/>
              <w:spacing w:line="240" w:lineRule="exact"/>
              <w:jc w:val="center"/>
              <w:rPr>
                <w:rFonts w:ascii="宋体" w:hAnsi="宋体" w:eastAsia="宋体" w:cs="宋体"/>
                <w:kern w:val="0"/>
                <w:sz w:val="18"/>
                <w:szCs w:val="18"/>
              </w:rPr>
            </w:pPr>
          </w:p>
        </w:tc>
      </w:tr>
      <w:tr w14:paraId="42194036">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14:paraId="01E9F16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A6D8CD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878818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14:paraId="4664257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异地容灾网关建设完成及时率</w:t>
            </w:r>
          </w:p>
        </w:tc>
        <w:tc>
          <w:tcPr>
            <w:tcW w:w="850" w:type="dxa"/>
            <w:tcBorders>
              <w:top w:val="nil"/>
              <w:left w:val="nil"/>
              <w:bottom w:val="single" w:color="auto" w:sz="4" w:space="0"/>
              <w:right w:val="single" w:color="auto" w:sz="4" w:space="0"/>
            </w:tcBorders>
            <w:vAlign w:val="center"/>
          </w:tcPr>
          <w:p w14:paraId="227F133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6FA4E6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12123B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45D338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6FAACC5D">
            <w:pPr>
              <w:widowControl/>
              <w:spacing w:line="240" w:lineRule="exact"/>
              <w:jc w:val="center"/>
              <w:rPr>
                <w:rFonts w:ascii="宋体" w:hAnsi="宋体" w:eastAsia="宋体" w:cs="宋体"/>
                <w:kern w:val="0"/>
                <w:sz w:val="18"/>
                <w:szCs w:val="18"/>
              </w:rPr>
            </w:pPr>
          </w:p>
        </w:tc>
      </w:tr>
      <w:tr w14:paraId="5AEA00C7">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14:paraId="59F4A57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57FBB0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1597DD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14:paraId="0501820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灾备一体化硬件接平台建设完成及时率</w:t>
            </w:r>
          </w:p>
        </w:tc>
        <w:tc>
          <w:tcPr>
            <w:tcW w:w="850" w:type="dxa"/>
            <w:tcBorders>
              <w:top w:val="nil"/>
              <w:left w:val="nil"/>
              <w:bottom w:val="single" w:color="auto" w:sz="4" w:space="0"/>
              <w:right w:val="single" w:color="auto" w:sz="4" w:space="0"/>
            </w:tcBorders>
            <w:vAlign w:val="center"/>
          </w:tcPr>
          <w:p w14:paraId="48D78CA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6921C4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2549A78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5102048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F0A751B">
            <w:pPr>
              <w:widowControl/>
              <w:spacing w:line="240" w:lineRule="exact"/>
              <w:jc w:val="center"/>
              <w:rPr>
                <w:rFonts w:ascii="宋体" w:hAnsi="宋体" w:eastAsia="宋体" w:cs="宋体"/>
                <w:kern w:val="0"/>
                <w:sz w:val="18"/>
                <w:szCs w:val="18"/>
              </w:rPr>
            </w:pPr>
          </w:p>
        </w:tc>
      </w:tr>
      <w:tr w14:paraId="256EE1C8">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14:paraId="2D302C4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E29E58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FF44CC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14:paraId="19D4CF5D">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本地接管平台（云平台软件）建设完成及时率</w:t>
            </w:r>
          </w:p>
        </w:tc>
        <w:tc>
          <w:tcPr>
            <w:tcW w:w="850" w:type="dxa"/>
            <w:tcBorders>
              <w:top w:val="nil"/>
              <w:left w:val="nil"/>
              <w:bottom w:val="single" w:color="auto" w:sz="4" w:space="0"/>
              <w:right w:val="single" w:color="auto" w:sz="4" w:space="0"/>
            </w:tcBorders>
            <w:vAlign w:val="center"/>
          </w:tcPr>
          <w:p w14:paraId="004E9E5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19EF9E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773BB6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746B6D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7BD355F">
            <w:pPr>
              <w:widowControl/>
              <w:spacing w:line="240" w:lineRule="exact"/>
              <w:jc w:val="center"/>
              <w:rPr>
                <w:rFonts w:ascii="宋体" w:hAnsi="宋体" w:eastAsia="宋体" w:cs="宋体"/>
                <w:kern w:val="0"/>
                <w:sz w:val="18"/>
                <w:szCs w:val="18"/>
              </w:rPr>
            </w:pPr>
          </w:p>
        </w:tc>
      </w:tr>
      <w:tr w14:paraId="07C4DDB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3660FC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E842441">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23B0A6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2018DAD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预算控制率</w:t>
            </w:r>
          </w:p>
        </w:tc>
        <w:tc>
          <w:tcPr>
            <w:tcW w:w="850" w:type="dxa"/>
            <w:tcBorders>
              <w:top w:val="nil"/>
              <w:left w:val="nil"/>
              <w:bottom w:val="single" w:color="auto" w:sz="4" w:space="0"/>
              <w:right w:val="single" w:color="auto" w:sz="4" w:space="0"/>
            </w:tcBorders>
            <w:vAlign w:val="center"/>
          </w:tcPr>
          <w:p w14:paraId="6CAB1E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100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7860070F">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vAlign w:val="center"/>
          </w:tcPr>
          <w:p w14:paraId="424DE1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412A74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286F3591">
            <w:pPr>
              <w:widowControl/>
              <w:spacing w:line="240" w:lineRule="exact"/>
              <w:jc w:val="center"/>
              <w:rPr>
                <w:rFonts w:ascii="宋体" w:hAnsi="宋体" w:eastAsia="宋体" w:cs="宋体"/>
                <w:kern w:val="0"/>
                <w:sz w:val="18"/>
                <w:szCs w:val="18"/>
              </w:rPr>
            </w:pPr>
          </w:p>
        </w:tc>
      </w:tr>
      <w:tr w14:paraId="1B011133">
        <w:tblPrEx>
          <w:tblCellMar>
            <w:top w:w="0" w:type="dxa"/>
            <w:left w:w="108" w:type="dxa"/>
            <w:bottom w:w="0" w:type="dxa"/>
            <w:right w:w="108" w:type="dxa"/>
          </w:tblCellMar>
        </w:tblPrEx>
        <w:trPr>
          <w:trHeight w:val="634" w:hRule="exact"/>
          <w:jc w:val="center"/>
        </w:trPr>
        <w:tc>
          <w:tcPr>
            <w:tcW w:w="588" w:type="dxa"/>
            <w:vMerge w:val="continue"/>
            <w:tcBorders>
              <w:left w:val="single" w:color="auto" w:sz="4" w:space="0"/>
              <w:right w:val="single" w:color="auto" w:sz="4" w:space="0"/>
            </w:tcBorders>
            <w:vAlign w:val="center"/>
          </w:tcPr>
          <w:p w14:paraId="5726F6C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A7D6D3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3BBDEF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2148" w:type="dxa"/>
            <w:gridSpan w:val="3"/>
            <w:tcBorders>
              <w:top w:val="single" w:color="auto" w:sz="4" w:space="0"/>
              <w:left w:val="nil"/>
              <w:bottom w:val="single" w:color="auto" w:sz="4" w:space="0"/>
              <w:right w:val="single" w:color="auto" w:sz="4" w:space="0"/>
            </w:tcBorders>
            <w:vAlign w:val="center"/>
          </w:tcPr>
          <w:p w14:paraId="638B14A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系统数据丢失率</w:t>
            </w:r>
          </w:p>
        </w:tc>
        <w:tc>
          <w:tcPr>
            <w:tcW w:w="850" w:type="dxa"/>
            <w:tcBorders>
              <w:top w:val="nil"/>
              <w:left w:val="nil"/>
              <w:bottom w:val="single" w:color="auto" w:sz="4" w:space="0"/>
              <w:right w:val="single" w:color="auto" w:sz="4" w:space="0"/>
            </w:tcBorders>
            <w:vAlign w:val="center"/>
          </w:tcPr>
          <w:p w14:paraId="4F0531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51" w:type="dxa"/>
            <w:tcBorders>
              <w:top w:val="nil"/>
              <w:left w:val="nil"/>
              <w:bottom w:val="single" w:color="auto" w:sz="4" w:space="0"/>
              <w:right w:val="single" w:color="auto" w:sz="4" w:space="0"/>
            </w:tcBorders>
            <w:vAlign w:val="center"/>
          </w:tcPr>
          <w:p w14:paraId="7CDC8D7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712F32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4399EA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5D5CD8D">
            <w:pPr>
              <w:widowControl/>
              <w:spacing w:line="240" w:lineRule="exact"/>
              <w:jc w:val="center"/>
              <w:rPr>
                <w:rFonts w:ascii="宋体" w:hAnsi="宋体" w:eastAsia="宋体" w:cs="宋体"/>
                <w:kern w:val="0"/>
                <w:sz w:val="18"/>
                <w:szCs w:val="18"/>
              </w:rPr>
            </w:pPr>
          </w:p>
        </w:tc>
      </w:tr>
      <w:tr w14:paraId="0DBA1AAB">
        <w:tblPrEx>
          <w:tblCellMar>
            <w:top w:w="0" w:type="dxa"/>
            <w:left w:w="108" w:type="dxa"/>
            <w:bottom w:w="0" w:type="dxa"/>
            <w:right w:w="108" w:type="dxa"/>
          </w:tblCellMar>
        </w:tblPrEx>
        <w:trPr>
          <w:trHeight w:val="1050" w:hRule="exact"/>
          <w:jc w:val="center"/>
        </w:trPr>
        <w:tc>
          <w:tcPr>
            <w:tcW w:w="588" w:type="dxa"/>
            <w:vMerge w:val="continue"/>
            <w:tcBorders>
              <w:left w:val="single" w:color="auto" w:sz="4" w:space="0"/>
              <w:right w:val="single" w:color="auto" w:sz="4" w:space="0"/>
            </w:tcBorders>
            <w:vAlign w:val="center"/>
          </w:tcPr>
          <w:p w14:paraId="7B4B99E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F5044BC">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02675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vMerge w:val="restart"/>
            <w:tcBorders>
              <w:top w:val="single" w:color="auto" w:sz="4" w:space="0"/>
              <w:left w:val="nil"/>
              <w:right w:val="single" w:color="auto" w:sz="4" w:space="0"/>
            </w:tcBorders>
            <w:vAlign w:val="center"/>
          </w:tcPr>
          <w:p w14:paraId="2E7A462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w:t>
            </w:r>
          </w:p>
        </w:tc>
        <w:tc>
          <w:tcPr>
            <w:tcW w:w="850" w:type="dxa"/>
            <w:tcBorders>
              <w:top w:val="nil"/>
              <w:left w:val="nil"/>
              <w:bottom w:val="single" w:color="auto" w:sz="4" w:space="0"/>
              <w:right w:val="single" w:color="auto" w:sz="4" w:space="0"/>
            </w:tcBorders>
            <w:vAlign w:val="center"/>
          </w:tcPr>
          <w:p w14:paraId="6E134F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有完整的维护更新机制</w:t>
            </w:r>
          </w:p>
        </w:tc>
        <w:tc>
          <w:tcPr>
            <w:tcW w:w="851" w:type="dxa"/>
            <w:tcBorders>
              <w:top w:val="nil"/>
              <w:left w:val="nil"/>
              <w:bottom w:val="single" w:color="auto" w:sz="4" w:space="0"/>
              <w:right w:val="single" w:color="auto" w:sz="4" w:space="0"/>
            </w:tcBorders>
            <w:vAlign w:val="center"/>
          </w:tcPr>
          <w:p w14:paraId="2A8895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567" w:type="dxa"/>
            <w:gridSpan w:val="2"/>
            <w:tcBorders>
              <w:top w:val="nil"/>
              <w:left w:val="nil"/>
              <w:bottom w:val="single" w:color="auto" w:sz="4" w:space="0"/>
              <w:right w:val="single" w:color="auto" w:sz="4" w:space="0"/>
            </w:tcBorders>
            <w:vAlign w:val="center"/>
          </w:tcPr>
          <w:p w14:paraId="6499C8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0962BA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6FEB894">
            <w:pPr>
              <w:widowControl/>
              <w:spacing w:line="240" w:lineRule="exact"/>
              <w:jc w:val="center"/>
              <w:rPr>
                <w:rFonts w:ascii="宋体" w:hAnsi="宋体" w:eastAsia="宋体" w:cs="宋体"/>
                <w:kern w:val="0"/>
                <w:sz w:val="18"/>
                <w:szCs w:val="18"/>
              </w:rPr>
            </w:pPr>
          </w:p>
        </w:tc>
      </w:tr>
      <w:tr w14:paraId="0890BF66">
        <w:tblPrEx>
          <w:tblCellMar>
            <w:top w:w="0" w:type="dxa"/>
            <w:left w:w="108" w:type="dxa"/>
            <w:bottom w:w="0" w:type="dxa"/>
            <w:right w:w="108" w:type="dxa"/>
          </w:tblCellMar>
        </w:tblPrEx>
        <w:trPr>
          <w:trHeight w:val="966" w:hRule="exact"/>
          <w:jc w:val="center"/>
        </w:trPr>
        <w:tc>
          <w:tcPr>
            <w:tcW w:w="588" w:type="dxa"/>
            <w:vMerge w:val="continue"/>
            <w:tcBorders>
              <w:left w:val="single" w:color="auto" w:sz="4" w:space="0"/>
              <w:right w:val="single" w:color="auto" w:sz="4" w:space="0"/>
            </w:tcBorders>
            <w:vAlign w:val="center"/>
          </w:tcPr>
          <w:p w14:paraId="1E94275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349CA1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B2AEF19">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right w:val="single" w:color="auto" w:sz="4" w:space="0"/>
            </w:tcBorders>
            <w:vAlign w:val="center"/>
          </w:tcPr>
          <w:p w14:paraId="6CB564A0">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7B36CD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有完整的培训计划手册</w:t>
            </w:r>
          </w:p>
        </w:tc>
        <w:tc>
          <w:tcPr>
            <w:tcW w:w="851" w:type="dxa"/>
            <w:tcBorders>
              <w:top w:val="nil"/>
              <w:left w:val="nil"/>
              <w:bottom w:val="single" w:color="auto" w:sz="4" w:space="0"/>
              <w:right w:val="single" w:color="auto" w:sz="4" w:space="0"/>
            </w:tcBorders>
            <w:vAlign w:val="center"/>
          </w:tcPr>
          <w:p w14:paraId="63F2B0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567" w:type="dxa"/>
            <w:gridSpan w:val="2"/>
            <w:tcBorders>
              <w:top w:val="nil"/>
              <w:left w:val="nil"/>
              <w:bottom w:val="single" w:color="auto" w:sz="4" w:space="0"/>
              <w:right w:val="single" w:color="auto" w:sz="4" w:space="0"/>
            </w:tcBorders>
            <w:vAlign w:val="center"/>
          </w:tcPr>
          <w:p w14:paraId="7F8712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153FA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65782E7A">
            <w:pPr>
              <w:widowControl/>
              <w:spacing w:line="240" w:lineRule="exact"/>
              <w:jc w:val="center"/>
              <w:rPr>
                <w:rFonts w:ascii="宋体" w:hAnsi="宋体" w:eastAsia="宋体" w:cs="宋体"/>
                <w:kern w:val="0"/>
                <w:sz w:val="18"/>
                <w:szCs w:val="18"/>
              </w:rPr>
            </w:pPr>
          </w:p>
        </w:tc>
      </w:tr>
      <w:tr w14:paraId="291070C0">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14:paraId="3E81E18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8302E1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0FDCBBC">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14:paraId="1B72E277">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3A340DAF">
            <w:pPr>
              <w:widowControl/>
              <w:spacing w:line="240" w:lineRule="exact"/>
              <w:jc w:val="center"/>
              <w:rPr>
                <w:rFonts w:hint="eastAsia" w:ascii="宋体" w:hAnsi="宋体" w:eastAsia="宋体" w:cs="宋体"/>
                <w:kern w:val="0"/>
                <w:sz w:val="18"/>
                <w:szCs w:val="18"/>
              </w:rPr>
            </w:pPr>
            <w:r>
              <w:rPr>
                <w:rFonts w:hint="eastAsia" w:eastAsia="仿宋"/>
                <w:sz w:val="22"/>
              </w:rPr>
              <w:t>有完整</w:t>
            </w:r>
            <w:r>
              <w:rPr>
                <w:rFonts w:hint="eastAsia" w:ascii="宋体" w:hAnsi="宋体" w:eastAsia="宋体" w:cs="宋体"/>
                <w:kern w:val="0"/>
                <w:sz w:val="18"/>
                <w:szCs w:val="18"/>
              </w:rPr>
              <w:t>的应急机制</w:t>
            </w:r>
          </w:p>
        </w:tc>
        <w:tc>
          <w:tcPr>
            <w:tcW w:w="851" w:type="dxa"/>
            <w:tcBorders>
              <w:top w:val="nil"/>
              <w:left w:val="nil"/>
              <w:bottom w:val="single" w:color="auto" w:sz="4" w:space="0"/>
              <w:right w:val="single" w:color="auto" w:sz="4" w:space="0"/>
            </w:tcBorders>
            <w:vAlign w:val="center"/>
          </w:tcPr>
          <w:p w14:paraId="59ED4AF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未制定</w:t>
            </w:r>
          </w:p>
        </w:tc>
        <w:tc>
          <w:tcPr>
            <w:tcW w:w="567" w:type="dxa"/>
            <w:gridSpan w:val="2"/>
            <w:tcBorders>
              <w:top w:val="nil"/>
              <w:left w:val="nil"/>
              <w:bottom w:val="single" w:color="auto" w:sz="4" w:space="0"/>
              <w:right w:val="single" w:color="auto" w:sz="4" w:space="0"/>
            </w:tcBorders>
            <w:vAlign w:val="center"/>
          </w:tcPr>
          <w:p w14:paraId="2067140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F15007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3025007">
            <w:pPr>
              <w:widowControl/>
              <w:spacing w:line="240" w:lineRule="exact"/>
              <w:jc w:val="center"/>
              <w:rPr>
                <w:rFonts w:ascii="宋体" w:hAnsi="宋体" w:eastAsia="宋体" w:cs="宋体"/>
                <w:kern w:val="0"/>
                <w:sz w:val="18"/>
                <w:szCs w:val="18"/>
              </w:rPr>
            </w:pPr>
          </w:p>
        </w:tc>
      </w:tr>
      <w:tr w14:paraId="2F49CB2F">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14:paraId="75892F2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64D303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9440E3E">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14:paraId="2F20664D">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6D6A7C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851" w:type="dxa"/>
            <w:tcBorders>
              <w:top w:val="nil"/>
              <w:left w:val="nil"/>
              <w:bottom w:val="single" w:color="auto" w:sz="4" w:space="0"/>
              <w:right w:val="single" w:color="auto" w:sz="4" w:space="0"/>
            </w:tcBorders>
            <w:vAlign w:val="center"/>
          </w:tcPr>
          <w:p w14:paraId="578915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567" w:type="dxa"/>
            <w:gridSpan w:val="2"/>
            <w:tcBorders>
              <w:top w:val="nil"/>
              <w:left w:val="nil"/>
              <w:bottom w:val="single" w:color="auto" w:sz="4" w:space="0"/>
              <w:right w:val="single" w:color="auto" w:sz="4" w:space="0"/>
            </w:tcBorders>
            <w:vAlign w:val="center"/>
          </w:tcPr>
          <w:p w14:paraId="13C14B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7D348D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6E4D4C4B">
            <w:pPr>
              <w:widowControl/>
              <w:spacing w:line="240" w:lineRule="exact"/>
              <w:jc w:val="center"/>
              <w:rPr>
                <w:rFonts w:ascii="宋体" w:hAnsi="宋体" w:eastAsia="宋体" w:cs="宋体"/>
                <w:kern w:val="0"/>
                <w:sz w:val="18"/>
                <w:szCs w:val="18"/>
              </w:rPr>
            </w:pPr>
          </w:p>
        </w:tc>
      </w:tr>
      <w:tr w14:paraId="17619E8B">
        <w:tblPrEx>
          <w:tblCellMar>
            <w:top w:w="0" w:type="dxa"/>
            <w:left w:w="108" w:type="dxa"/>
            <w:bottom w:w="0" w:type="dxa"/>
            <w:right w:w="108" w:type="dxa"/>
          </w:tblCellMar>
        </w:tblPrEx>
        <w:trPr>
          <w:trHeight w:val="881" w:hRule="exact"/>
          <w:jc w:val="center"/>
        </w:trPr>
        <w:tc>
          <w:tcPr>
            <w:tcW w:w="588" w:type="dxa"/>
            <w:vMerge w:val="continue"/>
            <w:tcBorders>
              <w:left w:val="single" w:color="auto" w:sz="4" w:space="0"/>
              <w:right w:val="single" w:color="auto" w:sz="4" w:space="0"/>
            </w:tcBorders>
            <w:vAlign w:val="center"/>
          </w:tcPr>
          <w:p w14:paraId="525EE678">
            <w:pPr>
              <w:widowControl/>
              <w:spacing w:line="240" w:lineRule="exact"/>
              <w:jc w:val="center"/>
              <w:rPr>
                <w:rFonts w:ascii="宋体" w:hAnsi="宋体" w:eastAsia="宋体" w:cs="宋体"/>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14:paraId="7452AF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B245B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single" w:color="auto" w:sz="4" w:space="0"/>
              <w:left w:val="single" w:color="auto" w:sz="4" w:space="0"/>
              <w:bottom w:val="single" w:color="auto" w:sz="4" w:space="0"/>
              <w:right w:val="single" w:color="auto" w:sz="4" w:space="0"/>
            </w:tcBorders>
            <w:vAlign w:val="center"/>
          </w:tcPr>
          <w:p w14:paraId="54529F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30CACB9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工作人员对项目建设完成后的综合满意度</w:t>
            </w:r>
          </w:p>
        </w:tc>
        <w:tc>
          <w:tcPr>
            <w:tcW w:w="850" w:type="dxa"/>
            <w:tcBorders>
              <w:top w:val="single" w:color="auto" w:sz="4" w:space="0"/>
              <w:left w:val="nil"/>
              <w:bottom w:val="single" w:color="auto" w:sz="4" w:space="0"/>
              <w:right w:val="single" w:color="auto" w:sz="4" w:space="0"/>
            </w:tcBorders>
            <w:vAlign w:val="center"/>
          </w:tcPr>
          <w:p w14:paraId="37590C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851" w:type="dxa"/>
            <w:tcBorders>
              <w:top w:val="single" w:color="auto" w:sz="4" w:space="0"/>
              <w:left w:val="nil"/>
              <w:bottom w:val="single" w:color="auto" w:sz="4" w:space="0"/>
              <w:right w:val="single" w:color="auto" w:sz="4" w:space="0"/>
            </w:tcBorders>
            <w:vAlign w:val="center"/>
          </w:tcPr>
          <w:p w14:paraId="5C7D692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92.69</w:t>
            </w:r>
            <w:r>
              <w:rPr>
                <w:rFonts w:hint="eastAsia" w:ascii="宋体" w:hAnsi="宋体" w:eastAsia="宋体" w:cs="宋体"/>
                <w:kern w:val="0"/>
                <w:sz w:val="18"/>
                <w:szCs w:val="18"/>
              </w:rPr>
              <w:t>%</w:t>
            </w:r>
          </w:p>
        </w:tc>
        <w:tc>
          <w:tcPr>
            <w:tcW w:w="567" w:type="dxa"/>
            <w:gridSpan w:val="2"/>
            <w:tcBorders>
              <w:top w:val="single" w:color="auto" w:sz="4" w:space="0"/>
              <w:left w:val="nil"/>
              <w:bottom w:val="single" w:color="auto" w:sz="4" w:space="0"/>
              <w:right w:val="single" w:color="auto" w:sz="4" w:space="0"/>
            </w:tcBorders>
            <w:vAlign w:val="center"/>
          </w:tcPr>
          <w:p w14:paraId="03FBD3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single" w:color="auto" w:sz="4" w:space="0"/>
              <w:left w:val="nil"/>
              <w:bottom w:val="single" w:color="auto" w:sz="4" w:space="0"/>
              <w:right w:val="single" w:color="auto" w:sz="4" w:space="0"/>
            </w:tcBorders>
            <w:vAlign w:val="center"/>
          </w:tcPr>
          <w:p w14:paraId="1D206B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D6CB77B">
            <w:pPr>
              <w:widowControl/>
              <w:spacing w:line="240" w:lineRule="exact"/>
              <w:jc w:val="center"/>
              <w:rPr>
                <w:rFonts w:ascii="宋体" w:hAnsi="宋体" w:eastAsia="宋体" w:cs="宋体"/>
                <w:kern w:val="0"/>
                <w:sz w:val="18"/>
                <w:szCs w:val="18"/>
              </w:rPr>
            </w:pPr>
          </w:p>
        </w:tc>
      </w:tr>
      <w:tr w14:paraId="3D946F72">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3794200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2529FA7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44D716F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5AC5DFB">
            <w:pPr>
              <w:widowControl/>
              <w:spacing w:line="240" w:lineRule="exact"/>
              <w:jc w:val="center"/>
              <w:rPr>
                <w:rFonts w:ascii="宋体" w:hAnsi="宋体" w:eastAsia="宋体" w:cs="宋体"/>
                <w:kern w:val="0"/>
                <w:sz w:val="18"/>
                <w:szCs w:val="18"/>
              </w:rPr>
            </w:pPr>
          </w:p>
        </w:tc>
      </w:tr>
    </w:tbl>
    <w:p w14:paraId="496EF0B4"/>
    <w:p w14:paraId="30C48794">
      <w:pPr>
        <w:autoSpaceDE w:val="0"/>
        <w:autoSpaceDN w:val="0"/>
        <w:adjustRightInd w:val="0"/>
        <w:spacing w:line="360" w:lineRule="auto"/>
        <w:ind w:firstLine="600"/>
        <w:jc w:val="left"/>
        <w:rPr>
          <w:rFonts w:ascii="仿宋" w:hAnsi="仿宋" w:eastAsia="仿宋" w:cs="仿宋_GB2312"/>
          <w:kern w:val="0"/>
          <w:sz w:val="30"/>
          <w:szCs w:val="30"/>
        </w:rPr>
      </w:pPr>
    </w:p>
    <w:p w14:paraId="663C0373">
      <w:pPr>
        <w:rPr>
          <w:rFonts w:hint="eastAsia"/>
        </w:rPr>
      </w:pPr>
    </w:p>
    <w:p w14:paraId="214D3C81">
      <w:pPr>
        <w:rPr>
          <w:rFonts w:hint="eastAsia"/>
        </w:rPr>
      </w:pPr>
    </w:p>
    <w:p w14:paraId="7145166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BE2BD88">
      <w:pPr>
        <w:pStyle w:val="2"/>
        <w:keepNext w:val="0"/>
        <w:keepLines w:val="0"/>
        <w:widowControl/>
        <w:suppressLineNumbers w:val="0"/>
        <w:spacing w:line="585" w:lineRule="atLeast"/>
        <w:ind w:left="0" w:firstLine="645"/>
        <w:jc w:val="left"/>
        <w:rPr>
          <w:sz w:val="21"/>
          <w:szCs w:val="21"/>
        </w:rPr>
      </w:pPr>
      <w:r>
        <w:rPr>
          <w:rStyle w:val="5"/>
          <w:rFonts w:ascii="仿宋" w:hAnsi="仿宋" w:eastAsia="仿宋" w:cs="仿宋"/>
          <w:sz w:val="31"/>
          <w:szCs w:val="31"/>
        </w:rPr>
        <w:t>一、收入科目</w:t>
      </w:r>
    </w:p>
    <w:p w14:paraId="4AF6FDC5">
      <w:pPr>
        <w:ind w:firstLine="600" w:firstLineChars="200"/>
        <w:rPr>
          <w:rFonts w:hint="eastAsia" w:ascii="仿宋" w:hAnsi="仿宋" w:eastAsia="仿宋"/>
          <w:kern w:val="0"/>
          <w:sz w:val="30"/>
          <w:szCs w:val="30"/>
        </w:rPr>
      </w:pPr>
      <w:r>
        <w:rPr>
          <w:rFonts w:hint="eastAsia" w:ascii="仿宋" w:hAnsi="仿宋" w:eastAsia="仿宋"/>
          <w:kern w:val="0"/>
          <w:sz w:val="30"/>
          <w:szCs w:val="30"/>
        </w:rPr>
        <w:t>（一）财政拨款：指省级财政当年拨付的资金。</w:t>
      </w:r>
    </w:p>
    <w:p w14:paraId="65BDCEBE">
      <w:pPr>
        <w:ind w:firstLine="600" w:firstLineChars="200"/>
        <w:rPr>
          <w:rFonts w:hint="eastAsia" w:ascii="仿宋" w:hAnsi="仿宋" w:eastAsia="仿宋"/>
          <w:kern w:val="0"/>
          <w:sz w:val="30"/>
          <w:szCs w:val="30"/>
        </w:rPr>
      </w:pPr>
      <w:r>
        <w:rPr>
          <w:rFonts w:hint="eastAsia" w:ascii="仿宋" w:hAnsi="仿宋" w:eastAsia="仿宋"/>
          <w:kern w:val="0"/>
          <w:sz w:val="30"/>
          <w:szCs w:val="30"/>
        </w:rPr>
        <w:t>（二）事业收入：指事业单位开展专业业务活动及辅助活动取得的收入。</w:t>
      </w:r>
    </w:p>
    <w:p w14:paraId="69C08AB5">
      <w:pPr>
        <w:ind w:firstLine="600" w:firstLineChars="200"/>
        <w:rPr>
          <w:rFonts w:hint="eastAsia" w:ascii="仿宋" w:hAnsi="仿宋" w:eastAsia="仿宋"/>
          <w:kern w:val="0"/>
          <w:sz w:val="30"/>
          <w:szCs w:val="30"/>
        </w:rPr>
      </w:pPr>
      <w:r>
        <w:rPr>
          <w:rFonts w:hint="eastAsia" w:ascii="仿宋" w:hAnsi="仿宋" w:eastAsia="仿宋"/>
          <w:kern w:val="0"/>
          <w:sz w:val="30"/>
          <w:szCs w:val="30"/>
        </w:rPr>
        <w:t>（三）事业单位经营收入：指事业单位在专业业务活动及辅助活动之外开展非独立核算经营活动取得的收入。</w:t>
      </w:r>
    </w:p>
    <w:p w14:paraId="3DBC2C6A">
      <w:pPr>
        <w:ind w:firstLine="600" w:firstLineChars="200"/>
        <w:rPr>
          <w:rFonts w:hint="eastAsia" w:ascii="仿宋" w:hAnsi="仿宋" w:eastAsia="仿宋"/>
          <w:kern w:val="0"/>
          <w:sz w:val="30"/>
          <w:szCs w:val="30"/>
        </w:rPr>
      </w:pPr>
      <w:r>
        <w:rPr>
          <w:rFonts w:hint="eastAsia" w:ascii="仿宋" w:hAnsi="仿宋" w:eastAsia="仿宋"/>
          <w:kern w:val="0"/>
          <w:sz w:val="30"/>
          <w:szCs w:val="30"/>
        </w:rPr>
        <w:t>（四）其他收入：指除财政拨款、事业收入、事业单位经营收入等以外的各项收入。</w:t>
      </w:r>
    </w:p>
    <w:p w14:paraId="158CE87E">
      <w:pPr>
        <w:ind w:firstLine="600" w:firstLineChars="200"/>
        <w:rPr>
          <w:rFonts w:hint="eastAsia" w:ascii="仿宋" w:hAnsi="仿宋" w:eastAsia="仿宋"/>
          <w:kern w:val="0"/>
          <w:sz w:val="30"/>
          <w:szCs w:val="30"/>
        </w:rPr>
      </w:pPr>
      <w:r>
        <w:rPr>
          <w:rFonts w:hint="eastAsia" w:ascii="仿宋" w:hAnsi="仿宋" w:eastAsia="仿宋"/>
          <w:kern w:val="0"/>
          <w:sz w:val="30"/>
          <w:szCs w:val="30"/>
        </w:rPr>
        <w:t>（五）附属单位上缴收入：反映事业单位附属的独立核算单位按规定标准或比例缴纳的各项收入。包括附属的事业单位上缴的收入和附属的企业上缴的利润等。</w:t>
      </w:r>
    </w:p>
    <w:p w14:paraId="3EC62EE6">
      <w:pPr>
        <w:ind w:firstLine="600" w:firstLineChars="200"/>
        <w:rPr>
          <w:rFonts w:hint="eastAsia" w:ascii="仿宋" w:hAnsi="仿宋" w:eastAsia="仿宋"/>
          <w:kern w:val="0"/>
          <w:sz w:val="30"/>
          <w:szCs w:val="30"/>
        </w:rPr>
      </w:pPr>
      <w:r>
        <w:rPr>
          <w:rFonts w:hint="eastAsia" w:ascii="仿宋" w:hAnsi="仿宋" w:eastAsia="仿宋"/>
          <w:kern w:val="0"/>
          <w:sz w:val="30"/>
          <w:szCs w:val="30"/>
        </w:rPr>
        <w:t>（六）上级补助收入：反映事业单位从主管部门和上级单位取得的非财政补助收入。</w:t>
      </w:r>
    </w:p>
    <w:p w14:paraId="576E0EF3">
      <w:pPr>
        <w:ind w:firstLine="600" w:firstLineChars="200"/>
        <w:rPr>
          <w:rFonts w:hint="eastAsia" w:ascii="仿宋" w:hAnsi="仿宋" w:eastAsia="仿宋"/>
          <w:kern w:val="0"/>
          <w:sz w:val="30"/>
          <w:szCs w:val="30"/>
        </w:rPr>
      </w:pPr>
      <w:r>
        <w:rPr>
          <w:rFonts w:hint="eastAsia" w:ascii="仿宋" w:hAnsi="仿宋" w:eastAsia="仿宋"/>
          <w:kern w:val="0"/>
          <w:sz w:val="30"/>
          <w:szCs w:val="30"/>
        </w:rPr>
        <w:t>（七）上年结转和结余：填列2018年全部结转和结余的资金数，包括当年结转结余资金和历年滚存结转结余资金。</w:t>
      </w:r>
    </w:p>
    <w:p w14:paraId="47F36977">
      <w:pPr>
        <w:pStyle w:val="2"/>
        <w:keepNext w:val="0"/>
        <w:keepLines w:val="0"/>
        <w:widowControl/>
        <w:suppressLineNumbers w:val="0"/>
        <w:spacing w:line="585" w:lineRule="atLeast"/>
        <w:ind w:left="0" w:firstLine="645"/>
        <w:jc w:val="left"/>
        <w:rPr>
          <w:sz w:val="21"/>
          <w:szCs w:val="21"/>
        </w:rPr>
      </w:pPr>
      <w:r>
        <w:rPr>
          <w:rStyle w:val="5"/>
          <w:rFonts w:hint="eastAsia" w:ascii="仿宋" w:hAnsi="仿宋" w:eastAsia="仿宋" w:cs="仿宋"/>
          <w:sz w:val="31"/>
          <w:szCs w:val="31"/>
        </w:rPr>
        <w:t>二、支出科目</w:t>
      </w:r>
    </w:p>
    <w:p w14:paraId="024D3B10">
      <w:pPr>
        <w:ind w:firstLine="600" w:firstLineChars="200"/>
        <w:rPr>
          <w:rFonts w:hint="eastAsia" w:ascii="仿宋" w:hAnsi="仿宋" w:eastAsia="仿宋"/>
          <w:kern w:val="0"/>
          <w:sz w:val="30"/>
          <w:szCs w:val="30"/>
        </w:rPr>
      </w:pPr>
      <w:r>
        <w:rPr>
          <w:rFonts w:hint="eastAsia" w:ascii="仿宋" w:hAnsi="仿宋" w:eastAsia="仿宋"/>
          <w:kern w:val="0"/>
          <w:sz w:val="30"/>
          <w:szCs w:val="30"/>
        </w:rPr>
        <w:t>自然资源海洋气象等支出（类）自然资源事务（款）：</w:t>
      </w:r>
    </w:p>
    <w:p w14:paraId="47907A85">
      <w:pPr>
        <w:ind w:firstLine="600" w:firstLineChars="200"/>
        <w:rPr>
          <w:rFonts w:hint="eastAsia" w:ascii="仿宋" w:hAnsi="仿宋" w:eastAsia="仿宋"/>
          <w:kern w:val="0"/>
          <w:sz w:val="30"/>
          <w:szCs w:val="30"/>
        </w:rPr>
      </w:pPr>
      <w:r>
        <w:rPr>
          <w:rFonts w:hint="eastAsia" w:ascii="仿宋" w:hAnsi="仿宋" w:eastAsia="仿宋"/>
          <w:kern w:val="0"/>
          <w:sz w:val="30"/>
          <w:szCs w:val="30"/>
        </w:rPr>
        <w:t>反映用于自然资源管理等方面的支出。</w:t>
      </w:r>
    </w:p>
    <w:p w14:paraId="6432A36F">
      <w:pPr>
        <w:ind w:firstLine="600" w:firstLineChars="200"/>
        <w:rPr>
          <w:rFonts w:hint="eastAsia" w:ascii="仿宋" w:hAnsi="仿宋" w:eastAsia="仿宋"/>
          <w:kern w:val="0"/>
          <w:sz w:val="30"/>
          <w:szCs w:val="30"/>
        </w:rPr>
      </w:pPr>
      <w:r>
        <w:rPr>
          <w:rFonts w:hint="eastAsia" w:ascii="仿宋" w:hAnsi="仿宋" w:eastAsia="仿宋"/>
          <w:kern w:val="0"/>
          <w:sz w:val="30"/>
          <w:szCs w:val="30"/>
        </w:rPr>
        <w:t>1. 行政运行：反映行政单位（包括实行公务员管理的事业单位）的基本支出。</w:t>
      </w:r>
    </w:p>
    <w:p w14:paraId="6C59E67E">
      <w:pPr>
        <w:ind w:firstLine="600" w:firstLineChars="200"/>
        <w:rPr>
          <w:rFonts w:hint="eastAsia" w:ascii="仿宋" w:hAnsi="仿宋" w:eastAsia="仿宋"/>
          <w:kern w:val="0"/>
          <w:sz w:val="30"/>
          <w:szCs w:val="30"/>
        </w:rPr>
      </w:pPr>
      <w:r>
        <w:rPr>
          <w:rFonts w:hint="eastAsia" w:ascii="仿宋" w:hAnsi="仿宋" w:eastAsia="仿宋"/>
          <w:kern w:val="0"/>
          <w:sz w:val="30"/>
          <w:szCs w:val="30"/>
        </w:rPr>
        <w:t>2. 一般行政管理事务：反映行政单位（包括实行公务员管理的事业单位）未单独设置项级科目的其他项目支出。</w:t>
      </w:r>
    </w:p>
    <w:p w14:paraId="7B901F34">
      <w:pPr>
        <w:ind w:firstLine="600" w:firstLineChars="200"/>
        <w:rPr>
          <w:rFonts w:hint="eastAsia" w:ascii="仿宋" w:hAnsi="仿宋" w:eastAsia="仿宋"/>
          <w:kern w:val="0"/>
          <w:sz w:val="30"/>
          <w:szCs w:val="30"/>
        </w:rPr>
      </w:pPr>
      <w:r>
        <w:rPr>
          <w:rFonts w:hint="eastAsia" w:ascii="仿宋" w:hAnsi="仿宋" w:eastAsia="仿宋"/>
          <w:kern w:val="0"/>
          <w:sz w:val="30"/>
          <w:szCs w:val="30"/>
        </w:rPr>
        <w:t>3. 机关服务：用于为全厅部门提供后勤服务的厅机关后勤服务中心的支出。</w:t>
      </w:r>
    </w:p>
    <w:p w14:paraId="658F5728">
      <w:pPr>
        <w:ind w:firstLine="600" w:firstLineChars="200"/>
        <w:rPr>
          <w:rFonts w:hint="eastAsia" w:ascii="仿宋" w:hAnsi="仿宋" w:eastAsia="仿宋"/>
          <w:kern w:val="0"/>
          <w:sz w:val="30"/>
          <w:szCs w:val="30"/>
        </w:rPr>
      </w:pPr>
      <w:r>
        <w:rPr>
          <w:rFonts w:hint="eastAsia" w:ascii="仿宋" w:hAnsi="仿宋" w:eastAsia="仿宋"/>
          <w:kern w:val="0"/>
          <w:sz w:val="30"/>
          <w:szCs w:val="30"/>
        </w:rPr>
        <w:t>4. 自然资源规划及管理：用于国土资源规划、国土空间开发适宜性评价等方面的支出</w:t>
      </w:r>
    </w:p>
    <w:p w14:paraId="0F9D0CF5">
      <w:pPr>
        <w:ind w:firstLine="600" w:firstLineChars="200"/>
        <w:rPr>
          <w:rFonts w:hint="eastAsia" w:ascii="仿宋" w:hAnsi="仿宋" w:eastAsia="仿宋"/>
          <w:kern w:val="0"/>
          <w:sz w:val="30"/>
          <w:szCs w:val="30"/>
        </w:rPr>
      </w:pPr>
      <w:r>
        <w:rPr>
          <w:rFonts w:hint="eastAsia" w:ascii="仿宋" w:hAnsi="仿宋" w:eastAsia="仿宋"/>
          <w:kern w:val="0"/>
          <w:sz w:val="30"/>
          <w:szCs w:val="30"/>
        </w:rPr>
        <w:t>5. 自然资源利用与保护：用于自然资源有偿使用与合理开发利用，国土空间生态修复，国土整治，耕地保护等方面的支出。</w:t>
      </w:r>
    </w:p>
    <w:p w14:paraId="1754A960">
      <w:pPr>
        <w:ind w:firstLine="600" w:firstLineChars="200"/>
        <w:rPr>
          <w:rFonts w:hint="eastAsia" w:ascii="仿宋" w:hAnsi="仿宋" w:eastAsia="仿宋"/>
          <w:kern w:val="0"/>
          <w:sz w:val="30"/>
          <w:szCs w:val="30"/>
        </w:rPr>
      </w:pPr>
      <w:r>
        <w:rPr>
          <w:rFonts w:hint="eastAsia" w:ascii="仿宋" w:hAnsi="仿宋" w:eastAsia="仿宋"/>
          <w:kern w:val="0"/>
          <w:sz w:val="30"/>
          <w:szCs w:val="30"/>
        </w:rPr>
        <w:t>6. 自然资源社会公益服务：反映自然资源部门土地、地质、矿产实物资料和信息资源采集、处理并提供社会公益展览和服务，自然资源知识普及等方面的支出。</w:t>
      </w:r>
    </w:p>
    <w:p w14:paraId="3C9B0D41">
      <w:pPr>
        <w:ind w:firstLine="600" w:firstLineChars="200"/>
        <w:rPr>
          <w:rFonts w:hint="eastAsia" w:ascii="仿宋" w:hAnsi="仿宋" w:eastAsia="仿宋"/>
          <w:kern w:val="0"/>
          <w:sz w:val="30"/>
          <w:szCs w:val="30"/>
        </w:rPr>
      </w:pPr>
      <w:r>
        <w:rPr>
          <w:rFonts w:hint="eastAsia" w:ascii="仿宋" w:hAnsi="仿宋" w:eastAsia="仿宋"/>
          <w:kern w:val="0"/>
          <w:sz w:val="30"/>
          <w:szCs w:val="30"/>
        </w:rPr>
        <w:t>7. 自然资源行业业务管理：用于自然资源行业业务管理经费支出，包括行业标准和规程、政策法规、审计监督，队伍建设等方面的支出。</w:t>
      </w:r>
    </w:p>
    <w:p w14:paraId="558C1876">
      <w:pPr>
        <w:ind w:firstLine="600" w:firstLineChars="200"/>
        <w:rPr>
          <w:rFonts w:hint="eastAsia" w:ascii="仿宋" w:hAnsi="仿宋" w:eastAsia="仿宋"/>
          <w:kern w:val="0"/>
          <w:sz w:val="30"/>
          <w:szCs w:val="30"/>
        </w:rPr>
      </w:pPr>
      <w:r>
        <w:rPr>
          <w:rFonts w:hint="eastAsia" w:ascii="仿宋" w:hAnsi="仿宋" w:eastAsia="仿宋"/>
          <w:kern w:val="0"/>
          <w:sz w:val="30"/>
          <w:szCs w:val="30"/>
        </w:rPr>
        <w:t>8.自然资源调查与确权登记：反映自然资源部门用于自然资源调查监测评价，自然资源统一确权登记等方面的支出。</w:t>
      </w:r>
    </w:p>
    <w:p w14:paraId="7D5AA476">
      <w:pPr>
        <w:ind w:firstLine="600" w:firstLineChars="200"/>
        <w:rPr>
          <w:rFonts w:hint="eastAsia" w:ascii="仿宋" w:hAnsi="仿宋" w:eastAsia="仿宋"/>
          <w:kern w:val="0"/>
          <w:sz w:val="30"/>
          <w:szCs w:val="30"/>
        </w:rPr>
      </w:pPr>
      <w:r>
        <w:rPr>
          <w:rFonts w:hint="eastAsia" w:ascii="仿宋" w:hAnsi="仿宋" w:eastAsia="仿宋"/>
          <w:kern w:val="0"/>
          <w:sz w:val="30"/>
          <w:szCs w:val="30"/>
        </w:rPr>
        <w:t>9. 地质勘查与矿产资源管理：反映用于地质勘查行业和地质工作管理，矿业权管理，矿产资源合理利用和保护等方面的支出。</w:t>
      </w:r>
    </w:p>
    <w:p w14:paraId="0CBE78CD">
      <w:pPr>
        <w:ind w:firstLine="600" w:firstLineChars="200"/>
        <w:rPr>
          <w:rFonts w:hint="eastAsia" w:ascii="仿宋" w:hAnsi="仿宋" w:eastAsia="仿宋"/>
          <w:kern w:val="0"/>
          <w:sz w:val="30"/>
          <w:szCs w:val="30"/>
        </w:rPr>
      </w:pPr>
      <w:r>
        <w:rPr>
          <w:rFonts w:hint="eastAsia" w:ascii="仿宋" w:hAnsi="仿宋" w:eastAsia="仿宋"/>
          <w:kern w:val="0"/>
          <w:sz w:val="30"/>
          <w:szCs w:val="30"/>
        </w:rPr>
        <w:t>10.基础测绘与地理信息监管：反映基础测绘、航空摄影、地理信息应用与安全监管等方面的支出。</w:t>
      </w:r>
    </w:p>
    <w:p w14:paraId="17D7857E">
      <w:pPr>
        <w:ind w:firstLine="600" w:firstLineChars="200"/>
        <w:rPr>
          <w:rFonts w:hint="eastAsia" w:ascii="仿宋" w:hAnsi="仿宋" w:eastAsia="仿宋"/>
          <w:kern w:val="0"/>
          <w:sz w:val="30"/>
          <w:szCs w:val="30"/>
        </w:rPr>
      </w:pPr>
      <w:r>
        <w:rPr>
          <w:rFonts w:hint="eastAsia" w:ascii="仿宋" w:hAnsi="仿宋" w:eastAsia="仿宋"/>
          <w:kern w:val="0"/>
          <w:sz w:val="30"/>
          <w:szCs w:val="30"/>
        </w:rPr>
        <w:t>11. 事业运行：用于事业单位的基本支出，不包括行政单位（包括实行公务员管理的事业单位）、后勤中心等附属事业单位。</w:t>
      </w:r>
    </w:p>
    <w:p w14:paraId="004B43A4">
      <w:pPr>
        <w:ind w:firstLine="600" w:firstLineChars="200"/>
        <w:rPr>
          <w:rFonts w:hint="eastAsia" w:ascii="仿宋" w:hAnsi="仿宋" w:eastAsia="仿宋"/>
          <w:kern w:val="0"/>
          <w:sz w:val="30"/>
          <w:szCs w:val="30"/>
        </w:rPr>
      </w:pPr>
      <w:r>
        <w:rPr>
          <w:rFonts w:hint="eastAsia" w:ascii="仿宋" w:hAnsi="仿宋" w:eastAsia="仿宋"/>
          <w:kern w:val="0"/>
          <w:sz w:val="30"/>
          <w:szCs w:val="30"/>
        </w:rPr>
        <w:t>12.其他自然资源事务支出：用于上述项目以外其他用于自然资源事务方面的支出。</w:t>
      </w:r>
    </w:p>
    <w:p w14:paraId="24D1CD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03F04AE2"/>
    <w:rsid w:val="040B1CA1"/>
    <w:rsid w:val="060B367E"/>
    <w:rsid w:val="082E3CB7"/>
    <w:rsid w:val="0C5713B4"/>
    <w:rsid w:val="0F683201"/>
    <w:rsid w:val="0FCB2A20"/>
    <w:rsid w:val="11947FC0"/>
    <w:rsid w:val="143A1417"/>
    <w:rsid w:val="1B886F14"/>
    <w:rsid w:val="1C2A2960"/>
    <w:rsid w:val="1C401A14"/>
    <w:rsid w:val="1DAE5245"/>
    <w:rsid w:val="1E7118C0"/>
    <w:rsid w:val="1EE37FB9"/>
    <w:rsid w:val="1FD1714B"/>
    <w:rsid w:val="222C5918"/>
    <w:rsid w:val="22B3183D"/>
    <w:rsid w:val="23242679"/>
    <w:rsid w:val="237771DF"/>
    <w:rsid w:val="24AD0D96"/>
    <w:rsid w:val="27491B6B"/>
    <w:rsid w:val="2899306C"/>
    <w:rsid w:val="29997F81"/>
    <w:rsid w:val="2B4A3970"/>
    <w:rsid w:val="2FA45A4B"/>
    <w:rsid w:val="3423203B"/>
    <w:rsid w:val="352A495A"/>
    <w:rsid w:val="352E06C4"/>
    <w:rsid w:val="35FE1331"/>
    <w:rsid w:val="38EA47D2"/>
    <w:rsid w:val="3AD30310"/>
    <w:rsid w:val="3AE2054E"/>
    <w:rsid w:val="3BEE0B5C"/>
    <w:rsid w:val="3C9A6CD6"/>
    <w:rsid w:val="3E574546"/>
    <w:rsid w:val="40DE6141"/>
    <w:rsid w:val="41435B70"/>
    <w:rsid w:val="422A38F5"/>
    <w:rsid w:val="436D7C1B"/>
    <w:rsid w:val="455712F7"/>
    <w:rsid w:val="45665581"/>
    <w:rsid w:val="456800AF"/>
    <w:rsid w:val="46035986"/>
    <w:rsid w:val="48260B79"/>
    <w:rsid w:val="485B76C0"/>
    <w:rsid w:val="48702C2B"/>
    <w:rsid w:val="49AE534A"/>
    <w:rsid w:val="4A181869"/>
    <w:rsid w:val="514D2E96"/>
    <w:rsid w:val="52611A07"/>
    <w:rsid w:val="569E735A"/>
    <w:rsid w:val="577A6ADA"/>
    <w:rsid w:val="58A62B92"/>
    <w:rsid w:val="5D7D6961"/>
    <w:rsid w:val="6031549C"/>
    <w:rsid w:val="62564D4A"/>
    <w:rsid w:val="63DA1C5C"/>
    <w:rsid w:val="655026C7"/>
    <w:rsid w:val="67713DB6"/>
    <w:rsid w:val="685B4023"/>
    <w:rsid w:val="68F25CBE"/>
    <w:rsid w:val="69885875"/>
    <w:rsid w:val="6AA00569"/>
    <w:rsid w:val="6B8F6C2E"/>
    <w:rsid w:val="6C48722A"/>
    <w:rsid w:val="6CCD582B"/>
    <w:rsid w:val="70B63AAE"/>
    <w:rsid w:val="716D122F"/>
    <w:rsid w:val="74E9354B"/>
    <w:rsid w:val="76700388"/>
    <w:rsid w:val="79000EF4"/>
    <w:rsid w:val="79A50BBA"/>
    <w:rsid w:val="7B696CEF"/>
    <w:rsid w:val="7EF03192"/>
    <w:rsid w:val="7FF9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8802</Words>
  <Characters>9559</Characters>
  <Lines>0</Lines>
  <Paragraphs>0</Paragraphs>
  <TotalTime>4</TotalTime>
  <ScaleCrop>false</ScaleCrop>
  <LinksUpToDate>false</LinksUpToDate>
  <CharactersWithSpaces>9671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2020-10-14T06:39:00Z</cp:lastPrinted>
  <dcterms:modified xsi:type="dcterms:W3CDTF">2026-07-20T08:36:44Z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25D5283CBAE14019BA19D3F21103C6B3_12</vt:lpwstr>
  </property>
  <property fmtid="{D5CDD505-2E9C-101B-9397-08002B2CF9AE}" pid="4" name="KSOTemplateDocerSaveRecord">
    <vt:lpwstr>eyJoZGlkIjoiMjE2YWY5NzI1MThhZDljY2U3MzkwYzYyOTljZjg5ZmIiLCJ1c2VySWQiOiI0MjQ5NjU3NjUifQ==</vt:lpwstr>
  </property>
</Properties>
</file>