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FB961">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景德镇市建设局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30DB395">
      <w:pPr>
        <w:spacing w:line="600" w:lineRule="exact"/>
        <w:jc w:val="center"/>
        <w:rPr>
          <w:rFonts w:hint="eastAsia" w:ascii="黑体" w:eastAsia="黑体"/>
          <w:sz w:val="44"/>
          <w:szCs w:val="36"/>
        </w:rPr>
      </w:pPr>
    </w:p>
    <w:p w14:paraId="79332265">
      <w:pPr>
        <w:spacing w:line="600" w:lineRule="exact"/>
        <w:jc w:val="center"/>
        <w:rPr>
          <w:rFonts w:hint="eastAsia" w:ascii="黑体" w:eastAsia="黑体"/>
          <w:sz w:val="40"/>
          <w:szCs w:val="36"/>
        </w:rPr>
      </w:pPr>
      <w:r>
        <w:rPr>
          <w:rFonts w:hint="eastAsia" w:ascii="黑体" w:eastAsia="黑体"/>
          <w:sz w:val="40"/>
          <w:szCs w:val="36"/>
        </w:rPr>
        <w:t>目    录</w:t>
      </w:r>
    </w:p>
    <w:p w14:paraId="63596AA8">
      <w:pPr>
        <w:widowControl/>
        <w:spacing w:line="600" w:lineRule="exact"/>
        <w:ind w:firstLine="640"/>
        <w:jc w:val="left"/>
        <w:rPr>
          <w:rFonts w:hint="eastAsia" w:ascii="仿宋_GB2312" w:eastAsia="仿宋_GB2312"/>
          <w:sz w:val="32"/>
          <w:szCs w:val="30"/>
        </w:rPr>
      </w:pPr>
    </w:p>
    <w:p w14:paraId="1EE877DF">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景德镇市建设局</w:t>
      </w:r>
      <w:r>
        <w:rPr>
          <w:rFonts w:hint="eastAsia" w:ascii="黑体" w:hAnsi="黑体" w:eastAsia="黑体"/>
          <w:sz w:val="32"/>
          <w:szCs w:val="32"/>
        </w:rPr>
        <w:t>部门</w:t>
      </w:r>
      <w:r>
        <w:rPr>
          <w:rFonts w:hint="eastAsia" w:ascii="黑体" w:hAnsi="黑体" w:eastAsia="黑体"/>
          <w:b/>
          <w:sz w:val="32"/>
          <w:szCs w:val="32"/>
        </w:rPr>
        <w:t>概况</w:t>
      </w:r>
    </w:p>
    <w:p w14:paraId="2D7BF415">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64BF39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0D2D2EC5">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801FCA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08C0E29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1C2EC3F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18E0B7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35CEC6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59FE52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9FCE42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17A50DC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1595BE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3B07441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BCF41E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5A1F1D0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908C13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8C135C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CA020D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C1AC0F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EED8D19">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013627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6F1B7F4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97FB71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71378C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FEDE489">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B22FB35">
      <w:pPr>
        <w:ind w:firstLine="630"/>
        <w:jc w:val="center"/>
        <w:rPr>
          <w:rFonts w:hint="eastAsia" w:ascii="宋体" w:hAnsi="宋体"/>
          <w:b/>
          <w:sz w:val="36"/>
          <w:szCs w:val="36"/>
        </w:rPr>
      </w:pPr>
    </w:p>
    <w:p w14:paraId="5B947B97">
      <w:pPr>
        <w:ind w:firstLine="630"/>
        <w:jc w:val="center"/>
        <w:rPr>
          <w:rFonts w:hint="eastAsia" w:ascii="宋体" w:hAnsi="宋体"/>
          <w:b/>
          <w:sz w:val="36"/>
          <w:szCs w:val="36"/>
        </w:rPr>
      </w:pPr>
    </w:p>
    <w:p w14:paraId="129E51D7">
      <w:pPr>
        <w:ind w:firstLine="630"/>
        <w:jc w:val="center"/>
        <w:rPr>
          <w:rFonts w:hint="eastAsia" w:ascii="宋体" w:hAnsi="宋体"/>
          <w:b/>
          <w:sz w:val="36"/>
          <w:szCs w:val="36"/>
        </w:rPr>
      </w:pPr>
    </w:p>
    <w:p w14:paraId="41370695">
      <w:pPr>
        <w:ind w:firstLine="630"/>
        <w:jc w:val="center"/>
        <w:rPr>
          <w:rFonts w:hint="eastAsia" w:ascii="宋体" w:hAnsi="宋体"/>
          <w:b/>
          <w:sz w:val="36"/>
          <w:szCs w:val="36"/>
        </w:rPr>
      </w:pPr>
    </w:p>
    <w:p w14:paraId="6329E801">
      <w:pPr>
        <w:ind w:firstLine="630"/>
        <w:jc w:val="center"/>
        <w:rPr>
          <w:rFonts w:hint="eastAsia" w:ascii="宋体" w:hAnsi="宋体"/>
          <w:b/>
          <w:sz w:val="36"/>
          <w:szCs w:val="36"/>
        </w:rPr>
      </w:pPr>
    </w:p>
    <w:p w14:paraId="3C6A601B">
      <w:pPr>
        <w:ind w:firstLine="630"/>
        <w:jc w:val="center"/>
        <w:rPr>
          <w:rFonts w:hint="eastAsia" w:ascii="宋体" w:hAnsi="宋体"/>
          <w:b/>
          <w:sz w:val="36"/>
          <w:szCs w:val="36"/>
        </w:rPr>
      </w:pPr>
    </w:p>
    <w:p w14:paraId="26DCF866">
      <w:pPr>
        <w:ind w:firstLine="630"/>
        <w:jc w:val="center"/>
        <w:rPr>
          <w:rFonts w:hint="eastAsia" w:ascii="宋体" w:hAnsi="宋体"/>
          <w:b/>
          <w:sz w:val="36"/>
          <w:szCs w:val="36"/>
        </w:rPr>
      </w:pPr>
    </w:p>
    <w:p w14:paraId="6B6B8C6B">
      <w:pPr>
        <w:ind w:firstLine="630"/>
        <w:jc w:val="center"/>
        <w:rPr>
          <w:rFonts w:hint="eastAsia" w:ascii="宋体" w:hAnsi="宋体"/>
          <w:b/>
          <w:sz w:val="36"/>
          <w:szCs w:val="36"/>
        </w:rPr>
      </w:pPr>
    </w:p>
    <w:p w14:paraId="7F053485">
      <w:pPr>
        <w:jc w:val="both"/>
        <w:rPr>
          <w:rFonts w:hint="eastAsia" w:ascii="宋体" w:hAnsi="宋体"/>
          <w:b/>
          <w:sz w:val="36"/>
          <w:szCs w:val="36"/>
        </w:rPr>
      </w:pPr>
    </w:p>
    <w:p w14:paraId="5FD47600">
      <w:pPr>
        <w:ind w:firstLine="630"/>
        <w:jc w:val="center"/>
        <w:rPr>
          <w:rFonts w:hint="eastAsia" w:ascii="宋体" w:hAnsi="宋体"/>
          <w:b/>
          <w:sz w:val="36"/>
          <w:szCs w:val="36"/>
        </w:rPr>
      </w:pPr>
    </w:p>
    <w:p w14:paraId="326236E6">
      <w:pPr>
        <w:ind w:firstLine="630"/>
        <w:jc w:val="center"/>
        <w:rPr>
          <w:rFonts w:hint="eastAsia" w:ascii="宋体" w:hAnsi="宋体"/>
          <w:b/>
          <w:sz w:val="36"/>
          <w:szCs w:val="36"/>
        </w:rPr>
      </w:pPr>
    </w:p>
    <w:p w14:paraId="793A0538">
      <w:pPr>
        <w:ind w:firstLine="630"/>
        <w:jc w:val="center"/>
        <w:rPr>
          <w:rFonts w:hint="eastAsia" w:ascii="宋体" w:hAnsi="宋体"/>
          <w:b/>
          <w:sz w:val="36"/>
          <w:szCs w:val="36"/>
        </w:rPr>
      </w:pPr>
    </w:p>
    <w:p w14:paraId="170163EF">
      <w:pPr>
        <w:ind w:firstLine="630"/>
        <w:jc w:val="center"/>
        <w:rPr>
          <w:rFonts w:hint="eastAsia" w:ascii="宋体" w:hAnsi="宋体"/>
          <w:b/>
          <w:sz w:val="36"/>
          <w:szCs w:val="36"/>
        </w:rPr>
      </w:pPr>
    </w:p>
    <w:p w14:paraId="6925F4D9">
      <w:pPr>
        <w:widowControl/>
        <w:spacing w:line="580" w:lineRule="exact"/>
        <w:jc w:val="center"/>
        <w:rPr>
          <w:rFonts w:hint="eastAsia" w:ascii="宋体" w:hAnsi="宋体"/>
          <w:b/>
          <w:sz w:val="32"/>
          <w:szCs w:val="30"/>
        </w:rPr>
      </w:pPr>
    </w:p>
    <w:p w14:paraId="081607DE">
      <w:pPr>
        <w:widowControl/>
        <w:spacing w:line="580" w:lineRule="exact"/>
        <w:jc w:val="center"/>
        <w:rPr>
          <w:rFonts w:hint="eastAsia" w:ascii="宋体" w:hAnsi="宋体"/>
          <w:b/>
          <w:sz w:val="32"/>
          <w:szCs w:val="30"/>
        </w:rPr>
      </w:pPr>
    </w:p>
    <w:p w14:paraId="73E031BF">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景德镇市建设局</w:t>
      </w:r>
      <w:r>
        <w:rPr>
          <w:rFonts w:hint="eastAsia" w:ascii="宋体" w:hAnsi="宋体"/>
          <w:b/>
          <w:sz w:val="32"/>
          <w:szCs w:val="32"/>
        </w:rPr>
        <w:t>部门</w:t>
      </w:r>
      <w:r>
        <w:rPr>
          <w:rFonts w:hint="eastAsia" w:ascii="宋体" w:hAnsi="宋体"/>
          <w:b/>
          <w:sz w:val="32"/>
          <w:szCs w:val="30"/>
        </w:rPr>
        <w:t>概况</w:t>
      </w:r>
    </w:p>
    <w:p w14:paraId="5F586E67">
      <w:pPr>
        <w:ind w:firstLine="630"/>
        <w:jc w:val="center"/>
        <w:rPr>
          <w:rFonts w:hint="eastAsia"/>
          <w:sz w:val="32"/>
          <w:szCs w:val="32"/>
        </w:rPr>
      </w:pPr>
    </w:p>
    <w:p w14:paraId="0EC80948">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27054453">
      <w:pPr>
        <w:ind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景德镇市</w:t>
      </w:r>
      <w:r>
        <w:rPr>
          <w:rFonts w:hint="eastAsia" w:ascii="仿宋_GB2312" w:hAnsi="宋体" w:eastAsia="仿宋_GB2312" w:cs="仿宋_GB2312"/>
          <w:color w:val="auto"/>
          <w:sz w:val="32"/>
          <w:szCs w:val="32"/>
          <w:lang w:val="en-US" w:eastAsia="zh-CN"/>
        </w:rPr>
        <w:t>住房和城乡建设局</w:t>
      </w:r>
      <w:r>
        <w:rPr>
          <w:rFonts w:hint="eastAsia" w:ascii="仿宋_GB2312" w:hAnsi="宋体" w:eastAsia="仿宋_GB2312" w:cs="仿宋_GB2312"/>
          <w:color w:val="auto"/>
          <w:sz w:val="32"/>
          <w:szCs w:val="32"/>
        </w:rPr>
        <w:t>是市政府</w:t>
      </w:r>
      <w:r>
        <w:rPr>
          <w:rFonts w:hint="eastAsia" w:ascii="仿宋_GB2312" w:hAnsi="宋体" w:eastAsia="仿宋_GB2312" w:cs="仿宋_GB2312"/>
          <w:color w:val="auto"/>
          <w:sz w:val="32"/>
          <w:szCs w:val="32"/>
          <w:lang w:eastAsia="zh-CN"/>
        </w:rPr>
        <w:t>工作</w:t>
      </w:r>
      <w:r>
        <w:rPr>
          <w:rFonts w:hint="eastAsia" w:ascii="仿宋_GB2312" w:hAnsi="宋体" w:eastAsia="仿宋_GB2312" w:cs="仿宋_GB2312"/>
          <w:color w:val="auto"/>
          <w:sz w:val="32"/>
          <w:szCs w:val="32"/>
        </w:rPr>
        <w:t>部门，主要职责是：</w:t>
      </w:r>
    </w:p>
    <w:p w14:paraId="0A0280A1">
      <w:pPr>
        <w:numPr>
          <w:ilvl w:val="0"/>
          <w:numId w:val="1"/>
        </w:numPr>
        <w:ind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贯彻执行国家有关住房和城乡建设工作的法律法规和方针政策。拟定全市住房和城乡建设有关规范性文件，编制住房和城乡建设中长期规划，并组织实施。</w:t>
      </w:r>
    </w:p>
    <w:p w14:paraId="6E109D60">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负责全市住房保障工作。拟订并组织实施全市公共租赁住房、廉租住房、棚户区改造等保障性住房建设计划和实施方案。指导和推进棚户区改造工作，指导和监督全市房屋征收与补偿工作。</w:t>
      </w:r>
    </w:p>
    <w:p w14:paraId="110645A2">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房地产市场监督管理、规范房地产市场秩序。负责制定房屋交易政策、规章制度并监督执行，指导监督房屋产权管理工作。负责房地产开发企业、评估机构的资质管理。负责商品房预售、预售资金的管理,负责房屋网签备案工作。负责建设房地产市场监测系统。负责房产测绘及成果应用、物业服务行业和房地产中介行业的监督管理。负责全市住房租赁市场管理、直管公房经营管理、私房政策落实等工作。负责监督管理房屋专项维修基金。</w:t>
      </w:r>
    </w:p>
    <w:p w14:paraId="48A4A2D2">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研究拟订城镇住房制度改革方案及相关的配套政策并组织实施；负责房改资金的筹集、管理和审批使用工作。负责全市住房公积金监督管理。指导监督全市住房公积金归集、使用和管理。</w:t>
      </w:r>
    </w:p>
    <w:p w14:paraId="75DCC236">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建筑市场的监督管理，规范建筑市场各方主体行为。负责全市建筑业企业、中介服务机构和从业人员的资质管理。综合管理全市建设工程报建、工程招标投标、工程造价、城建档案、工程监理、工程建设合同等工作。</w:t>
      </w:r>
    </w:p>
    <w:p w14:paraId="290420D2">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负责全市建筑工程质量安全监管。负责建设工程质量、建筑安全生产和文明施工的监督管理，组织或参与工程质量、安全事故的调查处理。负责白蚁防治、房屋修缮改造和安全使用鉴定的管理。</w:t>
      </w:r>
    </w:p>
    <w:p w14:paraId="3F30F39A">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承担城市供水、排水、污水处理、管线等市政公用事业的运行和管理职责。指导城市地下空间的开发利用和地下综合管廊运营。负责燃气市场的监督管理，核发燃气行业经营许可。</w:t>
      </w:r>
    </w:p>
    <w:p w14:paraId="11191D98">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负责全市建筑工程施工许可、工程设施使用许可、竣工验收和备案工作。承担建设工程消防设计审查验收职责，牵头组织人防设计审查、人防工程验收和备案工作。</w:t>
      </w:r>
    </w:p>
    <w:p w14:paraId="3E24EF0F">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监督管理全市建筑行业、规范建筑市场各方主体行为。负责全市建设工程勘察设计资质管理，规范勘察设计市场。负责设计方案招标投标、设计合同备案、施工图设计审查、工程勘察设计质量管理。负责全市建设工程抗震设防工作。</w:t>
      </w:r>
    </w:p>
    <w:p w14:paraId="5839C122">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负责推进全市建筑节能、城镇减排工作。指导推进全市装配式建筑和建筑可再生能源应用推广工作。</w:t>
      </w:r>
    </w:p>
    <w:p w14:paraId="702C8E45">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指导规范全市村镇建设，统筹规划、综合协调历史文化名城资源的保护管理和利用。研究拟订村镇建设、历史文化名城资源保护和利用发展规划并指导实施。指导全市乡镇生活污水处理设施建设、农村危房改造、传统古村落保护、农村人居环境建设等工作。</w:t>
      </w:r>
    </w:p>
    <w:p w14:paraId="0B581360">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负责管理全市建设行业对外经济技术合作。负责制定全市住房和城乡建设行业人才培训计划并指导实施。</w:t>
      </w:r>
    </w:p>
    <w:p w14:paraId="008A41A2">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负责研究提出加快全市城镇化进程的发展战略，推动城市建设发展。参与重点建设项目的选址、核发建设项目选址意见书。负责市政工程测量和城市建设档案管理工作。</w:t>
      </w:r>
    </w:p>
    <w:p w14:paraId="5A2293D3">
      <w:pPr>
        <w:numPr>
          <w:ilvl w:val="0"/>
          <w:numId w:val="0"/>
        </w:num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（十四）承办市委、市政府交办的其他事项。</w:t>
      </w:r>
    </w:p>
    <w:p w14:paraId="3157E770">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22E88011">
      <w:pPr>
        <w:ind w:firstLine="63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纳入本套部门决算汇编范围的单位共</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景德镇市建设局、景德镇市</w:t>
      </w:r>
      <w:r>
        <w:rPr>
          <w:rFonts w:hint="eastAsia" w:ascii="仿宋_GB2312" w:hAnsi="仿宋_GB2312" w:eastAsia="仿宋_GB2312" w:cs="仿宋_GB2312"/>
          <w:sz w:val="32"/>
          <w:szCs w:val="32"/>
          <w:lang w:val="en-US" w:eastAsia="zh-CN"/>
        </w:rPr>
        <w:t>城建档案馆、景德镇市排水设施建设管理办公室、景德镇市地下管网建设管理办公室、景德镇市建设工程招标投标办公室、景德镇市燃气管理处、景德镇市建设工程造价管理站、景德镇市建设工程质量监督站、景德镇市建设安全生产监督管理站、景德镇市建设市场督察站。</w:t>
      </w:r>
    </w:p>
    <w:p w14:paraId="0ACA433D">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年年末实有人数</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人，其中在职人员</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人，离休人员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人。</w:t>
      </w:r>
    </w:p>
    <w:p w14:paraId="5A12F78E">
      <w:pPr>
        <w:widowControl/>
        <w:spacing w:line="600" w:lineRule="exact"/>
        <w:ind w:firstLine="640"/>
        <w:jc w:val="center"/>
        <w:rPr>
          <w:rFonts w:hint="eastAsia" w:ascii="宋体" w:hAnsi="宋体"/>
          <w:b/>
          <w:sz w:val="32"/>
          <w:szCs w:val="32"/>
        </w:rPr>
      </w:pPr>
    </w:p>
    <w:p w14:paraId="2BBBE1BD">
      <w:pPr>
        <w:widowControl/>
        <w:spacing w:line="600" w:lineRule="exact"/>
        <w:ind w:firstLine="640"/>
        <w:jc w:val="center"/>
        <w:rPr>
          <w:rFonts w:hint="eastAsia" w:ascii="仿宋_GB2312" w:hAnsi="仿宋_GB2312" w:eastAsia="仿宋_GB2312" w:cs="仿宋_GB2312"/>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D9E46CC">
      <w:pPr>
        <w:tabs>
          <w:tab w:val="left" w:pos="0"/>
        </w:tabs>
        <w:ind w:left="-199" w:leftChars="-95" w:firstLine="630" w:firstLineChars="0"/>
        <w:jc w:val="left"/>
        <w:rPr>
          <w:rFonts w:hint="eastAsia" w:eastAsia="宋体"/>
          <w:szCs w:val="30"/>
          <w:lang w:eastAsia="zh-CN"/>
        </w:rPr>
      </w:pPr>
      <w:r>
        <w:drawing>
          <wp:inline distT="0" distB="0" distL="114300" distR="114300">
            <wp:extent cx="6004560" cy="5568315"/>
            <wp:effectExtent l="0" t="0" r="15240"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6004560" cy="5568315"/>
                    </a:xfrm>
                    <a:prstGeom prst="rect">
                      <a:avLst/>
                    </a:prstGeom>
                    <a:noFill/>
                    <a:ln>
                      <a:noFill/>
                    </a:ln>
                  </pic:spPr>
                </pic:pic>
              </a:graphicData>
            </a:graphic>
          </wp:inline>
        </w:drawing>
      </w:r>
    </w:p>
    <w:p w14:paraId="74DB9947">
      <w:pPr>
        <w:ind w:firstLine="630"/>
        <w:jc w:val="left"/>
        <w:rPr>
          <w:rFonts w:hint="eastAsia" w:eastAsia="宋体"/>
          <w:szCs w:val="30"/>
          <w:lang w:eastAsia="zh-CN"/>
        </w:rPr>
      </w:pPr>
    </w:p>
    <w:p w14:paraId="6BD15018">
      <w:pPr>
        <w:ind w:firstLine="630"/>
        <w:jc w:val="left"/>
        <w:rPr>
          <w:rFonts w:hint="eastAsia" w:eastAsia="宋体"/>
          <w:szCs w:val="30"/>
          <w:lang w:eastAsia="zh-CN"/>
        </w:rPr>
      </w:pPr>
    </w:p>
    <w:p w14:paraId="31B01961">
      <w:pPr>
        <w:ind w:firstLine="630"/>
        <w:jc w:val="left"/>
      </w:pPr>
    </w:p>
    <w:p w14:paraId="798978AD">
      <w:pPr>
        <w:ind w:firstLine="630"/>
        <w:jc w:val="left"/>
        <w:rPr>
          <w:rFonts w:hint="eastAsia"/>
          <w:lang w:eastAsia="zh-CN"/>
        </w:rPr>
      </w:pPr>
    </w:p>
    <w:p w14:paraId="6D0578C4">
      <w:r>
        <w:drawing>
          <wp:inline distT="0" distB="0" distL="114300" distR="114300">
            <wp:extent cx="6337935" cy="5291455"/>
            <wp:effectExtent l="0" t="0" r="5715" b="444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6337935" cy="5291455"/>
                    </a:xfrm>
                    <a:prstGeom prst="rect">
                      <a:avLst/>
                    </a:prstGeom>
                    <a:noFill/>
                    <a:ln>
                      <a:noFill/>
                    </a:ln>
                  </pic:spPr>
                </pic:pic>
              </a:graphicData>
            </a:graphic>
          </wp:inline>
        </w:drawing>
      </w:r>
    </w:p>
    <w:p w14:paraId="4E0CB5EA">
      <w:r>
        <w:drawing>
          <wp:inline distT="0" distB="0" distL="114300" distR="114300">
            <wp:extent cx="6116955" cy="6280785"/>
            <wp:effectExtent l="0" t="0" r="17145" b="57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6116955" cy="6280785"/>
                    </a:xfrm>
                    <a:prstGeom prst="rect">
                      <a:avLst/>
                    </a:prstGeom>
                    <a:noFill/>
                    <a:ln>
                      <a:noFill/>
                    </a:ln>
                  </pic:spPr>
                </pic:pic>
              </a:graphicData>
            </a:graphic>
          </wp:inline>
        </w:drawing>
      </w:r>
    </w:p>
    <w:p w14:paraId="11059DED">
      <w:r>
        <w:rPr>
          <w:rFonts w:hint="eastAsia"/>
          <w:lang w:val="en-US" w:eastAsia="zh-CN"/>
        </w:rPr>
        <w:t xml:space="preserve">    </w:t>
      </w:r>
      <w:r>
        <w:drawing>
          <wp:inline distT="0" distB="0" distL="114300" distR="114300">
            <wp:extent cx="5930900" cy="4742815"/>
            <wp:effectExtent l="0" t="0" r="12700" b="63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930900" cy="4742815"/>
                    </a:xfrm>
                    <a:prstGeom prst="rect">
                      <a:avLst/>
                    </a:prstGeom>
                    <a:noFill/>
                    <a:ln>
                      <a:noFill/>
                    </a:ln>
                  </pic:spPr>
                </pic:pic>
              </a:graphicData>
            </a:graphic>
          </wp:inline>
        </w:drawing>
      </w:r>
    </w:p>
    <w:p w14:paraId="6FDC4614">
      <w:r>
        <w:rPr>
          <w:rFonts w:hint="eastAsia"/>
          <w:lang w:val="en-US" w:eastAsia="zh-CN"/>
        </w:rPr>
        <w:t xml:space="preserve">         </w:t>
      </w:r>
      <w:r>
        <w:drawing>
          <wp:inline distT="0" distB="0" distL="114300" distR="114300">
            <wp:extent cx="5815965" cy="8021955"/>
            <wp:effectExtent l="0" t="0" r="13335" b="1714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5815965" cy="8021955"/>
                    </a:xfrm>
                    <a:prstGeom prst="rect">
                      <a:avLst/>
                    </a:prstGeom>
                    <a:noFill/>
                    <a:ln>
                      <a:noFill/>
                    </a:ln>
                  </pic:spPr>
                </pic:pic>
              </a:graphicData>
            </a:graphic>
          </wp:inline>
        </w:drawing>
      </w:r>
    </w:p>
    <w:p w14:paraId="3803B045">
      <w:r>
        <w:drawing>
          <wp:inline distT="0" distB="0" distL="114300" distR="114300">
            <wp:extent cx="5777230" cy="9047480"/>
            <wp:effectExtent l="0" t="0" r="13970" b="127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9"/>
                    <a:stretch>
                      <a:fillRect/>
                    </a:stretch>
                  </pic:blipFill>
                  <pic:spPr>
                    <a:xfrm>
                      <a:off x="0" y="0"/>
                      <a:ext cx="5777230" cy="9047480"/>
                    </a:xfrm>
                    <a:prstGeom prst="rect">
                      <a:avLst/>
                    </a:prstGeom>
                    <a:noFill/>
                    <a:ln>
                      <a:noFill/>
                    </a:ln>
                  </pic:spPr>
                </pic:pic>
              </a:graphicData>
            </a:graphic>
          </wp:inline>
        </w:drawing>
      </w:r>
    </w:p>
    <w:p w14:paraId="4057F0BD">
      <w:r>
        <w:drawing>
          <wp:inline distT="0" distB="0" distL="114300" distR="114300">
            <wp:extent cx="5554345" cy="5053330"/>
            <wp:effectExtent l="0" t="0" r="8255" b="1397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554345" cy="5053330"/>
                    </a:xfrm>
                    <a:prstGeom prst="rect">
                      <a:avLst/>
                    </a:prstGeom>
                    <a:noFill/>
                    <a:ln>
                      <a:noFill/>
                    </a:ln>
                  </pic:spPr>
                </pic:pic>
              </a:graphicData>
            </a:graphic>
          </wp:inline>
        </w:drawing>
      </w:r>
    </w:p>
    <w:p w14:paraId="4AABC751"/>
    <w:p w14:paraId="759658DC"/>
    <w:p w14:paraId="0C145B06"/>
    <w:p w14:paraId="5A5CEB9A">
      <w:r>
        <w:drawing>
          <wp:inline distT="0" distB="0" distL="114300" distR="114300">
            <wp:extent cx="6335395" cy="2282190"/>
            <wp:effectExtent l="0" t="0" r="8255" b="381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6335395" cy="2282190"/>
                    </a:xfrm>
                    <a:prstGeom prst="rect">
                      <a:avLst/>
                    </a:prstGeom>
                    <a:noFill/>
                    <a:ln>
                      <a:noFill/>
                    </a:ln>
                  </pic:spPr>
                </pic:pic>
              </a:graphicData>
            </a:graphic>
          </wp:inline>
        </w:drawing>
      </w:r>
    </w:p>
    <w:p w14:paraId="3B7394B7"/>
    <w:p w14:paraId="623930A5"/>
    <w:p w14:paraId="0AB014F4">
      <w:pPr>
        <w:rPr>
          <w:rFonts w:hint="eastAsia" w:eastAsia="宋体"/>
          <w:szCs w:val="30"/>
          <w:lang w:eastAsia="zh-CN"/>
        </w:rPr>
      </w:pPr>
      <w:r>
        <w:rPr>
          <w:rFonts w:hint="eastAsia" w:eastAsia="宋体"/>
          <w:szCs w:val="30"/>
          <w:lang w:eastAsia="zh-CN"/>
        </w:rPr>
        <w:drawing>
          <wp:inline distT="0" distB="0" distL="114300" distR="114300">
            <wp:extent cx="5020310" cy="3172460"/>
            <wp:effectExtent l="0" t="0" r="8890" b="8890"/>
            <wp:docPr id="3" name="图片 3" descr="建设公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设公车"/>
                    <pic:cNvPicPr>
                      <a:picLocks noChangeAspect="1"/>
                    </pic:cNvPicPr>
                  </pic:nvPicPr>
                  <pic:blipFill>
                    <a:blip r:embed="rId12"/>
                    <a:stretch>
                      <a:fillRect/>
                    </a:stretch>
                  </pic:blipFill>
                  <pic:spPr>
                    <a:xfrm>
                      <a:off x="0" y="0"/>
                      <a:ext cx="5020310" cy="3172460"/>
                    </a:xfrm>
                    <a:prstGeom prst="rect">
                      <a:avLst/>
                    </a:prstGeom>
                  </pic:spPr>
                </pic:pic>
              </a:graphicData>
            </a:graphic>
          </wp:inline>
        </w:drawing>
      </w:r>
    </w:p>
    <w:p w14:paraId="30D1049C">
      <w:pPr>
        <w:rPr>
          <w:rFonts w:hint="eastAsia" w:eastAsia="宋体"/>
          <w:szCs w:val="30"/>
          <w:lang w:eastAsia="zh-CN"/>
        </w:rPr>
      </w:pPr>
    </w:p>
    <w:p w14:paraId="3193CBC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3C0036C1">
      <w:pPr>
        <w:ind w:firstLine="630"/>
        <w:jc w:val="left"/>
        <w:rPr>
          <w:rFonts w:hint="eastAsia" w:ascii="仿宋" w:hAnsi="仿宋" w:eastAsia="仿宋"/>
          <w:sz w:val="32"/>
          <w:szCs w:val="32"/>
        </w:rPr>
      </w:pPr>
    </w:p>
    <w:p w14:paraId="7037AA4E">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14:paraId="291573E9">
      <w:pPr>
        <w:ind w:firstLine="63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6061.82</w:t>
      </w:r>
      <w:r>
        <w:rPr>
          <w:rFonts w:hint="eastAsia" w:ascii="仿宋_GB2312" w:hAnsi="仿宋_GB2312" w:eastAsia="仿宋_GB2312" w:cs="仿宋_GB2312"/>
          <w:sz w:val="32"/>
          <w:szCs w:val="32"/>
        </w:rPr>
        <w:t>万元，其中年初结转和结余</w:t>
      </w:r>
      <w:r>
        <w:rPr>
          <w:rFonts w:hint="eastAsia" w:ascii="仿宋_GB2312" w:hAnsi="仿宋_GB2312" w:eastAsia="仿宋_GB2312" w:cs="仿宋_GB2312"/>
          <w:sz w:val="32"/>
          <w:szCs w:val="32"/>
          <w:lang w:val="en-US" w:eastAsia="zh-CN"/>
        </w:rPr>
        <w:t>118.73</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2360.03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63.75</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5797.78</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2316.04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66.52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收取的</w:t>
      </w:r>
      <w:r>
        <w:rPr>
          <w:rFonts w:hint="eastAsia" w:ascii="仿宋_GB2312" w:hAnsi="仿宋_GB2312" w:eastAsia="仿宋_GB2312" w:cs="仿宋_GB2312"/>
          <w:color w:val="auto"/>
          <w:sz w:val="32"/>
          <w:szCs w:val="32"/>
          <w:lang w:val="en-US" w:eastAsia="zh-CN"/>
        </w:rPr>
        <w:t>市政设施配套费较上年增加，且财政不再统筹，全额返还</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lang w:val="en-US" w:eastAsia="zh-CN"/>
        </w:rPr>
        <w:t>下属单位燃气管理处增加1500万元财政拨款用于华润公司对14个小区进行燃气置换改造。</w:t>
      </w:r>
    </w:p>
    <w:p w14:paraId="3FAD44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5538.09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95.52</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259.69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 xml:space="preserve">%。 </w:t>
      </w:r>
    </w:p>
    <w:p w14:paraId="144D3A51">
      <w:pPr>
        <w:ind w:firstLine="630"/>
        <w:jc w:val="left"/>
        <w:rPr>
          <w:rFonts w:hint="eastAsia" w:ascii="黑体" w:hAnsi="黑体" w:eastAsia="黑体"/>
          <w:color w:val="auto"/>
          <w:sz w:val="32"/>
          <w:szCs w:val="32"/>
        </w:rPr>
      </w:pPr>
    </w:p>
    <w:p w14:paraId="35DAC077">
      <w:pPr>
        <w:ind w:firstLine="630"/>
        <w:jc w:val="left"/>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398F33B0">
      <w:pPr>
        <w:keepNext w:val="0"/>
        <w:keepLines w:val="0"/>
        <w:pageBreakBefore w:val="0"/>
        <w:kinsoku/>
        <w:wordWrap/>
        <w:overflowPunct/>
        <w:topLinePunct w:val="0"/>
        <w:autoSpaceDE/>
        <w:autoSpaceDN/>
        <w:bidi w:val="0"/>
        <w:snapToGrid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eastAsia="zh-CN"/>
        </w:rPr>
        <w:t>原建设局</w:t>
      </w:r>
      <w:r>
        <w:rPr>
          <w:rFonts w:hint="eastAsia" w:ascii="仿宋_GB2312" w:hAnsi="仿宋_GB2312" w:eastAsia="仿宋_GB2312" w:cs="仿宋_GB2312"/>
          <w:color w:val="auto"/>
          <w:sz w:val="32"/>
          <w:szCs w:val="32"/>
        </w:rPr>
        <w:t>部门201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年度支出总计</w:t>
      </w:r>
      <w:r>
        <w:rPr>
          <w:rFonts w:hint="eastAsia" w:ascii="仿宋_GB2312" w:hAnsi="仿宋_GB2312" w:eastAsia="仿宋_GB2312" w:cs="仿宋_GB2312"/>
          <w:color w:val="auto"/>
          <w:sz w:val="32"/>
          <w:szCs w:val="32"/>
          <w:lang w:val="en-US" w:eastAsia="zh-CN"/>
        </w:rPr>
        <w:t>6061.82</w:t>
      </w:r>
      <w:r>
        <w:rPr>
          <w:rFonts w:hint="eastAsia" w:ascii="仿宋_GB2312" w:hAnsi="仿宋_GB2312" w:eastAsia="仿宋_GB2312" w:cs="仿宋_GB2312"/>
          <w:color w:val="auto"/>
          <w:sz w:val="32"/>
          <w:szCs w:val="32"/>
        </w:rPr>
        <w:t>万元，其中本年支出合计</w:t>
      </w:r>
      <w:r>
        <w:rPr>
          <w:rFonts w:hint="eastAsia" w:ascii="仿宋_GB2312" w:hAnsi="仿宋_GB2312" w:eastAsia="仿宋_GB2312" w:cs="仿宋_GB2312"/>
          <w:color w:val="auto"/>
          <w:sz w:val="32"/>
          <w:szCs w:val="32"/>
          <w:lang w:val="en-US" w:eastAsia="zh-CN"/>
        </w:rPr>
        <w:t>4498.37</w:t>
      </w:r>
      <w:r>
        <w:rPr>
          <w:rFonts w:hint="eastAsia" w:ascii="仿宋_GB2312" w:hAnsi="仿宋_GB2312" w:eastAsia="仿宋_GB2312" w:cs="仿宋_GB2312"/>
          <w:color w:val="auto"/>
          <w:sz w:val="32"/>
          <w:szCs w:val="32"/>
        </w:rPr>
        <w:t>万元，较201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年增加</w:t>
      </w:r>
      <w:r>
        <w:rPr>
          <w:rFonts w:hint="eastAsia" w:ascii="仿宋_GB2312" w:hAnsi="仿宋_GB2312" w:eastAsia="仿宋_GB2312" w:cs="仿宋_GB2312"/>
          <w:color w:val="auto"/>
          <w:sz w:val="32"/>
          <w:szCs w:val="32"/>
          <w:lang w:val="en-US" w:eastAsia="zh-CN"/>
        </w:rPr>
        <w:t>1018.85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29.28</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color w:val="auto"/>
          <w:sz w:val="32"/>
          <w:szCs w:val="32"/>
          <w:lang w:val="en-US" w:eastAsia="zh-CN"/>
        </w:rPr>
        <w:t>2019年增加了两个决算单位</w:t>
      </w:r>
      <w:r>
        <w:rPr>
          <w:rFonts w:hint="eastAsia" w:ascii="仿宋_GB2312" w:hAnsi="仿宋_GB2312" w:eastAsia="仿宋_GB2312" w:cs="仿宋_GB2312"/>
          <w:color w:val="auto"/>
          <w:sz w:val="32"/>
          <w:szCs w:val="32"/>
        </w:rPr>
        <w:t>；年末结转和结余</w:t>
      </w:r>
      <w:r>
        <w:rPr>
          <w:rFonts w:hint="eastAsia" w:ascii="仿宋_GB2312" w:hAnsi="仿宋_GB2312" w:eastAsia="仿宋_GB2312" w:cs="仿宋_GB2312"/>
          <w:color w:val="auto"/>
          <w:sz w:val="32"/>
          <w:szCs w:val="32"/>
          <w:lang w:val="en-US" w:eastAsia="zh-CN"/>
        </w:rPr>
        <w:t>1563.46</w:t>
      </w:r>
      <w:r>
        <w:rPr>
          <w:rFonts w:hint="eastAsia" w:ascii="仿宋_GB2312" w:hAnsi="仿宋_GB2312" w:eastAsia="仿宋_GB2312" w:cs="仿宋_GB2312"/>
          <w:color w:val="auto"/>
          <w:sz w:val="32"/>
          <w:szCs w:val="32"/>
        </w:rPr>
        <w:t>万元，较201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年增加</w:t>
      </w:r>
      <w:r>
        <w:rPr>
          <w:rFonts w:hint="eastAsia" w:ascii="仿宋_GB2312" w:hAnsi="仿宋_GB2312" w:eastAsia="仿宋_GB2312" w:cs="仿宋_GB2312"/>
          <w:color w:val="auto"/>
          <w:sz w:val="32"/>
          <w:szCs w:val="32"/>
          <w:lang w:val="en-US" w:eastAsia="zh-CN"/>
        </w:rPr>
        <w:t>1475.37</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1674.84</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color w:val="auto"/>
          <w:sz w:val="32"/>
          <w:szCs w:val="32"/>
          <w:lang w:val="en-US" w:eastAsia="zh-CN"/>
        </w:rPr>
        <w:t>财政追加的1500万元燃气置换改造专</w:t>
      </w:r>
      <w:r>
        <w:rPr>
          <w:rFonts w:hint="default" w:ascii="Times New Roman" w:hAnsi="Times New Roman" w:eastAsia="仿宋_GB2312" w:cs="Times New Roman"/>
          <w:color w:val="auto"/>
          <w:sz w:val="32"/>
          <w:szCs w:val="32"/>
          <w:lang w:val="en-US" w:eastAsia="zh-CN"/>
        </w:rPr>
        <w:t>项费用由于项目尚未竣工结算，暂未支付。</w:t>
      </w:r>
    </w:p>
    <w:p w14:paraId="2FE4C3BB">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本年支出的具体构成为：基本支出</w:t>
      </w:r>
      <w:r>
        <w:rPr>
          <w:rFonts w:hint="eastAsia" w:ascii="仿宋_GB2312" w:hAnsi="仿宋_GB2312" w:eastAsia="仿宋_GB2312" w:cs="仿宋_GB2312"/>
          <w:color w:val="auto"/>
          <w:sz w:val="32"/>
          <w:szCs w:val="32"/>
          <w:lang w:val="en-US" w:eastAsia="zh-CN"/>
        </w:rPr>
        <w:t>2837.72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63.08</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1660.65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36.92</w:t>
      </w:r>
      <w:r>
        <w:rPr>
          <w:rFonts w:hint="eastAsia" w:ascii="仿宋_GB2312" w:hAnsi="仿宋_GB2312" w:eastAsia="仿宋_GB2312" w:cs="仿宋_GB2312"/>
          <w:color w:val="auto"/>
          <w:sz w:val="32"/>
          <w:szCs w:val="32"/>
        </w:rPr>
        <w:t>%。</w:t>
      </w:r>
    </w:p>
    <w:p w14:paraId="6556A62F">
      <w:pPr>
        <w:ind w:firstLine="630"/>
        <w:jc w:val="left"/>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313F4C27">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原建设局</w:t>
      </w:r>
      <w:r>
        <w:rPr>
          <w:rFonts w:hint="eastAsia" w:ascii="仿宋_GB2312" w:hAnsi="仿宋_GB2312" w:eastAsia="仿宋_GB2312" w:cs="仿宋_GB2312"/>
          <w:color w:val="auto"/>
          <w:sz w:val="32"/>
          <w:szCs w:val="32"/>
        </w:rPr>
        <w:t>部门201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 xml:space="preserve">年度财政拨款本年支出年初预算数为 </w:t>
      </w:r>
      <w:r>
        <w:rPr>
          <w:rFonts w:hint="eastAsia" w:ascii="仿宋_GB2312" w:hAnsi="仿宋_GB2312" w:eastAsia="仿宋_GB2312" w:cs="仿宋_GB2312"/>
          <w:color w:val="auto"/>
          <w:sz w:val="32"/>
          <w:szCs w:val="32"/>
          <w:lang w:val="en-US" w:eastAsia="zh-CN"/>
        </w:rPr>
        <w:t>2870.07</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4097.47</w:t>
      </w:r>
      <w:r>
        <w:rPr>
          <w:rFonts w:hint="eastAsia" w:ascii="仿宋_GB2312" w:hAnsi="仿宋_GB2312" w:eastAsia="仿宋_GB2312" w:cs="仿宋_GB2312"/>
          <w:color w:val="auto"/>
          <w:sz w:val="32"/>
          <w:szCs w:val="32"/>
        </w:rPr>
        <w:t xml:space="preserve">万元，完成年初预算的 </w:t>
      </w:r>
      <w:r>
        <w:rPr>
          <w:rFonts w:hint="eastAsia" w:ascii="仿宋_GB2312" w:hAnsi="仿宋_GB2312" w:eastAsia="仿宋_GB2312" w:cs="仿宋_GB2312"/>
          <w:color w:val="auto"/>
          <w:sz w:val="32"/>
          <w:szCs w:val="32"/>
          <w:lang w:val="en-US" w:eastAsia="zh-CN"/>
        </w:rPr>
        <w:t>142.76</w:t>
      </w:r>
      <w:r>
        <w:rPr>
          <w:rFonts w:hint="eastAsia" w:ascii="仿宋_GB2312" w:hAnsi="仿宋_GB2312" w:eastAsia="仿宋_GB2312" w:cs="仿宋_GB2312"/>
          <w:color w:val="auto"/>
          <w:sz w:val="32"/>
          <w:szCs w:val="32"/>
        </w:rPr>
        <w:t>%。其中：</w:t>
      </w:r>
    </w:p>
    <w:p w14:paraId="0C199C1B">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（一）一般公共服务支出年初预算数为</w:t>
      </w:r>
      <w:r>
        <w:rPr>
          <w:rFonts w:hint="eastAsia" w:ascii="仿宋_GB2312" w:hAnsi="仿宋_GB2312" w:eastAsia="仿宋_GB2312" w:cs="仿宋_GB2312"/>
          <w:color w:val="auto"/>
          <w:sz w:val="32"/>
          <w:szCs w:val="32"/>
          <w:lang w:val="en-US" w:eastAsia="zh-CN"/>
        </w:rPr>
        <w:t>129.65</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336.44</w:t>
      </w:r>
      <w:r>
        <w:rPr>
          <w:rFonts w:hint="eastAsia" w:ascii="仿宋_GB2312" w:hAnsi="仿宋_GB2312" w:eastAsia="仿宋_GB2312" w:cs="仿宋_GB2312"/>
          <w:color w:val="auto"/>
          <w:sz w:val="32"/>
          <w:szCs w:val="32"/>
        </w:rPr>
        <w:t xml:space="preserve">万元，完成年初预算的 </w:t>
      </w:r>
      <w:r>
        <w:rPr>
          <w:rFonts w:hint="eastAsia" w:ascii="仿宋_GB2312" w:hAnsi="仿宋_GB2312" w:eastAsia="仿宋_GB2312" w:cs="仿宋_GB2312"/>
          <w:color w:val="auto"/>
          <w:sz w:val="32"/>
          <w:szCs w:val="32"/>
          <w:lang w:val="en-US" w:eastAsia="zh-CN"/>
        </w:rPr>
        <w:t>259.50</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sz w:val="32"/>
          <w:szCs w:val="32"/>
          <w:lang w:val="en-US" w:eastAsia="zh-CN"/>
        </w:rPr>
        <w:t>财政追加了原建设局和房管局办公用房的租金支出198.6万元</w:t>
      </w:r>
      <w:r>
        <w:rPr>
          <w:rFonts w:hint="eastAsia" w:ascii="仿宋_GB2312" w:hAnsi="仿宋_GB2312" w:eastAsia="仿宋_GB2312" w:cs="仿宋_GB2312"/>
          <w:sz w:val="32"/>
          <w:szCs w:val="32"/>
        </w:rPr>
        <w:t>。</w:t>
      </w:r>
    </w:p>
    <w:p w14:paraId="24AAC208">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社会保障和就业</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183.60</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237.28</w:t>
      </w:r>
      <w:r>
        <w:rPr>
          <w:rFonts w:hint="eastAsia" w:ascii="仿宋_GB2312" w:hAnsi="仿宋_GB2312" w:eastAsia="仿宋_GB2312" w:cs="仿宋_GB2312"/>
          <w:color w:val="auto"/>
          <w:sz w:val="32"/>
          <w:szCs w:val="32"/>
        </w:rPr>
        <w:t>万元，完成年初预算</w:t>
      </w:r>
      <w:r>
        <w:rPr>
          <w:rFonts w:hint="eastAsia" w:ascii="仿宋_GB2312" w:hAnsi="仿宋_GB2312" w:eastAsia="仿宋_GB2312" w:cs="仿宋_GB2312"/>
          <w:color w:val="auto"/>
          <w:sz w:val="32"/>
          <w:szCs w:val="32"/>
          <w:lang w:val="en-US" w:eastAsia="zh-CN"/>
        </w:rPr>
        <w:t>的129.24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离退休人员病逝，追加抚恤金的预算支出</w:t>
      </w:r>
      <w:r>
        <w:rPr>
          <w:rFonts w:hint="eastAsia" w:ascii="仿宋_GB2312" w:hAnsi="仿宋_GB2312" w:eastAsia="仿宋_GB2312" w:cs="仿宋_GB2312"/>
          <w:color w:val="auto"/>
          <w:sz w:val="32"/>
          <w:szCs w:val="32"/>
        </w:rPr>
        <w:t>。</w:t>
      </w:r>
    </w:p>
    <w:p w14:paraId="307D5359">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91.01</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90.91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 xml:space="preserve"> 99.90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4F463B67">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城乡社区</w:t>
      </w:r>
      <w:r>
        <w:rPr>
          <w:rFonts w:hint="eastAsia" w:ascii="仿宋_GB2312" w:hAnsi="仿宋_GB2312" w:eastAsia="仿宋_GB2312" w:cs="仿宋_GB2312"/>
          <w:color w:val="auto"/>
          <w:sz w:val="32"/>
          <w:szCs w:val="32"/>
        </w:rPr>
        <w:t>支出年初预算数</w:t>
      </w:r>
      <w:r>
        <w:rPr>
          <w:rFonts w:hint="eastAsia" w:ascii="仿宋_GB2312" w:hAnsi="仿宋_GB2312" w:eastAsia="仿宋_GB2312" w:cs="仿宋_GB2312"/>
          <w:color w:val="auto"/>
          <w:sz w:val="32"/>
          <w:szCs w:val="32"/>
          <w:lang w:val="en-US" w:eastAsia="zh-CN"/>
        </w:rPr>
        <w:t>为2352.40</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3322.90</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141.26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lang w:val="en-US" w:eastAsia="zh-CN"/>
        </w:rPr>
        <w:t>增加了两个决算单位；二是部分单位政府性奖励金年初预算不准确；三是市政设施配套费收入增加，项目支出增加</w:t>
      </w:r>
      <w:r>
        <w:rPr>
          <w:rFonts w:hint="eastAsia" w:ascii="仿宋" w:hAnsi="仿宋" w:eastAsia="仿宋"/>
          <w:color w:val="auto"/>
          <w:sz w:val="32"/>
          <w:szCs w:val="32"/>
        </w:rPr>
        <w:t>。</w:t>
      </w:r>
    </w:p>
    <w:p w14:paraId="1591C016">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住房保障</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113.41</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109.94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96.94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2EEF446A">
      <w:pPr>
        <w:ind w:firstLine="585"/>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69541007">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2422.13</w:t>
      </w:r>
      <w:r>
        <w:rPr>
          <w:rFonts w:hint="eastAsia" w:ascii="仿宋_GB2312" w:hAnsi="仿宋_GB2312" w:eastAsia="仿宋_GB2312" w:cs="仿宋_GB2312"/>
          <w:sz w:val="32"/>
          <w:szCs w:val="32"/>
        </w:rPr>
        <w:t>万元，其中：</w:t>
      </w:r>
    </w:p>
    <w:p w14:paraId="285B65F4">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（一）工资福利支出</w:t>
      </w:r>
      <w:r>
        <w:rPr>
          <w:rFonts w:hint="eastAsia" w:ascii="仿宋_GB2312" w:hAnsi="仿宋_GB2312" w:eastAsia="仿宋_GB2312" w:cs="仿宋_GB2312"/>
          <w:sz w:val="32"/>
          <w:szCs w:val="32"/>
          <w:lang w:val="en-US" w:eastAsia="zh-CN"/>
        </w:rPr>
        <w:t>1987.42</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435.89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28.09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增加了两个预算单位，工资增长，政府性奖励金发放增加。</w:t>
      </w:r>
    </w:p>
    <w:p w14:paraId="633DB7BC">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（二）商品和服务支出</w:t>
      </w:r>
      <w:r>
        <w:rPr>
          <w:rFonts w:hint="eastAsia" w:ascii="仿宋_GB2312" w:hAnsi="仿宋_GB2312" w:eastAsia="仿宋_GB2312" w:cs="仿宋_GB2312"/>
          <w:sz w:val="32"/>
          <w:szCs w:val="32"/>
          <w:lang w:val="en-US" w:eastAsia="zh-CN"/>
        </w:rPr>
        <w:t>290.23</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146.26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101.59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增加了两个预算单位，办公设施费用增加。</w:t>
      </w:r>
    </w:p>
    <w:p w14:paraId="0B31104E">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（三）对个人和家庭补助支出</w:t>
      </w:r>
      <w:r>
        <w:rPr>
          <w:rFonts w:hint="eastAsia" w:ascii="仿宋_GB2312" w:hAnsi="仿宋_GB2312" w:eastAsia="仿宋_GB2312" w:cs="仿宋_GB2312"/>
          <w:sz w:val="32"/>
          <w:szCs w:val="32"/>
          <w:lang w:val="en-US" w:eastAsia="zh-CN"/>
        </w:rPr>
        <w:t>114.16</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18.55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19.40</w:t>
      </w:r>
      <w:r>
        <w:rPr>
          <w:rFonts w:hint="eastAsia" w:ascii="仿宋_GB2312" w:hAnsi="仿宋_GB2312" w:eastAsia="仿宋_GB2312" w:cs="仿宋_GB2312"/>
          <w:sz w:val="32"/>
          <w:szCs w:val="32"/>
        </w:rPr>
        <w:t xml:space="preserve"> %，主要原因是：</w:t>
      </w:r>
      <w:r>
        <w:rPr>
          <w:rFonts w:hint="eastAsia" w:ascii="仿宋_GB2312" w:hAnsi="仿宋_GB2312" w:eastAsia="仿宋_GB2312" w:cs="仿宋_GB2312"/>
          <w:sz w:val="32"/>
          <w:szCs w:val="32"/>
          <w:lang w:val="en-US" w:eastAsia="zh-CN"/>
        </w:rPr>
        <w:t>增加了三个死亡人员的抚恤金。</w:t>
      </w:r>
    </w:p>
    <w:p w14:paraId="76582E18">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（四）资本性支出</w:t>
      </w:r>
      <w:r>
        <w:rPr>
          <w:rFonts w:hint="eastAsia" w:ascii="仿宋_GB2312" w:hAnsi="仿宋_GB2312" w:eastAsia="仿宋_GB2312" w:cs="仿宋_GB2312"/>
          <w:sz w:val="32"/>
          <w:szCs w:val="32"/>
          <w:lang w:val="en-US" w:eastAsia="zh-CN"/>
        </w:rPr>
        <w:t>30.17</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1200.43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en-US" w:eastAsia="zh-CN"/>
        </w:rPr>
        <w:t>2018年原建设局本级未使用一般公共预算财政拨款经费采购办公设备，而2019年采购办公设备使用一般公共预算财政拨款经费；二是增加了两个预算单位，增加了办公设备购置费。</w:t>
      </w:r>
    </w:p>
    <w:p w14:paraId="51D70B66">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14:paraId="37FAE7C8">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年度一般公共预算财政拨款“三公”经费支出年初预算数为</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 xml:space="preserve"> 5.34</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 xml:space="preserve">预算的 </w:t>
      </w:r>
      <w:r>
        <w:rPr>
          <w:rFonts w:hint="eastAsia" w:ascii="仿宋_GB2312" w:hAnsi="仿宋_GB2312" w:eastAsia="仿宋_GB2312" w:cs="仿宋_GB2312"/>
          <w:sz w:val="32"/>
          <w:szCs w:val="32"/>
          <w:lang w:val="en-US" w:eastAsia="zh-CN"/>
        </w:rPr>
        <w:t>34.45</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6.54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55.05</w:t>
      </w:r>
      <w:r>
        <w:rPr>
          <w:rFonts w:hint="eastAsia" w:ascii="仿宋_GB2312" w:hAnsi="仿宋_GB2312" w:eastAsia="仿宋_GB2312" w:cs="仿宋_GB2312"/>
          <w:sz w:val="32"/>
          <w:szCs w:val="32"/>
        </w:rPr>
        <w:t xml:space="preserve"> %，其中：</w:t>
      </w:r>
    </w:p>
    <w:p w14:paraId="0915E699">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（一）因公出国（境）支出年初预算数为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万元，决算数为 </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 xml:space="preserve"> 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60.67</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2018年决算数为0。</w:t>
      </w:r>
      <w:r>
        <w:rPr>
          <w:rFonts w:hint="eastAsia" w:ascii="仿宋_GB2312" w:hAnsi="仿宋_GB2312" w:eastAsia="仿宋_GB2312" w:cs="仿宋_GB2312"/>
          <w:sz w:val="32"/>
          <w:szCs w:val="32"/>
        </w:rPr>
        <w:t>决算数较年初预算数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政府统一组织出国考察学习，严格控制费用支出</w:t>
      </w:r>
      <w:r>
        <w:rPr>
          <w:rFonts w:hint="eastAsia" w:ascii="仿宋_GB2312" w:hAnsi="仿宋_GB2312" w:eastAsia="仿宋_GB2312" w:cs="仿宋_GB2312"/>
          <w:sz w:val="32"/>
          <w:szCs w:val="32"/>
        </w:rPr>
        <w:t>。</w:t>
      </w:r>
    </w:p>
    <w:p w14:paraId="6D162E75">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（二）公务接待费支出年初预算数为 </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5.82</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 xml:space="preserve">万元，下降 </w:t>
      </w:r>
      <w:r>
        <w:rPr>
          <w:rFonts w:hint="eastAsia" w:ascii="仿宋_GB2312" w:hAnsi="仿宋_GB2312" w:eastAsia="仿宋_GB2312" w:cs="仿宋_GB2312"/>
          <w:sz w:val="32"/>
          <w:szCs w:val="32"/>
          <w:lang w:val="en-US" w:eastAsia="zh-CN"/>
        </w:rPr>
        <w:t>80.48</w:t>
      </w:r>
      <w:r>
        <w:rPr>
          <w:rFonts w:hint="eastAsia" w:ascii="仿宋_GB2312" w:hAnsi="仿宋_GB2312" w:eastAsia="仿宋_GB2312" w:cs="仿宋_GB2312"/>
          <w:sz w:val="32"/>
          <w:szCs w:val="32"/>
        </w:rPr>
        <w:t xml:space="preserve"> %。决算数较年初预算数减少的主要原因是：</w:t>
      </w:r>
      <w:r>
        <w:rPr>
          <w:rFonts w:hint="eastAsia" w:ascii="仿宋_GB2312" w:hAnsi="仿宋_GB2312" w:eastAsia="仿宋_GB2312" w:cs="仿宋_GB2312"/>
          <w:sz w:val="32"/>
          <w:szCs w:val="32"/>
          <w:lang w:val="en-US" w:eastAsia="zh-CN"/>
        </w:rPr>
        <w:t>严格执行中央八项规定精神，减少了公务接待次数和费用</w:t>
      </w:r>
      <w:r>
        <w:rPr>
          <w:rFonts w:hint="eastAsia" w:ascii="仿宋_GB2312" w:hAnsi="仿宋_GB2312" w:eastAsia="仿宋_GB2312" w:cs="仿宋_GB2312"/>
          <w:sz w:val="32"/>
          <w:szCs w:val="32"/>
        </w:rPr>
        <w:t>。</w:t>
      </w:r>
    </w:p>
    <w:p w14:paraId="11110518">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（三）公务用车购置及运行维护费支出 </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万元，其中公务用车购置年初预算数为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决算数为0</w:t>
      </w:r>
      <w:r>
        <w:rPr>
          <w:rFonts w:hint="eastAsia" w:ascii="仿宋_GB2312" w:hAnsi="仿宋_GB2312" w:eastAsia="仿宋_GB2312" w:cs="仿宋_GB2312"/>
          <w:sz w:val="32"/>
          <w:szCs w:val="32"/>
        </w:rPr>
        <w:t>。公务用车运行维护费支出年初预算数为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 xml:space="preserve">预算的 </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年减少 </w:t>
      </w:r>
      <w:r>
        <w:rPr>
          <w:rFonts w:hint="eastAsia" w:ascii="仿宋_GB2312" w:hAnsi="仿宋_GB2312" w:eastAsia="仿宋_GB2312" w:cs="仿宋_GB2312"/>
          <w:sz w:val="32"/>
          <w:szCs w:val="32"/>
          <w:lang w:val="en-US" w:eastAsia="zh-CN"/>
        </w:rPr>
        <w:t>8.47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82.71</w:t>
      </w:r>
      <w:r>
        <w:rPr>
          <w:rFonts w:hint="eastAsia" w:ascii="仿宋_GB2312" w:hAnsi="仿宋_GB2312" w:eastAsia="仿宋_GB2312" w:cs="仿宋_GB2312"/>
          <w:sz w:val="32"/>
          <w:szCs w:val="32"/>
        </w:rPr>
        <w:t>%。决算数较年初预算数减少的主要原因是</w:t>
      </w:r>
      <w:r>
        <w:rPr>
          <w:rFonts w:hint="eastAsia" w:ascii="仿宋_GB2312" w:hAnsi="仿宋_GB2312" w:eastAsia="仿宋_GB2312" w:cs="仿宋_GB2312"/>
          <w:sz w:val="32"/>
          <w:szCs w:val="32"/>
          <w:lang w:eastAsia="zh-CN"/>
        </w:rPr>
        <w:t>：严格加强公车管理</w:t>
      </w:r>
      <w:r>
        <w:rPr>
          <w:rFonts w:hint="eastAsia" w:ascii="仿宋_GB2312" w:hAnsi="仿宋_GB2312" w:eastAsia="仿宋_GB2312" w:cs="仿宋_GB2312"/>
          <w:sz w:val="32"/>
          <w:szCs w:val="32"/>
        </w:rPr>
        <w:t>。</w:t>
      </w:r>
    </w:p>
    <w:p w14:paraId="28033AE3">
      <w:pPr>
        <w:jc w:val="left"/>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六、机关运行经费支出情况说明</w:t>
      </w:r>
    </w:p>
    <w:p w14:paraId="34FA5CF1">
      <w:pPr>
        <w:ind w:firstLine="63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180.05</w:t>
      </w:r>
      <w:r>
        <w:rPr>
          <w:rFonts w:hint="eastAsia" w:ascii="仿宋_GB2312" w:hAnsi="仿宋_GB2312" w:eastAsia="仿宋_GB2312" w:cs="仿宋_GB2312"/>
          <w:sz w:val="32"/>
          <w:szCs w:val="32"/>
        </w:rPr>
        <w:t>万元，较年初预算数增加</w:t>
      </w:r>
      <w:r>
        <w:rPr>
          <w:rFonts w:hint="eastAsia" w:ascii="仿宋_GB2312" w:hAnsi="仿宋_GB2312" w:eastAsia="仿宋_GB2312" w:cs="仿宋_GB2312"/>
          <w:sz w:val="32"/>
          <w:szCs w:val="32"/>
          <w:lang w:val="en-US" w:eastAsia="zh-CN"/>
        </w:rPr>
        <w:t>13.59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 w:val="0"/>
          <w:bCs w:val="0"/>
          <w:sz w:val="32"/>
          <w:szCs w:val="32"/>
          <w:lang w:val="en-US" w:eastAsia="zh-CN"/>
        </w:rPr>
        <w:t>办公设施设备购置经费增加</w:t>
      </w:r>
      <w:r>
        <w:rPr>
          <w:rFonts w:hint="eastAsia" w:ascii="仿宋_GB2312" w:hAnsi="仿宋_GB2312" w:eastAsia="仿宋_GB2312" w:cs="仿宋_GB2312"/>
          <w:b w:val="0"/>
          <w:bCs w:val="0"/>
          <w:sz w:val="32"/>
          <w:szCs w:val="32"/>
        </w:rPr>
        <w:t>。</w:t>
      </w:r>
    </w:p>
    <w:p w14:paraId="15313E9B">
      <w:pPr>
        <w:ind w:firstLine="630"/>
        <w:jc w:val="left"/>
        <w:rPr>
          <w:rFonts w:ascii="黑体" w:hAnsi="黑体" w:eastAsia="黑体"/>
          <w:sz w:val="32"/>
          <w:szCs w:val="32"/>
        </w:rPr>
      </w:pPr>
      <w:r>
        <w:rPr>
          <w:rFonts w:hint="eastAsia" w:ascii="黑体" w:hAnsi="黑体" w:eastAsia="黑体"/>
          <w:sz w:val="32"/>
          <w:szCs w:val="32"/>
        </w:rPr>
        <w:t>七、政府采购支出情况说明</w:t>
      </w:r>
    </w:p>
    <w:p w14:paraId="1BA94BB5">
      <w:pPr>
        <w:pStyle w:val="4"/>
        <w:spacing w:line="600" w:lineRule="atLeas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原建设局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16.30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2C902B6">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14:paraId="0DED3AC0">
      <w:pPr>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bookmarkStart w:id="0" w:name="_GoBack"/>
      <w:bookmarkEnd w:id="0"/>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kern w:val="0"/>
          <w:sz w:val="32"/>
          <w:szCs w:val="32"/>
          <w:lang w:val="en-US" w:eastAsia="zh-CN"/>
        </w:rPr>
        <w:t>原建设局国有资产占用情况见公开09表《国有资产占用情况表》。其中车辆中的执法执勤用车主要是建筑市场督查执法用车</w:t>
      </w:r>
      <w:r>
        <w:rPr>
          <w:rFonts w:hint="eastAsia" w:ascii="仿宋_GB2312" w:hAnsi="仿宋_GB2312" w:eastAsia="仿宋_GB2312" w:cs="仿宋_GB2312"/>
          <w:kern w:val="0"/>
          <w:sz w:val="32"/>
          <w:szCs w:val="32"/>
        </w:rPr>
        <w:t>。</w:t>
      </w:r>
    </w:p>
    <w:p w14:paraId="52D86A82">
      <w:pPr>
        <w:ind w:firstLine="630"/>
        <w:jc w:val="left"/>
        <w:rPr>
          <w:rFonts w:hint="eastAsia" w:ascii="黑体" w:hAnsi="黑体" w:eastAsia="黑体"/>
          <w:sz w:val="32"/>
          <w:szCs w:val="32"/>
        </w:rPr>
      </w:pPr>
      <w:r>
        <w:rPr>
          <w:rFonts w:hint="eastAsia" w:ascii="黑体" w:hAnsi="黑体" w:eastAsia="黑体"/>
          <w:sz w:val="32"/>
          <w:szCs w:val="32"/>
        </w:rPr>
        <w:t>九、预算绩效情况说明</w:t>
      </w:r>
    </w:p>
    <w:p w14:paraId="20F90FA8">
      <w:pPr>
        <w:autoSpaceDE w:val="0"/>
        <w:autoSpaceDN w:val="0"/>
        <w:adjustRightInd w:val="0"/>
        <w:spacing w:line="360" w:lineRule="auto"/>
        <w:jc w:val="left"/>
        <w:rPr>
          <w:rFonts w:hint="eastAsia" w:ascii="仿宋_GB2312" w:hAnsi="仿宋_GB2312" w:eastAsia="仿宋_GB2312" w:cs="仿宋_GB2312"/>
          <w:b/>
          <w:bCs/>
          <w:kern w:val="0"/>
          <w:sz w:val="32"/>
          <w:szCs w:val="32"/>
        </w:rPr>
      </w:pPr>
      <w:r>
        <w:rPr>
          <w:rFonts w:hint="eastAsia" w:ascii="仿宋" w:hAnsi="仿宋" w:eastAsia="仿宋" w:cs="仿宋_GB2312"/>
          <w:kern w:val="0"/>
          <w:sz w:val="32"/>
          <w:szCs w:val="32"/>
        </w:rPr>
        <w:t xml:space="preserve">   </w:t>
      </w:r>
      <w:r>
        <w:rPr>
          <w:rFonts w:hint="eastAsia" w:ascii="仿宋_GB2312" w:hAnsi="仿宋_GB2312" w:eastAsia="仿宋_GB2312" w:cs="仿宋_GB2312"/>
          <w:b/>
          <w:bCs/>
          <w:kern w:val="0"/>
          <w:sz w:val="32"/>
          <w:szCs w:val="32"/>
        </w:rPr>
        <w:t>（一）绩效管理工作开展情况</w:t>
      </w:r>
    </w:p>
    <w:p w14:paraId="2B8261F8">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val="en-US"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 xml:space="preserve">个，共涉及资金 </w:t>
      </w:r>
      <w:r>
        <w:rPr>
          <w:rFonts w:hint="eastAsia" w:ascii="仿宋_GB2312" w:hAnsi="仿宋_GB2312" w:eastAsia="仿宋_GB2312" w:cs="仿宋_GB2312"/>
          <w:kern w:val="0"/>
          <w:sz w:val="32"/>
          <w:szCs w:val="32"/>
          <w:lang w:val="en-US" w:eastAsia="zh-CN"/>
        </w:rPr>
        <w:t>769.4</w:t>
      </w:r>
      <w:r>
        <w:rPr>
          <w:rFonts w:hint="eastAsia" w:ascii="仿宋_GB2312" w:hAnsi="仿宋_GB2312" w:eastAsia="仿宋_GB2312" w:cs="仿宋_GB2312"/>
          <w:kern w:val="0"/>
          <w:sz w:val="32"/>
          <w:szCs w:val="32"/>
        </w:rPr>
        <w:t>万元，占一般公共预算项目支出总额的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14:paraId="75B2D09D">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w:t>
      </w:r>
      <w:r>
        <w:rPr>
          <w:rFonts w:hint="eastAsia" w:ascii="仿宋_GB2312" w:hAnsi="仿宋_GB2312" w:eastAsia="仿宋_GB2312" w:cs="仿宋_GB2312"/>
          <w:kern w:val="0"/>
          <w:sz w:val="32"/>
          <w:szCs w:val="32"/>
          <w:lang w:val="en-US" w:eastAsia="zh-CN"/>
        </w:rPr>
        <w:t>开展</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评价，涉及一般公共预算支出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万元。从评价情况来看，</w:t>
      </w:r>
      <w:r>
        <w:rPr>
          <w:rFonts w:hint="eastAsia" w:ascii="仿宋_GB2312" w:hAnsi="仿宋_GB2312" w:eastAsia="仿宋_GB2312" w:cs="仿宋_GB2312"/>
          <w:kern w:val="0"/>
          <w:sz w:val="32"/>
          <w:szCs w:val="32"/>
          <w:lang w:val="en-US" w:eastAsia="zh-CN"/>
        </w:rPr>
        <w:t>项目整体运行效果良好，项目组织实施完成情况良好，为社会和生态等带来了效益。</w:t>
      </w:r>
    </w:p>
    <w:p w14:paraId="2C2BC2A8">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（二）部门决算中项目绩效自评结果</w:t>
      </w:r>
    </w:p>
    <w:p w14:paraId="6FAB25FC">
      <w:pPr>
        <w:autoSpaceDE w:val="0"/>
        <w:autoSpaceDN w:val="0"/>
        <w:adjustRightInd w:val="0"/>
        <w:spacing w:line="360" w:lineRule="auto"/>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我部门今年在</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级部门决算中反映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项目绩效自评结果。</w:t>
      </w:r>
    </w:p>
    <w:p w14:paraId="6D3BF6DE">
      <w:pPr>
        <w:autoSpaceDE w:val="0"/>
        <w:autoSpaceDN w:val="0"/>
        <w:adjustRightInd w:val="0"/>
        <w:spacing w:line="360" w:lineRule="auto"/>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项目绩效自评综述：根据年初设定的绩效目标，</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项目绩效自评得分为</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分。项目全年预算数为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万元，执行数为</w:t>
      </w:r>
      <w:r>
        <w:rPr>
          <w:rFonts w:hint="eastAsia" w:ascii="仿宋_GB2312" w:hAnsi="仿宋_GB2312" w:eastAsia="仿宋_GB2312" w:cs="仿宋_GB2312"/>
          <w:kern w:val="0"/>
          <w:sz w:val="32"/>
          <w:szCs w:val="32"/>
          <w:lang w:val="en-US" w:eastAsia="zh-CN"/>
        </w:rPr>
        <w:t>121</w:t>
      </w:r>
      <w:r>
        <w:rPr>
          <w:rFonts w:hint="eastAsia" w:ascii="仿宋_GB2312" w:hAnsi="仿宋_GB2312" w:eastAsia="仿宋_GB2312" w:cs="仿宋_GB2312"/>
          <w:kern w:val="0"/>
          <w:sz w:val="32"/>
          <w:szCs w:val="32"/>
        </w:rPr>
        <w:t>万元，完成预算的</w:t>
      </w:r>
      <w:r>
        <w:rPr>
          <w:rFonts w:hint="eastAsia" w:ascii="仿宋_GB2312" w:hAnsi="仿宋_GB2312" w:eastAsia="仿宋_GB2312" w:cs="仿宋_GB2312"/>
          <w:kern w:val="0"/>
          <w:sz w:val="32"/>
          <w:szCs w:val="32"/>
          <w:lang w:val="en-US" w:eastAsia="zh-CN"/>
        </w:rPr>
        <w:t>100.08</w:t>
      </w:r>
      <w:r>
        <w:rPr>
          <w:rFonts w:hint="eastAsia" w:ascii="仿宋_GB2312" w:hAnsi="仿宋_GB2312" w:eastAsia="仿宋_GB2312" w:cs="仿宋_GB2312"/>
          <w:kern w:val="0"/>
          <w:sz w:val="32"/>
          <w:szCs w:val="32"/>
        </w:rPr>
        <w:t>%。主要产出和效果：一</w:t>
      </w:r>
      <w:r>
        <w:rPr>
          <w:rFonts w:hint="eastAsia" w:ascii="仿宋_GB2312" w:hAnsi="仿宋_GB2312" w:eastAsia="仿宋_GB2312" w:cs="仿宋_GB2312"/>
          <w:kern w:val="0"/>
          <w:sz w:val="32"/>
          <w:szCs w:val="32"/>
          <w:lang w:val="en-US" w:eastAsia="zh-CN"/>
        </w:rPr>
        <w:t>是完成了2019年度“八大员”、“三类人员”及特种作业人员等培训任务。</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遵循“先培训考核、后持证上岗”的原则，完善农民工培训制度</w:t>
      </w:r>
      <w:r>
        <w:rPr>
          <w:rFonts w:hint="eastAsia" w:ascii="仿宋_GB2312" w:hAnsi="仿宋_GB2312" w:eastAsia="仿宋_GB2312" w:cs="仿宋_GB2312"/>
          <w:kern w:val="0"/>
          <w:sz w:val="32"/>
          <w:szCs w:val="32"/>
        </w:rPr>
        <w:t>。发现的问题及原因：一是</w:t>
      </w:r>
      <w:r>
        <w:rPr>
          <w:rFonts w:hint="eastAsia" w:ascii="仿宋_GB2312" w:hAnsi="仿宋_GB2312" w:eastAsia="仿宋_GB2312" w:cs="仿宋_GB2312"/>
          <w:kern w:val="0"/>
          <w:sz w:val="32"/>
          <w:szCs w:val="32"/>
          <w:lang w:val="en-US" w:eastAsia="zh-CN"/>
        </w:rPr>
        <w:t>没有建立健全培训信息化管理平台</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val="en-US" w:eastAsia="zh-CN"/>
        </w:rPr>
        <w:t>管理制度还需健全</w:t>
      </w:r>
      <w:r>
        <w:rPr>
          <w:rFonts w:hint="eastAsia" w:ascii="仿宋_GB2312" w:hAnsi="仿宋_GB2312" w:eastAsia="仿宋_GB2312" w:cs="仿宋_GB2312"/>
          <w:kern w:val="0"/>
          <w:sz w:val="32"/>
          <w:szCs w:val="32"/>
        </w:rPr>
        <w:t>。下一步改进措施：一是</w:t>
      </w:r>
      <w:r>
        <w:rPr>
          <w:rFonts w:hint="eastAsia" w:ascii="仿宋_GB2312" w:hAnsi="仿宋_GB2312" w:eastAsia="仿宋_GB2312" w:cs="仿宋_GB2312"/>
          <w:kern w:val="0"/>
          <w:sz w:val="32"/>
          <w:szCs w:val="32"/>
          <w:lang w:val="en-US" w:eastAsia="zh-CN"/>
        </w:rPr>
        <w:t>着手建立培训信息化管理平台，运用网络开展培训考核工作。</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val="en-US" w:eastAsia="zh-CN"/>
        </w:rPr>
        <w:t>健全培训考核制度，对培训考核工作建档立卡、存档备查</w:t>
      </w:r>
      <w:r>
        <w:rPr>
          <w:rFonts w:hint="eastAsia" w:ascii="仿宋_GB2312" w:hAnsi="仿宋_GB2312" w:eastAsia="仿宋_GB2312" w:cs="仿宋_GB2312"/>
          <w:kern w:val="0"/>
          <w:sz w:val="32"/>
          <w:szCs w:val="32"/>
        </w:rPr>
        <w:t>。</w:t>
      </w:r>
    </w:p>
    <w:p w14:paraId="455E2EF8">
      <w:pPr>
        <w:autoSpaceDE w:val="0"/>
        <w:autoSpaceDN w:val="0"/>
        <w:adjustRightInd w:val="0"/>
        <w:spacing w:line="360" w:lineRule="auto"/>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项目绩效自评综述：</w:t>
      </w:r>
      <w:r>
        <w:rPr>
          <w:rFonts w:hint="eastAsia" w:ascii="仿宋_GB2312" w:hAnsi="仿宋_GB2312" w:eastAsia="仿宋_GB2312" w:cs="仿宋_GB2312"/>
          <w:kern w:val="0"/>
          <w:sz w:val="32"/>
          <w:szCs w:val="32"/>
          <w:lang w:val="en-US" w:eastAsia="zh-CN"/>
        </w:rPr>
        <w:t>贯彻文件精神，秉持“先培训考核、后持证上岗”的原则全面强化建设业操作人员技能，完成了预期培训指标，对建筑领域人才进行了实训，提高了人才的专业知识和专业技能。</w:t>
      </w:r>
    </w:p>
    <w:p w14:paraId="05160F0F">
      <w:pPr>
        <w:autoSpaceDE w:val="0"/>
        <w:autoSpaceDN w:val="0"/>
        <w:adjustRightInd w:val="0"/>
        <w:spacing w:line="360" w:lineRule="auto"/>
        <w:ind w:firstLine="643" w:firstLineChars="200"/>
        <w:jc w:val="center"/>
        <w:rPr>
          <w:rFonts w:hint="eastAsia" w:ascii="宋体" w:hAnsi="宋体"/>
          <w:b/>
          <w:sz w:val="32"/>
          <w:szCs w:val="32"/>
        </w:rPr>
      </w:pPr>
    </w:p>
    <w:p w14:paraId="3D7D1892">
      <w:pPr>
        <w:autoSpaceDE w:val="0"/>
        <w:autoSpaceDN w:val="0"/>
        <w:adjustRightInd w:val="0"/>
        <w:spacing w:line="360" w:lineRule="auto"/>
        <w:ind w:firstLine="643" w:firstLineChars="200"/>
        <w:jc w:val="center"/>
        <w:rPr>
          <w:rFonts w:hint="eastAsia" w:ascii="宋体" w:hAnsi="宋体"/>
          <w:b/>
          <w:sz w:val="32"/>
          <w:szCs w:val="32"/>
        </w:rPr>
      </w:pPr>
      <w:r>
        <w:rPr>
          <w:rFonts w:hint="eastAsia" w:ascii="宋体" w:hAnsi="宋体"/>
          <w:b/>
          <w:sz w:val="32"/>
          <w:szCs w:val="32"/>
        </w:rPr>
        <w:t>第四部分  名词解释</w:t>
      </w:r>
    </w:p>
    <w:p w14:paraId="674BDA74">
      <w:pPr>
        <w:widowControl/>
        <w:spacing w:line="600" w:lineRule="exact"/>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（一）财政拨款：指</w:t>
      </w:r>
      <w:r>
        <w:rPr>
          <w:rFonts w:hint="eastAsia" w:ascii="仿宋_GB2312" w:eastAsia="仿宋_GB2312"/>
          <w:color w:val="auto"/>
          <w:sz w:val="32"/>
          <w:szCs w:val="32"/>
          <w:lang w:eastAsia="zh-CN"/>
        </w:rPr>
        <w:t>市级</w:t>
      </w:r>
      <w:r>
        <w:rPr>
          <w:rFonts w:hint="eastAsia" w:ascii="仿宋_GB2312" w:eastAsia="仿宋_GB2312"/>
          <w:color w:val="auto"/>
          <w:sz w:val="32"/>
          <w:szCs w:val="32"/>
        </w:rPr>
        <w:t>财政当年拨付的资金。</w:t>
      </w:r>
    </w:p>
    <w:p w14:paraId="70A669C0">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14:paraId="5C3BFC0A">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（三）事业单位经营收入：指事业单位在专业业务活动及辅助活动之外开展非独立核算经营活动取得的收入。</w:t>
      </w:r>
    </w:p>
    <w:p w14:paraId="1ED8DB8A">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（四）其他收入：指除财政拨款、事业收入、事业单位经营收入等以外的各项收入。</w:t>
      </w:r>
    </w:p>
    <w:p w14:paraId="5215834A">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（五）附属单位上缴收入：反映事业单位附属的独立核算单位按规定标准或比例缴纳的各项收入。包括附属的事业单位上缴的收入和附属的企业上缴的利润等。</w:t>
      </w:r>
    </w:p>
    <w:p w14:paraId="19B277FE">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（六）上级补助收入：反映事业单位从主管部门和上级单位取得的非财政补助收入。</w:t>
      </w:r>
    </w:p>
    <w:p w14:paraId="2C2EC3FE">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（七）用事业基金弥补收支差额：填列事业单位用事业基金弥补收支差额的数额。</w:t>
      </w:r>
    </w:p>
    <w:p w14:paraId="16DE18F2">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（八）上年结转和结余：填列全部结转和结余的资金数，包括当年结转结余资金和历年滚存结转结余资金。</w:t>
      </w:r>
    </w:p>
    <w:p w14:paraId="2375B63B">
      <w:pPr>
        <w:widowControl/>
        <w:numPr>
          <w:ilvl w:val="0"/>
          <w:numId w:val="0"/>
        </w:numPr>
        <w:spacing w:line="60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（九）结转下年：指以前年度预算安排、因客观条件发生变化无法按原计划实施，需延迟到以后年度按原规定用途继续使用的资金。</w:t>
      </w:r>
    </w:p>
    <w:p w14:paraId="10F4CF12">
      <w:pPr>
        <w:widowControl/>
        <w:spacing w:line="580" w:lineRule="exact"/>
        <w:ind w:firstLine="61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（十）基本支出：指为保证机构正常运转，完成日常工作任务而发生的人员支出和公用支出。</w:t>
      </w:r>
    </w:p>
    <w:p w14:paraId="621B2206">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（十一）项目支出：指在基本支出之外为完成特定行政任务和事业发展目标所发生的支出。</w:t>
      </w:r>
    </w:p>
    <w:p w14:paraId="6D9CDDF0">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（十二）事业单位经营支出：指事业单位在专业业务活动及其辅助的活动之外开展非独立核算经营活动发生的支出。</w:t>
      </w:r>
    </w:p>
    <w:p w14:paraId="19BFB5C8">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三）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1548E0">
      <w:pPr>
        <w:widowControl/>
        <w:spacing w:line="580" w:lineRule="exact"/>
        <w:ind w:firstLine="6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四）机关运行经费：为保障行政单位（包括参照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以及其他费用。</w:t>
      </w:r>
      <w:r>
        <w:rPr>
          <w:rFonts w:hint="eastAsia" w:ascii="仿宋_GB2312" w:hAnsi="仿宋_GB2312" w:eastAsia="仿宋_GB2312" w:cs="仿宋_GB2312"/>
          <w:kern w:val="0"/>
          <w:sz w:val="32"/>
          <w:szCs w:val="32"/>
        </w:rPr>
        <w:t xml:space="preserve">   </w:t>
      </w:r>
    </w:p>
    <w:p w14:paraId="13A05045">
      <w:pPr>
        <w:ind w:firstLine="630"/>
        <w:jc w:val="left"/>
        <w:rPr>
          <w:rFonts w:ascii="仿宋" w:hAnsi="仿宋" w:eastAsia="仿宋"/>
          <w:sz w:val="32"/>
          <w:szCs w:val="32"/>
        </w:rPr>
      </w:pPr>
    </w:p>
    <w:p w14:paraId="32034CE3">
      <w:pPr>
        <w:rPr>
          <w:sz w:val="32"/>
          <w:szCs w:val="32"/>
        </w:rPr>
      </w:pPr>
    </w:p>
    <w:p w14:paraId="5A9E21E6">
      <w:pPr>
        <w:ind w:firstLine="630"/>
        <w:jc w:val="left"/>
        <w:rPr>
          <w:rFonts w:hint="eastAsia" w:ascii="仿宋_GB2312" w:hAnsi="仿宋_GB2312" w:eastAsia="仿宋_GB2312" w:cs="仿宋_GB2312"/>
          <w:b w:val="0"/>
          <w:bCs w:val="0"/>
          <w:sz w:val="32"/>
          <w:szCs w:val="32"/>
        </w:rPr>
      </w:pPr>
    </w:p>
    <w:p w14:paraId="7D4FBC6A">
      <w:pPr>
        <w:rPr>
          <w:rFonts w:hint="eastAsia" w:ascii="仿宋_GB2312" w:hAnsi="仿宋_GB2312" w:eastAsia="仿宋_GB2312" w:cs="仿宋_GB2312"/>
          <w:sz w:val="32"/>
          <w:szCs w:val="32"/>
          <w:lang w:val="en-US" w:eastAsia="zh-CN"/>
        </w:rPr>
      </w:pP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7C8E"/>
    <w:multiLevelType w:val="singleLevel"/>
    <w:tmpl w:val="711E7C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zAyZDY2ZTI4MjFlNGI2YWY4OTFkMThhODVkZjIifQ=="/>
  </w:docVars>
  <w:rsids>
    <w:rsidRoot w:val="7AAC67AD"/>
    <w:rsid w:val="02B26E8E"/>
    <w:rsid w:val="080826A2"/>
    <w:rsid w:val="130C1524"/>
    <w:rsid w:val="1F1130C5"/>
    <w:rsid w:val="2DCC58D8"/>
    <w:rsid w:val="301E1B99"/>
    <w:rsid w:val="332B0883"/>
    <w:rsid w:val="3A03616A"/>
    <w:rsid w:val="5CC52C92"/>
    <w:rsid w:val="6D697D90"/>
    <w:rsid w:val="78522561"/>
    <w:rsid w:val="7867638C"/>
    <w:rsid w:val="7AAC67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4990</Words>
  <Characters>5492</Characters>
  <Lines>0</Lines>
  <Paragraphs>0</Paragraphs>
  <TotalTime>0</TotalTime>
  <ScaleCrop>false</ScaleCrop>
  <LinksUpToDate>false</LinksUpToDate>
  <CharactersWithSpaces>5625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2020-10-15T03:07:00Z</dcterms:created>
  <dc:creator>lenovo</dc:creator>
  <cp:lastModifiedBy>嘟嘟</cp:lastModifiedBy>
  <dcterms:modified xsi:type="dcterms:W3CDTF">2026-07-20T08:38:22Z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920EEA6CD2974FBD98403A8C60733DC3_12</vt:lpwstr>
  </property>
  <property fmtid="{D5CDD505-2E9C-101B-9397-08002B2CF9AE}" pid="4" name="KSOTemplateDocerSaveRecord">
    <vt:lpwstr>eyJoZGlkIjoiMjE2YWY5NzI1MThhZDljY2U3MzkwYzYyOTljZjg5ZmIiLCJ1c2VySWQiOiI0MjQ5NjU3NjUifQ==</vt:lpwstr>
  </property>
</Properties>
</file>