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C36B0">
      <w:pPr>
        <w:spacing w:line="600" w:lineRule="exact"/>
        <w:jc w:val="center"/>
        <w:rPr>
          <w:rFonts w:hint="eastAsia" w:ascii="黑体" w:hAnsi="黑体" w:eastAsia="黑体"/>
          <w:sz w:val="44"/>
          <w:szCs w:val="36"/>
          <w:lang w:eastAsia="zh-CN"/>
        </w:rPr>
      </w:pPr>
      <w:r>
        <w:rPr>
          <w:rFonts w:hint="eastAsia" w:ascii="黑体" w:hAnsi="黑体" w:eastAsia="黑体"/>
          <w:sz w:val="44"/>
          <w:szCs w:val="36"/>
          <w:lang w:eastAsia="zh-CN"/>
        </w:rPr>
        <w:t>景德镇市人民政府办公室</w:t>
      </w:r>
    </w:p>
    <w:p w14:paraId="781A045E">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6B05C7BA">
      <w:pPr>
        <w:spacing w:line="600" w:lineRule="exact"/>
        <w:jc w:val="center"/>
        <w:rPr>
          <w:rFonts w:hint="eastAsia" w:ascii="黑体" w:eastAsia="黑体"/>
          <w:sz w:val="44"/>
          <w:szCs w:val="36"/>
        </w:rPr>
      </w:pPr>
    </w:p>
    <w:p w14:paraId="701D2A78">
      <w:pPr>
        <w:spacing w:line="600" w:lineRule="exact"/>
        <w:jc w:val="center"/>
        <w:rPr>
          <w:rFonts w:hint="eastAsia" w:ascii="黑体" w:eastAsia="黑体"/>
          <w:sz w:val="40"/>
          <w:szCs w:val="36"/>
        </w:rPr>
      </w:pPr>
      <w:r>
        <w:rPr>
          <w:rFonts w:hint="eastAsia" w:ascii="黑体" w:eastAsia="黑体"/>
          <w:sz w:val="40"/>
          <w:szCs w:val="36"/>
        </w:rPr>
        <w:t>目    录</w:t>
      </w:r>
    </w:p>
    <w:p w14:paraId="4AA1F092">
      <w:pPr>
        <w:widowControl/>
        <w:spacing w:line="600" w:lineRule="exact"/>
        <w:ind w:firstLine="640"/>
        <w:jc w:val="left"/>
        <w:rPr>
          <w:rFonts w:hint="eastAsia" w:ascii="仿宋_GB2312" w:eastAsia="仿宋_GB2312"/>
          <w:sz w:val="32"/>
          <w:szCs w:val="30"/>
        </w:rPr>
      </w:pPr>
    </w:p>
    <w:p w14:paraId="4582DD99">
      <w:pPr>
        <w:widowControl/>
        <w:spacing w:line="600" w:lineRule="exact"/>
        <w:ind w:firstLine="640"/>
        <w:jc w:val="left"/>
        <w:rPr>
          <w:rFonts w:hint="eastAsia" w:ascii="黑体" w:hAnsi="黑体" w:eastAsia="黑体"/>
          <w:b/>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景德镇市人民政府办公室</w:t>
      </w:r>
      <w:r>
        <w:rPr>
          <w:rFonts w:hint="eastAsia" w:ascii="黑体" w:hAnsi="黑体" w:eastAsia="黑体"/>
          <w:sz w:val="32"/>
          <w:szCs w:val="32"/>
          <w:lang w:val="en-US" w:eastAsia="zh-CN"/>
        </w:rPr>
        <w:t>部门</w:t>
      </w:r>
      <w:r>
        <w:rPr>
          <w:rFonts w:hint="eastAsia" w:ascii="黑体" w:hAnsi="黑体" w:eastAsia="黑体"/>
          <w:sz w:val="32"/>
          <w:szCs w:val="32"/>
        </w:rPr>
        <w:t>概况</w:t>
      </w:r>
    </w:p>
    <w:p w14:paraId="3D19D734">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23D779F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03A4662A">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6589FD4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1E1FE62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063D47A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04C1570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1E0481F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162B30C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22BBD69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209C654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0EB9E43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22F1528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1339495E">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04E15B5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D9B0CD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6A8CDAF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6B8E228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59A8E1E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5E98995A">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783D94D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1C10FA2F">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104312F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28BB3FD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4F81D412">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3A91C9FF">
      <w:pPr>
        <w:ind w:firstLine="630"/>
        <w:jc w:val="center"/>
        <w:rPr>
          <w:rFonts w:hint="eastAsia" w:ascii="宋体" w:hAnsi="宋体"/>
          <w:b/>
          <w:sz w:val="36"/>
          <w:szCs w:val="36"/>
        </w:rPr>
      </w:pPr>
    </w:p>
    <w:p w14:paraId="04350222">
      <w:pPr>
        <w:ind w:firstLine="630"/>
        <w:jc w:val="center"/>
        <w:rPr>
          <w:rFonts w:hint="eastAsia" w:ascii="宋体" w:hAnsi="宋体"/>
          <w:b/>
          <w:sz w:val="36"/>
          <w:szCs w:val="36"/>
        </w:rPr>
      </w:pPr>
    </w:p>
    <w:p w14:paraId="1D2A5602">
      <w:pPr>
        <w:ind w:firstLine="630"/>
        <w:jc w:val="center"/>
        <w:rPr>
          <w:rFonts w:hint="eastAsia" w:ascii="宋体" w:hAnsi="宋体"/>
          <w:b/>
          <w:sz w:val="36"/>
          <w:szCs w:val="36"/>
        </w:rPr>
      </w:pPr>
    </w:p>
    <w:p w14:paraId="642845A4">
      <w:pPr>
        <w:ind w:firstLine="630"/>
        <w:jc w:val="center"/>
        <w:rPr>
          <w:rFonts w:hint="eastAsia" w:ascii="宋体" w:hAnsi="宋体"/>
          <w:b/>
          <w:sz w:val="36"/>
          <w:szCs w:val="36"/>
        </w:rPr>
      </w:pPr>
    </w:p>
    <w:p w14:paraId="37D3C6BC">
      <w:pPr>
        <w:ind w:firstLine="630"/>
        <w:jc w:val="center"/>
        <w:rPr>
          <w:rFonts w:hint="eastAsia" w:ascii="宋体" w:hAnsi="宋体"/>
          <w:b/>
          <w:sz w:val="36"/>
          <w:szCs w:val="36"/>
        </w:rPr>
      </w:pPr>
    </w:p>
    <w:p w14:paraId="4B340C78">
      <w:pPr>
        <w:ind w:firstLine="630"/>
        <w:jc w:val="center"/>
        <w:rPr>
          <w:rFonts w:hint="eastAsia" w:ascii="宋体" w:hAnsi="宋体"/>
          <w:b/>
          <w:sz w:val="36"/>
          <w:szCs w:val="36"/>
        </w:rPr>
      </w:pPr>
    </w:p>
    <w:p w14:paraId="7FB349C9">
      <w:pPr>
        <w:ind w:firstLine="630"/>
        <w:jc w:val="center"/>
        <w:rPr>
          <w:rFonts w:hint="eastAsia" w:ascii="宋体" w:hAnsi="宋体"/>
          <w:b/>
          <w:sz w:val="36"/>
          <w:szCs w:val="36"/>
        </w:rPr>
      </w:pPr>
    </w:p>
    <w:p w14:paraId="3AF7F2E2">
      <w:pPr>
        <w:ind w:firstLine="630"/>
        <w:jc w:val="center"/>
        <w:rPr>
          <w:rFonts w:hint="eastAsia" w:ascii="宋体" w:hAnsi="宋体"/>
          <w:b/>
          <w:sz w:val="36"/>
          <w:szCs w:val="36"/>
        </w:rPr>
      </w:pPr>
    </w:p>
    <w:p w14:paraId="0FF35FA5">
      <w:pPr>
        <w:jc w:val="both"/>
        <w:rPr>
          <w:rFonts w:hint="eastAsia" w:ascii="宋体" w:hAnsi="宋体"/>
          <w:b/>
          <w:sz w:val="36"/>
          <w:szCs w:val="36"/>
        </w:rPr>
      </w:pPr>
    </w:p>
    <w:p w14:paraId="6B2B0B8F">
      <w:pPr>
        <w:ind w:firstLine="630"/>
        <w:jc w:val="center"/>
        <w:rPr>
          <w:rFonts w:hint="eastAsia" w:ascii="宋体" w:hAnsi="宋体"/>
          <w:b/>
          <w:sz w:val="36"/>
          <w:szCs w:val="36"/>
        </w:rPr>
      </w:pPr>
    </w:p>
    <w:p w14:paraId="10865CC1">
      <w:pPr>
        <w:ind w:firstLine="630"/>
        <w:jc w:val="center"/>
        <w:rPr>
          <w:rFonts w:hint="eastAsia" w:ascii="宋体" w:hAnsi="宋体"/>
          <w:b/>
          <w:sz w:val="36"/>
          <w:szCs w:val="36"/>
        </w:rPr>
      </w:pPr>
    </w:p>
    <w:p w14:paraId="00161E67">
      <w:pPr>
        <w:ind w:firstLine="630"/>
        <w:jc w:val="center"/>
        <w:rPr>
          <w:rFonts w:hint="eastAsia" w:ascii="宋体" w:hAnsi="宋体"/>
          <w:b/>
          <w:sz w:val="36"/>
          <w:szCs w:val="36"/>
        </w:rPr>
      </w:pPr>
    </w:p>
    <w:p w14:paraId="28C1C2AB">
      <w:pPr>
        <w:ind w:firstLine="630"/>
        <w:jc w:val="center"/>
        <w:rPr>
          <w:rFonts w:hint="eastAsia" w:ascii="宋体" w:hAnsi="宋体"/>
          <w:b/>
          <w:sz w:val="36"/>
          <w:szCs w:val="36"/>
        </w:rPr>
      </w:pPr>
    </w:p>
    <w:p w14:paraId="5B20F4B8">
      <w:pPr>
        <w:widowControl/>
        <w:spacing w:line="580" w:lineRule="exact"/>
        <w:jc w:val="center"/>
        <w:rPr>
          <w:rFonts w:hint="eastAsia" w:ascii="宋体" w:hAnsi="宋体"/>
          <w:b/>
          <w:sz w:val="32"/>
          <w:szCs w:val="30"/>
        </w:rPr>
      </w:pPr>
    </w:p>
    <w:p w14:paraId="11CC8A7C">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景德镇市人民政府办公室</w:t>
      </w:r>
      <w:r>
        <w:rPr>
          <w:rFonts w:hint="eastAsia" w:ascii="宋体" w:hAnsi="宋体"/>
          <w:b/>
          <w:sz w:val="32"/>
          <w:szCs w:val="32"/>
        </w:rPr>
        <w:t>部门</w:t>
      </w:r>
      <w:r>
        <w:rPr>
          <w:rFonts w:hint="eastAsia" w:ascii="宋体" w:hAnsi="宋体"/>
          <w:b/>
          <w:sz w:val="32"/>
          <w:szCs w:val="30"/>
        </w:rPr>
        <w:t>概况</w:t>
      </w:r>
    </w:p>
    <w:p w14:paraId="6F22BF3B">
      <w:pPr>
        <w:ind w:firstLine="630"/>
        <w:jc w:val="center"/>
        <w:rPr>
          <w:rFonts w:hint="eastAsia"/>
          <w:sz w:val="32"/>
          <w:szCs w:val="32"/>
        </w:rPr>
      </w:pPr>
    </w:p>
    <w:p w14:paraId="7E399052">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17AF70F0">
      <w:pPr>
        <w:spacing w:line="600" w:lineRule="exact"/>
        <w:ind w:firstLine="600" w:firstLineChars="200"/>
        <w:rPr>
          <w:rFonts w:eastAsia="仿宋_GB2312"/>
          <w:sz w:val="32"/>
          <w:szCs w:val="32"/>
        </w:rPr>
      </w:pPr>
      <w:r>
        <w:rPr>
          <w:rFonts w:hint="eastAsia" w:ascii="仿宋" w:hAnsi="仿宋" w:eastAsia="仿宋"/>
          <w:sz w:val="30"/>
          <w:szCs w:val="30"/>
        </w:rPr>
        <w:t>（一）</w:t>
      </w:r>
      <w:r>
        <w:rPr>
          <w:rFonts w:eastAsia="仿宋_GB2312"/>
          <w:sz w:val="32"/>
          <w:szCs w:val="32"/>
        </w:rPr>
        <w:t>负责市政府会议的会务工作，协助市政府领导同志组织实施会议决定事项。</w:t>
      </w:r>
    </w:p>
    <w:p w14:paraId="6F2EF667">
      <w:pPr>
        <w:spacing w:line="600" w:lineRule="exact"/>
        <w:ind w:firstLine="600" w:firstLineChars="200"/>
        <w:rPr>
          <w:rFonts w:hint="eastAsia" w:eastAsia="仿宋_GB2312"/>
          <w:sz w:val="32"/>
          <w:szCs w:val="32"/>
          <w:lang w:eastAsia="zh-CN"/>
        </w:rPr>
      </w:pPr>
      <w:r>
        <w:rPr>
          <w:rFonts w:hint="eastAsia" w:ascii="仿宋" w:hAnsi="仿宋" w:eastAsia="仿宋"/>
          <w:sz w:val="30"/>
          <w:szCs w:val="30"/>
        </w:rPr>
        <w:t>（</w:t>
      </w:r>
      <w:r>
        <w:rPr>
          <w:rFonts w:hint="eastAsia" w:ascii="仿宋" w:hAnsi="仿宋" w:eastAsia="仿宋"/>
          <w:sz w:val="30"/>
          <w:szCs w:val="30"/>
          <w:lang w:eastAsia="zh-CN"/>
        </w:rPr>
        <w:t>二</w:t>
      </w:r>
      <w:r>
        <w:rPr>
          <w:rFonts w:hint="eastAsia" w:ascii="仿宋" w:hAnsi="仿宋" w:eastAsia="仿宋"/>
          <w:sz w:val="30"/>
          <w:szCs w:val="30"/>
        </w:rPr>
        <w:t>）</w:t>
      </w:r>
      <w:r>
        <w:rPr>
          <w:rFonts w:eastAsia="仿宋_GB2312"/>
          <w:sz w:val="32"/>
          <w:szCs w:val="32"/>
        </w:rPr>
        <w:t>协助市政府领导同志组织起草或审核以市政府、市政府办公室名义发布的公文</w:t>
      </w:r>
      <w:r>
        <w:rPr>
          <w:rFonts w:hint="eastAsia" w:eastAsia="仿宋_GB2312"/>
          <w:sz w:val="32"/>
          <w:szCs w:val="32"/>
          <w:lang w:eastAsia="zh-CN"/>
        </w:rPr>
        <w:t>。</w:t>
      </w:r>
    </w:p>
    <w:p w14:paraId="5612C115">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eastAsia="仿宋_GB2312"/>
          <w:sz w:val="32"/>
          <w:szCs w:val="32"/>
        </w:rPr>
        <w:t>办理党中央、国务院及其各部门和省委、省政府及其各部门，市委公文呈（传）阅，提出贯彻意见，报市政府领导同志决定。</w:t>
      </w:r>
    </w:p>
    <w:p w14:paraId="58DC5DA6">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eastAsia="仿宋_GB2312"/>
          <w:sz w:val="32"/>
          <w:szCs w:val="32"/>
        </w:rPr>
        <w:t>研究市政府各部门、各县（市、区）政府请示市政府的事项，提出审核意见，报市政府领导同志</w:t>
      </w:r>
      <w:r>
        <w:rPr>
          <w:rFonts w:hint="eastAsia" w:eastAsia="仿宋_GB2312"/>
          <w:sz w:val="32"/>
          <w:szCs w:val="32"/>
          <w:lang w:val="en-US" w:eastAsia="zh-CN"/>
        </w:rPr>
        <w:t>审批</w:t>
      </w:r>
      <w:r>
        <w:rPr>
          <w:rFonts w:eastAsia="仿宋_GB2312"/>
          <w:sz w:val="32"/>
          <w:szCs w:val="32"/>
        </w:rPr>
        <w:t>。</w:t>
      </w:r>
    </w:p>
    <w:p w14:paraId="05D56CEC">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w:t>
      </w:r>
      <w:r>
        <w:rPr>
          <w:rFonts w:eastAsia="仿宋_GB2312"/>
          <w:sz w:val="32"/>
          <w:szCs w:val="32"/>
        </w:rPr>
        <w:t>根据市政府领导同志指示，对市政府各部门间相互协商后仍有争议的问题提出处理意见，报市政府领导同志决定。</w:t>
      </w:r>
    </w:p>
    <w:p w14:paraId="5C4BC312">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六</w:t>
      </w:r>
      <w:r>
        <w:rPr>
          <w:rFonts w:hint="eastAsia" w:ascii="仿宋" w:hAnsi="仿宋" w:eastAsia="仿宋"/>
          <w:sz w:val="30"/>
          <w:szCs w:val="30"/>
        </w:rPr>
        <w:t>）</w:t>
      </w:r>
      <w:r>
        <w:rPr>
          <w:rFonts w:eastAsia="仿宋_GB2312"/>
          <w:sz w:val="32"/>
          <w:szCs w:val="32"/>
        </w:rPr>
        <w:t>督促检查市政府各部门和各县（市、区）政府对国务院、省政府和市政府公文、会议决定事项</w:t>
      </w:r>
      <w:r>
        <w:rPr>
          <w:rFonts w:hint="eastAsia" w:eastAsia="仿宋_GB2312"/>
          <w:sz w:val="32"/>
          <w:szCs w:val="32"/>
          <w:lang w:val="en-US" w:eastAsia="zh-CN"/>
        </w:rPr>
        <w:t>以</w:t>
      </w:r>
      <w:r>
        <w:rPr>
          <w:rFonts w:eastAsia="仿宋_GB2312"/>
          <w:sz w:val="32"/>
          <w:szCs w:val="32"/>
        </w:rPr>
        <w:t>及市政府领导同志有关指示的贯彻落实情况，及时向市政府领导同志报告。</w:t>
      </w:r>
    </w:p>
    <w:p w14:paraId="4D9A54B7">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七</w:t>
      </w:r>
      <w:r>
        <w:rPr>
          <w:rFonts w:hint="eastAsia" w:ascii="仿宋" w:hAnsi="仿宋" w:eastAsia="仿宋"/>
          <w:sz w:val="30"/>
          <w:szCs w:val="30"/>
        </w:rPr>
        <w:t>）</w:t>
      </w:r>
      <w:r>
        <w:rPr>
          <w:rFonts w:eastAsia="仿宋_GB2312"/>
          <w:sz w:val="32"/>
          <w:szCs w:val="32"/>
        </w:rPr>
        <w:t>负责与市人大、市政协联系，组织、督促有关部门和单位及时办理全国人大代表、省人大代表、市人大代表建议和全国政协委员、省政协委员、市政协委员提案。</w:t>
      </w:r>
    </w:p>
    <w:p w14:paraId="7AD2127B">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八</w:t>
      </w:r>
      <w:r>
        <w:rPr>
          <w:rFonts w:hint="eastAsia" w:ascii="仿宋" w:hAnsi="仿宋" w:eastAsia="仿宋"/>
          <w:sz w:val="30"/>
          <w:szCs w:val="30"/>
        </w:rPr>
        <w:t>）</w:t>
      </w:r>
      <w:r>
        <w:rPr>
          <w:rFonts w:eastAsia="仿宋_GB2312"/>
          <w:sz w:val="32"/>
          <w:szCs w:val="32"/>
        </w:rPr>
        <w:t>根据市政府领导同志的指示，组织专题调查研究，及时反映情况，提出建议。</w:t>
      </w:r>
    </w:p>
    <w:p w14:paraId="5DEC9E90">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九</w:t>
      </w:r>
      <w:r>
        <w:rPr>
          <w:rFonts w:hint="eastAsia" w:ascii="仿宋" w:hAnsi="仿宋" w:eastAsia="仿宋"/>
          <w:sz w:val="30"/>
          <w:szCs w:val="30"/>
        </w:rPr>
        <w:t>）</w:t>
      </w:r>
      <w:r>
        <w:rPr>
          <w:rFonts w:eastAsia="仿宋_GB2312"/>
          <w:sz w:val="32"/>
          <w:szCs w:val="32"/>
        </w:rPr>
        <w:t>指导、监督全市政府信息公开</w:t>
      </w:r>
      <w:r>
        <w:rPr>
          <w:rFonts w:hint="eastAsia" w:eastAsia="仿宋_GB2312"/>
          <w:sz w:val="32"/>
          <w:szCs w:val="32"/>
          <w:lang w:eastAsia="zh-CN"/>
        </w:rPr>
        <w:t>、</w:t>
      </w:r>
      <w:r>
        <w:rPr>
          <w:rFonts w:eastAsia="仿宋_GB2312"/>
          <w:sz w:val="32"/>
          <w:szCs w:val="32"/>
        </w:rPr>
        <w:t>公共节能监督管理工作。</w:t>
      </w:r>
    </w:p>
    <w:p w14:paraId="303119E5">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十</w:t>
      </w:r>
      <w:r>
        <w:rPr>
          <w:rFonts w:hint="eastAsia" w:ascii="仿宋" w:hAnsi="仿宋" w:eastAsia="仿宋"/>
          <w:sz w:val="30"/>
          <w:szCs w:val="30"/>
        </w:rPr>
        <w:t>）</w:t>
      </w:r>
      <w:r>
        <w:rPr>
          <w:rFonts w:eastAsia="仿宋_GB2312"/>
          <w:sz w:val="32"/>
          <w:szCs w:val="32"/>
          <w:lang w:val="en-US" w:eastAsia="zh-CN"/>
        </w:rPr>
        <w:t xml:space="preserve">贯彻执行中央、省“放管服”改革、推进政府职能转变、 </w:t>
      </w:r>
      <w:r>
        <w:rPr>
          <w:rFonts w:hint="default" w:eastAsia="仿宋_GB2312"/>
          <w:sz w:val="32"/>
          <w:szCs w:val="32"/>
          <w:lang w:val="en-US" w:eastAsia="zh-CN"/>
        </w:rPr>
        <w:t>加强政务服务工作的方针、政策以及市委、市政府的决策部署，依法实施有关法律法规规章。负责牵头拟订全市推进政府职能转变、加强政务服务的政策、制度、办法、标准，并组织实施。负责组织推进、指导协调、督促考核全市政务服务和政府职能转变工作。指导并推进全市政务服务体系建设，组织推进行政权力依法规范公开运行。指导、开展对全市“放管服”改革、推进政府职能转变、政务服务的教育培训和业务工作的调查研究、评估分析。负责市本级行政审批制度改革和对县（市、区）政府行政审批制度改革的指导工作，组织编制规范市政府部门权责清单；承担市行政审批制度改革工作领导小组办公室的行政审批制度改革日常工作。</w:t>
      </w:r>
    </w:p>
    <w:p w14:paraId="729BA6FB">
      <w:pPr>
        <w:numPr>
          <w:ilvl w:val="0"/>
          <w:numId w:val="1"/>
        </w:numPr>
        <w:spacing w:line="600" w:lineRule="exact"/>
        <w:ind w:firstLine="640" w:firstLineChars="200"/>
        <w:rPr>
          <w:rStyle w:val="5"/>
          <w:rFonts w:eastAsia="仿宋_GB2312"/>
          <w:b w:val="0"/>
          <w:bCs w:val="0"/>
          <w:sz w:val="32"/>
          <w:szCs w:val="32"/>
        </w:rPr>
      </w:pPr>
      <w:r>
        <w:rPr>
          <w:rFonts w:eastAsia="仿宋_GB2312"/>
          <w:sz w:val="32"/>
          <w:szCs w:val="32"/>
        </w:rPr>
        <w:t>负责群众来函来信办理工作，及时向市政府领导同志报告来信来访中提出的重要建议和反映的重要问题，办理市政府领导同志交办的有关信访事项。</w:t>
      </w:r>
    </w:p>
    <w:p w14:paraId="5E25E23C">
      <w:pPr>
        <w:numPr>
          <w:ilvl w:val="0"/>
          <w:numId w:val="1"/>
        </w:numPr>
        <w:spacing w:line="600" w:lineRule="exact"/>
        <w:ind w:firstLine="640" w:firstLineChars="200"/>
        <w:rPr>
          <w:rStyle w:val="5"/>
          <w:rFonts w:eastAsia="仿宋_GB2312"/>
          <w:b w:val="0"/>
          <w:bCs w:val="0"/>
          <w:sz w:val="32"/>
          <w:szCs w:val="32"/>
        </w:rPr>
      </w:pPr>
      <w:r>
        <w:rPr>
          <w:rFonts w:eastAsia="仿宋_GB2312"/>
          <w:sz w:val="32"/>
          <w:szCs w:val="32"/>
        </w:rPr>
        <w:t>负责市政府值班工作和全市政府系统信息工作，及时报告重要情况，传达、督办省政府和市政府领导同志指示</w:t>
      </w:r>
      <w:r>
        <w:rPr>
          <w:rFonts w:hint="eastAsia" w:eastAsia="仿宋_GB2312"/>
          <w:sz w:val="32"/>
          <w:szCs w:val="32"/>
          <w:lang w:eastAsia="zh-CN"/>
        </w:rPr>
        <w:t>，</w:t>
      </w:r>
      <w:r>
        <w:rPr>
          <w:rFonts w:eastAsia="仿宋_GB2312"/>
          <w:sz w:val="32"/>
          <w:szCs w:val="32"/>
          <w:lang w:val="en-US" w:eastAsia="zh-CN"/>
        </w:rPr>
        <w:t>负</w:t>
      </w:r>
      <w:r>
        <w:rPr>
          <w:rFonts w:hint="default" w:eastAsia="仿宋_GB2312"/>
          <w:sz w:val="32"/>
          <w:szCs w:val="32"/>
          <w:lang w:val="en-US" w:eastAsia="zh-CN"/>
        </w:rPr>
        <w:t>责市政府指挥中心管理维护。</w:t>
      </w:r>
    </w:p>
    <w:p w14:paraId="610FDF38">
      <w:pPr>
        <w:numPr>
          <w:ilvl w:val="0"/>
          <w:numId w:val="1"/>
        </w:numPr>
        <w:spacing w:line="600" w:lineRule="exact"/>
        <w:ind w:firstLine="640" w:firstLineChars="200"/>
        <w:rPr>
          <w:rFonts w:eastAsia="仿宋_GB2312"/>
          <w:sz w:val="32"/>
          <w:szCs w:val="32"/>
        </w:rPr>
      </w:pPr>
      <w:r>
        <w:rPr>
          <w:rFonts w:eastAsia="仿宋_GB2312"/>
          <w:sz w:val="32"/>
          <w:szCs w:val="32"/>
          <w:lang w:val="en-US" w:eastAsia="zh-CN"/>
        </w:rPr>
        <w:t>研究拟订全市金融发展中长期规划和工作计划，研</w:t>
      </w:r>
      <w:r>
        <w:rPr>
          <w:rFonts w:hint="default" w:eastAsia="仿宋_GB2312"/>
          <w:sz w:val="32"/>
          <w:szCs w:val="32"/>
          <w:lang w:val="en-US" w:eastAsia="zh-CN"/>
        </w:rPr>
        <w:t>究分析经济金融形势，提出优化金融环境、改善金融服务、促进金融发展的政策建议。负责与金融机构的联系、协调；负责全市企业上市工作；负责小额贷款公司、融资性担保机构等其他地方金融中介组织的管理；配合有关部门整顿和规范金融秩序，防范化解地方金融风险</w:t>
      </w:r>
      <w:r>
        <w:rPr>
          <w:rFonts w:eastAsia="仿宋_GB2312"/>
          <w:sz w:val="32"/>
          <w:szCs w:val="32"/>
          <w:lang w:val="en-US" w:eastAsia="zh-CN"/>
        </w:rPr>
        <w:t>;</w:t>
      </w:r>
      <w:r>
        <w:rPr>
          <w:rFonts w:hint="default" w:eastAsia="仿宋_GB2312"/>
          <w:sz w:val="32"/>
          <w:szCs w:val="32"/>
          <w:lang w:val="en-US" w:eastAsia="zh-CN"/>
        </w:rPr>
        <w:t>协调推进地方法人金融机构的设立和规范发展；推进全市金融人才队伍规划与建设工作</w:t>
      </w:r>
      <w:r>
        <w:rPr>
          <w:rFonts w:hint="eastAsia" w:eastAsia="仿宋_GB2312"/>
          <w:sz w:val="32"/>
          <w:szCs w:val="32"/>
          <w:lang w:val="en-US" w:eastAsia="zh-CN"/>
        </w:rPr>
        <w:t>。</w:t>
      </w:r>
    </w:p>
    <w:p w14:paraId="6B423F33">
      <w:pPr>
        <w:numPr>
          <w:ilvl w:val="0"/>
          <w:numId w:val="1"/>
        </w:num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负责市政府后勤保障，负责办公室工作人员、离退休人员的管理和市政府参事选聘和管理等方面的工作。</w:t>
      </w:r>
    </w:p>
    <w:p w14:paraId="330DC2D7">
      <w:pPr>
        <w:numPr>
          <w:ilvl w:val="0"/>
          <w:numId w:val="1"/>
        </w:num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办理市政府和市政府领导同志交办的其他事项。</w:t>
      </w:r>
    </w:p>
    <w:p w14:paraId="4EC34F75">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2F93365E">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w:t>
      </w:r>
      <w:r>
        <w:rPr>
          <w:rFonts w:hint="eastAsia" w:ascii="仿宋" w:hAnsi="仿宋" w:eastAsia="仿宋"/>
          <w:sz w:val="30"/>
          <w:szCs w:val="30"/>
          <w:lang w:val="en-US" w:eastAsia="zh-CN"/>
        </w:rPr>
        <w:t>即部门本级</w:t>
      </w:r>
      <w:r>
        <w:rPr>
          <w:rFonts w:hint="eastAsia" w:ascii="仿宋" w:hAnsi="仿宋" w:eastAsia="仿宋"/>
          <w:sz w:val="30"/>
          <w:szCs w:val="30"/>
        </w:rPr>
        <w:t>。</w:t>
      </w:r>
    </w:p>
    <w:p w14:paraId="2140696A">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年年末实有人数 </w:t>
      </w:r>
      <w:r>
        <w:rPr>
          <w:rFonts w:hint="eastAsia" w:ascii="仿宋" w:hAnsi="仿宋" w:eastAsia="仿宋"/>
          <w:sz w:val="30"/>
          <w:szCs w:val="30"/>
          <w:lang w:val="en-US" w:eastAsia="zh-CN"/>
        </w:rPr>
        <w:t>161</w:t>
      </w:r>
      <w:r>
        <w:rPr>
          <w:rFonts w:hint="eastAsia" w:ascii="仿宋" w:hAnsi="仿宋" w:eastAsia="仿宋"/>
          <w:sz w:val="30"/>
          <w:szCs w:val="30"/>
        </w:rPr>
        <w:t>人，其中在职人员</w:t>
      </w:r>
      <w:r>
        <w:rPr>
          <w:rFonts w:hint="eastAsia" w:ascii="仿宋" w:hAnsi="仿宋" w:eastAsia="仿宋"/>
          <w:sz w:val="30"/>
          <w:szCs w:val="30"/>
          <w:lang w:val="en-US" w:eastAsia="zh-CN"/>
        </w:rPr>
        <w:t>93</w:t>
      </w:r>
      <w:r>
        <w:rPr>
          <w:rFonts w:hint="eastAsia" w:ascii="仿宋" w:hAnsi="仿宋" w:eastAsia="仿宋"/>
          <w:sz w:val="30"/>
          <w:szCs w:val="30"/>
        </w:rPr>
        <w:t>人，离休人员</w:t>
      </w:r>
      <w:r>
        <w:rPr>
          <w:rFonts w:hint="eastAsia" w:ascii="仿宋" w:hAnsi="仿宋" w:eastAsia="仿宋"/>
          <w:sz w:val="30"/>
          <w:szCs w:val="30"/>
          <w:lang w:val="en-US" w:eastAsia="zh-CN"/>
        </w:rPr>
        <w:t>3</w:t>
      </w:r>
      <w:r>
        <w:rPr>
          <w:rFonts w:hint="eastAsia" w:ascii="仿宋" w:hAnsi="仿宋" w:eastAsia="仿宋"/>
          <w:sz w:val="30"/>
          <w:szCs w:val="30"/>
        </w:rPr>
        <w:t>人，退休人员</w:t>
      </w:r>
      <w:r>
        <w:rPr>
          <w:rFonts w:hint="eastAsia" w:ascii="仿宋" w:hAnsi="仿宋" w:eastAsia="仿宋"/>
          <w:sz w:val="30"/>
          <w:szCs w:val="30"/>
          <w:lang w:val="en-US" w:eastAsia="zh-CN"/>
        </w:rPr>
        <w:t>65</w:t>
      </w:r>
      <w:r>
        <w:rPr>
          <w:rFonts w:hint="eastAsia" w:ascii="仿宋" w:hAnsi="仿宋" w:eastAsia="仿宋"/>
          <w:sz w:val="30"/>
          <w:szCs w:val="30"/>
        </w:rPr>
        <w:t>人；</w:t>
      </w:r>
      <w:r>
        <w:rPr>
          <w:rFonts w:hint="eastAsia" w:ascii="仿宋" w:hAnsi="仿宋" w:eastAsia="仿宋"/>
          <w:sz w:val="30"/>
          <w:szCs w:val="30"/>
          <w:lang w:val="en-US" w:eastAsia="zh-CN"/>
        </w:rPr>
        <w:t>年末其他人员25人；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75B44A06">
      <w:pPr>
        <w:widowControl/>
        <w:numPr>
          <w:ilvl w:val="0"/>
          <w:numId w:val="2"/>
        </w:numPr>
        <w:spacing w:line="600" w:lineRule="exact"/>
        <w:jc w:val="center"/>
        <w:rPr>
          <w:rFonts w:hint="eastAsia" w:ascii="宋体" w:hAnsi="宋体"/>
          <w:b/>
          <w:sz w:val="32"/>
          <w:szCs w:val="32"/>
        </w:rPr>
      </w:pPr>
      <w:r>
        <w:rPr>
          <w:rFonts w:hint="eastAsia" w:ascii="宋体" w:hAnsi="宋体"/>
          <w:b/>
          <w:sz w:val="32"/>
          <w:szCs w:val="32"/>
        </w:rPr>
        <w:t xml:space="preserve"> 201</w:t>
      </w:r>
      <w:r>
        <w:rPr>
          <w:rFonts w:hint="eastAsia" w:ascii="宋体" w:hAnsi="宋体"/>
          <w:b/>
          <w:sz w:val="32"/>
          <w:szCs w:val="32"/>
          <w:lang w:val="en-US" w:eastAsia="zh-CN"/>
        </w:rPr>
        <w:t>9</w:t>
      </w:r>
      <w:r>
        <w:rPr>
          <w:rFonts w:hint="eastAsia" w:ascii="宋体" w:hAnsi="宋体"/>
          <w:b/>
          <w:sz w:val="32"/>
          <w:szCs w:val="32"/>
        </w:rPr>
        <w:t>年度部门决算表</w:t>
      </w:r>
    </w:p>
    <w:tbl>
      <w:tblPr>
        <w:tblStyle w:val="3"/>
        <w:tblW w:w="8240" w:type="dxa"/>
        <w:tblInd w:w="0" w:type="dxa"/>
        <w:shd w:val="clear" w:color="auto" w:fill="auto"/>
        <w:tblLayout w:type="autofit"/>
        <w:tblCellMar>
          <w:top w:w="0" w:type="dxa"/>
          <w:left w:w="0" w:type="dxa"/>
          <w:bottom w:w="0" w:type="dxa"/>
          <w:right w:w="0" w:type="dxa"/>
        </w:tblCellMar>
      </w:tblPr>
      <w:tblGrid>
        <w:gridCol w:w="2825"/>
        <w:gridCol w:w="395"/>
        <w:gridCol w:w="897"/>
        <w:gridCol w:w="2805"/>
        <w:gridCol w:w="392"/>
        <w:gridCol w:w="949"/>
      </w:tblGrid>
      <w:tr w14:paraId="715E1338">
        <w:tblPrEx>
          <w:shd w:val="clear" w:color="auto" w:fill="auto"/>
          <w:tblCellMar>
            <w:top w:w="0" w:type="dxa"/>
            <w:left w:w="0" w:type="dxa"/>
            <w:bottom w:w="0" w:type="dxa"/>
            <w:right w:w="0" w:type="dxa"/>
          </w:tblCellMar>
        </w:tblPrEx>
        <w:trPr>
          <w:trHeight w:val="656" w:hRule="atLeast"/>
        </w:trPr>
        <w:tc>
          <w:tcPr>
            <w:tcW w:w="8240" w:type="dxa"/>
            <w:gridSpan w:val="6"/>
            <w:tcBorders>
              <w:top w:val="nil"/>
              <w:left w:val="nil"/>
              <w:bottom w:val="nil"/>
              <w:right w:val="nil"/>
            </w:tcBorders>
            <w:shd w:val="clear" w:color="auto" w:fill="auto"/>
            <w:noWrap/>
            <w:tcMar>
              <w:top w:w="10" w:type="dxa"/>
              <w:left w:w="10" w:type="dxa"/>
              <w:right w:w="10" w:type="dxa"/>
            </w:tcMar>
            <w:vAlign w:val="bottom"/>
          </w:tcPr>
          <w:p w14:paraId="050D16EF">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收入支出决算总表</w:t>
            </w:r>
          </w:p>
        </w:tc>
      </w:tr>
      <w:tr w14:paraId="7920D2DD">
        <w:tblPrEx>
          <w:shd w:val="clear" w:color="auto" w:fill="auto"/>
          <w:tblCellMar>
            <w:top w:w="0" w:type="dxa"/>
            <w:left w:w="0" w:type="dxa"/>
            <w:bottom w:w="0" w:type="dxa"/>
            <w:right w:w="0" w:type="dxa"/>
          </w:tblCellMar>
        </w:tblPrEx>
        <w:trPr>
          <w:trHeight w:val="338" w:hRule="atLeast"/>
        </w:trPr>
        <w:tc>
          <w:tcPr>
            <w:tcW w:w="0" w:type="auto"/>
            <w:tcBorders>
              <w:top w:val="nil"/>
              <w:left w:val="nil"/>
              <w:bottom w:val="nil"/>
              <w:right w:val="nil"/>
            </w:tcBorders>
            <w:shd w:val="clear" w:color="auto" w:fill="auto"/>
            <w:noWrap/>
            <w:tcMar>
              <w:top w:w="10" w:type="dxa"/>
              <w:left w:w="10" w:type="dxa"/>
              <w:right w:w="10" w:type="dxa"/>
            </w:tcMar>
            <w:vAlign w:val="bottom"/>
          </w:tcPr>
          <w:p w14:paraId="71F767CC">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14FA98F6">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1B836825">
            <w:pPr>
              <w:rPr>
                <w:rFonts w:hint="default" w:ascii="Arial" w:hAnsi="Arial" w:cs="Arial"/>
                <w:i w:val="0"/>
                <w:color w:val="000000"/>
                <w:sz w:val="20"/>
                <w:szCs w:val="20"/>
                <w:u w:val="none"/>
              </w:rPr>
            </w:pPr>
          </w:p>
        </w:tc>
        <w:tc>
          <w:tcPr>
            <w:tcW w:w="0" w:type="auto"/>
            <w:gridSpan w:val="3"/>
            <w:tcBorders>
              <w:top w:val="nil"/>
              <w:left w:val="nil"/>
              <w:bottom w:val="nil"/>
              <w:right w:val="nil"/>
            </w:tcBorders>
            <w:shd w:val="clear" w:color="auto" w:fill="auto"/>
            <w:noWrap/>
            <w:tcMar>
              <w:top w:w="10" w:type="dxa"/>
              <w:left w:w="10" w:type="dxa"/>
              <w:right w:w="10" w:type="dxa"/>
            </w:tcMar>
            <w:vAlign w:val="bottom"/>
          </w:tcPr>
          <w:p w14:paraId="121A3A9F">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6B746494">
        <w:tblPrEx>
          <w:shd w:val="clear" w:color="auto" w:fill="auto"/>
          <w:tblCellMar>
            <w:top w:w="0" w:type="dxa"/>
            <w:left w:w="0" w:type="dxa"/>
            <w:bottom w:w="0" w:type="dxa"/>
            <w:right w:w="0" w:type="dxa"/>
          </w:tblCellMar>
        </w:tblPrEx>
        <w:trPr>
          <w:trHeight w:val="338" w:hRule="atLeast"/>
        </w:trPr>
        <w:tc>
          <w:tcPr>
            <w:tcW w:w="0" w:type="auto"/>
            <w:gridSpan w:val="2"/>
            <w:tcBorders>
              <w:top w:val="nil"/>
              <w:left w:val="nil"/>
              <w:bottom w:val="nil"/>
              <w:right w:val="nil"/>
            </w:tcBorders>
            <w:shd w:val="clear" w:color="auto" w:fill="auto"/>
            <w:noWrap/>
            <w:tcMar>
              <w:top w:w="10" w:type="dxa"/>
              <w:left w:w="10" w:type="dxa"/>
              <w:right w:w="10" w:type="dxa"/>
            </w:tcMar>
            <w:vAlign w:val="bottom"/>
          </w:tcPr>
          <w:p w14:paraId="4730DAB3">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编制单位：景德镇市人民政府办公室</w:t>
            </w:r>
          </w:p>
        </w:tc>
        <w:tc>
          <w:tcPr>
            <w:tcW w:w="0" w:type="auto"/>
            <w:tcBorders>
              <w:top w:val="nil"/>
              <w:left w:val="nil"/>
              <w:bottom w:val="nil"/>
              <w:right w:val="nil"/>
            </w:tcBorders>
            <w:shd w:val="clear" w:color="auto" w:fill="auto"/>
            <w:noWrap/>
            <w:tcMar>
              <w:top w:w="10" w:type="dxa"/>
              <w:left w:w="10" w:type="dxa"/>
              <w:right w:w="10" w:type="dxa"/>
            </w:tcMar>
            <w:vAlign w:val="bottom"/>
          </w:tcPr>
          <w:p w14:paraId="1B08E504">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0" w:type="auto"/>
            <w:tcBorders>
              <w:top w:val="nil"/>
              <w:left w:val="nil"/>
              <w:bottom w:val="nil"/>
              <w:right w:val="nil"/>
            </w:tcBorders>
            <w:shd w:val="clear" w:color="auto" w:fill="auto"/>
            <w:noWrap/>
            <w:tcMar>
              <w:top w:w="10" w:type="dxa"/>
              <w:left w:w="10" w:type="dxa"/>
              <w:right w:w="10" w:type="dxa"/>
            </w:tcMar>
            <w:vAlign w:val="bottom"/>
          </w:tcPr>
          <w:p w14:paraId="524884DE">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51E6F695">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43DC7899">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47ECCE9E">
        <w:tblPrEx>
          <w:shd w:val="clear" w:color="auto" w:fill="auto"/>
          <w:tblCellMar>
            <w:top w:w="0" w:type="dxa"/>
            <w:left w:w="0" w:type="dxa"/>
            <w:bottom w:w="0" w:type="dxa"/>
            <w:right w:w="0" w:type="dxa"/>
          </w:tblCellMar>
        </w:tblPrEx>
        <w:trPr>
          <w:trHeight w:val="35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318E4D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0" w:type="auto"/>
            <w:gridSpan w:val="3"/>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14:paraId="058244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w:t>
            </w:r>
          </w:p>
        </w:tc>
      </w:tr>
      <w:tr w14:paraId="1C5A7D32">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3195E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9CE3E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D4508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EC9F5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项目（按功能分类）</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EAF75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18365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r>
      <w:tr w14:paraId="68072936">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3BB8BC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CA3BF34">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6DAE1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B0829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FB76C9C">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DA3C1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14:paraId="2BE4EA42">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33D95F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74747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06C2D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2,675.58</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004D5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F5BC7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B05FF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2,381.55</w:t>
            </w:r>
          </w:p>
        </w:tc>
      </w:tr>
      <w:tr w14:paraId="4757F2C1">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2D418F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3A5D1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C0F9C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A185A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73D8D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A689A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A04AE72">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7A6CC8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三、上级补助收入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DC591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DFAA2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ECEAA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6DBA6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7FBDF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2615B65">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168DCC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四、事业收入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87364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5D818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3489A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98BA9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ADA84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362E99E">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481B23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五、经营收入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7112E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A3653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ED25D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B671B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920AA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D91D181">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45FC03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3670E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E8DCA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63C54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02AFD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1A7F7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D0375F6">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1D5979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七、其他收入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87298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B472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4C4AB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001AE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40CC6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0C3A3E0">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3A14B3E1">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ED526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3405A94">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46D23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A2BBB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26CCE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189.07</w:t>
            </w:r>
          </w:p>
        </w:tc>
      </w:tr>
      <w:tr w14:paraId="3A7A54AF">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4D662C0D">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75A91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A721A07">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21AB9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E279F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E5FB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104.47</w:t>
            </w:r>
          </w:p>
        </w:tc>
      </w:tr>
      <w:tr w14:paraId="51FDEFA6">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01F0D20D">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4451E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4F378D9">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9384C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CCC52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98F6E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F3C2FBE">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739C9EB">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B4BC6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DF263DE">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2EB83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5459E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EC947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9B57ECD">
        <w:tblPrEx>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05CE984D">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765B1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9381968">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6FB17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8F587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C8F4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52B09E8">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43FC4E89">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82BD2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8D5030E">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24877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5B2D7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6DD34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4871F19">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08227719">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6D229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C706C23">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D9ED1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CC409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813C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76D64A5">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0328D788">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8B29E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50CB9B">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835F4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0705B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DA675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E49A03E">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1058937E">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C3DE6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F22AF99">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BC3C4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72BAE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7F0F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23A4D91">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4791A611">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F6054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8BD7929">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AF55E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6CEF3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3CF24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9996593">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B926961">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0A169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867DF6">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9FB35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134B6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10059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123A1DB">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2A98AE19">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593CF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5834FA9">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91065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B5DF7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92BC6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r>
      <w:tr w14:paraId="46FD15CB">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3C33778C">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3237A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73C4A28">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F7504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79B1D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AEDAF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8E263A8">
        <w:tblPrEx>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FC9B1DB">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1D966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D3378A2">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1E8A8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B40BE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979CD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DEC6099">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F6EA5EB">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F54D3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4E82C03">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1CF24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二十二、其他支出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2E217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F0F62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E2CF9CF">
        <w:tblPrEx>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D6F03D8">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98834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18EBB9C">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8C278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二十三、债务还本支出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37FC8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FA941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90C1DF1">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3E9D8F9F">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414F4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36D176">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3F185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二十四、债务付息支出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4DA30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28E9D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0C2CDC2">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1138FF8E">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B608E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3FF4134">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3DA8BB4">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D5D58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727E709">
            <w:pPr>
              <w:jc w:val="left"/>
              <w:rPr>
                <w:rFonts w:hint="eastAsia" w:ascii="宋体" w:hAnsi="宋体" w:eastAsia="宋体" w:cs="宋体"/>
                <w:i w:val="0"/>
                <w:color w:val="000000"/>
                <w:sz w:val="18"/>
                <w:szCs w:val="18"/>
                <w:u w:val="none"/>
              </w:rPr>
            </w:pPr>
          </w:p>
        </w:tc>
      </w:tr>
      <w:tr w14:paraId="4CB44142">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97859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C709C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CC9A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2,693.90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767F5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C8011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0FAE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2,759.07</w:t>
            </w:r>
          </w:p>
        </w:tc>
      </w:tr>
      <w:tr w14:paraId="4FA65E0A">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28A205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用事业基金弥补收支差额</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2D3ED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E18CB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279DD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结余分配                 </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43240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9FF26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6BF2DFD">
        <w:tblPrEx>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001A9B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年初结转和结余</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33F73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BBA08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92.79</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68AB9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年末结转和结余                                </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E973A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D10A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27.62</w:t>
            </w:r>
          </w:p>
        </w:tc>
      </w:tr>
      <w:tr w14:paraId="58A55792">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587EAB33">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2C7BC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B6573B1">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94392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E3546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DA9220">
            <w:pPr>
              <w:jc w:val="left"/>
              <w:rPr>
                <w:rFonts w:hint="eastAsia" w:ascii="宋体" w:hAnsi="宋体" w:eastAsia="宋体" w:cs="宋体"/>
                <w:i w:val="0"/>
                <w:color w:val="000000"/>
                <w:sz w:val="18"/>
                <w:szCs w:val="18"/>
                <w:u w:val="none"/>
              </w:rPr>
            </w:pPr>
          </w:p>
        </w:tc>
      </w:tr>
      <w:tr w14:paraId="0B71BA5F">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51D57D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AFFFB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68A67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2,786.69</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EB261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21B80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F7367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2,786.69</w:t>
            </w:r>
          </w:p>
        </w:tc>
      </w:tr>
      <w:tr w14:paraId="45C1D05D">
        <w:tblPrEx>
          <w:shd w:val="clear" w:color="auto" w:fill="auto"/>
          <w:tblCellMar>
            <w:top w:w="0" w:type="dxa"/>
            <w:left w:w="0" w:type="dxa"/>
            <w:bottom w:w="0" w:type="dxa"/>
            <w:right w:w="0" w:type="dxa"/>
          </w:tblCellMar>
        </w:tblPrEx>
        <w:trPr>
          <w:trHeight w:val="378" w:hRule="atLeast"/>
        </w:trPr>
        <w:tc>
          <w:tcPr>
            <w:tcW w:w="0" w:type="auto"/>
            <w:gridSpan w:val="6"/>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C8AC3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注：本表反映部门本年度的总收支和年末结转结余情况。</w:t>
            </w:r>
          </w:p>
        </w:tc>
      </w:tr>
    </w:tbl>
    <w:p w14:paraId="78AF79EE">
      <w:pPr>
        <w:widowControl/>
        <w:numPr>
          <w:ilvl w:val="0"/>
          <w:numId w:val="0"/>
        </w:numPr>
        <w:spacing w:line="600" w:lineRule="exact"/>
        <w:jc w:val="both"/>
        <w:rPr>
          <w:rFonts w:hint="eastAsia" w:ascii="宋体" w:hAnsi="宋体"/>
          <w:b/>
          <w:sz w:val="32"/>
          <w:szCs w:val="32"/>
        </w:rPr>
      </w:pPr>
    </w:p>
    <w:p w14:paraId="5F8D6FC3">
      <w:pPr>
        <w:autoSpaceDE w:val="0"/>
        <w:autoSpaceDN w:val="0"/>
        <w:adjustRightInd w:val="0"/>
        <w:spacing w:line="360" w:lineRule="auto"/>
        <w:jc w:val="left"/>
        <w:rPr>
          <w:rFonts w:hint="eastAsia"/>
          <w:szCs w:val="30"/>
        </w:rPr>
      </w:pPr>
    </w:p>
    <w:tbl>
      <w:tblPr>
        <w:tblStyle w:val="3"/>
        <w:tblW w:w="8319" w:type="dxa"/>
        <w:tblInd w:w="0" w:type="dxa"/>
        <w:shd w:val="clear" w:color="auto" w:fill="auto"/>
        <w:tblLayout w:type="fixed"/>
        <w:tblCellMar>
          <w:top w:w="0" w:type="dxa"/>
          <w:left w:w="0" w:type="dxa"/>
          <w:bottom w:w="0" w:type="dxa"/>
          <w:right w:w="0" w:type="dxa"/>
        </w:tblCellMar>
      </w:tblPr>
      <w:tblGrid>
        <w:gridCol w:w="237"/>
        <w:gridCol w:w="237"/>
        <w:gridCol w:w="383"/>
        <w:gridCol w:w="2134"/>
        <w:gridCol w:w="233"/>
        <w:gridCol w:w="667"/>
        <w:gridCol w:w="950"/>
        <w:gridCol w:w="583"/>
        <w:gridCol w:w="619"/>
        <w:gridCol w:w="547"/>
        <w:gridCol w:w="547"/>
        <w:gridCol w:w="604"/>
        <w:gridCol w:w="578"/>
      </w:tblGrid>
      <w:tr w14:paraId="0D86D98F">
        <w:tblPrEx>
          <w:shd w:val="clear" w:color="auto" w:fill="auto"/>
          <w:tblCellMar>
            <w:top w:w="0" w:type="dxa"/>
            <w:left w:w="0" w:type="dxa"/>
            <w:bottom w:w="0" w:type="dxa"/>
            <w:right w:w="0" w:type="dxa"/>
          </w:tblCellMar>
        </w:tblPrEx>
        <w:trPr>
          <w:trHeight w:val="550" w:hRule="atLeast"/>
        </w:trPr>
        <w:tc>
          <w:tcPr>
            <w:tcW w:w="8319" w:type="dxa"/>
            <w:gridSpan w:val="13"/>
            <w:tcBorders>
              <w:top w:val="nil"/>
              <w:left w:val="nil"/>
              <w:bottom w:val="nil"/>
              <w:right w:val="nil"/>
            </w:tcBorders>
            <w:shd w:val="clear" w:color="auto" w:fill="auto"/>
            <w:noWrap/>
            <w:tcMar>
              <w:top w:w="10" w:type="dxa"/>
              <w:left w:w="10" w:type="dxa"/>
              <w:right w:w="10" w:type="dxa"/>
            </w:tcMar>
            <w:vAlign w:val="bottom"/>
          </w:tcPr>
          <w:p w14:paraId="7EA97FAE">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收入决算表</w:t>
            </w:r>
          </w:p>
        </w:tc>
      </w:tr>
      <w:tr w14:paraId="7EEA3337">
        <w:tblPrEx>
          <w:shd w:val="clear" w:color="auto" w:fill="auto"/>
          <w:tblCellMar>
            <w:top w:w="0" w:type="dxa"/>
            <w:left w:w="0" w:type="dxa"/>
            <w:bottom w:w="0" w:type="dxa"/>
            <w:right w:w="0" w:type="dxa"/>
          </w:tblCellMar>
        </w:tblPrEx>
        <w:trPr>
          <w:trHeight w:val="250" w:hRule="atLeast"/>
        </w:trPr>
        <w:tc>
          <w:tcPr>
            <w:tcW w:w="237" w:type="dxa"/>
            <w:tcBorders>
              <w:top w:val="nil"/>
              <w:left w:val="nil"/>
              <w:bottom w:val="nil"/>
              <w:right w:val="nil"/>
            </w:tcBorders>
            <w:shd w:val="clear" w:color="auto" w:fill="auto"/>
            <w:noWrap/>
            <w:tcMar>
              <w:top w:w="10" w:type="dxa"/>
              <w:left w:w="10" w:type="dxa"/>
              <w:right w:w="10" w:type="dxa"/>
            </w:tcMar>
            <w:vAlign w:val="bottom"/>
          </w:tcPr>
          <w:p w14:paraId="3DB83A3E">
            <w:pPr>
              <w:rPr>
                <w:rFonts w:hint="eastAsia" w:ascii="Arial" w:hAnsi="Arial" w:cs="Arial"/>
                <w:i w:val="0"/>
                <w:color w:val="000000"/>
                <w:sz w:val="18"/>
                <w:szCs w:val="18"/>
                <w:u w:val="none"/>
              </w:rPr>
            </w:pPr>
          </w:p>
        </w:tc>
        <w:tc>
          <w:tcPr>
            <w:tcW w:w="237" w:type="dxa"/>
            <w:tcBorders>
              <w:top w:val="nil"/>
              <w:left w:val="nil"/>
              <w:bottom w:val="nil"/>
              <w:right w:val="nil"/>
            </w:tcBorders>
            <w:shd w:val="clear" w:color="auto" w:fill="auto"/>
            <w:noWrap/>
            <w:tcMar>
              <w:top w:w="10" w:type="dxa"/>
              <w:left w:w="10" w:type="dxa"/>
              <w:right w:w="10" w:type="dxa"/>
            </w:tcMar>
            <w:vAlign w:val="bottom"/>
          </w:tcPr>
          <w:p w14:paraId="425694B5">
            <w:pPr>
              <w:rPr>
                <w:rFonts w:hint="default" w:ascii="Arial" w:hAnsi="Arial" w:cs="Arial"/>
                <w:i w:val="0"/>
                <w:color w:val="000000"/>
                <w:sz w:val="18"/>
                <w:szCs w:val="18"/>
                <w:u w:val="none"/>
              </w:rPr>
            </w:pPr>
          </w:p>
        </w:tc>
        <w:tc>
          <w:tcPr>
            <w:tcW w:w="383" w:type="dxa"/>
            <w:tcBorders>
              <w:top w:val="nil"/>
              <w:left w:val="nil"/>
              <w:bottom w:val="nil"/>
              <w:right w:val="nil"/>
            </w:tcBorders>
            <w:shd w:val="clear" w:color="auto" w:fill="auto"/>
            <w:noWrap/>
            <w:tcMar>
              <w:top w:w="10" w:type="dxa"/>
              <w:left w:w="10" w:type="dxa"/>
              <w:right w:w="10" w:type="dxa"/>
            </w:tcMar>
            <w:vAlign w:val="bottom"/>
          </w:tcPr>
          <w:p w14:paraId="21E4B013">
            <w:pPr>
              <w:rPr>
                <w:rFonts w:hint="default" w:ascii="Arial" w:hAnsi="Arial" w:cs="Arial"/>
                <w:i w:val="0"/>
                <w:color w:val="000000"/>
                <w:sz w:val="18"/>
                <w:szCs w:val="18"/>
                <w:u w:val="none"/>
              </w:rPr>
            </w:pPr>
          </w:p>
        </w:tc>
        <w:tc>
          <w:tcPr>
            <w:tcW w:w="2134" w:type="dxa"/>
            <w:tcBorders>
              <w:top w:val="nil"/>
              <w:left w:val="nil"/>
              <w:bottom w:val="nil"/>
              <w:right w:val="nil"/>
            </w:tcBorders>
            <w:shd w:val="clear" w:color="auto" w:fill="auto"/>
            <w:noWrap/>
            <w:tcMar>
              <w:top w:w="10" w:type="dxa"/>
              <w:left w:w="10" w:type="dxa"/>
              <w:right w:w="10" w:type="dxa"/>
            </w:tcMar>
            <w:vAlign w:val="bottom"/>
          </w:tcPr>
          <w:p w14:paraId="166D8577">
            <w:pPr>
              <w:rPr>
                <w:rFonts w:hint="default" w:ascii="Arial" w:hAnsi="Arial" w:cs="Arial"/>
                <w:i w:val="0"/>
                <w:color w:val="000000"/>
                <w:sz w:val="18"/>
                <w:szCs w:val="18"/>
                <w:u w:val="none"/>
              </w:rPr>
            </w:pPr>
          </w:p>
        </w:tc>
        <w:tc>
          <w:tcPr>
            <w:tcW w:w="900" w:type="dxa"/>
            <w:gridSpan w:val="2"/>
            <w:tcBorders>
              <w:top w:val="nil"/>
              <w:left w:val="nil"/>
              <w:bottom w:val="nil"/>
              <w:right w:val="nil"/>
            </w:tcBorders>
            <w:shd w:val="clear" w:color="auto" w:fill="auto"/>
            <w:noWrap/>
            <w:tcMar>
              <w:top w:w="10" w:type="dxa"/>
              <w:left w:w="10" w:type="dxa"/>
              <w:right w:w="10" w:type="dxa"/>
            </w:tcMar>
            <w:vAlign w:val="bottom"/>
          </w:tcPr>
          <w:p w14:paraId="1E42608C">
            <w:pPr>
              <w:rPr>
                <w:rFonts w:hint="default" w:ascii="Arial" w:hAnsi="Arial" w:cs="Arial"/>
                <w:i w:val="0"/>
                <w:color w:val="000000"/>
                <w:sz w:val="18"/>
                <w:szCs w:val="18"/>
                <w:u w:val="none"/>
              </w:rPr>
            </w:pPr>
          </w:p>
        </w:tc>
        <w:tc>
          <w:tcPr>
            <w:tcW w:w="950" w:type="dxa"/>
            <w:tcBorders>
              <w:top w:val="nil"/>
              <w:left w:val="nil"/>
              <w:bottom w:val="nil"/>
              <w:right w:val="nil"/>
            </w:tcBorders>
            <w:shd w:val="clear" w:color="auto" w:fill="auto"/>
            <w:noWrap/>
            <w:tcMar>
              <w:top w:w="10" w:type="dxa"/>
              <w:left w:w="10" w:type="dxa"/>
              <w:right w:w="10" w:type="dxa"/>
            </w:tcMar>
            <w:vAlign w:val="bottom"/>
          </w:tcPr>
          <w:p w14:paraId="02266696">
            <w:pPr>
              <w:rPr>
                <w:rFonts w:hint="default" w:ascii="Arial" w:hAnsi="Arial" w:cs="Arial"/>
                <w:i w:val="0"/>
                <w:color w:val="000000"/>
                <w:sz w:val="18"/>
                <w:szCs w:val="18"/>
                <w:u w:val="none"/>
              </w:rPr>
            </w:pPr>
          </w:p>
        </w:tc>
        <w:tc>
          <w:tcPr>
            <w:tcW w:w="583" w:type="dxa"/>
            <w:tcBorders>
              <w:top w:val="nil"/>
              <w:left w:val="nil"/>
              <w:bottom w:val="nil"/>
              <w:right w:val="nil"/>
            </w:tcBorders>
            <w:shd w:val="clear" w:color="auto" w:fill="auto"/>
            <w:noWrap/>
            <w:tcMar>
              <w:top w:w="10" w:type="dxa"/>
              <w:left w:w="10" w:type="dxa"/>
              <w:right w:w="10" w:type="dxa"/>
            </w:tcMar>
            <w:vAlign w:val="bottom"/>
          </w:tcPr>
          <w:p w14:paraId="2A65DFA7">
            <w:pPr>
              <w:rPr>
                <w:rFonts w:hint="default" w:ascii="Arial" w:hAnsi="Arial" w:cs="Arial"/>
                <w:i w:val="0"/>
                <w:color w:val="000000"/>
                <w:sz w:val="18"/>
                <w:szCs w:val="18"/>
                <w:u w:val="none"/>
              </w:rPr>
            </w:pPr>
          </w:p>
        </w:tc>
        <w:tc>
          <w:tcPr>
            <w:tcW w:w="619" w:type="dxa"/>
            <w:tcBorders>
              <w:top w:val="nil"/>
              <w:left w:val="nil"/>
              <w:bottom w:val="nil"/>
              <w:right w:val="nil"/>
            </w:tcBorders>
            <w:shd w:val="clear" w:color="auto" w:fill="auto"/>
            <w:noWrap/>
            <w:tcMar>
              <w:top w:w="10" w:type="dxa"/>
              <w:left w:w="10" w:type="dxa"/>
              <w:right w:w="10" w:type="dxa"/>
            </w:tcMar>
            <w:vAlign w:val="bottom"/>
          </w:tcPr>
          <w:p w14:paraId="36B84115">
            <w:pPr>
              <w:rPr>
                <w:rFonts w:hint="default" w:ascii="Arial" w:hAnsi="Arial" w:cs="Arial"/>
                <w:i w:val="0"/>
                <w:color w:val="000000"/>
                <w:sz w:val="18"/>
                <w:szCs w:val="18"/>
                <w:u w:val="none"/>
              </w:rPr>
            </w:pPr>
          </w:p>
        </w:tc>
        <w:tc>
          <w:tcPr>
            <w:tcW w:w="547" w:type="dxa"/>
            <w:tcBorders>
              <w:top w:val="nil"/>
              <w:left w:val="nil"/>
              <w:bottom w:val="nil"/>
              <w:right w:val="nil"/>
            </w:tcBorders>
            <w:shd w:val="clear" w:color="auto" w:fill="auto"/>
            <w:noWrap/>
            <w:tcMar>
              <w:top w:w="10" w:type="dxa"/>
              <w:left w:w="10" w:type="dxa"/>
              <w:right w:w="10" w:type="dxa"/>
            </w:tcMar>
            <w:vAlign w:val="bottom"/>
          </w:tcPr>
          <w:p w14:paraId="5DF5C330">
            <w:pPr>
              <w:rPr>
                <w:rFonts w:hint="default" w:ascii="Arial" w:hAnsi="Arial" w:cs="Arial"/>
                <w:i w:val="0"/>
                <w:color w:val="000000"/>
                <w:sz w:val="18"/>
                <w:szCs w:val="18"/>
                <w:u w:val="none"/>
              </w:rPr>
            </w:pPr>
          </w:p>
        </w:tc>
        <w:tc>
          <w:tcPr>
            <w:tcW w:w="1729" w:type="dxa"/>
            <w:gridSpan w:val="3"/>
            <w:tcBorders>
              <w:top w:val="nil"/>
              <w:left w:val="nil"/>
              <w:bottom w:val="nil"/>
              <w:right w:val="nil"/>
            </w:tcBorders>
            <w:shd w:val="clear" w:color="auto" w:fill="auto"/>
            <w:noWrap/>
            <w:tcMar>
              <w:top w:w="10" w:type="dxa"/>
              <w:left w:w="10" w:type="dxa"/>
              <w:right w:w="10" w:type="dxa"/>
            </w:tcMar>
            <w:vAlign w:val="bottom"/>
          </w:tcPr>
          <w:p w14:paraId="7270B253">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14:paraId="3FEEC385">
        <w:tblPrEx>
          <w:shd w:val="clear" w:color="auto" w:fill="auto"/>
          <w:tblCellMar>
            <w:top w:w="0" w:type="dxa"/>
            <w:left w:w="0" w:type="dxa"/>
            <w:bottom w:w="0" w:type="dxa"/>
            <w:right w:w="0" w:type="dxa"/>
          </w:tblCellMar>
        </w:tblPrEx>
        <w:trPr>
          <w:trHeight w:val="250" w:hRule="atLeast"/>
        </w:trPr>
        <w:tc>
          <w:tcPr>
            <w:tcW w:w="3224" w:type="dxa"/>
            <w:gridSpan w:val="5"/>
            <w:tcBorders>
              <w:top w:val="nil"/>
              <w:left w:val="nil"/>
              <w:bottom w:val="nil"/>
              <w:right w:val="nil"/>
            </w:tcBorders>
            <w:shd w:val="clear" w:color="auto" w:fill="auto"/>
            <w:noWrap/>
            <w:tcMar>
              <w:top w:w="10" w:type="dxa"/>
              <w:left w:w="10" w:type="dxa"/>
              <w:right w:w="10" w:type="dxa"/>
            </w:tcMar>
            <w:vAlign w:val="bottom"/>
          </w:tcPr>
          <w:p w14:paraId="52D1A5F6">
            <w:pPr>
              <w:keepNext w:val="0"/>
              <w:keepLines w:val="0"/>
              <w:widowControl/>
              <w:suppressLineNumbers w:val="0"/>
              <w:tabs>
                <w:tab w:val="right" w:pos="4821"/>
              </w:tabs>
              <w:jc w:val="left"/>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编制单位：景德镇市人民政府办公室</w:t>
            </w:r>
            <w:r>
              <w:rPr>
                <w:rFonts w:hint="eastAsia" w:ascii="宋体" w:hAnsi="宋体" w:cs="宋体"/>
                <w:i w:val="0"/>
                <w:color w:val="000000"/>
                <w:kern w:val="0"/>
                <w:sz w:val="18"/>
                <w:szCs w:val="18"/>
                <w:u w:val="none"/>
                <w:lang w:val="en-US" w:eastAsia="zh-CN" w:bidi="ar"/>
              </w:rPr>
              <w:tab/>
            </w:r>
          </w:p>
        </w:tc>
        <w:tc>
          <w:tcPr>
            <w:tcW w:w="2200" w:type="dxa"/>
            <w:gridSpan w:val="3"/>
            <w:tcBorders>
              <w:top w:val="nil"/>
              <w:left w:val="nil"/>
              <w:bottom w:val="nil"/>
              <w:right w:val="nil"/>
            </w:tcBorders>
            <w:shd w:val="clear" w:color="auto" w:fill="auto"/>
            <w:noWrap/>
            <w:tcMar>
              <w:top w:w="10" w:type="dxa"/>
              <w:left w:w="10" w:type="dxa"/>
              <w:right w:w="10" w:type="dxa"/>
            </w:tcMar>
            <w:vAlign w:val="bottom"/>
          </w:tcPr>
          <w:p w14:paraId="2C8EF148">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2019年度</w:t>
            </w:r>
          </w:p>
        </w:tc>
        <w:tc>
          <w:tcPr>
            <w:tcW w:w="619" w:type="dxa"/>
            <w:tcBorders>
              <w:top w:val="nil"/>
              <w:left w:val="nil"/>
              <w:bottom w:val="nil"/>
              <w:right w:val="nil"/>
            </w:tcBorders>
            <w:shd w:val="clear" w:color="auto" w:fill="auto"/>
            <w:noWrap/>
            <w:tcMar>
              <w:top w:w="10" w:type="dxa"/>
              <w:left w:w="10" w:type="dxa"/>
              <w:right w:w="10" w:type="dxa"/>
            </w:tcMar>
            <w:vAlign w:val="bottom"/>
          </w:tcPr>
          <w:p w14:paraId="537780BC">
            <w:pPr>
              <w:rPr>
                <w:rFonts w:hint="default" w:ascii="Arial" w:hAnsi="Arial" w:cs="Arial"/>
                <w:i w:val="0"/>
                <w:color w:val="000000"/>
                <w:sz w:val="18"/>
                <w:szCs w:val="18"/>
                <w:u w:val="none"/>
              </w:rPr>
            </w:pPr>
          </w:p>
        </w:tc>
        <w:tc>
          <w:tcPr>
            <w:tcW w:w="547" w:type="dxa"/>
            <w:tcBorders>
              <w:top w:val="nil"/>
              <w:left w:val="nil"/>
              <w:bottom w:val="nil"/>
              <w:right w:val="nil"/>
            </w:tcBorders>
            <w:shd w:val="clear" w:color="auto" w:fill="auto"/>
            <w:noWrap/>
            <w:tcMar>
              <w:top w:w="10" w:type="dxa"/>
              <w:left w:w="10" w:type="dxa"/>
              <w:right w:w="10" w:type="dxa"/>
            </w:tcMar>
            <w:vAlign w:val="bottom"/>
          </w:tcPr>
          <w:p w14:paraId="1939A780">
            <w:pPr>
              <w:rPr>
                <w:rFonts w:hint="default" w:ascii="Arial" w:hAnsi="Arial" w:cs="Arial"/>
                <w:i w:val="0"/>
                <w:color w:val="000000"/>
                <w:sz w:val="18"/>
                <w:szCs w:val="18"/>
                <w:u w:val="none"/>
              </w:rPr>
            </w:pPr>
          </w:p>
        </w:tc>
        <w:tc>
          <w:tcPr>
            <w:tcW w:w="547" w:type="dxa"/>
            <w:tcBorders>
              <w:top w:val="nil"/>
              <w:left w:val="nil"/>
              <w:bottom w:val="nil"/>
              <w:right w:val="nil"/>
            </w:tcBorders>
            <w:shd w:val="clear" w:color="auto" w:fill="auto"/>
            <w:noWrap/>
            <w:tcMar>
              <w:top w:w="10" w:type="dxa"/>
              <w:left w:w="10" w:type="dxa"/>
              <w:right w:w="10" w:type="dxa"/>
            </w:tcMar>
            <w:vAlign w:val="bottom"/>
          </w:tcPr>
          <w:p w14:paraId="46EE88AD">
            <w:pPr>
              <w:rPr>
                <w:rFonts w:hint="default" w:ascii="Arial" w:hAnsi="Arial" w:cs="Arial"/>
                <w:i w:val="0"/>
                <w:color w:val="000000"/>
                <w:sz w:val="18"/>
                <w:szCs w:val="18"/>
                <w:u w:val="none"/>
              </w:rPr>
            </w:pPr>
          </w:p>
        </w:tc>
        <w:tc>
          <w:tcPr>
            <w:tcW w:w="1182" w:type="dxa"/>
            <w:gridSpan w:val="2"/>
            <w:tcBorders>
              <w:top w:val="nil"/>
              <w:left w:val="nil"/>
              <w:bottom w:val="nil"/>
              <w:right w:val="nil"/>
            </w:tcBorders>
            <w:shd w:val="clear" w:color="auto" w:fill="auto"/>
            <w:noWrap/>
            <w:tcMar>
              <w:top w:w="10" w:type="dxa"/>
              <w:left w:w="10" w:type="dxa"/>
              <w:right w:w="10" w:type="dxa"/>
            </w:tcMar>
            <w:vAlign w:val="bottom"/>
          </w:tcPr>
          <w:p w14:paraId="4185AB4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公开02表</w:t>
            </w:r>
          </w:p>
        </w:tc>
      </w:tr>
      <w:tr w14:paraId="54CF60F9">
        <w:tblPrEx>
          <w:shd w:val="clear" w:color="auto" w:fill="auto"/>
          <w:tblCellMar>
            <w:top w:w="0" w:type="dxa"/>
            <w:left w:w="0" w:type="dxa"/>
            <w:bottom w:w="0" w:type="dxa"/>
            <w:right w:w="0" w:type="dxa"/>
          </w:tblCellMar>
        </w:tblPrEx>
        <w:trPr>
          <w:trHeight w:val="308" w:hRule="atLeast"/>
        </w:trPr>
        <w:tc>
          <w:tcPr>
            <w:tcW w:w="2991"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480A35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900" w:type="dxa"/>
            <w:gridSpan w:val="2"/>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051651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950"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6A115A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财政拨款收入</w:t>
            </w:r>
          </w:p>
        </w:tc>
        <w:tc>
          <w:tcPr>
            <w:tcW w:w="583"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56ED1E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上级补助收入</w:t>
            </w:r>
          </w:p>
        </w:tc>
        <w:tc>
          <w:tcPr>
            <w:tcW w:w="1166" w:type="dxa"/>
            <w:gridSpan w:val="2"/>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423F94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547"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153A10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经营收入</w:t>
            </w:r>
          </w:p>
        </w:tc>
        <w:tc>
          <w:tcPr>
            <w:tcW w:w="604"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1BE887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附属单位上缴收入</w:t>
            </w:r>
          </w:p>
        </w:tc>
        <w:tc>
          <w:tcPr>
            <w:tcW w:w="578"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159B4A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r>
      <w:tr w14:paraId="08BEA76A">
        <w:tblPrEx>
          <w:shd w:val="clear" w:color="auto" w:fill="auto"/>
          <w:tblCellMar>
            <w:top w:w="0" w:type="dxa"/>
            <w:left w:w="0" w:type="dxa"/>
            <w:bottom w:w="0" w:type="dxa"/>
            <w:right w:w="0" w:type="dxa"/>
          </w:tblCellMar>
        </w:tblPrEx>
        <w:trPr>
          <w:trHeight w:val="308" w:hRule="atLeast"/>
        </w:trPr>
        <w:tc>
          <w:tcPr>
            <w:tcW w:w="857" w:type="dxa"/>
            <w:gridSpan w:val="3"/>
            <w:vMerge w:val="restart"/>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14B1E7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支出功能分类科目编码</w:t>
            </w:r>
          </w:p>
        </w:tc>
        <w:tc>
          <w:tcPr>
            <w:tcW w:w="2134"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05673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900" w:type="dxa"/>
            <w:gridSpan w:val="2"/>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010891C8">
            <w:pPr>
              <w:jc w:val="center"/>
              <w:rPr>
                <w:rFonts w:hint="eastAsia" w:ascii="宋体" w:hAnsi="宋体" w:eastAsia="宋体" w:cs="宋体"/>
                <w:i w:val="0"/>
                <w:color w:val="000000"/>
                <w:sz w:val="18"/>
                <w:szCs w:val="18"/>
                <w:u w:val="none"/>
              </w:rPr>
            </w:pPr>
          </w:p>
        </w:tc>
        <w:tc>
          <w:tcPr>
            <w:tcW w:w="950"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7BF2F128">
            <w:pPr>
              <w:jc w:val="center"/>
              <w:rPr>
                <w:rFonts w:hint="eastAsia" w:ascii="宋体" w:hAnsi="宋体" w:eastAsia="宋体" w:cs="宋体"/>
                <w:i w:val="0"/>
                <w:color w:val="000000"/>
                <w:sz w:val="18"/>
                <w:szCs w:val="18"/>
                <w:u w:val="none"/>
              </w:rPr>
            </w:pPr>
          </w:p>
        </w:tc>
        <w:tc>
          <w:tcPr>
            <w:tcW w:w="583"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2A8E4949">
            <w:pPr>
              <w:jc w:val="center"/>
              <w:rPr>
                <w:rFonts w:hint="eastAsia" w:ascii="宋体" w:hAnsi="宋体" w:eastAsia="宋体" w:cs="宋体"/>
                <w:i w:val="0"/>
                <w:color w:val="000000"/>
                <w:sz w:val="18"/>
                <w:szCs w:val="18"/>
                <w:u w:val="none"/>
              </w:rPr>
            </w:pPr>
          </w:p>
        </w:tc>
        <w:tc>
          <w:tcPr>
            <w:tcW w:w="619" w:type="dxa"/>
            <w:vMerge w:val="restar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1BDD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547" w:type="dxa"/>
            <w:vMerge w:val="restar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07E3B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其中：教育收费</w:t>
            </w:r>
          </w:p>
        </w:tc>
        <w:tc>
          <w:tcPr>
            <w:tcW w:w="54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73443152">
            <w:pPr>
              <w:jc w:val="center"/>
              <w:rPr>
                <w:rFonts w:hint="eastAsia" w:ascii="宋体" w:hAnsi="宋体" w:eastAsia="宋体" w:cs="宋体"/>
                <w:i w:val="0"/>
                <w:color w:val="000000"/>
                <w:sz w:val="18"/>
                <w:szCs w:val="18"/>
                <w:u w:val="none"/>
              </w:rPr>
            </w:pPr>
          </w:p>
        </w:tc>
        <w:tc>
          <w:tcPr>
            <w:tcW w:w="604"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0D0D885A">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28F90159">
            <w:pPr>
              <w:jc w:val="center"/>
              <w:rPr>
                <w:rFonts w:hint="eastAsia" w:ascii="宋体" w:hAnsi="宋体" w:eastAsia="宋体" w:cs="宋体"/>
                <w:i w:val="0"/>
                <w:color w:val="000000"/>
                <w:sz w:val="18"/>
                <w:szCs w:val="18"/>
                <w:u w:val="none"/>
              </w:rPr>
            </w:pPr>
          </w:p>
        </w:tc>
      </w:tr>
      <w:tr w14:paraId="004A5E5B">
        <w:tblPrEx>
          <w:tblCellMar>
            <w:top w:w="0" w:type="dxa"/>
            <w:left w:w="0" w:type="dxa"/>
            <w:bottom w:w="0" w:type="dxa"/>
            <w:right w:w="0" w:type="dxa"/>
          </w:tblCellMar>
        </w:tblPrEx>
        <w:trPr>
          <w:trHeight w:val="308" w:hRule="atLeast"/>
        </w:trPr>
        <w:tc>
          <w:tcPr>
            <w:tcW w:w="857" w:type="dxa"/>
            <w:gridSpan w:val="3"/>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6BFA240F">
            <w:pPr>
              <w:jc w:val="center"/>
              <w:rPr>
                <w:rFonts w:hint="eastAsia" w:ascii="宋体" w:hAnsi="宋体" w:eastAsia="宋体" w:cs="宋体"/>
                <w:i w:val="0"/>
                <w:color w:val="000000"/>
                <w:sz w:val="18"/>
                <w:szCs w:val="18"/>
                <w:u w:val="none"/>
              </w:rPr>
            </w:pPr>
          </w:p>
        </w:tc>
        <w:tc>
          <w:tcPr>
            <w:tcW w:w="2134"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C80E519">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65D93EA8">
            <w:pPr>
              <w:jc w:val="center"/>
              <w:rPr>
                <w:rFonts w:hint="eastAsia" w:ascii="宋体" w:hAnsi="宋体" w:eastAsia="宋体" w:cs="宋体"/>
                <w:i w:val="0"/>
                <w:color w:val="000000"/>
                <w:sz w:val="18"/>
                <w:szCs w:val="18"/>
                <w:u w:val="none"/>
              </w:rPr>
            </w:pPr>
          </w:p>
        </w:tc>
        <w:tc>
          <w:tcPr>
            <w:tcW w:w="950"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1CB62C55">
            <w:pPr>
              <w:jc w:val="center"/>
              <w:rPr>
                <w:rFonts w:hint="eastAsia" w:ascii="宋体" w:hAnsi="宋体" w:eastAsia="宋体" w:cs="宋体"/>
                <w:i w:val="0"/>
                <w:color w:val="000000"/>
                <w:sz w:val="18"/>
                <w:szCs w:val="18"/>
                <w:u w:val="none"/>
              </w:rPr>
            </w:pPr>
          </w:p>
        </w:tc>
        <w:tc>
          <w:tcPr>
            <w:tcW w:w="583"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215FBF6F">
            <w:pPr>
              <w:jc w:val="center"/>
              <w:rPr>
                <w:rFonts w:hint="eastAsia" w:ascii="宋体" w:hAnsi="宋体" w:eastAsia="宋体" w:cs="宋体"/>
                <w:i w:val="0"/>
                <w:color w:val="000000"/>
                <w:sz w:val="18"/>
                <w:szCs w:val="18"/>
                <w:u w:val="none"/>
              </w:rPr>
            </w:pPr>
          </w:p>
        </w:tc>
        <w:tc>
          <w:tcPr>
            <w:tcW w:w="619" w:type="dxa"/>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834CB9B">
            <w:pPr>
              <w:jc w:val="center"/>
              <w:rPr>
                <w:rFonts w:hint="eastAsia" w:ascii="宋体" w:hAnsi="宋体" w:eastAsia="宋体" w:cs="宋体"/>
                <w:i w:val="0"/>
                <w:color w:val="000000"/>
                <w:sz w:val="18"/>
                <w:szCs w:val="18"/>
                <w:u w:val="none"/>
              </w:rPr>
            </w:pPr>
          </w:p>
        </w:tc>
        <w:tc>
          <w:tcPr>
            <w:tcW w:w="547" w:type="dxa"/>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606B4B8">
            <w:pPr>
              <w:jc w:val="center"/>
              <w:rPr>
                <w:rFonts w:hint="eastAsia" w:ascii="宋体" w:hAnsi="宋体" w:eastAsia="宋体" w:cs="宋体"/>
                <w:i w:val="0"/>
                <w:color w:val="000000"/>
                <w:sz w:val="18"/>
                <w:szCs w:val="18"/>
                <w:u w:val="none"/>
              </w:rPr>
            </w:pPr>
          </w:p>
        </w:tc>
        <w:tc>
          <w:tcPr>
            <w:tcW w:w="54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0CA03281">
            <w:pPr>
              <w:jc w:val="center"/>
              <w:rPr>
                <w:rFonts w:hint="eastAsia" w:ascii="宋体" w:hAnsi="宋体" w:eastAsia="宋体" w:cs="宋体"/>
                <w:i w:val="0"/>
                <w:color w:val="000000"/>
                <w:sz w:val="18"/>
                <w:szCs w:val="18"/>
                <w:u w:val="none"/>
              </w:rPr>
            </w:pPr>
          </w:p>
        </w:tc>
        <w:tc>
          <w:tcPr>
            <w:tcW w:w="604"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75750591">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4E1C3B3C">
            <w:pPr>
              <w:jc w:val="center"/>
              <w:rPr>
                <w:rFonts w:hint="eastAsia" w:ascii="宋体" w:hAnsi="宋体" w:eastAsia="宋体" w:cs="宋体"/>
                <w:i w:val="0"/>
                <w:color w:val="000000"/>
                <w:sz w:val="18"/>
                <w:szCs w:val="18"/>
                <w:u w:val="none"/>
              </w:rPr>
            </w:pPr>
          </w:p>
        </w:tc>
      </w:tr>
      <w:tr w14:paraId="4CB7DB06">
        <w:tblPrEx>
          <w:shd w:val="clear" w:color="auto" w:fill="auto"/>
          <w:tblCellMar>
            <w:top w:w="0" w:type="dxa"/>
            <w:left w:w="0" w:type="dxa"/>
            <w:bottom w:w="0" w:type="dxa"/>
            <w:right w:w="0" w:type="dxa"/>
          </w:tblCellMar>
        </w:tblPrEx>
        <w:trPr>
          <w:trHeight w:val="308" w:hRule="atLeast"/>
        </w:trPr>
        <w:tc>
          <w:tcPr>
            <w:tcW w:w="857" w:type="dxa"/>
            <w:gridSpan w:val="3"/>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52A7D37C">
            <w:pPr>
              <w:jc w:val="center"/>
              <w:rPr>
                <w:rFonts w:hint="eastAsia" w:ascii="宋体" w:hAnsi="宋体" w:eastAsia="宋体" w:cs="宋体"/>
                <w:i w:val="0"/>
                <w:color w:val="000000"/>
                <w:sz w:val="18"/>
                <w:szCs w:val="18"/>
                <w:u w:val="none"/>
              </w:rPr>
            </w:pPr>
          </w:p>
        </w:tc>
        <w:tc>
          <w:tcPr>
            <w:tcW w:w="2134"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B1663DF">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23C1479C">
            <w:pPr>
              <w:jc w:val="center"/>
              <w:rPr>
                <w:rFonts w:hint="eastAsia" w:ascii="宋体" w:hAnsi="宋体" w:eastAsia="宋体" w:cs="宋体"/>
                <w:i w:val="0"/>
                <w:color w:val="000000"/>
                <w:sz w:val="18"/>
                <w:szCs w:val="18"/>
                <w:u w:val="none"/>
              </w:rPr>
            </w:pPr>
          </w:p>
        </w:tc>
        <w:tc>
          <w:tcPr>
            <w:tcW w:w="950"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452DEDC7">
            <w:pPr>
              <w:jc w:val="center"/>
              <w:rPr>
                <w:rFonts w:hint="eastAsia" w:ascii="宋体" w:hAnsi="宋体" w:eastAsia="宋体" w:cs="宋体"/>
                <w:i w:val="0"/>
                <w:color w:val="000000"/>
                <w:sz w:val="18"/>
                <w:szCs w:val="18"/>
                <w:u w:val="none"/>
              </w:rPr>
            </w:pPr>
          </w:p>
        </w:tc>
        <w:tc>
          <w:tcPr>
            <w:tcW w:w="583"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6CFD191B">
            <w:pPr>
              <w:jc w:val="center"/>
              <w:rPr>
                <w:rFonts w:hint="eastAsia" w:ascii="宋体" w:hAnsi="宋体" w:eastAsia="宋体" w:cs="宋体"/>
                <w:i w:val="0"/>
                <w:color w:val="000000"/>
                <w:sz w:val="18"/>
                <w:szCs w:val="18"/>
                <w:u w:val="none"/>
              </w:rPr>
            </w:pPr>
          </w:p>
        </w:tc>
        <w:tc>
          <w:tcPr>
            <w:tcW w:w="619" w:type="dxa"/>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CC552FD">
            <w:pPr>
              <w:jc w:val="center"/>
              <w:rPr>
                <w:rFonts w:hint="eastAsia" w:ascii="宋体" w:hAnsi="宋体" w:eastAsia="宋体" w:cs="宋体"/>
                <w:i w:val="0"/>
                <w:color w:val="000000"/>
                <w:sz w:val="18"/>
                <w:szCs w:val="18"/>
                <w:u w:val="none"/>
              </w:rPr>
            </w:pPr>
          </w:p>
        </w:tc>
        <w:tc>
          <w:tcPr>
            <w:tcW w:w="547" w:type="dxa"/>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07AF992">
            <w:pPr>
              <w:jc w:val="center"/>
              <w:rPr>
                <w:rFonts w:hint="eastAsia" w:ascii="宋体" w:hAnsi="宋体" w:eastAsia="宋体" w:cs="宋体"/>
                <w:i w:val="0"/>
                <w:color w:val="000000"/>
                <w:sz w:val="18"/>
                <w:szCs w:val="18"/>
                <w:u w:val="none"/>
              </w:rPr>
            </w:pPr>
          </w:p>
        </w:tc>
        <w:tc>
          <w:tcPr>
            <w:tcW w:w="54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5B182A55">
            <w:pPr>
              <w:jc w:val="center"/>
              <w:rPr>
                <w:rFonts w:hint="eastAsia" w:ascii="宋体" w:hAnsi="宋体" w:eastAsia="宋体" w:cs="宋体"/>
                <w:i w:val="0"/>
                <w:color w:val="000000"/>
                <w:sz w:val="18"/>
                <w:szCs w:val="18"/>
                <w:u w:val="none"/>
              </w:rPr>
            </w:pPr>
          </w:p>
        </w:tc>
        <w:tc>
          <w:tcPr>
            <w:tcW w:w="604"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4EA6D5B5">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2E0CB71E">
            <w:pPr>
              <w:jc w:val="center"/>
              <w:rPr>
                <w:rFonts w:hint="eastAsia" w:ascii="宋体" w:hAnsi="宋体" w:eastAsia="宋体" w:cs="宋体"/>
                <w:i w:val="0"/>
                <w:color w:val="000000"/>
                <w:sz w:val="18"/>
                <w:szCs w:val="18"/>
                <w:u w:val="none"/>
              </w:rPr>
            </w:pPr>
          </w:p>
        </w:tc>
      </w:tr>
      <w:tr w14:paraId="48F4D636">
        <w:tblPrEx>
          <w:shd w:val="clear" w:color="auto" w:fill="auto"/>
          <w:tblCellMar>
            <w:top w:w="0" w:type="dxa"/>
            <w:left w:w="0" w:type="dxa"/>
            <w:bottom w:w="0" w:type="dxa"/>
            <w:right w:w="0" w:type="dxa"/>
          </w:tblCellMar>
        </w:tblPrEx>
        <w:trPr>
          <w:trHeight w:val="308" w:hRule="atLeast"/>
        </w:trPr>
        <w:tc>
          <w:tcPr>
            <w:tcW w:w="237" w:type="dxa"/>
            <w:vMerge w:val="restart"/>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596C9E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237"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0331A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383"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8F84E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134"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89A77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900" w:type="dxa"/>
            <w:gridSpan w:val="2"/>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83F02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0"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4B9AC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83"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4EA46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19"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B8DB0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47"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3755D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47"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EA81A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04"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0F32A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78"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AF8A3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14:paraId="5646CB75">
        <w:tblPrEx>
          <w:shd w:val="clear" w:color="auto" w:fill="auto"/>
          <w:tblCellMar>
            <w:top w:w="0" w:type="dxa"/>
            <w:left w:w="0" w:type="dxa"/>
            <w:bottom w:w="0" w:type="dxa"/>
            <w:right w:w="0" w:type="dxa"/>
          </w:tblCellMar>
        </w:tblPrEx>
        <w:trPr>
          <w:trHeight w:val="323" w:hRule="atLeast"/>
        </w:trPr>
        <w:tc>
          <w:tcPr>
            <w:tcW w:w="237" w:type="dxa"/>
            <w:vMerge w:val="continue"/>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715D2BBB">
            <w:pPr>
              <w:jc w:val="center"/>
              <w:rPr>
                <w:rFonts w:hint="eastAsia" w:ascii="宋体" w:hAnsi="宋体" w:eastAsia="宋体" w:cs="宋体"/>
                <w:i w:val="0"/>
                <w:color w:val="000000"/>
                <w:sz w:val="18"/>
                <w:szCs w:val="18"/>
                <w:u w:val="none"/>
              </w:rPr>
            </w:pPr>
          </w:p>
        </w:tc>
        <w:tc>
          <w:tcPr>
            <w:tcW w:w="237"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DB9725B">
            <w:pPr>
              <w:jc w:val="center"/>
              <w:rPr>
                <w:rFonts w:hint="eastAsia" w:ascii="宋体" w:hAnsi="宋体" w:eastAsia="宋体" w:cs="宋体"/>
                <w:i w:val="0"/>
                <w:color w:val="000000"/>
                <w:sz w:val="18"/>
                <w:szCs w:val="18"/>
                <w:u w:val="none"/>
              </w:rPr>
            </w:pPr>
          </w:p>
        </w:tc>
        <w:tc>
          <w:tcPr>
            <w:tcW w:w="383"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C29EB77">
            <w:pPr>
              <w:jc w:val="center"/>
              <w:rPr>
                <w:rFonts w:hint="eastAsia" w:ascii="宋体" w:hAnsi="宋体" w:eastAsia="宋体" w:cs="宋体"/>
                <w:i w:val="0"/>
                <w:color w:val="000000"/>
                <w:sz w:val="18"/>
                <w:szCs w:val="18"/>
                <w:u w:val="none"/>
              </w:rPr>
            </w:pPr>
          </w:p>
        </w:tc>
        <w:tc>
          <w:tcPr>
            <w:tcW w:w="2134"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476D4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B107D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2,693.90</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959EC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2,675.58</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3E74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406CD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16892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5469D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44BEB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9973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w:t>
            </w:r>
          </w:p>
        </w:tc>
      </w:tr>
      <w:tr w14:paraId="7CC557D0">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5947A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DC3EB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C7BFD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2,316.39</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EEDCC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2,298.07</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F7F38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421E7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5D173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C3AC2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0B0DF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FFA22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w:t>
            </w:r>
          </w:p>
        </w:tc>
      </w:tr>
      <w:tr w14:paraId="0B15CA9A">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A3659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D4C0D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1A877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2,315.34</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991C5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2,297.02</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15E14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B4D99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05000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2EEC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74F59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BC4EA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w:t>
            </w:r>
          </w:p>
        </w:tc>
      </w:tr>
      <w:tr w14:paraId="19D0EFA3">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86ED6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2DD17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C1CC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1,845.34</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EEAA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1,827.02</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8EB12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0ECBC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1899D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D2EE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01B02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F53E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w:t>
            </w:r>
          </w:p>
        </w:tc>
      </w:tr>
      <w:tr w14:paraId="1DD8C197">
        <w:tblPrEx>
          <w:shd w:val="clear" w:color="auto" w:fill="auto"/>
          <w:tblCellMar>
            <w:top w:w="0" w:type="dxa"/>
            <w:left w:w="0" w:type="dxa"/>
            <w:bottom w:w="0" w:type="dxa"/>
            <w:right w:w="0" w:type="dxa"/>
          </w:tblCellMar>
        </w:tblPrEx>
        <w:trPr>
          <w:trHeight w:val="420"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70D8A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2010399</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834FC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其他政府办公厅（室）及相关机构事务支出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49BBC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470.00</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FDED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470.00</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99B7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735FE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15224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4FECD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88BB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835A9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8224554">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23E8F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20106</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3FD77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财政事务</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C805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2B221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0276B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60C37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B110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E5B3D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8A507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A0556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C1F573F">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317CE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2010604</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46266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预算改革业务</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AED04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C7A56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6ACCA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8323B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A5FBF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6588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E7F5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CB9A9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7FB627D">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DA8C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88CF8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C6C82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189.07</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1CC71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189.07</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CCB7D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B375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254B4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8FC52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BD502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F4356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7693234">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FE838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6060E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DCC44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176.80</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26AB1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176.80</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E9BCD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2F235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F5F16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8318A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41DEF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BF3A5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AB5FE18">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775C7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2080504</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19BE2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未归口管理的行政单位离退休</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8C5F1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31.55</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951D2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31.55</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D907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4173E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61987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24F74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93BB7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455B5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9DD3BA3">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653C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A65CA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0934F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145.25</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8FAF7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145.25</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D9823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33487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E0F2A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AC8F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C0511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105E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4375C5E">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AD7C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60E7C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抚恤</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A0083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12.27</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CF325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12.27</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F7EE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997CC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D210E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AF824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9B9CA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E5A2B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148DECF">
        <w:tblPrEx>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002D4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2080801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51FCE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死亡抚恤</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2DA8A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12.27</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8406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12.27</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2C461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662CC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2286A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DD4B6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974A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D272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1538223">
        <w:tblPrEx>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16035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55D79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A0E63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104.47</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FA64E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104.47</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63836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870F8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66A4E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F36D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809F0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58AAB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27871E7">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E3DCB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AC07C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E66D7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104.47</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C3881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104.47</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06968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EBE43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A3705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1B0E3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FE7F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ED67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12196D7">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4D21B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5BB92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26489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71.92</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AEC54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71.92</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FE70A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9F5E3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E6C45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A7DD5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E183D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DDD6D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DC48E2C">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F0048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2101103</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AE568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公务员医疗补助</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98877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03259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EEF79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54CB8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29FFC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0EF7D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5D1C6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BEAB9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A6D0807">
        <w:tblPrEx>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AFA16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2101199</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06E7B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其他行政事业单位医疗支出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E604F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D4919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D744E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01CC9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AA468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4F0AD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DB1D2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00BA7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FE5AE2A">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95C9D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E2699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AB1B9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D0BDA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973D4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D676F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87CED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62EA4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8924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9D695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B8C7098">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ADFAE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DF338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0645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F2E23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EAAC1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99053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391C7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C8B59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522D6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B42D3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18ACCE0">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9121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620DC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73DDD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FD22D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2AF0C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944DC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1A9A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C26DE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F6632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FCC0E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73AE9F6">
        <w:tblPrEx>
          <w:shd w:val="clear" w:color="auto" w:fill="auto"/>
          <w:tblCellMar>
            <w:top w:w="0" w:type="dxa"/>
            <w:left w:w="0" w:type="dxa"/>
            <w:bottom w:w="0" w:type="dxa"/>
            <w:right w:w="0" w:type="dxa"/>
          </w:tblCellMar>
        </w:tblPrEx>
        <w:trPr>
          <w:trHeight w:val="308" w:hRule="atLeast"/>
        </w:trPr>
        <w:tc>
          <w:tcPr>
            <w:tcW w:w="8319" w:type="dxa"/>
            <w:gridSpan w:val="1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DACED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注：本表反映部门本年度取得的各项收入情况。</w:t>
            </w:r>
          </w:p>
        </w:tc>
      </w:tr>
    </w:tbl>
    <w:p w14:paraId="31AADB7D">
      <w:pPr>
        <w:autoSpaceDE w:val="0"/>
        <w:autoSpaceDN w:val="0"/>
        <w:adjustRightInd w:val="0"/>
        <w:spacing w:line="360" w:lineRule="auto"/>
        <w:jc w:val="left"/>
        <w:rPr>
          <w:rFonts w:hint="eastAsia"/>
          <w:szCs w:val="30"/>
        </w:rPr>
      </w:pPr>
    </w:p>
    <w:p w14:paraId="7AEC1FF5">
      <w:pPr>
        <w:autoSpaceDE w:val="0"/>
        <w:autoSpaceDN w:val="0"/>
        <w:adjustRightInd w:val="0"/>
        <w:spacing w:line="360" w:lineRule="auto"/>
        <w:jc w:val="left"/>
        <w:rPr>
          <w:rFonts w:hint="eastAsia" w:ascii="仿宋" w:hAnsi="仿宋" w:eastAsia="仿宋" w:cs="仿宋_GB2312"/>
          <w:kern w:val="0"/>
          <w:sz w:val="30"/>
          <w:szCs w:val="30"/>
        </w:rPr>
      </w:pPr>
    </w:p>
    <w:p w14:paraId="7D38142F">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p w14:paraId="3A6B7193">
      <w:pPr>
        <w:autoSpaceDE w:val="0"/>
        <w:autoSpaceDN w:val="0"/>
        <w:adjustRightInd w:val="0"/>
        <w:spacing w:line="360" w:lineRule="auto"/>
        <w:jc w:val="left"/>
      </w:pPr>
    </w:p>
    <w:p w14:paraId="77E27E01">
      <w:pPr>
        <w:autoSpaceDE w:val="0"/>
        <w:autoSpaceDN w:val="0"/>
        <w:adjustRightInd w:val="0"/>
        <w:spacing w:line="360" w:lineRule="auto"/>
        <w:jc w:val="left"/>
        <w:rPr>
          <w:rFonts w:hint="eastAsia"/>
        </w:rPr>
      </w:pPr>
    </w:p>
    <w:tbl>
      <w:tblPr>
        <w:tblStyle w:val="3"/>
        <w:tblW w:w="8360" w:type="dxa"/>
        <w:tblInd w:w="0" w:type="dxa"/>
        <w:shd w:val="clear" w:color="auto" w:fill="auto"/>
        <w:tblLayout w:type="fixed"/>
        <w:tblCellMar>
          <w:top w:w="0" w:type="dxa"/>
          <w:left w:w="0" w:type="dxa"/>
          <w:bottom w:w="0" w:type="dxa"/>
          <w:right w:w="0" w:type="dxa"/>
        </w:tblCellMar>
      </w:tblPr>
      <w:tblGrid>
        <w:gridCol w:w="258"/>
        <w:gridCol w:w="258"/>
        <w:gridCol w:w="259"/>
        <w:gridCol w:w="2816"/>
        <w:gridCol w:w="513"/>
        <w:gridCol w:w="982"/>
        <w:gridCol w:w="371"/>
        <w:gridCol w:w="624"/>
        <w:gridCol w:w="564"/>
        <w:gridCol w:w="576"/>
        <w:gridCol w:w="552"/>
        <w:gridCol w:w="587"/>
      </w:tblGrid>
      <w:tr w14:paraId="1997ECE2">
        <w:tblPrEx>
          <w:tblCellMar>
            <w:top w:w="0" w:type="dxa"/>
            <w:left w:w="0" w:type="dxa"/>
            <w:bottom w:w="0" w:type="dxa"/>
            <w:right w:w="0" w:type="dxa"/>
          </w:tblCellMar>
        </w:tblPrEx>
        <w:trPr>
          <w:trHeight w:val="636" w:hRule="atLeast"/>
        </w:trPr>
        <w:tc>
          <w:tcPr>
            <w:tcW w:w="8360" w:type="dxa"/>
            <w:gridSpan w:val="12"/>
            <w:tcBorders>
              <w:top w:val="nil"/>
              <w:left w:val="nil"/>
              <w:bottom w:val="nil"/>
              <w:right w:val="nil"/>
            </w:tcBorders>
            <w:shd w:val="clear" w:color="auto" w:fill="auto"/>
            <w:noWrap/>
            <w:tcMar>
              <w:top w:w="10" w:type="dxa"/>
              <w:left w:w="10" w:type="dxa"/>
              <w:right w:w="10" w:type="dxa"/>
            </w:tcMar>
            <w:vAlign w:val="bottom"/>
          </w:tcPr>
          <w:p w14:paraId="16673DD8">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支出决算表</w:t>
            </w:r>
          </w:p>
        </w:tc>
      </w:tr>
      <w:tr w14:paraId="08761876">
        <w:tblPrEx>
          <w:shd w:val="clear" w:color="auto" w:fill="auto"/>
          <w:tblCellMar>
            <w:top w:w="0" w:type="dxa"/>
            <w:left w:w="0" w:type="dxa"/>
            <w:bottom w:w="0" w:type="dxa"/>
            <w:right w:w="0" w:type="dxa"/>
          </w:tblCellMar>
        </w:tblPrEx>
        <w:trPr>
          <w:trHeight w:val="378" w:hRule="atLeast"/>
        </w:trPr>
        <w:tc>
          <w:tcPr>
            <w:tcW w:w="258" w:type="dxa"/>
            <w:tcBorders>
              <w:top w:val="nil"/>
              <w:left w:val="nil"/>
              <w:bottom w:val="nil"/>
              <w:right w:val="nil"/>
            </w:tcBorders>
            <w:shd w:val="clear" w:color="auto" w:fill="auto"/>
            <w:noWrap/>
            <w:tcMar>
              <w:top w:w="10" w:type="dxa"/>
              <w:left w:w="10" w:type="dxa"/>
              <w:right w:w="10" w:type="dxa"/>
            </w:tcMar>
            <w:vAlign w:val="bottom"/>
          </w:tcPr>
          <w:p w14:paraId="0F05C599">
            <w:pPr>
              <w:rPr>
                <w:rFonts w:hint="eastAsia" w:ascii="Arial" w:hAnsi="Arial" w:cs="Arial"/>
                <w:i w:val="0"/>
                <w:color w:val="000000"/>
                <w:sz w:val="20"/>
                <w:szCs w:val="20"/>
                <w:u w:val="none"/>
              </w:rPr>
            </w:pPr>
          </w:p>
        </w:tc>
        <w:tc>
          <w:tcPr>
            <w:tcW w:w="258" w:type="dxa"/>
            <w:tcBorders>
              <w:top w:val="nil"/>
              <w:left w:val="nil"/>
              <w:bottom w:val="nil"/>
              <w:right w:val="nil"/>
            </w:tcBorders>
            <w:shd w:val="clear" w:color="auto" w:fill="auto"/>
            <w:noWrap/>
            <w:tcMar>
              <w:top w:w="10" w:type="dxa"/>
              <w:left w:w="10" w:type="dxa"/>
              <w:right w:w="10" w:type="dxa"/>
            </w:tcMar>
            <w:vAlign w:val="bottom"/>
          </w:tcPr>
          <w:p w14:paraId="0F42C676">
            <w:pPr>
              <w:rPr>
                <w:rFonts w:hint="default" w:ascii="Arial" w:hAnsi="Arial" w:cs="Arial"/>
                <w:i w:val="0"/>
                <w:color w:val="000000"/>
                <w:sz w:val="20"/>
                <w:szCs w:val="20"/>
                <w:u w:val="none"/>
              </w:rPr>
            </w:pPr>
          </w:p>
        </w:tc>
        <w:tc>
          <w:tcPr>
            <w:tcW w:w="259" w:type="dxa"/>
            <w:tcBorders>
              <w:top w:val="nil"/>
              <w:left w:val="nil"/>
              <w:bottom w:val="nil"/>
              <w:right w:val="nil"/>
            </w:tcBorders>
            <w:shd w:val="clear" w:color="auto" w:fill="auto"/>
            <w:noWrap/>
            <w:tcMar>
              <w:top w:w="10" w:type="dxa"/>
              <w:left w:w="10" w:type="dxa"/>
              <w:right w:w="10" w:type="dxa"/>
            </w:tcMar>
            <w:vAlign w:val="bottom"/>
          </w:tcPr>
          <w:p w14:paraId="5C7C9C94">
            <w:pPr>
              <w:rPr>
                <w:rFonts w:hint="default" w:ascii="Arial" w:hAnsi="Arial" w:cs="Arial"/>
                <w:i w:val="0"/>
                <w:color w:val="000000"/>
                <w:sz w:val="20"/>
                <w:szCs w:val="20"/>
                <w:u w:val="none"/>
              </w:rPr>
            </w:pPr>
          </w:p>
        </w:tc>
        <w:tc>
          <w:tcPr>
            <w:tcW w:w="3329" w:type="dxa"/>
            <w:gridSpan w:val="2"/>
            <w:tcBorders>
              <w:top w:val="nil"/>
              <w:left w:val="nil"/>
              <w:bottom w:val="nil"/>
              <w:right w:val="nil"/>
            </w:tcBorders>
            <w:shd w:val="clear" w:color="auto" w:fill="auto"/>
            <w:noWrap/>
            <w:tcMar>
              <w:top w:w="10" w:type="dxa"/>
              <w:left w:w="10" w:type="dxa"/>
              <w:right w:w="10" w:type="dxa"/>
            </w:tcMar>
            <w:vAlign w:val="bottom"/>
          </w:tcPr>
          <w:p w14:paraId="54C7B4BA">
            <w:pPr>
              <w:rPr>
                <w:rFonts w:hint="default" w:ascii="Arial" w:hAnsi="Arial" w:cs="Arial"/>
                <w:i w:val="0"/>
                <w:color w:val="000000"/>
                <w:sz w:val="20"/>
                <w:szCs w:val="20"/>
                <w:u w:val="none"/>
              </w:rPr>
            </w:pPr>
          </w:p>
        </w:tc>
        <w:tc>
          <w:tcPr>
            <w:tcW w:w="982" w:type="dxa"/>
            <w:tcBorders>
              <w:top w:val="nil"/>
              <w:left w:val="nil"/>
              <w:bottom w:val="nil"/>
              <w:right w:val="nil"/>
            </w:tcBorders>
            <w:shd w:val="clear" w:color="auto" w:fill="auto"/>
            <w:noWrap/>
            <w:tcMar>
              <w:top w:w="10" w:type="dxa"/>
              <w:left w:w="10" w:type="dxa"/>
              <w:right w:w="10" w:type="dxa"/>
            </w:tcMar>
            <w:vAlign w:val="bottom"/>
          </w:tcPr>
          <w:p w14:paraId="76420596">
            <w:pPr>
              <w:rPr>
                <w:rFonts w:hint="default" w:ascii="Arial" w:hAnsi="Arial" w:cs="Arial"/>
                <w:i w:val="0"/>
                <w:color w:val="000000"/>
                <w:sz w:val="20"/>
                <w:szCs w:val="20"/>
                <w:u w:val="none"/>
              </w:rPr>
            </w:pPr>
          </w:p>
        </w:tc>
        <w:tc>
          <w:tcPr>
            <w:tcW w:w="995" w:type="dxa"/>
            <w:gridSpan w:val="2"/>
            <w:tcBorders>
              <w:top w:val="nil"/>
              <w:left w:val="nil"/>
              <w:bottom w:val="nil"/>
              <w:right w:val="nil"/>
            </w:tcBorders>
            <w:shd w:val="clear" w:color="auto" w:fill="auto"/>
            <w:noWrap/>
            <w:tcMar>
              <w:top w:w="10" w:type="dxa"/>
              <w:left w:w="10" w:type="dxa"/>
              <w:right w:w="10" w:type="dxa"/>
            </w:tcMar>
            <w:vAlign w:val="bottom"/>
          </w:tcPr>
          <w:p w14:paraId="439A48E3">
            <w:pPr>
              <w:rPr>
                <w:rFonts w:hint="default" w:ascii="Arial" w:hAnsi="Arial" w:cs="Arial"/>
                <w:i w:val="0"/>
                <w:color w:val="000000"/>
                <w:sz w:val="20"/>
                <w:szCs w:val="20"/>
                <w:u w:val="none"/>
              </w:rPr>
            </w:pPr>
          </w:p>
        </w:tc>
        <w:tc>
          <w:tcPr>
            <w:tcW w:w="564" w:type="dxa"/>
            <w:tcBorders>
              <w:top w:val="nil"/>
              <w:left w:val="nil"/>
              <w:bottom w:val="nil"/>
              <w:right w:val="nil"/>
            </w:tcBorders>
            <w:shd w:val="clear" w:color="auto" w:fill="auto"/>
            <w:noWrap/>
            <w:tcMar>
              <w:top w:w="10" w:type="dxa"/>
              <w:left w:w="10" w:type="dxa"/>
              <w:right w:w="10" w:type="dxa"/>
            </w:tcMar>
            <w:vAlign w:val="bottom"/>
          </w:tcPr>
          <w:p w14:paraId="7F3437D1">
            <w:pPr>
              <w:rPr>
                <w:rFonts w:hint="default" w:ascii="Arial" w:hAnsi="Arial" w:cs="Arial"/>
                <w:i w:val="0"/>
                <w:color w:val="000000"/>
                <w:sz w:val="20"/>
                <w:szCs w:val="20"/>
                <w:u w:val="none"/>
              </w:rPr>
            </w:pPr>
          </w:p>
        </w:tc>
        <w:tc>
          <w:tcPr>
            <w:tcW w:w="1715" w:type="dxa"/>
            <w:gridSpan w:val="3"/>
            <w:tcBorders>
              <w:top w:val="nil"/>
              <w:left w:val="nil"/>
              <w:bottom w:val="nil"/>
              <w:right w:val="nil"/>
            </w:tcBorders>
            <w:shd w:val="clear" w:color="auto" w:fill="auto"/>
            <w:noWrap/>
            <w:tcMar>
              <w:top w:w="10" w:type="dxa"/>
              <w:left w:w="10" w:type="dxa"/>
              <w:right w:w="10" w:type="dxa"/>
            </w:tcMar>
            <w:vAlign w:val="bottom"/>
          </w:tcPr>
          <w:p w14:paraId="48E4AA3C">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576EFAAB">
        <w:tblPrEx>
          <w:shd w:val="clear" w:color="auto" w:fill="auto"/>
          <w:tblCellMar>
            <w:top w:w="0" w:type="dxa"/>
            <w:left w:w="0" w:type="dxa"/>
            <w:bottom w:w="0" w:type="dxa"/>
            <w:right w:w="0" w:type="dxa"/>
          </w:tblCellMar>
        </w:tblPrEx>
        <w:trPr>
          <w:trHeight w:val="434" w:hRule="atLeast"/>
        </w:trPr>
        <w:tc>
          <w:tcPr>
            <w:tcW w:w="3591" w:type="dxa"/>
            <w:gridSpan w:val="4"/>
            <w:tcBorders>
              <w:top w:val="nil"/>
              <w:left w:val="nil"/>
              <w:bottom w:val="nil"/>
              <w:right w:val="nil"/>
            </w:tcBorders>
            <w:shd w:val="clear" w:color="auto" w:fill="auto"/>
            <w:noWrap/>
            <w:tcMar>
              <w:top w:w="10" w:type="dxa"/>
              <w:left w:w="10" w:type="dxa"/>
              <w:right w:w="10" w:type="dxa"/>
            </w:tcMar>
            <w:vAlign w:val="bottom"/>
          </w:tcPr>
          <w:p w14:paraId="0CDD0CBB">
            <w:pPr>
              <w:keepNext w:val="0"/>
              <w:keepLines w:val="0"/>
              <w:widowControl/>
              <w:suppressLineNumbers w:val="0"/>
              <w:jc w:val="left"/>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编制单位：景德镇市人民政府办公室</w:t>
            </w:r>
          </w:p>
        </w:tc>
        <w:tc>
          <w:tcPr>
            <w:tcW w:w="1866" w:type="dxa"/>
            <w:gridSpan w:val="3"/>
            <w:tcBorders>
              <w:top w:val="nil"/>
              <w:left w:val="nil"/>
              <w:bottom w:val="nil"/>
              <w:right w:val="nil"/>
            </w:tcBorders>
            <w:shd w:val="clear" w:color="auto" w:fill="auto"/>
            <w:noWrap/>
            <w:tcMar>
              <w:top w:w="10" w:type="dxa"/>
              <w:left w:w="10" w:type="dxa"/>
              <w:right w:w="10" w:type="dxa"/>
            </w:tcMar>
            <w:vAlign w:val="bottom"/>
          </w:tcPr>
          <w:p w14:paraId="61CE811A">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2019年度</w:t>
            </w:r>
          </w:p>
        </w:tc>
        <w:tc>
          <w:tcPr>
            <w:tcW w:w="624" w:type="dxa"/>
            <w:tcBorders>
              <w:top w:val="nil"/>
              <w:left w:val="nil"/>
              <w:bottom w:val="nil"/>
              <w:right w:val="nil"/>
            </w:tcBorders>
            <w:shd w:val="clear" w:color="auto" w:fill="auto"/>
            <w:noWrap/>
            <w:tcMar>
              <w:top w:w="10" w:type="dxa"/>
              <w:left w:w="10" w:type="dxa"/>
              <w:right w:w="10" w:type="dxa"/>
            </w:tcMar>
            <w:vAlign w:val="bottom"/>
          </w:tcPr>
          <w:p w14:paraId="1F16427B">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564" w:type="dxa"/>
            <w:tcBorders>
              <w:top w:val="nil"/>
              <w:left w:val="nil"/>
              <w:bottom w:val="nil"/>
              <w:right w:val="nil"/>
            </w:tcBorders>
            <w:shd w:val="clear" w:color="auto" w:fill="auto"/>
            <w:noWrap/>
            <w:tcMar>
              <w:top w:w="10" w:type="dxa"/>
              <w:left w:w="10" w:type="dxa"/>
              <w:right w:w="10" w:type="dxa"/>
            </w:tcMar>
            <w:vAlign w:val="bottom"/>
          </w:tcPr>
          <w:p w14:paraId="462C6B89">
            <w:pPr>
              <w:rPr>
                <w:rFonts w:hint="default" w:ascii="Arial" w:hAnsi="Arial" w:cs="Arial"/>
                <w:i w:val="0"/>
                <w:color w:val="000000"/>
                <w:sz w:val="20"/>
                <w:szCs w:val="20"/>
                <w:u w:val="none"/>
              </w:rPr>
            </w:pPr>
          </w:p>
        </w:tc>
        <w:tc>
          <w:tcPr>
            <w:tcW w:w="576" w:type="dxa"/>
            <w:tcBorders>
              <w:top w:val="nil"/>
              <w:left w:val="nil"/>
              <w:bottom w:val="nil"/>
              <w:right w:val="nil"/>
            </w:tcBorders>
            <w:shd w:val="clear" w:color="auto" w:fill="auto"/>
            <w:noWrap/>
            <w:tcMar>
              <w:top w:w="10" w:type="dxa"/>
              <w:left w:w="10" w:type="dxa"/>
              <w:right w:w="10" w:type="dxa"/>
            </w:tcMar>
            <w:vAlign w:val="bottom"/>
          </w:tcPr>
          <w:p w14:paraId="291E6EA4">
            <w:pPr>
              <w:rPr>
                <w:rFonts w:hint="default" w:ascii="Arial" w:hAnsi="Arial" w:cs="Arial"/>
                <w:i w:val="0"/>
                <w:color w:val="000000"/>
                <w:sz w:val="20"/>
                <w:szCs w:val="20"/>
                <w:u w:val="none"/>
              </w:rPr>
            </w:pPr>
          </w:p>
        </w:tc>
        <w:tc>
          <w:tcPr>
            <w:tcW w:w="1139" w:type="dxa"/>
            <w:gridSpan w:val="2"/>
            <w:tcBorders>
              <w:top w:val="nil"/>
              <w:left w:val="nil"/>
              <w:bottom w:val="nil"/>
              <w:right w:val="nil"/>
            </w:tcBorders>
            <w:shd w:val="clear" w:color="auto" w:fill="auto"/>
            <w:noWrap/>
            <w:tcMar>
              <w:top w:w="10" w:type="dxa"/>
              <w:left w:w="10" w:type="dxa"/>
              <w:right w:w="10" w:type="dxa"/>
            </w:tcMar>
            <w:vAlign w:val="bottom"/>
          </w:tcPr>
          <w:p w14:paraId="67DB8618">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14:paraId="026D511F">
        <w:tblPrEx>
          <w:shd w:val="clear" w:color="auto" w:fill="auto"/>
          <w:tblCellMar>
            <w:top w:w="0" w:type="dxa"/>
            <w:left w:w="0" w:type="dxa"/>
            <w:bottom w:w="0" w:type="dxa"/>
            <w:right w:w="0" w:type="dxa"/>
          </w:tblCellMar>
        </w:tblPrEx>
        <w:trPr>
          <w:trHeight w:val="333" w:hRule="atLeast"/>
        </w:trPr>
        <w:tc>
          <w:tcPr>
            <w:tcW w:w="4104"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110F69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    目</w:t>
            </w:r>
          </w:p>
        </w:tc>
        <w:tc>
          <w:tcPr>
            <w:tcW w:w="982"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565A36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本年支出合计</w:t>
            </w:r>
          </w:p>
        </w:tc>
        <w:tc>
          <w:tcPr>
            <w:tcW w:w="995" w:type="dxa"/>
            <w:gridSpan w:val="2"/>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034806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基本支出</w:t>
            </w:r>
          </w:p>
        </w:tc>
        <w:tc>
          <w:tcPr>
            <w:tcW w:w="564"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0BDCFA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项目支出</w:t>
            </w:r>
          </w:p>
        </w:tc>
        <w:tc>
          <w:tcPr>
            <w:tcW w:w="576"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434152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上缴上级支出</w:t>
            </w:r>
          </w:p>
        </w:tc>
        <w:tc>
          <w:tcPr>
            <w:tcW w:w="552"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43C766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经营支出</w:t>
            </w:r>
          </w:p>
        </w:tc>
        <w:tc>
          <w:tcPr>
            <w:tcW w:w="587"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49537F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对附属单位补助支出</w:t>
            </w:r>
          </w:p>
        </w:tc>
      </w:tr>
      <w:tr w14:paraId="688E29F5">
        <w:tblPrEx>
          <w:shd w:val="clear" w:color="auto" w:fill="auto"/>
          <w:tblCellMar>
            <w:top w:w="0" w:type="dxa"/>
            <w:left w:w="0" w:type="dxa"/>
            <w:bottom w:w="0" w:type="dxa"/>
            <w:right w:w="0" w:type="dxa"/>
          </w:tblCellMar>
        </w:tblPrEx>
        <w:trPr>
          <w:trHeight w:val="329" w:hRule="atLeast"/>
        </w:trPr>
        <w:tc>
          <w:tcPr>
            <w:tcW w:w="775" w:type="dxa"/>
            <w:gridSpan w:val="3"/>
            <w:vMerge w:val="restart"/>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2BADD5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支出功能分类科目编码</w:t>
            </w:r>
          </w:p>
        </w:tc>
        <w:tc>
          <w:tcPr>
            <w:tcW w:w="3329" w:type="dxa"/>
            <w:gridSpan w:val="2"/>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5F015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科目名称</w:t>
            </w:r>
          </w:p>
        </w:tc>
        <w:tc>
          <w:tcPr>
            <w:tcW w:w="982"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040632F6">
            <w:pPr>
              <w:jc w:val="center"/>
              <w:rPr>
                <w:rFonts w:hint="eastAsia" w:ascii="宋体" w:hAnsi="宋体" w:eastAsia="宋体" w:cs="宋体"/>
                <w:i w:val="0"/>
                <w:color w:val="000000"/>
                <w:sz w:val="21"/>
                <w:szCs w:val="21"/>
                <w:u w:val="none"/>
              </w:rPr>
            </w:pPr>
          </w:p>
        </w:tc>
        <w:tc>
          <w:tcPr>
            <w:tcW w:w="995" w:type="dxa"/>
            <w:gridSpan w:val="2"/>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1200A897">
            <w:pPr>
              <w:jc w:val="center"/>
              <w:rPr>
                <w:rFonts w:hint="eastAsia" w:ascii="宋体" w:hAnsi="宋体" w:eastAsia="宋体" w:cs="宋体"/>
                <w:i w:val="0"/>
                <w:color w:val="000000"/>
                <w:sz w:val="21"/>
                <w:szCs w:val="21"/>
                <w:u w:val="none"/>
              </w:rPr>
            </w:pPr>
          </w:p>
        </w:tc>
        <w:tc>
          <w:tcPr>
            <w:tcW w:w="564"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3CB656BD">
            <w:pPr>
              <w:jc w:val="center"/>
              <w:rPr>
                <w:rFonts w:hint="eastAsia" w:ascii="宋体" w:hAnsi="宋体" w:eastAsia="宋体" w:cs="宋体"/>
                <w:i w:val="0"/>
                <w:color w:val="000000"/>
                <w:sz w:val="21"/>
                <w:szCs w:val="21"/>
                <w:u w:val="none"/>
              </w:rPr>
            </w:pPr>
          </w:p>
        </w:tc>
        <w:tc>
          <w:tcPr>
            <w:tcW w:w="576"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6116CB69">
            <w:pPr>
              <w:jc w:val="center"/>
              <w:rPr>
                <w:rFonts w:hint="eastAsia" w:ascii="宋体" w:hAnsi="宋体" w:eastAsia="宋体" w:cs="宋体"/>
                <w:i w:val="0"/>
                <w:color w:val="000000"/>
                <w:sz w:val="21"/>
                <w:szCs w:val="21"/>
                <w:u w:val="none"/>
              </w:rPr>
            </w:pPr>
          </w:p>
        </w:tc>
        <w:tc>
          <w:tcPr>
            <w:tcW w:w="552"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38FDE1B5">
            <w:pPr>
              <w:jc w:val="center"/>
              <w:rPr>
                <w:rFonts w:hint="eastAsia" w:ascii="宋体" w:hAnsi="宋体" w:eastAsia="宋体" w:cs="宋体"/>
                <w:i w:val="0"/>
                <w:color w:val="000000"/>
                <w:sz w:val="21"/>
                <w:szCs w:val="21"/>
                <w:u w:val="none"/>
              </w:rPr>
            </w:pPr>
          </w:p>
        </w:tc>
        <w:tc>
          <w:tcPr>
            <w:tcW w:w="58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1E32A1A8">
            <w:pPr>
              <w:jc w:val="center"/>
              <w:rPr>
                <w:rFonts w:hint="eastAsia" w:ascii="宋体" w:hAnsi="宋体" w:eastAsia="宋体" w:cs="宋体"/>
                <w:i w:val="0"/>
                <w:color w:val="000000"/>
                <w:sz w:val="21"/>
                <w:szCs w:val="21"/>
                <w:u w:val="none"/>
              </w:rPr>
            </w:pPr>
          </w:p>
        </w:tc>
      </w:tr>
      <w:tr w14:paraId="4F280113">
        <w:tblPrEx>
          <w:shd w:val="clear" w:color="auto" w:fill="auto"/>
          <w:tblCellMar>
            <w:top w:w="0" w:type="dxa"/>
            <w:left w:w="0" w:type="dxa"/>
            <w:bottom w:w="0" w:type="dxa"/>
            <w:right w:w="0" w:type="dxa"/>
          </w:tblCellMar>
        </w:tblPrEx>
        <w:trPr>
          <w:trHeight w:val="329" w:hRule="atLeast"/>
        </w:trPr>
        <w:tc>
          <w:tcPr>
            <w:tcW w:w="775" w:type="dxa"/>
            <w:gridSpan w:val="3"/>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5134872F">
            <w:pPr>
              <w:jc w:val="center"/>
              <w:rPr>
                <w:rFonts w:hint="eastAsia" w:ascii="宋体" w:hAnsi="宋体" w:eastAsia="宋体" w:cs="宋体"/>
                <w:i w:val="0"/>
                <w:color w:val="000000"/>
                <w:sz w:val="21"/>
                <w:szCs w:val="21"/>
                <w:u w:val="none"/>
              </w:rPr>
            </w:pPr>
          </w:p>
        </w:tc>
        <w:tc>
          <w:tcPr>
            <w:tcW w:w="3329" w:type="dxa"/>
            <w:gridSpan w:val="2"/>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81B2E96">
            <w:pPr>
              <w:jc w:val="center"/>
              <w:rPr>
                <w:rFonts w:hint="eastAsia" w:ascii="宋体" w:hAnsi="宋体" w:eastAsia="宋体" w:cs="宋体"/>
                <w:i w:val="0"/>
                <w:color w:val="000000"/>
                <w:sz w:val="21"/>
                <w:szCs w:val="21"/>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644C3ED6">
            <w:pPr>
              <w:jc w:val="center"/>
              <w:rPr>
                <w:rFonts w:hint="eastAsia" w:ascii="宋体" w:hAnsi="宋体" w:eastAsia="宋体" w:cs="宋体"/>
                <w:i w:val="0"/>
                <w:color w:val="000000"/>
                <w:sz w:val="21"/>
                <w:szCs w:val="21"/>
                <w:u w:val="none"/>
              </w:rPr>
            </w:pPr>
          </w:p>
        </w:tc>
        <w:tc>
          <w:tcPr>
            <w:tcW w:w="995" w:type="dxa"/>
            <w:gridSpan w:val="2"/>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45C0C1AF">
            <w:pPr>
              <w:jc w:val="center"/>
              <w:rPr>
                <w:rFonts w:hint="eastAsia" w:ascii="宋体" w:hAnsi="宋体" w:eastAsia="宋体" w:cs="宋体"/>
                <w:i w:val="0"/>
                <w:color w:val="000000"/>
                <w:sz w:val="21"/>
                <w:szCs w:val="21"/>
                <w:u w:val="none"/>
              </w:rPr>
            </w:pPr>
          </w:p>
        </w:tc>
        <w:tc>
          <w:tcPr>
            <w:tcW w:w="564"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395752AD">
            <w:pPr>
              <w:jc w:val="center"/>
              <w:rPr>
                <w:rFonts w:hint="eastAsia" w:ascii="宋体" w:hAnsi="宋体" w:eastAsia="宋体" w:cs="宋体"/>
                <w:i w:val="0"/>
                <w:color w:val="000000"/>
                <w:sz w:val="21"/>
                <w:szCs w:val="21"/>
                <w:u w:val="none"/>
              </w:rPr>
            </w:pPr>
          </w:p>
        </w:tc>
        <w:tc>
          <w:tcPr>
            <w:tcW w:w="576"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738C5B71">
            <w:pPr>
              <w:jc w:val="center"/>
              <w:rPr>
                <w:rFonts w:hint="eastAsia" w:ascii="宋体" w:hAnsi="宋体" w:eastAsia="宋体" w:cs="宋体"/>
                <w:i w:val="0"/>
                <w:color w:val="000000"/>
                <w:sz w:val="21"/>
                <w:szCs w:val="21"/>
                <w:u w:val="none"/>
              </w:rPr>
            </w:pPr>
          </w:p>
        </w:tc>
        <w:tc>
          <w:tcPr>
            <w:tcW w:w="552"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7D6AFD11">
            <w:pPr>
              <w:jc w:val="center"/>
              <w:rPr>
                <w:rFonts w:hint="eastAsia" w:ascii="宋体" w:hAnsi="宋体" w:eastAsia="宋体" w:cs="宋体"/>
                <w:i w:val="0"/>
                <w:color w:val="000000"/>
                <w:sz w:val="21"/>
                <w:szCs w:val="21"/>
                <w:u w:val="none"/>
              </w:rPr>
            </w:pPr>
          </w:p>
        </w:tc>
        <w:tc>
          <w:tcPr>
            <w:tcW w:w="58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57EB6B11">
            <w:pPr>
              <w:jc w:val="center"/>
              <w:rPr>
                <w:rFonts w:hint="eastAsia" w:ascii="宋体" w:hAnsi="宋体" w:eastAsia="宋体" w:cs="宋体"/>
                <w:i w:val="0"/>
                <w:color w:val="000000"/>
                <w:sz w:val="21"/>
                <w:szCs w:val="21"/>
                <w:u w:val="none"/>
              </w:rPr>
            </w:pPr>
          </w:p>
        </w:tc>
      </w:tr>
      <w:tr w14:paraId="6FD23656">
        <w:tblPrEx>
          <w:shd w:val="clear" w:color="auto" w:fill="auto"/>
          <w:tblCellMar>
            <w:top w:w="0" w:type="dxa"/>
            <w:left w:w="0" w:type="dxa"/>
            <w:bottom w:w="0" w:type="dxa"/>
            <w:right w:w="0" w:type="dxa"/>
          </w:tblCellMar>
        </w:tblPrEx>
        <w:trPr>
          <w:trHeight w:val="613" w:hRule="atLeast"/>
        </w:trPr>
        <w:tc>
          <w:tcPr>
            <w:tcW w:w="775" w:type="dxa"/>
            <w:gridSpan w:val="3"/>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6B5E16F7">
            <w:pPr>
              <w:jc w:val="center"/>
              <w:rPr>
                <w:rFonts w:hint="eastAsia" w:ascii="宋体" w:hAnsi="宋体" w:eastAsia="宋体" w:cs="宋体"/>
                <w:i w:val="0"/>
                <w:color w:val="000000"/>
                <w:sz w:val="21"/>
                <w:szCs w:val="21"/>
                <w:u w:val="none"/>
              </w:rPr>
            </w:pPr>
          </w:p>
        </w:tc>
        <w:tc>
          <w:tcPr>
            <w:tcW w:w="3329" w:type="dxa"/>
            <w:gridSpan w:val="2"/>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40C24F3">
            <w:pPr>
              <w:jc w:val="center"/>
              <w:rPr>
                <w:rFonts w:hint="eastAsia" w:ascii="宋体" w:hAnsi="宋体" w:eastAsia="宋体" w:cs="宋体"/>
                <w:i w:val="0"/>
                <w:color w:val="000000"/>
                <w:sz w:val="21"/>
                <w:szCs w:val="21"/>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4500E0FD">
            <w:pPr>
              <w:jc w:val="center"/>
              <w:rPr>
                <w:rFonts w:hint="eastAsia" w:ascii="宋体" w:hAnsi="宋体" w:eastAsia="宋体" w:cs="宋体"/>
                <w:i w:val="0"/>
                <w:color w:val="000000"/>
                <w:sz w:val="21"/>
                <w:szCs w:val="21"/>
                <w:u w:val="none"/>
              </w:rPr>
            </w:pPr>
          </w:p>
        </w:tc>
        <w:tc>
          <w:tcPr>
            <w:tcW w:w="995" w:type="dxa"/>
            <w:gridSpan w:val="2"/>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5774448C">
            <w:pPr>
              <w:jc w:val="center"/>
              <w:rPr>
                <w:rFonts w:hint="eastAsia" w:ascii="宋体" w:hAnsi="宋体" w:eastAsia="宋体" w:cs="宋体"/>
                <w:i w:val="0"/>
                <w:color w:val="000000"/>
                <w:sz w:val="21"/>
                <w:szCs w:val="21"/>
                <w:u w:val="none"/>
              </w:rPr>
            </w:pPr>
          </w:p>
        </w:tc>
        <w:tc>
          <w:tcPr>
            <w:tcW w:w="564"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03E873B3">
            <w:pPr>
              <w:jc w:val="center"/>
              <w:rPr>
                <w:rFonts w:hint="eastAsia" w:ascii="宋体" w:hAnsi="宋体" w:eastAsia="宋体" w:cs="宋体"/>
                <w:i w:val="0"/>
                <w:color w:val="000000"/>
                <w:sz w:val="21"/>
                <w:szCs w:val="21"/>
                <w:u w:val="none"/>
              </w:rPr>
            </w:pPr>
          </w:p>
        </w:tc>
        <w:tc>
          <w:tcPr>
            <w:tcW w:w="576"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4F1CC9DD">
            <w:pPr>
              <w:jc w:val="center"/>
              <w:rPr>
                <w:rFonts w:hint="eastAsia" w:ascii="宋体" w:hAnsi="宋体" w:eastAsia="宋体" w:cs="宋体"/>
                <w:i w:val="0"/>
                <w:color w:val="000000"/>
                <w:sz w:val="21"/>
                <w:szCs w:val="21"/>
                <w:u w:val="none"/>
              </w:rPr>
            </w:pPr>
          </w:p>
        </w:tc>
        <w:tc>
          <w:tcPr>
            <w:tcW w:w="552"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00252C34">
            <w:pPr>
              <w:jc w:val="center"/>
              <w:rPr>
                <w:rFonts w:hint="eastAsia" w:ascii="宋体" w:hAnsi="宋体" w:eastAsia="宋体" w:cs="宋体"/>
                <w:i w:val="0"/>
                <w:color w:val="000000"/>
                <w:sz w:val="21"/>
                <w:szCs w:val="21"/>
                <w:u w:val="none"/>
              </w:rPr>
            </w:pPr>
          </w:p>
        </w:tc>
        <w:tc>
          <w:tcPr>
            <w:tcW w:w="58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15938B19">
            <w:pPr>
              <w:jc w:val="center"/>
              <w:rPr>
                <w:rFonts w:hint="eastAsia" w:ascii="宋体" w:hAnsi="宋体" w:eastAsia="宋体" w:cs="宋体"/>
                <w:i w:val="0"/>
                <w:color w:val="000000"/>
                <w:sz w:val="21"/>
                <w:szCs w:val="21"/>
                <w:u w:val="none"/>
              </w:rPr>
            </w:pPr>
          </w:p>
        </w:tc>
      </w:tr>
      <w:tr w14:paraId="1D0DA35B">
        <w:tblPrEx>
          <w:shd w:val="clear" w:color="auto" w:fill="auto"/>
          <w:tblCellMar>
            <w:top w:w="0" w:type="dxa"/>
            <w:left w:w="0" w:type="dxa"/>
            <w:bottom w:w="0" w:type="dxa"/>
            <w:right w:w="0" w:type="dxa"/>
          </w:tblCellMar>
        </w:tblPrEx>
        <w:trPr>
          <w:trHeight w:val="333" w:hRule="atLeast"/>
        </w:trPr>
        <w:tc>
          <w:tcPr>
            <w:tcW w:w="258" w:type="dxa"/>
            <w:vMerge w:val="restart"/>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5E3909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类</w:t>
            </w:r>
          </w:p>
        </w:tc>
        <w:tc>
          <w:tcPr>
            <w:tcW w:w="258"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41CD0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款</w:t>
            </w:r>
          </w:p>
        </w:tc>
        <w:tc>
          <w:tcPr>
            <w:tcW w:w="259"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BEBF2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3329" w:type="dxa"/>
            <w:gridSpan w:val="2"/>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1904E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栏次</w:t>
            </w:r>
          </w:p>
        </w:tc>
        <w:tc>
          <w:tcPr>
            <w:tcW w:w="982"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AABC3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95" w:type="dxa"/>
            <w:gridSpan w:val="2"/>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A54E5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56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453CF3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576"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915FF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52"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3F38D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87"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0869F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14:paraId="119B531F">
        <w:tblPrEx>
          <w:shd w:val="clear" w:color="auto" w:fill="auto"/>
          <w:tblCellMar>
            <w:top w:w="0" w:type="dxa"/>
            <w:left w:w="0" w:type="dxa"/>
            <w:bottom w:w="0" w:type="dxa"/>
            <w:right w:w="0" w:type="dxa"/>
          </w:tblCellMar>
        </w:tblPrEx>
        <w:trPr>
          <w:trHeight w:val="333" w:hRule="atLeast"/>
        </w:trPr>
        <w:tc>
          <w:tcPr>
            <w:tcW w:w="258" w:type="dxa"/>
            <w:vMerge w:val="continue"/>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49B7459A">
            <w:pPr>
              <w:jc w:val="center"/>
              <w:rPr>
                <w:rFonts w:hint="eastAsia" w:ascii="宋体" w:hAnsi="宋体" w:eastAsia="宋体" w:cs="宋体"/>
                <w:i w:val="0"/>
                <w:color w:val="000000"/>
                <w:sz w:val="21"/>
                <w:szCs w:val="21"/>
                <w:u w:val="none"/>
              </w:rPr>
            </w:pPr>
          </w:p>
        </w:tc>
        <w:tc>
          <w:tcPr>
            <w:tcW w:w="258"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2D49CB6">
            <w:pPr>
              <w:jc w:val="center"/>
              <w:rPr>
                <w:rFonts w:hint="eastAsia" w:ascii="宋体" w:hAnsi="宋体" w:eastAsia="宋体" w:cs="宋体"/>
                <w:i w:val="0"/>
                <w:color w:val="000000"/>
                <w:sz w:val="21"/>
                <w:szCs w:val="21"/>
                <w:u w:val="none"/>
              </w:rPr>
            </w:pPr>
          </w:p>
        </w:tc>
        <w:tc>
          <w:tcPr>
            <w:tcW w:w="259"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B4596F0">
            <w:pPr>
              <w:jc w:val="center"/>
              <w:rPr>
                <w:rFonts w:hint="eastAsia" w:ascii="宋体" w:hAnsi="宋体" w:eastAsia="宋体" w:cs="宋体"/>
                <w:i w:val="0"/>
                <w:color w:val="000000"/>
                <w:sz w:val="21"/>
                <w:szCs w:val="21"/>
                <w:u w:val="none"/>
              </w:rPr>
            </w:pPr>
          </w:p>
        </w:tc>
        <w:tc>
          <w:tcPr>
            <w:tcW w:w="3329" w:type="dxa"/>
            <w:gridSpan w:val="2"/>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F69CC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DE37EB0">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2,759.07</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5BFD1AE">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2,759.07</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255D1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A7C1AF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C4B59E">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4EFB6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55E5EE5A">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BA4020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6685B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一般公共服务支出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7707DA0">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2,381.55</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1E8AB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2,381.55</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C84D2A">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0A36F4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797413C">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CF423A">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1325B206">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1FD2C8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20103</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5DC724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政府办公厅（室）及相关机构事务</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E7C2EB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2,380.50</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FC4B1CD">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2,380.50</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92957FB">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237AB5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666E2A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661EEB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386EB9C0">
        <w:tblPrEx>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7683048">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2010301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50491D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行政运行</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BC448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1,910.50</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766CC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1,910.50</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BD1C3F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F8C071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E798B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E206A41">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61FFFD95">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2A3425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2010399</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FAAE29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其他政府办公厅（室）及相关机构事务支出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3998FEE">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470.00</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35A955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470.00</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500B42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2430C0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B8D6A6E">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D32EDE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6809FECB">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882301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20106</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6E4261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财政事务</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5A5E29E">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F9AFB53">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C98B783">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1E58A9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C4D3B4D">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D90B58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578C1EAE">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5A327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2010604</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8361A4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预算改革业务</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45FF989">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7140B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2543C9">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C5D1E5">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CD755B9">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740C63">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44669E80">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202D8C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B363F2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社会保障和就业支出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C16AF0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189.07</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0485960">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189.07</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765C809">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6D00B10">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B4C31B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01469F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5BD87196">
        <w:tblPrEx>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4FA9AA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20805</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B5881C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行政事业单位离退休</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BB9157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176.80</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A4252CD">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176.80</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BC96F9E">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EE2F95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1E8A0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1BD8E5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20910747">
        <w:tblPrEx>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21BCEE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2080504</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8A3F36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未归口管理的行政单位离退休</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86E541D">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31.55</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B63C2D4">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31.55</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F46DD7D">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F0CFF6B">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4AC67C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05909D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4D3C8998">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303D58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2080505</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7328C00">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机关事业单位基本养老保险缴费支出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F3CBD43">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145.25</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BE69F35">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145.25</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D35E3A1">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71F9D2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34B508B">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C0B8B94">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280F5381">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432841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20808</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0364BE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抚恤</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A5BE3CE">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12.27</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796CC3">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12.27</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186CFB">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E3A03D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CCA6ADB">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25C68A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59144486">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725AA3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2080801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84FBB1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死亡抚恤</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95326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12.27</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AC76BE">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12.27</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625E3A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1C80B7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E5F2F21">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B79A35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4B6500DA">
        <w:tblPrEx>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8B4E21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25EA6D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卫生健康支出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0B966C">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104.47</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005A4C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104.47</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922A6DC">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A39100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401712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9A46C8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71E190D0">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30C8BF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B91A9D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行政事业单位医疗</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5F32EE5">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104.47</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5D37904">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104.47</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F3E2B50">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E0EC19">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F137EF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C7E66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3F5CF8DE">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06F02B0">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2101101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AC3A9C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行政单位医疗</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5C0CB4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71.92</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B66D21">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71.92</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2AFE8A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49090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FA950D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E5DD66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49903E1F">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BE6CA1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2101103</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157D80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公务员医疗补助</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C4FB74A">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31.10</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644F38D">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31.10</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405E390">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B5A776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ABF730B">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377B61B">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6859997F">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1F7455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2101199</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346F3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其他行政事业单位医疗支出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FD1828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DDB6F2B">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83F199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4E9B9A">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818FBC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A97AEC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1CB32359">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0922D78">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D52C358">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住房保障支出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D54E1F3">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83.98</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4918D79">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83.98</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BCA1B4">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6284A3C">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EAEC9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66E1C7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6E066F3B">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7E7260">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22102</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8A0D54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住房改革支出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3EF75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83.98</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A4EBFB0">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83.98</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EEDF25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93195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1B3E7F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047DD8E">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0E99BF0F">
        <w:tblPrEx>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B0FDEA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2210201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66F22B0">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住房公积金</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C410E13">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83.98</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7E37FF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83.98</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71F3003">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C60FA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6A20DB4">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BFADE5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14:paraId="360DD86F">
        <w:tblPrEx>
          <w:shd w:val="clear" w:color="auto" w:fill="auto"/>
          <w:tblCellMar>
            <w:top w:w="0" w:type="dxa"/>
            <w:left w:w="0" w:type="dxa"/>
            <w:bottom w:w="0" w:type="dxa"/>
            <w:right w:w="0" w:type="dxa"/>
          </w:tblCellMar>
        </w:tblPrEx>
        <w:trPr>
          <w:trHeight w:val="343" w:hRule="atLeast"/>
        </w:trPr>
        <w:tc>
          <w:tcPr>
            <w:tcW w:w="8360" w:type="dxa"/>
            <w:gridSpan w:val="1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BC678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注：本表反映部门本年度各项支出情况。</w:t>
            </w:r>
          </w:p>
        </w:tc>
      </w:tr>
    </w:tbl>
    <w:p w14:paraId="6F1750E4">
      <w:pPr>
        <w:autoSpaceDE w:val="0"/>
        <w:autoSpaceDN w:val="0"/>
        <w:adjustRightInd w:val="0"/>
        <w:spacing w:line="360" w:lineRule="auto"/>
        <w:jc w:val="left"/>
        <w:rPr>
          <w:rFonts w:hint="eastAsia" w:ascii="仿宋" w:hAnsi="仿宋" w:eastAsia="仿宋" w:cs="仿宋_GB2312"/>
          <w:kern w:val="0"/>
          <w:sz w:val="30"/>
          <w:szCs w:val="30"/>
        </w:rPr>
      </w:pPr>
    </w:p>
    <w:p w14:paraId="4CD42A00">
      <w:pPr>
        <w:autoSpaceDE w:val="0"/>
        <w:autoSpaceDN w:val="0"/>
        <w:adjustRightInd w:val="0"/>
        <w:spacing w:line="360" w:lineRule="auto"/>
        <w:jc w:val="left"/>
        <w:rPr>
          <w:rFonts w:hint="eastAsia"/>
          <w:szCs w:val="30"/>
        </w:rPr>
      </w:pPr>
    </w:p>
    <w:tbl>
      <w:tblPr>
        <w:tblStyle w:val="3"/>
        <w:tblW w:w="8230" w:type="dxa"/>
        <w:tblInd w:w="0" w:type="dxa"/>
        <w:shd w:val="clear" w:color="auto" w:fill="auto"/>
        <w:tblLayout w:type="autofit"/>
        <w:tblCellMar>
          <w:top w:w="0" w:type="dxa"/>
          <w:left w:w="0" w:type="dxa"/>
          <w:bottom w:w="0" w:type="dxa"/>
          <w:right w:w="0" w:type="dxa"/>
        </w:tblCellMar>
      </w:tblPr>
      <w:tblGrid>
        <w:gridCol w:w="2242"/>
        <w:gridCol w:w="363"/>
        <w:gridCol w:w="706"/>
        <w:gridCol w:w="2489"/>
        <w:gridCol w:w="350"/>
        <w:gridCol w:w="785"/>
        <w:gridCol w:w="785"/>
        <w:gridCol w:w="510"/>
      </w:tblGrid>
      <w:tr w14:paraId="79E14B28">
        <w:tblPrEx>
          <w:shd w:val="clear" w:color="auto" w:fill="auto"/>
          <w:tblCellMar>
            <w:top w:w="0" w:type="dxa"/>
            <w:left w:w="0" w:type="dxa"/>
            <w:bottom w:w="0" w:type="dxa"/>
            <w:right w:w="0" w:type="dxa"/>
          </w:tblCellMar>
        </w:tblPrEx>
        <w:trPr>
          <w:trHeight w:val="550" w:hRule="atLeast"/>
        </w:trPr>
        <w:tc>
          <w:tcPr>
            <w:tcW w:w="6156" w:type="dxa"/>
            <w:gridSpan w:val="8"/>
            <w:tcBorders>
              <w:top w:val="nil"/>
              <w:left w:val="nil"/>
              <w:bottom w:val="nil"/>
              <w:right w:val="nil"/>
            </w:tcBorders>
            <w:shd w:val="clear" w:color="auto" w:fill="auto"/>
            <w:noWrap/>
            <w:tcMar>
              <w:top w:w="10" w:type="dxa"/>
              <w:left w:w="10" w:type="dxa"/>
              <w:right w:w="10" w:type="dxa"/>
            </w:tcMar>
            <w:vAlign w:val="bottom"/>
          </w:tcPr>
          <w:p w14:paraId="6964828C">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财政拨款收入支出决算总表</w:t>
            </w:r>
          </w:p>
        </w:tc>
      </w:tr>
      <w:tr w14:paraId="4C3015C4">
        <w:tblPrEx>
          <w:shd w:val="clear" w:color="auto" w:fill="auto"/>
          <w:tblCellMar>
            <w:top w:w="0" w:type="dxa"/>
            <w:left w:w="0" w:type="dxa"/>
            <w:bottom w:w="0" w:type="dxa"/>
            <w:right w:w="0" w:type="dxa"/>
          </w:tblCellMar>
        </w:tblPrEx>
        <w:trPr>
          <w:trHeight w:val="260" w:hRule="atLeast"/>
        </w:trPr>
        <w:tc>
          <w:tcPr>
            <w:tcW w:w="0" w:type="auto"/>
            <w:tcBorders>
              <w:top w:val="nil"/>
              <w:left w:val="nil"/>
              <w:bottom w:val="nil"/>
              <w:right w:val="nil"/>
            </w:tcBorders>
            <w:shd w:val="clear" w:color="auto" w:fill="auto"/>
            <w:noWrap/>
            <w:tcMar>
              <w:top w:w="10" w:type="dxa"/>
              <w:left w:w="10" w:type="dxa"/>
              <w:right w:w="10" w:type="dxa"/>
            </w:tcMar>
            <w:vAlign w:val="bottom"/>
          </w:tcPr>
          <w:p w14:paraId="54392583">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427E2769">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4CB330C2">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1229CD11">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49673A43">
            <w:pPr>
              <w:rPr>
                <w:rFonts w:hint="default" w:ascii="Arial" w:hAnsi="Arial" w:cs="Arial"/>
                <w:i w:val="0"/>
                <w:color w:val="000000"/>
                <w:sz w:val="20"/>
                <w:szCs w:val="20"/>
                <w:u w:val="none"/>
              </w:rPr>
            </w:pPr>
          </w:p>
        </w:tc>
        <w:tc>
          <w:tcPr>
            <w:tcW w:w="0" w:type="auto"/>
            <w:gridSpan w:val="3"/>
            <w:tcBorders>
              <w:top w:val="nil"/>
              <w:left w:val="nil"/>
              <w:bottom w:val="nil"/>
              <w:right w:val="nil"/>
            </w:tcBorders>
            <w:shd w:val="clear" w:color="auto" w:fill="auto"/>
            <w:noWrap/>
            <w:tcMar>
              <w:top w:w="10" w:type="dxa"/>
              <w:left w:w="10" w:type="dxa"/>
              <w:right w:w="10" w:type="dxa"/>
            </w:tcMar>
            <w:vAlign w:val="bottom"/>
          </w:tcPr>
          <w:p w14:paraId="41B21044">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05AE1264">
        <w:tblPrEx>
          <w:shd w:val="clear" w:color="auto" w:fill="auto"/>
          <w:tblCellMar>
            <w:top w:w="0" w:type="dxa"/>
            <w:left w:w="0" w:type="dxa"/>
            <w:bottom w:w="0" w:type="dxa"/>
            <w:right w:w="0" w:type="dxa"/>
          </w:tblCellMar>
        </w:tblPrEx>
        <w:trPr>
          <w:trHeight w:val="260" w:hRule="atLeast"/>
        </w:trPr>
        <w:tc>
          <w:tcPr>
            <w:tcW w:w="0" w:type="auto"/>
            <w:gridSpan w:val="3"/>
            <w:tcBorders>
              <w:top w:val="nil"/>
              <w:left w:val="nil"/>
              <w:bottom w:val="nil"/>
              <w:right w:val="nil"/>
            </w:tcBorders>
            <w:shd w:val="clear" w:color="auto" w:fill="auto"/>
            <w:noWrap/>
            <w:tcMar>
              <w:top w:w="10" w:type="dxa"/>
              <w:left w:w="10" w:type="dxa"/>
              <w:right w:w="10" w:type="dxa"/>
            </w:tcMar>
            <w:vAlign w:val="bottom"/>
          </w:tcPr>
          <w:p w14:paraId="7E7A7829">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编制单位：景德镇市人民政府办公室</w:t>
            </w:r>
          </w:p>
        </w:tc>
        <w:tc>
          <w:tcPr>
            <w:tcW w:w="0" w:type="auto"/>
            <w:tcBorders>
              <w:top w:val="nil"/>
              <w:left w:val="nil"/>
              <w:bottom w:val="nil"/>
              <w:right w:val="nil"/>
            </w:tcBorders>
            <w:shd w:val="clear" w:color="auto" w:fill="auto"/>
            <w:noWrap/>
            <w:tcMar>
              <w:top w:w="10" w:type="dxa"/>
              <w:left w:w="10" w:type="dxa"/>
              <w:right w:w="10" w:type="dxa"/>
            </w:tcMar>
            <w:vAlign w:val="bottom"/>
          </w:tcPr>
          <w:p w14:paraId="0C61077D">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365A3BBB">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52AB1A2D">
            <w:pPr>
              <w:rPr>
                <w:rFonts w:hint="default" w:ascii="Arial" w:hAnsi="Arial" w:cs="Arial"/>
                <w:i w:val="0"/>
                <w:color w:val="000000"/>
                <w:sz w:val="20"/>
                <w:szCs w:val="20"/>
                <w:u w:val="none"/>
              </w:rPr>
            </w:pPr>
          </w:p>
        </w:tc>
        <w:tc>
          <w:tcPr>
            <w:tcW w:w="0" w:type="auto"/>
            <w:gridSpan w:val="2"/>
            <w:tcBorders>
              <w:top w:val="nil"/>
              <w:left w:val="nil"/>
              <w:bottom w:val="nil"/>
              <w:right w:val="nil"/>
            </w:tcBorders>
            <w:shd w:val="clear" w:color="auto" w:fill="auto"/>
            <w:noWrap/>
            <w:tcMar>
              <w:top w:w="10" w:type="dxa"/>
              <w:left w:w="10" w:type="dxa"/>
              <w:right w:w="10" w:type="dxa"/>
            </w:tcMar>
            <w:vAlign w:val="bottom"/>
          </w:tcPr>
          <w:p w14:paraId="21191EF2">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14:paraId="1FA81D1D">
        <w:tblPrEx>
          <w:shd w:val="clear" w:color="auto" w:fill="auto"/>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3CD23BF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收     入</w:t>
            </w:r>
          </w:p>
        </w:tc>
        <w:tc>
          <w:tcPr>
            <w:tcW w:w="0" w:type="auto"/>
            <w:gridSpan w:val="5"/>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14:paraId="01FC1F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     出</w:t>
            </w:r>
          </w:p>
        </w:tc>
      </w:tr>
      <w:tr w14:paraId="06F130DC">
        <w:tblPrEx>
          <w:tblCellMar>
            <w:top w:w="0" w:type="dxa"/>
            <w:left w:w="0" w:type="dxa"/>
            <w:bottom w:w="0" w:type="dxa"/>
            <w:right w:w="0"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3BA3D0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    目</w:t>
            </w:r>
          </w:p>
        </w:tc>
        <w:tc>
          <w:tcPr>
            <w:tcW w:w="0" w:type="auto"/>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0CB10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8352DA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D1A3C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项目（按功能分类）</w:t>
            </w:r>
          </w:p>
        </w:tc>
        <w:tc>
          <w:tcPr>
            <w:tcW w:w="0" w:type="auto"/>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2EDC6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行次</w:t>
            </w:r>
          </w:p>
        </w:tc>
        <w:tc>
          <w:tcPr>
            <w:tcW w:w="0" w:type="auto"/>
            <w:gridSpan w:val="3"/>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C2933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决算数</w:t>
            </w:r>
          </w:p>
        </w:tc>
      </w:tr>
      <w:tr w14:paraId="0A255CC0">
        <w:tblPrEx>
          <w:shd w:val="clear" w:color="auto" w:fill="auto"/>
          <w:tblCellMar>
            <w:top w:w="0" w:type="dxa"/>
            <w:left w:w="0" w:type="dxa"/>
            <w:bottom w:w="0" w:type="dxa"/>
            <w:right w:w="0" w:type="dxa"/>
          </w:tblCellMar>
        </w:tblPrEx>
        <w:trPr>
          <w:trHeight w:val="585" w:hRule="atLeast"/>
        </w:trPr>
        <w:tc>
          <w:tcPr>
            <w:tcW w:w="0" w:type="auto"/>
            <w:vMerge w:val="continue"/>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2DFFB234">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113C4CE">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5727DCD">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EB07CF2">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80509B8">
            <w:pPr>
              <w:jc w:val="center"/>
              <w:rPr>
                <w:rFonts w:hint="eastAsia" w:ascii="宋体" w:hAnsi="宋体" w:eastAsia="宋体" w:cs="宋体"/>
                <w:i w:val="0"/>
                <w:color w:val="000000"/>
                <w:sz w:val="16"/>
                <w:szCs w:val="16"/>
                <w:u w:val="none"/>
              </w:rPr>
            </w:pPr>
          </w:p>
        </w:tc>
        <w:tc>
          <w:tcPr>
            <w:tcW w:w="785"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5B0AB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785"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D54ED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一般公共预算财政拨款</w:t>
            </w:r>
          </w:p>
        </w:tc>
        <w:tc>
          <w:tcPr>
            <w:tcW w:w="510"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6BD6B6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政府性基金预算财政拨款</w:t>
            </w:r>
          </w:p>
        </w:tc>
      </w:tr>
      <w:tr w14:paraId="5082DC16">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0098727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0F22834">
            <w:pPr>
              <w:jc w:val="center"/>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8D7C9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837F34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7824089">
            <w:pPr>
              <w:jc w:val="center"/>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8897DE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275EC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407930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r>
      <w:tr w14:paraId="580DAE0A">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5A15F07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4C740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2082C0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2,675.58</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E4119B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D457BE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764FCB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2,363.23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4FC547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2,363.23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3C9373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221190F3">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0484E84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5CCAA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E5F333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767522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06F4B2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43ECA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CA31F1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C19B1B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3F4898C1">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24DF3BD">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B3D46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CF580FF">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1E678D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4E0E5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163265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CCAE24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254DF9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256D25D2">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4B909FA9">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E30C6C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FD7718C">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BD0026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8C9B45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E602D3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BDB758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F9301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7A43DC58">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437F2EAF">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A6861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6F4DA95">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AFAF6F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43EED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A65BCC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6DE339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DB372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6035FCD">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9C7A971">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E3F84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7F6F183">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9EE48B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485BF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C96408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1C66B0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725321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63F074BD">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2CF8F6C0">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AB254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8C87213">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60FAC4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5764E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42A268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14CDF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54AF7B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EBEA961">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54FA032">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DD741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EA27BF">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9C839B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74FA2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E0657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189.07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A9635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189.07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79317B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29C799B4">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2EAF793F">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28C4E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DD157D2">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E80B83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87D7E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BB92C8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104.47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DFB431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104.47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AEFB1B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4724AD04">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05E063B8">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E3A55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0B6C611">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08CBC5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D476B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9E8B74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DDB82B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D05453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44AB46DD">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06175ACF">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938447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055A612">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7F800B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91389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3B30CC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3AE7C8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9A834C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17914E86">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4E57BF96">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780328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29A9285">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293C9A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F6D09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EB9BA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0D7566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372F07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29CB2116">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086B7611">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766E0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69D5694">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FC19F9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55579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A1FD27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FAB8C4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0D2938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91189B3">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78F13EF1">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2ACF2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654FA2">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73B219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B6A1A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C9B33A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AC481F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226D44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0F0835F9">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4A1F801E">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91D4D1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AFABEBF">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DC8846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1F9963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8215A7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2CCDCA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DF1D9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40B81230">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11B91167">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F533B6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1DAA0C4">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B4569E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FB9EB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088040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D8E218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26E390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018D4C34">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5BBEACFE">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B9042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07B54B">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C62E61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559218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85FA0F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650309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76F45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10DF949B">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6FCE592">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B9B38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BA9100E">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658F47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4DF7FD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EDFD02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CA39FD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EEA5E6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1520C57F">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4782CC65">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811D7F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9FC549">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25A9A1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E9E92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1D524C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83.98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9FCFBB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83.98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FA22B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63E72BF1">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4CE96BD3">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2DA3E2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4BE5F2">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B407BD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076DA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9F6807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14566E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7C7955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30B19EA3">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72BB609F">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2A7CCB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F87D7B1">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9CEF6F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50C12E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C2CBD4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900091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6C9C8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10256008">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734D627F">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582BA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DC26FB0">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B77C9B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二十二、其他支出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8CE5E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95997C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B45440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741200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6F651D8F">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4FB00FC">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691B8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1954056">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9D650C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二十三、债务还本支出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4A8CA5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2346F7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75B2E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F53B88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3A94C1FA">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0ABC8C8">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11294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8CAE507">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70163D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二十四、债务付息支出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62A0C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6971B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21DE08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F84B00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45FBA28E">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009D0EE4">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D5185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FA16F07">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3C06D31">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30BF1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7746FF5">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73060A">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D30E4F4">
            <w:pPr>
              <w:jc w:val="left"/>
              <w:rPr>
                <w:rFonts w:hint="eastAsia" w:ascii="宋体" w:hAnsi="宋体" w:eastAsia="宋体" w:cs="宋体"/>
                <w:i w:val="0"/>
                <w:color w:val="000000"/>
                <w:sz w:val="16"/>
                <w:szCs w:val="16"/>
                <w:u w:val="none"/>
              </w:rPr>
            </w:pPr>
          </w:p>
        </w:tc>
      </w:tr>
      <w:tr w14:paraId="1DB05A21">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D713A9A">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029A5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6AD465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2,675.58</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5F9F96A">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DA2833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7B5717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2,740.75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244C15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2,740.75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2929B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6603DFF4">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5FD7E90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7738C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F0F27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92.79</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42D0092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83940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6DF9F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60E4D1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BDCA8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5EFB0A5">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52259AC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CE6E7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A1F6AD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92.79</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C23F47D">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B52FEA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E65928E">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1B14F1D">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8E3E122">
            <w:pPr>
              <w:jc w:val="left"/>
              <w:rPr>
                <w:rFonts w:hint="eastAsia" w:ascii="宋体" w:hAnsi="宋体" w:eastAsia="宋体" w:cs="宋体"/>
                <w:i w:val="0"/>
                <w:color w:val="000000"/>
                <w:sz w:val="16"/>
                <w:szCs w:val="16"/>
                <w:u w:val="none"/>
              </w:rPr>
            </w:pPr>
          </w:p>
        </w:tc>
      </w:tr>
      <w:tr w14:paraId="2C37958A">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3DB3E79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1C4933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27606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41CB730">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66253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3F93BE0">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A33A46">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E2AAEA7">
            <w:pPr>
              <w:jc w:val="left"/>
              <w:rPr>
                <w:rFonts w:hint="eastAsia" w:ascii="宋体" w:hAnsi="宋体" w:eastAsia="宋体" w:cs="宋体"/>
                <w:i w:val="0"/>
                <w:color w:val="000000"/>
                <w:sz w:val="16"/>
                <w:szCs w:val="16"/>
                <w:u w:val="none"/>
              </w:rPr>
            </w:pPr>
          </w:p>
        </w:tc>
      </w:tr>
      <w:tr w14:paraId="7AE62DF4">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6325989C">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FE718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1A60F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2,768.37</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95721A8">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738AB7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4E2409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2,768.37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E878C4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2,768.37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C9361C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443A2FAB">
        <w:tblPrEx>
          <w:shd w:val="clear" w:color="auto" w:fill="auto"/>
          <w:tblCellMar>
            <w:top w:w="0" w:type="dxa"/>
            <w:left w:w="0" w:type="dxa"/>
            <w:bottom w:w="0" w:type="dxa"/>
            <w:right w:w="0" w:type="dxa"/>
          </w:tblCellMar>
        </w:tblPrEx>
        <w:trPr>
          <w:trHeight w:val="308" w:hRule="atLeast"/>
        </w:trPr>
        <w:tc>
          <w:tcPr>
            <w:tcW w:w="0" w:type="auto"/>
            <w:gridSpan w:val="8"/>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1A9FDC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注：本表反映部门本年度一般公共预算财政拨款和政府性基金预算财政拨款的总收支和年末结转结余情况。</w:t>
            </w:r>
          </w:p>
        </w:tc>
      </w:tr>
    </w:tbl>
    <w:p w14:paraId="6682F3B2">
      <w:pPr>
        <w:autoSpaceDE w:val="0"/>
        <w:autoSpaceDN w:val="0"/>
        <w:adjustRightInd w:val="0"/>
        <w:spacing w:line="360" w:lineRule="auto"/>
        <w:jc w:val="left"/>
        <w:rPr>
          <w:rFonts w:hint="eastAsia"/>
          <w:szCs w:val="30"/>
        </w:rPr>
      </w:pPr>
    </w:p>
    <w:p w14:paraId="4424EB46">
      <w:pPr>
        <w:autoSpaceDE w:val="0"/>
        <w:autoSpaceDN w:val="0"/>
        <w:adjustRightInd w:val="0"/>
        <w:spacing w:line="360" w:lineRule="auto"/>
        <w:jc w:val="left"/>
        <w:rPr>
          <w:rFonts w:hint="eastAsia" w:ascii="仿宋" w:hAnsi="仿宋" w:eastAsia="仿宋" w:cs="仿宋_GB2312"/>
          <w:kern w:val="0"/>
          <w:sz w:val="30"/>
          <w:szCs w:val="30"/>
        </w:rPr>
      </w:pPr>
    </w:p>
    <w:tbl>
      <w:tblPr>
        <w:tblStyle w:val="3"/>
        <w:tblW w:w="8326" w:type="dxa"/>
        <w:tblInd w:w="0" w:type="dxa"/>
        <w:shd w:val="clear" w:color="auto" w:fill="auto"/>
        <w:tblLayout w:type="fixed"/>
        <w:tblCellMar>
          <w:top w:w="0" w:type="dxa"/>
          <w:left w:w="0" w:type="dxa"/>
          <w:bottom w:w="0" w:type="dxa"/>
          <w:right w:w="0" w:type="dxa"/>
        </w:tblCellMar>
      </w:tblPr>
      <w:tblGrid>
        <w:gridCol w:w="485"/>
        <w:gridCol w:w="450"/>
        <w:gridCol w:w="451"/>
        <w:gridCol w:w="3499"/>
        <w:gridCol w:w="1183"/>
        <w:gridCol w:w="1217"/>
        <w:gridCol w:w="1041"/>
      </w:tblGrid>
      <w:tr w14:paraId="1F59DA98">
        <w:tblPrEx>
          <w:tblCellMar>
            <w:top w:w="0" w:type="dxa"/>
            <w:left w:w="0" w:type="dxa"/>
            <w:bottom w:w="0" w:type="dxa"/>
            <w:right w:w="0" w:type="dxa"/>
          </w:tblCellMar>
        </w:tblPrEx>
        <w:trPr>
          <w:trHeight w:val="550" w:hRule="atLeast"/>
        </w:trPr>
        <w:tc>
          <w:tcPr>
            <w:tcW w:w="8326" w:type="dxa"/>
            <w:gridSpan w:val="7"/>
            <w:tcBorders>
              <w:top w:val="nil"/>
              <w:left w:val="nil"/>
              <w:bottom w:val="nil"/>
              <w:right w:val="nil"/>
            </w:tcBorders>
            <w:shd w:val="clear" w:color="auto" w:fill="auto"/>
            <w:noWrap/>
            <w:tcMar>
              <w:top w:w="10" w:type="dxa"/>
              <w:left w:w="10" w:type="dxa"/>
              <w:right w:w="10" w:type="dxa"/>
            </w:tcMar>
            <w:vAlign w:val="bottom"/>
          </w:tcPr>
          <w:p w14:paraId="77F3AC88">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一般公共预算财政拨款支出决算表</w:t>
            </w:r>
          </w:p>
        </w:tc>
      </w:tr>
      <w:tr w14:paraId="6E3A04FD">
        <w:tblPrEx>
          <w:shd w:val="clear" w:color="auto" w:fill="auto"/>
          <w:tblCellMar>
            <w:top w:w="0" w:type="dxa"/>
            <w:left w:w="0" w:type="dxa"/>
            <w:bottom w:w="0" w:type="dxa"/>
            <w:right w:w="0" w:type="dxa"/>
          </w:tblCellMar>
        </w:tblPrEx>
        <w:trPr>
          <w:trHeight w:val="260" w:hRule="atLeast"/>
        </w:trPr>
        <w:tc>
          <w:tcPr>
            <w:tcW w:w="485" w:type="dxa"/>
            <w:tcBorders>
              <w:top w:val="nil"/>
              <w:left w:val="nil"/>
              <w:bottom w:val="nil"/>
              <w:right w:val="nil"/>
            </w:tcBorders>
            <w:shd w:val="clear" w:color="auto" w:fill="auto"/>
            <w:noWrap/>
            <w:tcMar>
              <w:top w:w="10" w:type="dxa"/>
              <w:left w:w="10" w:type="dxa"/>
              <w:right w:w="10" w:type="dxa"/>
            </w:tcMar>
            <w:vAlign w:val="bottom"/>
          </w:tcPr>
          <w:p w14:paraId="51710028">
            <w:pPr>
              <w:rPr>
                <w:rFonts w:hint="eastAsia" w:ascii="Arial" w:hAnsi="Arial" w:cs="Arial"/>
                <w:i w:val="0"/>
                <w:color w:val="000000"/>
                <w:sz w:val="20"/>
                <w:szCs w:val="20"/>
                <w:u w:val="none"/>
              </w:rPr>
            </w:pPr>
          </w:p>
        </w:tc>
        <w:tc>
          <w:tcPr>
            <w:tcW w:w="450" w:type="dxa"/>
            <w:tcBorders>
              <w:top w:val="nil"/>
              <w:left w:val="nil"/>
              <w:bottom w:val="nil"/>
              <w:right w:val="nil"/>
            </w:tcBorders>
            <w:shd w:val="clear" w:color="auto" w:fill="auto"/>
            <w:noWrap/>
            <w:tcMar>
              <w:top w:w="10" w:type="dxa"/>
              <w:left w:w="10" w:type="dxa"/>
              <w:right w:w="10" w:type="dxa"/>
            </w:tcMar>
            <w:vAlign w:val="bottom"/>
          </w:tcPr>
          <w:p w14:paraId="29C6C706">
            <w:pPr>
              <w:rPr>
                <w:rFonts w:hint="default" w:ascii="Arial" w:hAnsi="Arial" w:cs="Arial"/>
                <w:i w:val="0"/>
                <w:color w:val="000000"/>
                <w:sz w:val="20"/>
                <w:szCs w:val="20"/>
                <w:u w:val="none"/>
              </w:rPr>
            </w:pPr>
          </w:p>
        </w:tc>
        <w:tc>
          <w:tcPr>
            <w:tcW w:w="451" w:type="dxa"/>
            <w:tcBorders>
              <w:top w:val="nil"/>
              <w:left w:val="nil"/>
              <w:bottom w:val="nil"/>
              <w:right w:val="nil"/>
            </w:tcBorders>
            <w:shd w:val="clear" w:color="auto" w:fill="auto"/>
            <w:noWrap/>
            <w:tcMar>
              <w:top w:w="10" w:type="dxa"/>
              <w:left w:w="10" w:type="dxa"/>
              <w:right w:w="10" w:type="dxa"/>
            </w:tcMar>
            <w:vAlign w:val="bottom"/>
          </w:tcPr>
          <w:p w14:paraId="3B47C3F3">
            <w:pPr>
              <w:rPr>
                <w:rFonts w:hint="default" w:ascii="Arial" w:hAnsi="Arial" w:cs="Arial"/>
                <w:i w:val="0"/>
                <w:color w:val="000000"/>
                <w:sz w:val="20"/>
                <w:szCs w:val="20"/>
                <w:u w:val="none"/>
              </w:rPr>
            </w:pPr>
          </w:p>
        </w:tc>
        <w:tc>
          <w:tcPr>
            <w:tcW w:w="3499" w:type="dxa"/>
            <w:tcBorders>
              <w:top w:val="nil"/>
              <w:left w:val="nil"/>
              <w:bottom w:val="nil"/>
              <w:right w:val="nil"/>
            </w:tcBorders>
            <w:shd w:val="clear" w:color="auto" w:fill="auto"/>
            <w:noWrap/>
            <w:tcMar>
              <w:top w:w="10" w:type="dxa"/>
              <w:left w:w="10" w:type="dxa"/>
              <w:right w:w="10" w:type="dxa"/>
            </w:tcMar>
            <w:vAlign w:val="bottom"/>
          </w:tcPr>
          <w:p w14:paraId="51CDFA90">
            <w:pPr>
              <w:rPr>
                <w:rFonts w:hint="default" w:ascii="Arial" w:hAnsi="Arial" w:cs="Arial"/>
                <w:i w:val="0"/>
                <w:color w:val="000000"/>
                <w:sz w:val="20"/>
                <w:szCs w:val="20"/>
                <w:u w:val="none"/>
              </w:rPr>
            </w:pPr>
          </w:p>
        </w:tc>
        <w:tc>
          <w:tcPr>
            <w:tcW w:w="1183" w:type="dxa"/>
            <w:tcBorders>
              <w:top w:val="nil"/>
              <w:left w:val="nil"/>
              <w:bottom w:val="nil"/>
              <w:right w:val="nil"/>
            </w:tcBorders>
            <w:shd w:val="clear" w:color="auto" w:fill="auto"/>
            <w:noWrap/>
            <w:tcMar>
              <w:top w:w="10" w:type="dxa"/>
              <w:left w:w="10" w:type="dxa"/>
              <w:right w:w="10" w:type="dxa"/>
            </w:tcMar>
            <w:vAlign w:val="bottom"/>
          </w:tcPr>
          <w:p w14:paraId="75CA5487">
            <w:pPr>
              <w:rPr>
                <w:rFonts w:hint="default" w:ascii="Arial" w:hAnsi="Arial" w:cs="Arial"/>
                <w:i w:val="0"/>
                <w:color w:val="000000"/>
                <w:sz w:val="20"/>
                <w:szCs w:val="20"/>
                <w:u w:val="none"/>
              </w:rPr>
            </w:pPr>
          </w:p>
        </w:tc>
        <w:tc>
          <w:tcPr>
            <w:tcW w:w="2258" w:type="dxa"/>
            <w:gridSpan w:val="2"/>
            <w:tcBorders>
              <w:top w:val="nil"/>
              <w:left w:val="nil"/>
              <w:bottom w:val="nil"/>
              <w:right w:val="nil"/>
            </w:tcBorders>
            <w:shd w:val="clear" w:color="auto" w:fill="auto"/>
            <w:noWrap/>
            <w:tcMar>
              <w:top w:w="10" w:type="dxa"/>
              <w:left w:w="10" w:type="dxa"/>
              <w:right w:w="10" w:type="dxa"/>
            </w:tcMar>
            <w:vAlign w:val="bottom"/>
          </w:tcPr>
          <w:p w14:paraId="275FC508">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18690A0B">
        <w:tblPrEx>
          <w:shd w:val="clear" w:color="auto" w:fill="auto"/>
          <w:tblCellMar>
            <w:top w:w="0" w:type="dxa"/>
            <w:left w:w="0" w:type="dxa"/>
            <w:bottom w:w="0" w:type="dxa"/>
            <w:right w:w="0" w:type="dxa"/>
          </w:tblCellMar>
        </w:tblPrEx>
        <w:trPr>
          <w:trHeight w:val="260" w:hRule="atLeast"/>
        </w:trPr>
        <w:tc>
          <w:tcPr>
            <w:tcW w:w="4885" w:type="dxa"/>
            <w:gridSpan w:val="4"/>
            <w:tcBorders>
              <w:top w:val="nil"/>
              <w:left w:val="nil"/>
              <w:bottom w:val="nil"/>
              <w:right w:val="nil"/>
            </w:tcBorders>
            <w:shd w:val="clear" w:color="auto" w:fill="auto"/>
            <w:noWrap/>
            <w:tcMar>
              <w:top w:w="10" w:type="dxa"/>
              <w:left w:w="10" w:type="dxa"/>
              <w:right w:w="10" w:type="dxa"/>
            </w:tcMar>
            <w:vAlign w:val="bottom"/>
          </w:tcPr>
          <w:p w14:paraId="656BF5F3">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编制单位：景德镇市人民政府办公室</w:t>
            </w:r>
          </w:p>
        </w:tc>
        <w:tc>
          <w:tcPr>
            <w:tcW w:w="1183" w:type="dxa"/>
            <w:tcBorders>
              <w:top w:val="nil"/>
              <w:left w:val="nil"/>
              <w:bottom w:val="nil"/>
              <w:right w:val="nil"/>
            </w:tcBorders>
            <w:shd w:val="clear" w:color="auto" w:fill="auto"/>
            <w:noWrap/>
            <w:tcMar>
              <w:top w:w="10" w:type="dxa"/>
              <w:left w:w="10" w:type="dxa"/>
              <w:right w:w="10" w:type="dxa"/>
            </w:tcMar>
            <w:vAlign w:val="bottom"/>
          </w:tcPr>
          <w:p w14:paraId="5C54184D">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2258" w:type="dxa"/>
            <w:gridSpan w:val="2"/>
            <w:tcBorders>
              <w:top w:val="nil"/>
              <w:left w:val="nil"/>
              <w:bottom w:val="nil"/>
              <w:right w:val="nil"/>
            </w:tcBorders>
            <w:shd w:val="clear" w:color="auto" w:fill="auto"/>
            <w:noWrap/>
            <w:tcMar>
              <w:top w:w="10" w:type="dxa"/>
              <w:left w:w="10" w:type="dxa"/>
              <w:right w:w="10" w:type="dxa"/>
            </w:tcMar>
            <w:vAlign w:val="bottom"/>
          </w:tcPr>
          <w:p w14:paraId="4074E97E">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公开05表 </w:t>
            </w:r>
          </w:p>
        </w:tc>
      </w:tr>
      <w:tr w14:paraId="31815BCB">
        <w:tblPrEx>
          <w:shd w:val="clear" w:color="auto" w:fill="auto"/>
          <w:tblCellMar>
            <w:top w:w="0" w:type="dxa"/>
            <w:left w:w="0" w:type="dxa"/>
            <w:bottom w:w="0" w:type="dxa"/>
            <w:right w:w="0" w:type="dxa"/>
          </w:tblCellMar>
        </w:tblPrEx>
        <w:trPr>
          <w:trHeight w:val="308" w:hRule="atLeast"/>
        </w:trPr>
        <w:tc>
          <w:tcPr>
            <w:tcW w:w="4885"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1C029E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183"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4EAECC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217"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4BDB8E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041"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1FAB1D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0424B533">
        <w:tblPrEx>
          <w:shd w:val="clear" w:color="auto" w:fill="auto"/>
          <w:tblCellMar>
            <w:top w:w="0" w:type="dxa"/>
            <w:left w:w="0" w:type="dxa"/>
            <w:bottom w:w="0" w:type="dxa"/>
            <w:right w:w="0" w:type="dxa"/>
          </w:tblCellMar>
        </w:tblPrEx>
        <w:trPr>
          <w:trHeight w:val="308" w:hRule="atLeast"/>
        </w:trPr>
        <w:tc>
          <w:tcPr>
            <w:tcW w:w="1386" w:type="dxa"/>
            <w:gridSpan w:val="3"/>
            <w:vMerge w:val="restart"/>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339871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支出功能分类科目编码</w:t>
            </w:r>
          </w:p>
        </w:tc>
        <w:tc>
          <w:tcPr>
            <w:tcW w:w="3499"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ED62D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83"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356A7CAB">
            <w:pPr>
              <w:jc w:val="center"/>
              <w:rPr>
                <w:rFonts w:hint="eastAsia" w:ascii="宋体" w:hAnsi="宋体" w:eastAsia="宋体" w:cs="宋体"/>
                <w:i w:val="0"/>
                <w:color w:val="000000"/>
                <w:sz w:val="20"/>
                <w:szCs w:val="20"/>
                <w:u w:val="none"/>
              </w:rPr>
            </w:pPr>
          </w:p>
        </w:tc>
        <w:tc>
          <w:tcPr>
            <w:tcW w:w="121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62D31E48">
            <w:pPr>
              <w:jc w:val="center"/>
              <w:rPr>
                <w:rFonts w:hint="eastAsia" w:ascii="宋体" w:hAnsi="宋体" w:eastAsia="宋体" w:cs="宋体"/>
                <w:i w:val="0"/>
                <w:color w:val="000000"/>
                <w:sz w:val="20"/>
                <w:szCs w:val="20"/>
                <w:u w:val="none"/>
              </w:rPr>
            </w:pPr>
          </w:p>
        </w:tc>
        <w:tc>
          <w:tcPr>
            <w:tcW w:w="1041"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676D51C0">
            <w:pPr>
              <w:jc w:val="center"/>
              <w:rPr>
                <w:rFonts w:hint="eastAsia" w:ascii="宋体" w:hAnsi="宋体" w:eastAsia="宋体" w:cs="宋体"/>
                <w:i w:val="0"/>
                <w:color w:val="000000"/>
                <w:sz w:val="20"/>
                <w:szCs w:val="20"/>
                <w:u w:val="none"/>
              </w:rPr>
            </w:pPr>
          </w:p>
        </w:tc>
      </w:tr>
      <w:tr w14:paraId="3230DA5D">
        <w:tblPrEx>
          <w:shd w:val="clear" w:color="auto" w:fill="auto"/>
          <w:tblCellMar>
            <w:top w:w="0" w:type="dxa"/>
            <w:left w:w="0" w:type="dxa"/>
            <w:bottom w:w="0" w:type="dxa"/>
            <w:right w:w="0" w:type="dxa"/>
          </w:tblCellMar>
        </w:tblPrEx>
        <w:trPr>
          <w:trHeight w:val="308" w:hRule="atLeast"/>
        </w:trPr>
        <w:tc>
          <w:tcPr>
            <w:tcW w:w="1386" w:type="dxa"/>
            <w:gridSpan w:val="3"/>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15D3BBEC">
            <w:pPr>
              <w:jc w:val="center"/>
              <w:rPr>
                <w:rFonts w:hint="eastAsia" w:ascii="宋体" w:hAnsi="宋体" w:eastAsia="宋体" w:cs="宋体"/>
                <w:i w:val="0"/>
                <w:color w:val="000000"/>
                <w:sz w:val="20"/>
                <w:szCs w:val="20"/>
                <w:u w:val="none"/>
              </w:rPr>
            </w:pPr>
          </w:p>
        </w:tc>
        <w:tc>
          <w:tcPr>
            <w:tcW w:w="3499"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DB428BC">
            <w:pPr>
              <w:jc w:val="center"/>
              <w:rPr>
                <w:rFonts w:hint="eastAsia" w:ascii="宋体" w:hAnsi="宋体" w:eastAsia="宋体" w:cs="宋体"/>
                <w:i w:val="0"/>
                <w:color w:val="000000"/>
                <w:sz w:val="20"/>
                <w:szCs w:val="20"/>
                <w:u w:val="none"/>
              </w:rPr>
            </w:pPr>
          </w:p>
        </w:tc>
        <w:tc>
          <w:tcPr>
            <w:tcW w:w="1183"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629AF75F">
            <w:pPr>
              <w:jc w:val="center"/>
              <w:rPr>
                <w:rFonts w:hint="eastAsia" w:ascii="宋体" w:hAnsi="宋体" w:eastAsia="宋体" w:cs="宋体"/>
                <w:i w:val="0"/>
                <w:color w:val="000000"/>
                <w:sz w:val="20"/>
                <w:szCs w:val="20"/>
                <w:u w:val="none"/>
              </w:rPr>
            </w:pPr>
          </w:p>
        </w:tc>
        <w:tc>
          <w:tcPr>
            <w:tcW w:w="121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190C1110">
            <w:pPr>
              <w:jc w:val="center"/>
              <w:rPr>
                <w:rFonts w:hint="eastAsia" w:ascii="宋体" w:hAnsi="宋体" w:eastAsia="宋体" w:cs="宋体"/>
                <w:i w:val="0"/>
                <w:color w:val="000000"/>
                <w:sz w:val="20"/>
                <w:szCs w:val="20"/>
                <w:u w:val="none"/>
              </w:rPr>
            </w:pPr>
          </w:p>
        </w:tc>
        <w:tc>
          <w:tcPr>
            <w:tcW w:w="1041"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08F65C05">
            <w:pPr>
              <w:jc w:val="center"/>
              <w:rPr>
                <w:rFonts w:hint="eastAsia" w:ascii="宋体" w:hAnsi="宋体" w:eastAsia="宋体" w:cs="宋体"/>
                <w:i w:val="0"/>
                <w:color w:val="000000"/>
                <w:sz w:val="20"/>
                <w:szCs w:val="20"/>
                <w:u w:val="none"/>
              </w:rPr>
            </w:pPr>
          </w:p>
        </w:tc>
      </w:tr>
      <w:tr w14:paraId="28AB806A">
        <w:tblPrEx>
          <w:shd w:val="clear" w:color="auto" w:fill="auto"/>
          <w:tblCellMar>
            <w:top w:w="0" w:type="dxa"/>
            <w:left w:w="0" w:type="dxa"/>
            <w:bottom w:w="0" w:type="dxa"/>
            <w:right w:w="0" w:type="dxa"/>
          </w:tblCellMar>
        </w:tblPrEx>
        <w:trPr>
          <w:trHeight w:val="308" w:hRule="atLeast"/>
        </w:trPr>
        <w:tc>
          <w:tcPr>
            <w:tcW w:w="1386" w:type="dxa"/>
            <w:gridSpan w:val="3"/>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40B0E8F7">
            <w:pPr>
              <w:jc w:val="center"/>
              <w:rPr>
                <w:rFonts w:hint="eastAsia" w:ascii="宋体" w:hAnsi="宋体" w:eastAsia="宋体" w:cs="宋体"/>
                <w:i w:val="0"/>
                <w:color w:val="000000"/>
                <w:sz w:val="20"/>
                <w:szCs w:val="20"/>
                <w:u w:val="none"/>
              </w:rPr>
            </w:pPr>
          </w:p>
        </w:tc>
        <w:tc>
          <w:tcPr>
            <w:tcW w:w="3499"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42CDE7D">
            <w:pPr>
              <w:jc w:val="center"/>
              <w:rPr>
                <w:rFonts w:hint="eastAsia" w:ascii="宋体" w:hAnsi="宋体" w:eastAsia="宋体" w:cs="宋体"/>
                <w:i w:val="0"/>
                <w:color w:val="000000"/>
                <w:sz w:val="20"/>
                <w:szCs w:val="20"/>
                <w:u w:val="none"/>
              </w:rPr>
            </w:pPr>
          </w:p>
        </w:tc>
        <w:tc>
          <w:tcPr>
            <w:tcW w:w="1183"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611E9824">
            <w:pPr>
              <w:jc w:val="center"/>
              <w:rPr>
                <w:rFonts w:hint="eastAsia" w:ascii="宋体" w:hAnsi="宋体" w:eastAsia="宋体" w:cs="宋体"/>
                <w:i w:val="0"/>
                <w:color w:val="000000"/>
                <w:sz w:val="20"/>
                <w:szCs w:val="20"/>
                <w:u w:val="none"/>
              </w:rPr>
            </w:pPr>
          </w:p>
        </w:tc>
        <w:tc>
          <w:tcPr>
            <w:tcW w:w="121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415731BE">
            <w:pPr>
              <w:jc w:val="center"/>
              <w:rPr>
                <w:rFonts w:hint="eastAsia" w:ascii="宋体" w:hAnsi="宋体" w:eastAsia="宋体" w:cs="宋体"/>
                <w:i w:val="0"/>
                <w:color w:val="000000"/>
                <w:sz w:val="20"/>
                <w:szCs w:val="20"/>
                <w:u w:val="none"/>
              </w:rPr>
            </w:pPr>
          </w:p>
        </w:tc>
        <w:tc>
          <w:tcPr>
            <w:tcW w:w="1041"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3B2CCB6A">
            <w:pPr>
              <w:jc w:val="center"/>
              <w:rPr>
                <w:rFonts w:hint="eastAsia" w:ascii="宋体" w:hAnsi="宋体" w:eastAsia="宋体" w:cs="宋体"/>
                <w:i w:val="0"/>
                <w:color w:val="000000"/>
                <w:sz w:val="20"/>
                <w:szCs w:val="20"/>
                <w:u w:val="none"/>
              </w:rPr>
            </w:pPr>
          </w:p>
        </w:tc>
      </w:tr>
      <w:tr w14:paraId="1F02018F">
        <w:tblPrEx>
          <w:shd w:val="clear" w:color="auto" w:fill="auto"/>
          <w:tblCellMar>
            <w:top w:w="0" w:type="dxa"/>
            <w:left w:w="0" w:type="dxa"/>
            <w:bottom w:w="0" w:type="dxa"/>
            <w:right w:w="0" w:type="dxa"/>
          </w:tblCellMar>
        </w:tblPrEx>
        <w:trPr>
          <w:trHeight w:val="308" w:hRule="atLeast"/>
        </w:trPr>
        <w:tc>
          <w:tcPr>
            <w:tcW w:w="485" w:type="dxa"/>
            <w:vMerge w:val="restart"/>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13FCE2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450"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1049C8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451"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506120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3499"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6FF340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83"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FDAF2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17"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7088B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1"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23C2B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25218282">
        <w:tblPrEx>
          <w:shd w:val="clear" w:color="auto" w:fill="auto"/>
          <w:tblCellMar>
            <w:top w:w="0" w:type="dxa"/>
            <w:left w:w="0" w:type="dxa"/>
            <w:bottom w:w="0" w:type="dxa"/>
            <w:right w:w="0" w:type="dxa"/>
          </w:tblCellMar>
        </w:tblPrEx>
        <w:trPr>
          <w:trHeight w:val="308" w:hRule="atLeast"/>
        </w:trPr>
        <w:tc>
          <w:tcPr>
            <w:tcW w:w="485" w:type="dxa"/>
            <w:vMerge w:val="continue"/>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14:paraId="1B1EFF54">
            <w:pPr>
              <w:jc w:val="center"/>
              <w:rPr>
                <w:rFonts w:hint="eastAsia" w:ascii="宋体" w:hAnsi="宋体" w:eastAsia="宋体" w:cs="宋体"/>
                <w:i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30E47F56">
            <w:pPr>
              <w:jc w:val="center"/>
              <w:rPr>
                <w:rFonts w:hint="eastAsia" w:ascii="宋体" w:hAnsi="宋体" w:eastAsia="宋体" w:cs="宋体"/>
                <w:i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0E343CA7">
            <w:pPr>
              <w:jc w:val="center"/>
              <w:rPr>
                <w:rFonts w:hint="eastAsia" w:ascii="宋体" w:hAnsi="宋体" w:eastAsia="宋体" w:cs="宋体"/>
                <w:i w:val="0"/>
                <w:color w:val="000000"/>
                <w:sz w:val="20"/>
                <w:szCs w:val="20"/>
                <w:u w:val="none"/>
              </w:rPr>
            </w:pPr>
          </w:p>
        </w:tc>
        <w:tc>
          <w:tcPr>
            <w:tcW w:w="3499"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14:paraId="28E723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F3AB5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2,740.75</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54436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2,740.75</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6E560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9FC9F3A">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11B09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82ED4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一般公共服务支出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A3B7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2,363.23</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EBEE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2,363.23</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82D8B3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4309492">
        <w:tblPrEx>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B7D7A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8C900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政府办公厅（室）及相关机构事务</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60948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2,362.18</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B3ABEE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2,362.18</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E877D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375BFDD">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5183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B88F0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D5EBE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1,892.18</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1B892D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1,892.18</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A861D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68D4929">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472AE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2010399</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11908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其他政府办公厅（室）及相关机构事务支出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5F817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470.00</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03C5EE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470.00</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3098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A0251D4">
        <w:tblPrEx>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DF30A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9D5CA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财政事务</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6CB8C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EACC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54307C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F6A0B00">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9659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2010604</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CD58D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预算改革业务</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D0B909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B30D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B24D38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29C9F1C">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5F837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72441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8DFFD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189.07</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F5DA9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189.07</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344F9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9CE8B70">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74B1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03DE4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4629A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176.80</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C4BB0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176.80</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818F3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7170FD4">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A4762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2080504</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0EA03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未归口管理的行政单位离退休</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D545D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31.55</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95E4C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31.55</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9BEF1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45EE0E3">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0130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5C92A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2773B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145.25</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F95F5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145.25</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EDB19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9118058">
        <w:tblPrEx>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E5F0F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933F8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抚恤</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7A8A8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65CB8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9EC9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7DDB85B">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62685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A0903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D13D6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3AA36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25285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47D4B45">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4DAF2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BF399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9917FF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104.47</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BF633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104.47</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B74A3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4911C42">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78AB4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847EC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A47FE0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104.47</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F2F67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104.47</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80C6AF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96BEF4D">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E685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82C53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158CB4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71.92</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C21A5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71.92</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76C396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E8327DF">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76139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F2B45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8A110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31.10</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85942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31.10</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61619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5F10AD9">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77A22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2101199</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03B45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其他行政事业单位医疗支出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FCAACB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2CA3BB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72A8A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6B49BF0">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78F95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989A0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DF7D20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FF556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CE0DD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43DDD83">
        <w:tblPrEx>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9B12A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7A143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A1C8F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0DDB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6B452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85B78AE">
        <w:tblPrEx>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E6235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6147A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2FFD86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773C9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640007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7B25CCE">
        <w:tblPrEx>
          <w:tblCellMar>
            <w:top w:w="0" w:type="dxa"/>
            <w:left w:w="0" w:type="dxa"/>
            <w:bottom w:w="0" w:type="dxa"/>
            <w:right w:w="0" w:type="dxa"/>
          </w:tblCellMar>
        </w:tblPrEx>
        <w:trPr>
          <w:trHeight w:val="308" w:hRule="atLeast"/>
        </w:trPr>
        <w:tc>
          <w:tcPr>
            <w:tcW w:w="8326" w:type="dxa"/>
            <w:gridSpan w:val="7"/>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A8955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14:paraId="76BD17CD">
      <w:pPr>
        <w:autoSpaceDE w:val="0"/>
        <w:autoSpaceDN w:val="0"/>
        <w:adjustRightInd w:val="0"/>
        <w:spacing w:line="360" w:lineRule="auto"/>
        <w:jc w:val="left"/>
        <w:rPr>
          <w:rFonts w:hint="eastAsia" w:ascii="仿宋" w:hAnsi="仿宋" w:eastAsia="仿宋" w:cs="仿宋_GB2312"/>
          <w:kern w:val="0"/>
          <w:sz w:val="30"/>
          <w:szCs w:val="30"/>
        </w:rPr>
      </w:pPr>
    </w:p>
    <w:p w14:paraId="398914AC">
      <w:pPr>
        <w:autoSpaceDE w:val="0"/>
        <w:autoSpaceDN w:val="0"/>
        <w:adjustRightInd w:val="0"/>
        <w:spacing w:line="360" w:lineRule="auto"/>
        <w:jc w:val="left"/>
        <w:rPr>
          <w:rFonts w:hint="eastAsia"/>
          <w:szCs w:val="30"/>
        </w:rPr>
      </w:pPr>
    </w:p>
    <w:tbl>
      <w:tblPr>
        <w:tblStyle w:val="3"/>
        <w:tblW w:w="8300" w:type="dxa"/>
        <w:tblInd w:w="0" w:type="dxa"/>
        <w:shd w:val="clear" w:color="auto" w:fill="auto"/>
        <w:tblLayout w:type="autofit"/>
        <w:tblCellMar>
          <w:top w:w="0" w:type="dxa"/>
          <w:left w:w="0" w:type="dxa"/>
          <w:bottom w:w="0" w:type="dxa"/>
          <w:right w:w="0" w:type="dxa"/>
        </w:tblCellMar>
      </w:tblPr>
      <w:tblGrid>
        <w:gridCol w:w="514"/>
        <w:gridCol w:w="1624"/>
        <w:gridCol w:w="626"/>
        <w:gridCol w:w="514"/>
        <w:gridCol w:w="1624"/>
        <w:gridCol w:w="626"/>
        <w:gridCol w:w="514"/>
        <w:gridCol w:w="1624"/>
        <w:gridCol w:w="634"/>
      </w:tblGrid>
      <w:tr w14:paraId="02CE8FED">
        <w:tblPrEx>
          <w:shd w:val="clear" w:color="auto" w:fill="auto"/>
          <w:tblCellMar>
            <w:top w:w="0" w:type="dxa"/>
            <w:left w:w="0" w:type="dxa"/>
            <w:bottom w:w="0" w:type="dxa"/>
            <w:right w:w="0" w:type="dxa"/>
          </w:tblCellMar>
        </w:tblPrEx>
        <w:trPr>
          <w:trHeight w:val="634" w:hRule="atLeast"/>
        </w:trPr>
        <w:tc>
          <w:tcPr>
            <w:tcW w:w="8300" w:type="dxa"/>
            <w:gridSpan w:val="9"/>
            <w:tcBorders>
              <w:top w:val="nil"/>
              <w:left w:val="nil"/>
              <w:bottom w:val="nil"/>
              <w:right w:val="nil"/>
            </w:tcBorders>
            <w:shd w:val="clear" w:color="auto" w:fill="auto"/>
            <w:noWrap/>
            <w:tcMar>
              <w:top w:w="10" w:type="dxa"/>
              <w:left w:w="10" w:type="dxa"/>
              <w:right w:w="10" w:type="dxa"/>
            </w:tcMar>
            <w:vAlign w:val="bottom"/>
          </w:tcPr>
          <w:p w14:paraId="30CEFCBF">
            <w:pPr>
              <w:keepNext w:val="0"/>
              <w:keepLines w:val="0"/>
              <w:widowControl/>
              <w:suppressLineNumbers w:val="0"/>
              <w:jc w:val="center"/>
              <w:textAlignment w:val="bottom"/>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4"/>
                <w:szCs w:val="44"/>
                <w:u w:val="none"/>
                <w:lang w:val="en-US" w:eastAsia="zh-CN" w:bidi="ar"/>
              </w:rPr>
              <w:t>一般公共预算财政拨款基本支出决算表</w:t>
            </w:r>
          </w:p>
        </w:tc>
      </w:tr>
      <w:tr w14:paraId="0B4B1B3C">
        <w:tblPrEx>
          <w:shd w:val="clear" w:color="auto" w:fill="auto"/>
          <w:tblCellMar>
            <w:top w:w="0" w:type="dxa"/>
            <w:left w:w="0" w:type="dxa"/>
            <w:bottom w:w="0" w:type="dxa"/>
            <w:right w:w="0" w:type="dxa"/>
          </w:tblCellMar>
        </w:tblPrEx>
        <w:trPr>
          <w:trHeight w:val="322" w:hRule="atLeast"/>
        </w:trPr>
        <w:tc>
          <w:tcPr>
            <w:tcW w:w="0" w:type="auto"/>
            <w:tcBorders>
              <w:top w:val="nil"/>
              <w:left w:val="nil"/>
              <w:bottom w:val="nil"/>
              <w:right w:val="nil"/>
            </w:tcBorders>
            <w:shd w:val="clear" w:color="auto" w:fill="auto"/>
            <w:noWrap/>
            <w:tcMar>
              <w:top w:w="10" w:type="dxa"/>
              <w:left w:w="10" w:type="dxa"/>
              <w:right w:w="10" w:type="dxa"/>
            </w:tcMar>
            <w:vAlign w:val="bottom"/>
          </w:tcPr>
          <w:p w14:paraId="6ECB60A0">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05988BCF">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4333D54E">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678ECBB0">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776B60C0">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5DC8FD3D">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32EF2548">
            <w:pPr>
              <w:rPr>
                <w:rFonts w:hint="default" w:ascii="Arial" w:hAnsi="Arial" w:cs="Arial"/>
                <w:i w:val="0"/>
                <w:color w:val="000000"/>
                <w:sz w:val="20"/>
                <w:szCs w:val="20"/>
                <w:u w:val="none"/>
              </w:rPr>
            </w:pPr>
          </w:p>
        </w:tc>
        <w:tc>
          <w:tcPr>
            <w:tcW w:w="0" w:type="auto"/>
            <w:gridSpan w:val="2"/>
            <w:tcBorders>
              <w:top w:val="nil"/>
              <w:left w:val="nil"/>
              <w:bottom w:val="nil"/>
              <w:right w:val="nil"/>
            </w:tcBorders>
            <w:shd w:val="clear" w:color="auto" w:fill="auto"/>
            <w:noWrap/>
            <w:tcMar>
              <w:top w:w="10" w:type="dxa"/>
              <w:left w:w="10" w:type="dxa"/>
              <w:right w:w="10" w:type="dxa"/>
            </w:tcMar>
            <w:vAlign w:val="bottom"/>
          </w:tcPr>
          <w:p w14:paraId="4806B839">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46EA5CAC">
        <w:tblPrEx>
          <w:shd w:val="clear" w:color="auto" w:fill="auto"/>
          <w:tblCellMar>
            <w:top w:w="0" w:type="dxa"/>
            <w:left w:w="0" w:type="dxa"/>
            <w:bottom w:w="0" w:type="dxa"/>
            <w:right w:w="0" w:type="dxa"/>
          </w:tblCellMar>
        </w:tblPrEx>
        <w:trPr>
          <w:trHeight w:val="322" w:hRule="atLeast"/>
        </w:trPr>
        <w:tc>
          <w:tcPr>
            <w:tcW w:w="0" w:type="auto"/>
            <w:gridSpan w:val="4"/>
            <w:tcBorders>
              <w:top w:val="nil"/>
              <w:left w:val="nil"/>
              <w:bottom w:val="nil"/>
              <w:right w:val="nil"/>
            </w:tcBorders>
            <w:shd w:val="clear" w:color="auto" w:fill="auto"/>
            <w:noWrap/>
            <w:tcMar>
              <w:top w:w="10" w:type="dxa"/>
              <w:left w:w="10" w:type="dxa"/>
              <w:right w:w="10" w:type="dxa"/>
            </w:tcMar>
            <w:vAlign w:val="bottom"/>
          </w:tcPr>
          <w:p w14:paraId="12C435AA">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编制单位：景德镇市人民政府办公室</w:t>
            </w:r>
          </w:p>
        </w:tc>
        <w:tc>
          <w:tcPr>
            <w:tcW w:w="0" w:type="auto"/>
            <w:tcBorders>
              <w:top w:val="nil"/>
              <w:left w:val="nil"/>
              <w:bottom w:val="nil"/>
              <w:right w:val="nil"/>
            </w:tcBorders>
            <w:shd w:val="clear" w:color="auto" w:fill="auto"/>
            <w:noWrap/>
            <w:tcMar>
              <w:top w:w="10" w:type="dxa"/>
              <w:left w:w="10" w:type="dxa"/>
              <w:right w:w="10" w:type="dxa"/>
            </w:tcMar>
            <w:vAlign w:val="bottom"/>
          </w:tcPr>
          <w:p w14:paraId="390825BA">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0" w:type="auto"/>
            <w:tcBorders>
              <w:top w:val="nil"/>
              <w:left w:val="nil"/>
              <w:bottom w:val="nil"/>
              <w:right w:val="nil"/>
            </w:tcBorders>
            <w:shd w:val="clear" w:color="auto" w:fill="auto"/>
            <w:noWrap/>
            <w:tcMar>
              <w:top w:w="10" w:type="dxa"/>
              <w:left w:w="10" w:type="dxa"/>
              <w:right w:w="10" w:type="dxa"/>
            </w:tcMar>
            <w:vAlign w:val="bottom"/>
          </w:tcPr>
          <w:p w14:paraId="714F1F77">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4FB6ABE0">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3484B5FA">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14:paraId="730CCF23">
            <w:pPr>
              <w:keepNext w:val="0"/>
              <w:keepLines w:val="0"/>
              <w:widowControl/>
              <w:suppressLineNumbers w:val="0"/>
              <w:jc w:val="right"/>
              <w:textAlignment w:val="bottom"/>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公开06表</w:t>
            </w:r>
          </w:p>
        </w:tc>
      </w:tr>
      <w:tr w14:paraId="52451D38">
        <w:tblPrEx>
          <w:shd w:val="clear" w:color="auto" w:fill="auto"/>
          <w:tblCellMar>
            <w:top w:w="0" w:type="dxa"/>
            <w:left w:w="0" w:type="dxa"/>
            <w:bottom w:w="0" w:type="dxa"/>
            <w:right w:w="0" w:type="dxa"/>
          </w:tblCellMar>
        </w:tblPrEx>
        <w:trPr>
          <w:trHeight w:val="332" w:hRule="atLeast"/>
        </w:trPr>
        <w:tc>
          <w:tcPr>
            <w:tcW w:w="2764" w:type="dxa"/>
            <w:gridSpan w:val="3"/>
            <w:tcBorders>
              <w:top w:val="single" w:color="000000" w:sz="4" w:space="0"/>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5A5941AD">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人员经费</w:t>
            </w:r>
          </w:p>
        </w:tc>
        <w:tc>
          <w:tcPr>
            <w:tcW w:w="5536" w:type="dxa"/>
            <w:gridSpan w:val="6"/>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14:paraId="1E98BC52">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公用经费</w:t>
            </w:r>
          </w:p>
        </w:tc>
      </w:tr>
      <w:tr w14:paraId="56B159EC">
        <w:tblPrEx>
          <w:shd w:val="clear" w:color="auto" w:fill="auto"/>
          <w:tblCellMar>
            <w:top w:w="0" w:type="dxa"/>
            <w:left w:w="0" w:type="dxa"/>
            <w:bottom w:w="0" w:type="dxa"/>
            <w:right w:w="0" w:type="dxa"/>
          </w:tblCellMar>
        </w:tblPrEx>
        <w:trPr>
          <w:trHeight w:val="644"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5A96BD48">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经济分类科目编码</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26A9010">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科目名称</w:t>
            </w:r>
          </w:p>
        </w:tc>
        <w:tc>
          <w:tcPr>
            <w:tcW w:w="626"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47F850E">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金额</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B842587">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经济分类科目编码</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3C65351">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科目名称</w:t>
            </w:r>
          </w:p>
        </w:tc>
        <w:tc>
          <w:tcPr>
            <w:tcW w:w="626"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D823049">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金额</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8328A93">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经济分类科目编码</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F54AD34">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科目名称</w:t>
            </w:r>
          </w:p>
        </w:tc>
        <w:tc>
          <w:tcPr>
            <w:tcW w:w="63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403C44C">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金额</w:t>
            </w:r>
          </w:p>
        </w:tc>
      </w:tr>
      <w:tr w14:paraId="4FBACCE3">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61EDC674">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E6BC13E">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工资福利支出</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986AD3F">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1,368.19</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B4BAF50">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302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FA96190">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商品和服务支出</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C25AF7E">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461.81</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1430279">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307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C9F5538">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债务利息及费用支出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67F643B">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3A3195F1">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00AA3CAA">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45C389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基本工资</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59921E1">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453.27</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F5DAA5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F69AE70">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办公费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37D7FA7">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52.69</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AA83AF8">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30701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62E6CFE">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国内债务付息</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B6152A6">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23B28FBB">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1E3A495C">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AADA824">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津贴补贴</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3135E0A">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348.98</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9F4C02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3120FE8">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印刷费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B099E1D">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28.96</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630BB6A">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30702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E24DDC5">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国外债务付息</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8FF483F">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537D5785">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5A40737A">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9AF90B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奖金</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7EEFB1D">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87.19</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EA86E22">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4B3B92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咨询费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F39E95B">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23.15</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55EF6E8">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30703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F7D7AC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国内债务发行费用</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3AAA9B9">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7FEE005E">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2E96EA04">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7138F2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伙食补助费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BFD2C2F">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3.53</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146F8C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B08209A">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手续费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590349B">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0.07</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57CF8C4">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30704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1D5C3E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国外债务发行费用</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53E3F5B">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30116BEB">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2CBB47D9">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428DB62">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绩效工资</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9D80728">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38BC4B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30205</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8A79120">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水费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C02C568">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3.66</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FED8ED2">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310</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FC2F8E0">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资本性支出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CA84167">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65.64</w:t>
            </w:r>
          </w:p>
        </w:tc>
      </w:tr>
      <w:tr w14:paraId="7BC82189">
        <w:tblPrEx>
          <w:shd w:val="clear" w:color="auto" w:fill="auto"/>
          <w:tblCellMar>
            <w:top w:w="0" w:type="dxa"/>
            <w:left w:w="0" w:type="dxa"/>
            <w:bottom w:w="0" w:type="dxa"/>
            <w:right w:w="0" w:type="dxa"/>
          </w:tblCellMar>
        </w:tblPrEx>
        <w:trPr>
          <w:trHeight w:val="644"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5C977DEA">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E08378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机关事业单位基本养老保险缴费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71AD6ED">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159.45</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6DE8C5C">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7882D7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电费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33CFF0E">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5E0E47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AC4CD85">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房屋建筑物购建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4D04646">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165B94C7">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2BA12CD4">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89FE17C">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职业年金缴费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FAEC494">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8.98</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B20300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530976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邮电费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876825F">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14.31</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4F9ED7E">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89D0362">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办公设备购置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68CDBFD">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65.00</w:t>
            </w:r>
          </w:p>
        </w:tc>
      </w:tr>
      <w:tr w14:paraId="257BEE78">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0CFF03A2">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30110</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C816F5D">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职工基本医疗保险缴费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508EA4D">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74.85</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21D7148">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5D9ED6E">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取暖费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74AEAF1">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10.46</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3D2266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99C17C2">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专用设备购置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69BE904">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6A38150A">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3C1444D8">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30111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A8EB8DC">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公务员医疗补助缴款</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FAFFEFB">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F7EE032">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85236AD">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物业管理费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3F433D2">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D2AA7B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31005</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D29B73A">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基础设施建设</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C7C7E0A">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6C18CFB4">
        <w:tblPrEx>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696F1B0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30112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F2A3DC9">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其他社会保障缴费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4F8CF27">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8.19</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A65C05D">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C45D65D">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差旅费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5505D4E">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71.23</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80FB9FC">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D03C34F">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大型修缮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3234326">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24FEC0C7">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5FFFF6F9">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30113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EAA7F7D">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住房公积金</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DDF6D33">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144.50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3CB813C">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A1F292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因公出国（境）费用</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D36A4D3">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FD80A7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07C3B2C">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信息网络及软件购置更新</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5A58245">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7B945ACE">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6C182259">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30114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AFB3640">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医疗费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923A4B6">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7.77</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B418CFC">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BD3293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维修（护）费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76C4448">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29.42</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27E499E">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0C27D4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物资储备</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2B2B384">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5066A5DF">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31E2E24E">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30BB432">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其他工资福利支出</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87E1E54">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71.49</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3C518F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4F72625">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租赁费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378DECE">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2.40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3B098EC">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44F9005">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土地补偿</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BF0E250">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7669F87F">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4D0B3D47">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9C6DFCC">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对个人和家庭的补助</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0C1D690">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845.10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70FE972">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30215</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20CAD40">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会议费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597BC93">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E9764C8">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31010</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E1BB485">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安置补助</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97D2A87">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29B08143">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352F7F4F">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D30EE2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离休费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8EBBE64">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38.89</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9E9DE75">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FAD55F5">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培训费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67269A7">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1.78</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AA8911F">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310111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4CF870F">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地上附着物和青苗补偿</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2E7E6E0">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07C5ED21">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75FF0C1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A5DB2E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退休费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7D7024B">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3.16</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BDFC72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50281F9">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公务接待费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0DBFC8A">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0.72</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2B2376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31012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081D63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拆迁补偿</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26F814A">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79A98000">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2575C47E">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BD9379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退职（役）费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A10946B">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6F73CAF">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E6375AD">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专用材料费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005F821">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65F6F3A">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31013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9B892E8">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公务用车购置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E360475">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099DC252">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787C017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88A09BE">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抚恤金</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FA131E1">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12.27</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1350799">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30224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0463D7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被装购置费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137F72B">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EF0924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31019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20BC88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其他交通工具购置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5F6E86B">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5D887E84">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7E5A9A87">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30305</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DC6EA5F">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生活补贴</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836577D">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DF664F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30225</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BFEC37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专用燃料费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C877ECB">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C0AD1D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31021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70F891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文物和陈列品购置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C694718">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555CDF1E">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1E0F5350">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CE5B14E">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救济费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7B79C2E">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8BE631F">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30226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2D6ACE9">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劳务费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EE05E9E">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30.05</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85EB51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31022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7329340">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无形资产购置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373A577">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251072BA">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63BD8B2F">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961487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医疗费补助</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AB302D9">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6AE2492">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30227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6AE8428">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委托业务费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AA545BC">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95BB667">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550940E">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其他资本性支出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ABF8FF9">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0.64</w:t>
            </w:r>
          </w:p>
        </w:tc>
      </w:tr>
      <w:tr w14:paraId="1892B60A">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0BDA85FE">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30D233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助学金</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9FF020A">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CF7367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30228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19DE025">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工会经费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6433C0D">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36.97</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90312A3">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312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45CAACA">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对企业补助</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2766A89">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77B0811A">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07AB9780">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B3D3228">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奖励金</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D79BA0F">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665.23</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EFE879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30229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EC72AAD">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福利费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B6B0F40">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00B7390">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31201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9686D1E">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资本金注入</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61E4FF2">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5EAF51A3">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00CF34C5">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30310</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21FD5F8">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个人农业生产补贴</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7A3D64A">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A569539">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30231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0CD8269">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公务用车运行维护费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5EDA18A">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4AC00EA">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31203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2D08FEA">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政府投资基金股权投资</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F0173E0">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74714E3C">
        <w:tblPrEx>
          <w:shd w:val="clear" w:color="auto" w:fill="auto"/>
          <w:tblCellMar>
            <w:top w:w="0" w:type="dxa"/>
            <w:left w:w="0" w:type="dxa"/>
            <w:bottom w:w="0" w:type="dxa"/>
            <w:right w:w="0" w:type="dxa"/>
          </w:tblCellMar>
        </w:tblPrEx>
        <w:trPr>
          <w:trHeight w:val="644"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38435E00">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6F15047">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其他对个人和家庭的补助支出</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70AADA6">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125.56</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6F65365">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30239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5B3F50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其他交通费用</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F48D220">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77.78</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A37B71D">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31204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1AE612F">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费用补贴</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93792EA">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5A405681">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635656B0">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E45A071">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BBBF381">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EE8B069">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30240</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EC24400">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税金及附加费用</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9D8002A">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43DA4BA">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31205</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0130AB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利息补贴</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29B0766">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3506B108">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1D5AC312">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7C0F589">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CF119AC">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FB8E65A">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9F3063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其他商品和服务支出</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88EC446">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49.96</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9C1427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31299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036E6C0">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其他对企业补助</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F32BCDF">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2EAEE6E0">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166075E0">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2855655">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5BCDAC0">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CFB363A">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592FC72">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11DDA6CC">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A675DD3">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13AC7929">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其他支出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E06D7AD">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1EBE60FA">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36ABA63B">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F878393">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6D17D49">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33D7CFC">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163ADC9">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6FEBEF6">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1C554E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39906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8FC7315">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赠与</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79E108D">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3F1A7625">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7B0B6122">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743BA11">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E965B44">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21D573B">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E0F9BB0">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2CD7304">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BF10B64">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39907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541BEC92">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国家赔偿费用支出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E9C4255">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0E6BC6E5">
        <w:tblPrEx>
          <w:shd w:val="clear" w:color="auto" w:fill="auto"/>
          <w:tblCellMar>
            <w:top w:w="0" w:type="dxa"/>
            <w:left w:w="0" w:type="dxa"/>
            <w:bottom w:w="0" w:type="dxa"/>
            <w:right w:w="0" w:type="dxa"/>
          </w:tblCellMar>
        </w:tblPrEx>
        <w:trPr>
          <w:trHeight w:val="644"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57F66EFA">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39A833F">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C9B95FC">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6337F70">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462E256C">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6EF43680">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A3A267F">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39908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0D1F93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对民间非营利组织和群众性自治组织补贴</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9A88587">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3EFB85D6">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29A09FB6">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3565600D">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EBBB53D">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736961E">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6128B814">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9118832">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0E9B6B90">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39999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22F38C17">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其他支出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D92EB0C">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14:paraId="53A10418">
        <w:tblPrEx>
          <w:shd w:val="clear" w:color="auto" w:fill="auto"/>
          <w:tblCellMar>
            <w:top w:w="0" w:type="dxa"/>
            <w:left w:w="0" w:type="dxa"/>
            <w:bottom w:w="0" w:type="dxa"/>
            <w:right w:w="0" w:type="dxa"/>
          </w:tblCellMar>
        </w:tblPrEx>
        <w:trPr>
          <w:trHeight w:val="332" w:hRule="atLeast"/>
        </w:trPr>
        <w:tc>
          <w:tcPr>
            <w:tcW w:w="2138" w:type="dxa"/>
            <w:gridSpan w:val="2"/>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14:paraId="3FEF309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人员经费合计</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0763073">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2,213.30</w:t>
            </w:r>
          </w:p>
        </w:tc>
        <w:tc>
          <w:tcPr>
            <w:tcW w:w="4902" w:type="dxa"/>
            <w:gridSpan w:val="5"/>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14:paraId="716E6E4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公用支出合计</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FA7B7BD">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527.45</w:t>
            </w:r>
          </w:p>
        </w:tc>
      </w:tr>
      <w:tr w14:paraId="66066ADE">
        <w:tblPrEx>
          <w:shd w:val="clear" w:color="auto" w:fill="auto"/>
          <w:tblCellMar>
            <w:top w:w="0" w:type="dxa"/>
            <w:left w:w="0" w:type="dxa"/>
            <w:bottom w:w="0" w:type="dxa"/>
            <w:right w:w="0" w:type="dxa"/>
          </w:tblCellMar>
        </w:tblPrEx>
        <w:trPr>
          <w:trHeight w:val="342" w:hRule="atLeast"/>
        </w:trPr>
        <w:tc>
          <w:tcPr>
            <w:tcW w:w="8300" w:type="dxa"/>
            <w:gridSpan w:val="9"/>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1E1FD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5"/>
                <w:szCs w:val="15"/>
                <w:u w:val="none"/>
                <w:lang w:val="en-US" w:eastAsia="zh-CN" w:bidi="ar"/>
              </w:rPr>
              <w:t>注：本表反映部门本年度一般公共预算财政拨款基本支出明细情况。</w:t>
            </w:r>
          </w:p>
        </w:tc>
      </w:tr>
    </w:tbl>
    <w:p w14:paraId="04D361D9">
      <w:pPr>
        <w:autoSpaceDE w:val="0"/>
        <w:autoSpaceDN w:val="0"/>
        <w:adjustRightInd w:val="0"/>
        <w:spacing w:line="360" w:lineRule="auto"/>
        <w:jc w:val="left"/>
        <w:rPr>
          <w:rFonts w:hint="eastAsia"/>
          <w:szCs w:val="30"/>
        </w:rPr>
      </w:pPr>
    </w:p>
    <w:tbl>
      <w:tblPr>
        <w:tblStyle w:val="3"/>
        <w:tblW w:w="8190" w:type="dxa"/>
        <w:tblInd w:w="0" w:type="dxa"/>
        <w:shd w:val="clear" w:color="auto" w:fill="auto"/>
        <w:tblLayout w:type="autofit"/>
        <w:tblCellMar>
          <w:top w:w="0" w:type="dxa"/>
          <w:left w:w="0" w:type="dxa"/>
          <w:bottom w:w="0" w:type="dxa"/>
          <w:right w:w="0" w:type="dxa"/>
        </w:tblCellMar>
      </w:tblPr>
      <w:tblGrid>
        <w:gridCol w:w="4165"/>
        <w:gridCol w:w="1032"/>
        <w:gridCol w:w="1326"/>
        <w:gridCol w:w="1678"/>
      </w:tblGrid>
      <w:tr w14:paraId="13FDA1FE">
        <w:tblPrEx>
          <w:shd w:val="clear" w:color="auto" w:fill="auto"/>
          <w:tblCellMar>
            <w:top w:w="0" w:type="dxa"/>
            <w:left w:w="0" w:type="dxa"/>
            <w:bottom w:w="0" w:type="dxa"/>
            <w:right w:w="0" w:type="dxa"/>
          </w:tblCellMar>
        </w:tblPrEx>
        <w:trPr>
          <w:trHeight w:val="450" w:hRule="atLeast"/>
        </w:trPr>
        <w:tc>
          <w:tcPr>
            <w:tcW w:w="8201" w:type="dxa"/>
            <w:gridSpan w:val="4"/>
            <w:tcBorders>
              <w:top w:val="nil"/>
              <w:left w:val="nil"/>
              <w:bottom w:val="nil"/>
              <w:right w:val="nil"/>
            </w:tcBorders>
            <w:shd w:val="clear" w:color="auto" w:fill="auto"/>
            <w:noWrap/>
            <w:tcMar>
              <w:top w:w="15" w:type="dxa"/>
              <w:left w:w="15" w:type="dxa"/>
              <w:right w:w="15" w:type="dxa"/>
            </w:tcMar>
            <w:vAlign w:val="bottom"/>
          </w:tcPr>
          <w:p w14:paraId="277B355E">
            <w:pPr>
              <w:keepNext w:val="0"/>
              <w:keepLines w:val="0"/>
              <w:widowControl/>
              <w:suppressLineNumbers w:val="0"/>
              <w:jc w:val="center"/>
              <w:textAlignment w:val="bottom"/>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一般公共预算财政拨款“三公”经费支出决算表</w:t>
            </w:r>
          </w:p>
        </w:tc>
      </w:tr>
      <w:tr w14:paraId="4A8E1CD4">
        <w:tblPrEx>
          <w:shd w:val="clear" w:color="auto" w:fill="auto"/>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14:paraId="6C2C5D51">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37B5743">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102B79C0">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E0CC666">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42DA60F7">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14:paraId="16C3ACD6">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编制单位：景德镇市人民政府办公室</w:t>
            </w:r>
          </w:p>
        </w:tc>
        <w:tc>
          <w:tcPr>
            <w:tcW w:w="0" w:type="auto"/>
            <w:tcBorders>
              <w:top w:val="nil"/>
              <w:left w:val="nil"/>
              <w:bottom w:val="nil"/>
              <w:right w:val="nil"/>
            </w:tcBorders>
            <w:shd w:val="clear" w:color="auto" w:fill="auto"/>
            <w:noWrap/>
            <w:tcMar>
              <w:top w:w="15" w:type="dxa"/>
              <w:left w:w="15" w:type="dxa"/>
              <w:right w:w="15" w:type="dxa"/>
            </w:tcMar>
            <w:vAlign w:val="bottom"/>
          </w:tcPr>
          <w:p w14:paraId="0D71A96B">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0" w:type="auto"/>
            <w:tcBorders>
              <w:top w:val="nil"/>
              <w:left w:val="nil"/>
              <w:bottom w:val="nil"/>
              <w:right w:val="nil"/>
            </w:tcBorders>
            <w:shd w:val="clear" w:color="auto" w:fill="auto"/>
            <w:noWrap/>
            <w:tcMar>
              <w:top w:w="15" w:type="dxa"/>
              <w:left w:w="15" w:type="dxa"/>
              <w:right w:w="15" w:type="dxa"/>
            </w:tcMar>
            <w:vAlign w:val="bottom"/>
          </w:tcPr>
          <w:p w14:paraId="1055DAB1">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7CC987A">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293DF3B1">
        <w:tblPrEx>
          <w:tblCellMar>
            <w:top w:w="0" w:type="dxa"/>
            <w:left w:w="0" w:type="dxa"/>
            <w:bottom w:w="0"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DF8A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000AA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F5298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0" w:type="auto"/>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E5451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25F71D9">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089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835994">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D80B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6B3D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780C6CEE">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C408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7ADE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9E8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BFC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19.72</w:t>
            </w:r>
          </w:p>
        </w:tc>
      </w:tr>
      <w:tr w14:paraId="484E7505">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7612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BF27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5E8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A70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2DD2F0F">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FEB7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F68F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97A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2D1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r>
      <w:tr w14:paraId="6077E0F4">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76C2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902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D3E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C79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8AA948F">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47CF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FA41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01A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38F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r>
      <w:tr w14:paraId="5819C0BF">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BCBB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675E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171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BB5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0.72</w:t>
            </w:r>
          </w:p>
        </w:tc>
      </w:tr>
      <w:tr w14:paraId="39DE39CC">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BBF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AACA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919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CD2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0.72</w:t>
            </w:r>
          </w:p>
        </w:tc>
      </w:tr>
      <w:tr w14:paraId="4BAA13E6">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3B0D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B776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3D7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37F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BFEA908">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CAA7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74AE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6CF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A77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1684199">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6595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二、相关统计数</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49DA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520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708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E354185">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719F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1109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730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80E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03643F79">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FA6C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B27B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3F0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EF3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29948E58">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D9BB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D174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1D8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A77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6828D84F">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ACA8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3046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72C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DC5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161E5496">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C98A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1787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3FB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F36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2E976EFD">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8AAB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3971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5EB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669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14F927C8">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0C99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567F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3AF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A8C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r>
      <w:tr w14:paraId="7B2AE80A">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D196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182A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282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1F8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66E22459">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5F9D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6484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C96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DBC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3AE198DC">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159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9467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F7E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B8F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7A6C92F1">
        <w:tblPrEx>
          <w:shd w:val="clear" w:color="auto" w:fill="auto"/>
          <w:tblCellMar>
            <w:top w:w="0" w:type="dxa"/>
            <w:left w:w="0" w:type="dxa"/>
            <w:bottom w:w="0" w:type="dxa"/>
            <w:right w:w="0" w:type="dxa"/>
          </w:tblCellMar>
        </w:tblPrEx>
        <w:trPr>
          <w:trHeight w:val="308" w:hRule="atLeast"/>
        </w:trPr>
        <w:tc>
          <w:tcPr>
            <w:tcW w:w="8201" w:type="dxa"/>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09A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注：本表反映部门本年度“三公”经费支出预决算情况。其中：预算数为批复的年初预算数，不包含以前年度结转的资金；决算数是包括当年一般公共预算财政拨款和以前年度结转资金安排的实际支出。</w:t>
            </w:r>
          </w:p>
        </w:tc>
      </w:tr>
      <w:tr w14:paraId="1771CF53">
        <w:tblPrEx>
          <w:shd w:val="clear" w:color="auto" w:fill="auto"/>
          <w:tblCellMar>
            <w:top w:w="0" w:type="dxa"/>
            <w:left w:w="0" w:type="dxa"/>
            <w:bottom w:w="0" w:type="dxa"/>
            <w:right w:w="0" w:type="dxa"/>
          </w:tblCellMar>
        </w:tblPrEx>
        <w:trPr>
          <w:trHeight w:val="523" w:hRule="atLeast"/>
        </w:trPr>
        <w:tc>
          <w:tcPr>
            <w:tcW w:w="8201" w:type="dxa"/>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BE3E2">
            <w:pPr>
              <w:jc w:val="left"/>
              <w:rPr>
                <w:rFonts w:hint="eastAsia" w:ascii="宋体" w:hAnsi="宋体" w:eastAsia="宋体" w:cs="宋体"/>
                <w:i w:val="0"/>
                <w:color w:val="000000"/>
                <w:sz w:val="22"/>
                <w:szCs w:val="22"/>
                <w:u w:val="none"/>
              </w:rPr>
            </w:pPr>
          </w:p>
        </w:tc>
      </w:tr>
    </w:tbl>
    <w:p w14:paraId="760CA597">
      <w:pPr>
        <w:autoSpaceDE w:val="0"/>
        <w:autoSpaceDN w:val="0"/>
        <w:adjustRightInd w:val="0"/>
        <w:spacing w:line="360" w:lineRule="auto"/>
        <w:jc w:val="left"/>
        <w:rPr>
          <w:rFonts w:hint="eastAsia"/>
          <w:szCs w:val="30"/>
        </w:rPr>
      </w:pPr>
    </w:p>
    <w:p w14:paraId="47D07513">
      <w:pPr>
        <w:autoSpaceDE w:val="0"/>
        <w:autoSpaceDN w:val="0"/>
        <w:adjustRightInd w:val="0"/>
        <w:spacing w:line="360" w:lineRule="auto"/>
        <w:jc w:val="left"/>
        <w:rPr>
          <w:rFonts w:hint="eastAsia"/>
          <w:szCs w:val="30"/>
        </w:rPr>
      </w:pPr>
    </w:p>
    <w:p w14:paraId="0D2BDB8A">
      <w:pPr>
        <w:autoSpaceDE w:val="0"/>
        <w:autoSpaceDN w:val="0"/>
        <w:adjustRightInd w:val="0"/>
        <w:spacing w:line="360" w:lineRule="auto"/>
        <w:jc w:val="left"/>
        <w:rPr>
          <w:rFonts w:hint="eastAsia"/>
          <w:szCs w:val="30"/>
        </w:rPr>
      </w:pPr>
    </w:p>
    <w:p w14:paraId="60292BF5">
      <w:pPr>
        <w:autoSpaceDE w:val="0"/>
        <w:autoSpaceDN w:val="0"/>
        <w:adjustRightInd w:val="0"/>
        <w:spacing w:line="360" w:lineRule="auto"/>
        <w:jc w:val="left"/>
        <w:rPr>
          <w:rFonts w:hint="eastAsia"/>
          <w:szCs w:val="30"/>
        </w:rPr>
      </w:pPr>
    </w:p>
    <w:p w14:paraId="4FF7D742">
      <w:pPr>
        <w:autoSpaceDE w:val="0"/>
        <w:autoSpaceDN w:val="0"/>
        <w:adjustRightInd w:val="0"/>
        <w:spacing w:line="360" w:lineRule="auto"/>
        <w:jc w:val="left"/>
        <w:rPr>
          <w:rFonts w:hint="eastAsia"/>
          <w:szCs w:val="30"/>
        </w:rPr>
      </w:pPr>
    </w:p>
    <w:p w14:paraId="7F05097C">
      <w:pPr>
        <w:autoSpaceDE w:val="0"/>
        <w:autoSpaceDN w:val="0"/>
        <w:adjustRightInd w:val="0"/>
        <w:spacing w:line="360" w:lineRule="auto"/>
        <w:jc w:val="left"/>
        <w:rPr>
          <w:rFonts w:hint="eastAsia"/>
          <w:szCs w:val="30"/>
        </w:rPr>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4"/>
                    <a:stretch>
                      <a:fillRect/>
                    </a:stretch>
                  </pic:blipFill>
                  <pic:spPr>
                    <a:xfrm>
                      <a:off x="0" y="0"/>
                      <a:ext cx="5267960" cy="2297430"/>
                    </a:xfrm>
                    <a:prstGeom prst="rect">
                      <a:avLst/>
                    </a:prstGeom>
                    <a:noFill/>
                    <a:ln>
                      <a:noFill/>
                    </a:ln>
                  </pic:spPr>
                </pic:pic>
              </a:graphicData>
            </a:graphic>
          </wp:inline>
        </w:drawing>
      </w:r>
    </w:p>
    <w:tbl>
      <w:tblPr>
        <w:tblStyle w:val="3"/>
        <w:tblW w:w="8256" w:type="dxa"/>
        <w:tblInd w:w="0" w:type="dxa"/>
        <w:shd w:val="clear" w:color="auto" w:fill="auto"/>
        <w:tblLayout w:type="fixed"/>
        <w:tblCellMar>
          <w:top w:w="0" w:type="dxa"/>
          <w:left w:w="0" w:type="dxa"/>
          <w:bottom w:w="0" w:type="dxa"/>
          <w:right w:w="0" w:type="dxa"/>
        </w:tblCellMar>
      </w:tblPr>
      <w:tblGrid>
        <w:gridCol w:w="5894"/>
        <w:gridCol w:w="243"/>
        <w:gridCol w:w="600"/>
        <w:gridCol w:w="1519"/>
      </w:tblGrid>
      <w:tr w14:paraId="116166B7">
        <w:tblPrEx>
          <w:shd w:val="clear" w:color="auto" w:fill="auto"/>
          <w:tblCellMar>
            <w:top w:w="0" w:type="dxa"/>
            <w:left w:w="0" w:type="dxa"/>
            <w:bottom w:w="0" w:type="dxa"/>
            <w:right w:w="0" w:type="dxa"/>
          </w:tblCellMar>
        </w:tblPrEx>
        <w:trPr>
          <w:trHeight w:val="540" w:hRule="atLeast"/>
        </w:trPr>
        <w:tc>
          <w:tcPr>
            <w:tcW w:w="8256" w:type="dxa"/>
            <w:gridSpan w:val="4"/>
            <w:tcBorders>
              <w:top w:val="nil"/>
              <w:left w:val="nil"/>
              <w:bottom w:val="nil"/>
              <w:right w:val="nil"/>
            </w:tcBorders>
            <w:shd w:val="clear" w:color="auto" w:fill="auto"/>
            <w:noWrap/>
            <w:tcMar>
              <w:top w:w="15" w:type="dxa"/>
              <w:left w:w="15" w:type="dxa"/>
              <w:right w:w="15" w:type="dxa"/>
            </w:tcMar>
            <w:vAlign w:val="bottom"/>
          </w:tcPr>
          <w:p w14:paraId="372F0D9D">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国有资产占用情况表</w:t>
            </w:r>
          </w:p>
        </w:tc>
      </w:tr>
      <w:tr w14:paraId="1C7504C2">
        <w:tblPrEx>
          <w:tblCellMar>
            <w:top w:w="0" w:type="dxa"/>
            <w:left w:w="0" w:type="dxa"/>
            <w:bottom w:w="0" w:type="dxa"/>
            <w:right w:w="0" w:type="dxa"/>
          </w:tblCellMar>
        </w:tblPrEx>
        <w:trPr>
          <w:trHeight w:val="255" w:hRule="atLeast"/>
        </w:trPr>
        <w:tc>
          <w:tcPr>
            <w:tcW w:w="6137" w:type="dxa"/>
            <w:gridSpan w:val="2"/>
            <w:tcBorders>
              <w:top w:val="nil"/>
              <w:left w:val="nil"/>
              <w:bottom w:val="nil"/>
              <w:right w:val="nil"/>
            </w:tcBorders>
            <w:shd w:val="clear" w:color="auto" w:fill="auto"/>
            <w:noWrap/>
            <w:tcMar>
              <w:top w:w="15" w:type="dxa"/>
              <w:left w:w="15" w:type="dxa"/>
              <w:right w:w="15" w:type="dxa"/>
            </w:tcMar>
            <w:vAlign w:val="bottom"/>
          </w:tcPr>
          <w:p w14:paraId="1BD2D418">
            <w:pPr>
              <w:rPr>
                <w:rFonts w:hint="eastAsia" w:ascii="Arial" w:hAnsi="Arial" w:cs="Arial"/>
                <w:i w:val="0"/>
                <w:color w:val="000000"/>
                <w:sz w:val="20"/>
                <w:szCs w:val="20"/>
                <w:u w:val="none"/>
              </w:rPr>
            </w:pPr>
          </w:p>
        </w:tc>
        <w:tc>
          <w:tcPr>
            <w:tcW w:w="600" w:type="dxa"/>
            <w:tcBorders>
              <w:top w:val="nil"/>
              <w:left w:val="nil"/>
              <w:bottom w:val="nil"/>
              <w:right w:val="nil"/>
            </w:tcBorders>
            <w:shd w:val="clear" w:color="auto" w:fill="auto"/>
            <w:noWrap/>
            <w:tcMar>
              <w:top w:w="15" w:type="dxa"/>
              <w:left w:w="15" w:type="dxa"/>
              <w:right w:w="15" w:type="dxa"/>
            </w:tcMar>
            <w:vAlign w:val="bottom"/>
          </w:tcPr>
          <w:p w14:paraId="78CD2E64">
            <w:pPr>
              <w:rPr>
                <w:rFonts w:hint="default" w:ascii="Arial" w:hAnsi="Arial" w:cs="Arial"/>
                <w:i w:val="0"/>
                <w:color w:val="000000"/>
                <w:sz w:val="20"/>
                <w:szCs w:val="20"/>
                <w:u w:val="none"/>
              </w:rPr>
            </w:pPr>
          </w:p>
        </w:tc>
        <w:tc>
          <w:tcPr>
            <w:tcW w:w="1519" w:type="dxa"/>
            <w:tcBorders>
              <w:top w:val="nil"/>
              <w:left w:val="nil"/>
              <w:bottom w:val="nil"/>
              <w:right w:val="nil"/>
            </w:tcBorders>
            <w:shd w:val="clear" w:color="auto" w:fill="auto"/>
            <w:noWrap/>
            <w:tcMar>
              <w:top w:w="15" w:type="dxa"/>
              <w:left w:w="15" w:type="dxa"/>
              <w:right w:w="15" w:type="dxa"/>
            </w:tcMar>
            <w:vAlign w:val="bottom"/>
          </w:tcPr>
          <w:p w14:paraId="44A2CB55">
            <w:pPr>
              <w:keepNext w:val="0"/>
              <w:keepLines w:val="0"/>
              <w:widowControl/>
              <w:suppressLineNumbers w:val="0"/>
              <w:jc w:val="right"/>
              <w:textAlignment w:val="bottom"/>
              <w:rPr>
                <w:rFonts w:hint="eastAsia" w:ascii="宋体" w:hAnsi="宋体" w:eastAsia="宋体" w:cs="宋体"/>
                <w:i w:val="0"/>
                <w:color w:val="000000"/>
                <w:sz w:val="20"/>
                <w:szCs w:val="20"/>
                <w:u w:val="none"/>
              </w:rPr>
            </w:pPr>
          </w:p>
        </w:tc>
      </w:tr>
      <w:tr w14:paraId="33F6CB2E">
        <w:tblPrEx>
          <w:shd w:val="clear" w:color="auto" w:fill="auto"/>
          <w:tblCellMar>
            <w:top w:w="0" w:type="dxa"/>
            <w:left w:w="0" w:type="dxa"/>
            <w:bottom w:w="0" w:type="dxa"/>
            <w:right w:w="0" w:type="dxa"/>
          </w:tblCellMar>
        </w:tblPrEx>
        <w:trPr>
          <w:trHeight w:val="255" w:hRule="atLeast"/>
        </w:trPr>
        <w:tc>
          <w:tcPr>
            <w:tcW w:w="6737" w:type="dxa"/>
            <w:gridSpan w:val="3"/>
            <w:tcBorders>
              <w:top w:val="nil"/>
              <w:left w:val="nil"/>
              <w:bottom w:val="nil"/>
              <w:right w:val="nil"/>
            </w:tcBorders>
            <w:shd w:val="clear" w:color="auto" w:fill="auto"/>
            <w:noWrap/>
            <w:tcMar>
              <w:top w:w="15" w:type="dxa"/>
              <w:left w:w="15" w:type="dxa"/>
              <w:right w:w="15" w:type="dxa"/>
            </w:tcMar>
            <w:vAlign w:val="bottom"/>
          </w:tcPr>
          <w:p w14:paraId="0B820C20">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编制单位：景德镇市人民政府办公室   </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2019年度</w:t>
            </w:r>
          </w:p>
        </w:tc>
        <w:tc>
          <w:tcPr>
            <w:tcW w:w="1519" w:type="dxa"/>
            <w:tcBorders>
              <w:top w:val="nil"/>
              <w:left w:val="nil"/>
              <w:bottom w:val="nil"/>
              <w:right w:val="nil"/>
            </w:tcBorders>
            <w:shd w:val="clear" w:color="auto" w:fill="auto"/>
            <w:noWrap/>
            <w:tcMar>
              <w:top w:w="15" w:type="dxa"/>
              <w:left w:w="15" w:type="dxa"/>
              <w:right w:w="15" w:type="dxa"/>
            </w:tcMar>
            <w:vAlign w:val="bottom"/>
          </w:tcPr>
          <w:p w14:paraId="5A48C453">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9C72AD9">
        <w:tblPrEx>
          <w:shd w:val="clear" w:color="auto" w:fill="auto"/>
          <w:tblCellMar>
            <w:top w:w="0" w:type="dxa"/>
            <w:left w:w="0" w:type="dxa"/>
            <w:bottom w:w="0" w:type="dxa"/>
            <w:right w:w="0" w:type="dxa"/>
          </w:tblCellMar>
        </w:tblPrEx>
        <w:trPr>
          <w:trHeight w:val="308" w:hRule="atLeast"/>
        </w:trPr>
        <w:tc>
          <w:tcPr>
            <w:tcW w:w="589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4FF1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84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18A25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1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E1F76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3A16A67">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5C77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一、车辆数合计(台、辆)</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5BD2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7E7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2BBEF8AF">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5587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0250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4001F">
            <w:pPr>
              <w:jc w:val="right"/>
              <w:rPr>
                <w:rFonts w:hint="eastAsia" w:ascii="宋体" w:hAnsi="宋体" w:eastAsia="宋体" w:cs="宋体"/>
                <w:i w:val="0"/>
                <w:color w:val="000000"/>
                <w:sz w:val="22"/>
                <w:szCs w:val="22"/>
                <w:u w:val="none"/>
              </w:rPr>
            </w:pPr>
          </w:p>
        </w:tc>
      </w:tr>
      <w:tr w14:paraId="46F103F7">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04C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F9FC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88F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14:paraId="16B29457">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2B0D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4B89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D6DE8">
            <w:pPr>
              <w:jc w:val="right"/>
              <w:rPr>
                <w:rFonts w:hint="eastAsia" w:ascii="宋体" w:hAnsi="宋体" w:eastAsia="宋体" w:cs="宋体"/>
                <w:i w:val="0"/>
                <w:color w:val="000000"/>
                <w:sz w:val="22"/>
                <w:szCs w:val="22"/>
                <w:u w:val="none"/>
              </w:rPr>
            </w:pPr>
          </w:p>
        </w:tc>
      </w:tr>
      <w:tr w14:paraId="7E4A0164">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779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3A31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9EFEF">
            <w:pPr>
              <w:jc w:val="right"/>
              <w:rPr>
                <w:rFonts w:hint="eastAsia" w:ascii="宋体" w:hAnsi="宋体" w:eastAsia="宋体" w:cs="宋体"/>
                <w:i w:val="0"/>
                <w:color w:val="000000"/>
                <w:sz w:val="22"/>
                <w:szCs w:val="22"/>
                <w:u w:val="none"/>
              </w:rPr>
            </w:pPr>
          </w:p>
        </w:tc>
      </w:tr>
      <w:tr w14:paraId="003D1D34">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3314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64C8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D971A">
            <w:pPr>
              <w:jc w:val="right"/>
              <w:rPr>
                <w:rFonts w:hint="eastAsia" w:ascii="宋体" w:hAnsi="宋体" w:eastAsia="宋体" w:cs="宋体"/>
                <w:i w:val="0"/>
                <w:color w:val="000000"/>
                <w:sz w:val="22"/>
                <w:szCs w:val="22"/>
                <w:u w:val="none"/>
              </w:rPr>
            </w:pPr>
          </w:p>
        </w:tc>
      </w:tr>
      <w:tr w14:paraId="40B91E7A">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AC0C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AA89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588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08B3C0E9">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9A9D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594D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E787A">
            <w:pPr>
              <w:jc w:val="right"/>
              <w:rPr>
                <w:rFonts w:hint="eastAsia" w:ascii="宋体" w:hAnsi="宋体" w:eastAsia="宋体" w:cs="宋体"/>
                <w:i w:val="0"/>
                <w:color w:val="000000"/>
                <w:sz w:val="22"/>
                <w:szCs w:val="22"/>
                <w:u w:val="none"/>
              </w:rPr>
            </w:pPr>
          </w:p>
        </w:tc>
      </w:tr>
      <w:tr w14:paraId="433910D9">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93D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06EB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E9B92">
            <w:pPr>
              <w:jc w:val="right"/>
              <w:rPr>
                <w:rFonts w:hint="eastAsia" w:ascii="宋体" w:hAnsi="宋体" w:eastAsia="宋体" w:cs="宋体"/>
                <w:i w:val="0"/>
                <w:color w:val="000000"/>
                <w:sz w:val="22"/>
                <w:szCs w:val="22"/>
                <w:u w:val="none"/>
              </w:rPr>
            </w:pPr>
          </w:p>
        </w:tc>
      </w:tr>
      <w:tr w14:paraId="419DBF33">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nil"/>
              <w:right w:val="single" w:color="000000" w:sz="4" w:space="0"/>
            </w:tcBorders>
            <w:shd w:val="clear" w:color="FFFFFF" w:fill="C0C0C0"/>
            <w:noWrap/>
            <w:tcMar>
              <w:top w:w="15" w:type="dxa"/>
              <w:left w:w="15" w:type="dxa"/>
              <w:right w:w="15" w:type="dxa"/>
            </w:tcMar>
            <w:vAlign w:val="center"/>
          </w:tcPr>
          <w:p w14:paraId="2946B4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二、单价50万元（含）以上通用设备（台，套）</w:t>
            </w:r>
          </w:p>
        </w:tc>
        <w:tc>
          <w:tcPr>
            <w:tcW w:w="843" w:type="dxa"/>
            <w:gridSpan w:val="2"/>
            <w:tcBorders>
              <w:top w:val="nil"/>
              <w:left w:val="nil"/>
              <w:bottom w:val="nil"/>
              <w:right w:val="single" w:color="000000" w:sz="4" w:space="0"/>
            </w:tcBorders>
            <w:shd w:val="clear" w:color="FFFFFF" w:fill="C0C0C0"/>
            <w:noWrap/>
            <w:tcMar>
              <w:top w:w="15" w:type="dxa"/>
              <w:left w:w="15" w:type="dxa"/>
              <w:right w:w="15" w:type="dxa"/>
            </w:tcMar>
            <w:vAlign w:val="center"/>
          </w:tcPr>
          <w:p w14:paraId="65A04C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19" w:type="dxa"/>
            <w:tcBorders>
              <w:top w:val="nil"/>
              <w:left w:val="nil"/>
              <w:bottom w:val="nil"/>
              <w:right w:val="single" w:color="000000" w:sz="4" w:space="0"/>
            </w:tcBorders>
            <w:shd w:val="clear" w:color="auto" w:fill="auto"/>
            <w:noWrap/>
            <w:tcMar>
              <w:top w:w="15" w:type="dxa"/>
              <w:left w:w="15" w:type="dxa"/>
              <w:right w:w="15" w:type="dxa"/>
            </w:tcMar>
            <w:vAlign w:val="center"/>
          </w:tcPr>
          <w:p w14:paraId="48B20B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14:paraId="680C6015">
        <w:tblPrEx>
          <w:shd w:val="clear" w:color="auto" w:fill="auto"/>
          <w:tblCellMar>
            <w:top w:w="0" w:type="dxa"/>
            <w:left w:w="0" w:type="dxa"/>
            <w:bottom w:w="0" w:type="dxa"/>
            <w:right w:w="0" w:type="dxa"/>
          </w:tblCellMar>
        </w:tblPrEx>
        <w:trPr>
          <w:trHeight w:val="308" w:hRule="atLeast"/>
        </w:trPr>
        <w:tc>
          <w:tcPr>
            <w:tcW w:w="589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46B9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三、单价100万元（含）以上专用设备（台，套）</w:t>
            </w:r>
          </w:p>
        </w:tc>
        <w:tc>
          <w:tcPr>
            <w:tcW w:w="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8CCE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3D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2E4E450C">
        <w:tblPrEx>
          <w:shd w:val="clear" w:color="auto" w:fill="auto"/>
          <w:tblCellMar>
            <w:top w:w="0" w:type="dxa"/>
            <w:left w:w="0" w:type="dxa"/>
            <w:bottom w:w="0" w:type="dxa"/>
            <w:right w:w="0" w:type="dxa"/>
          </w:tblCellMar>
        </w:tblPrEx>
        <w:trPr>
          <w:trHeight w:val="308" w:hRule="atLeast"/>
        </w:trPr>
        <w:tc>
          <w:tcPr>
            <w:tcW w:w="825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3A2135">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注：本表反映截至</w:t>
            </w:r>
            <w:r>
              <w:rPr>
                <w:rStyle w:val="7"/>
                <w:rFonts w:eastAsia="宋体"/>
                <w:lang w:val="en-US" w:eastAsia="zh-CN" w:bidi="ar"/>
              </w:rPr>
              <w:t>2019</w:t>
            </w:r>
            <w:r>
              <w:rPr>
                <w:rStyle w:val="8"/>
                <w:lang w:val="en-US" w:eastAsia="zh-CN" w:bidi="ar"/>
              </w:rPr>
              <w:t>年</w:t>
            </w:r>
            <w:r>
              <w:rPr>
                <w:rStyle w:val="7"/>
                <w:rFonts w:eastAsia="宋体"/>
                <w:lang w:val="en-US" w:eastAsia="zh-CN" w:bidi="ar"/>
              </w:rPr>
              <w:t>12</w:t>
            </w:r>
            <w:r>
              <w:rPr>
                <w:rStyle w:val="8"/>
                <w:lang w:val="en-US" w:eastAsia="zh-CN" w:bidi="ar"/>
              </w:rPr>
              <w:t>月</w:t>
            </w:r>
            <w:r>
              <w:rPr>
                <w:rStyle w:val="7"/>
                <w:rFonts w:eastAsia="宋体"/>
                <w:lang w:val="en-US" w:eastAsia="zh-CN" w:bidi="ar"/>
              </w:rPr>
              <w:t>31</w:t>
            </w:r>
            <w:r>
              <w:rPr>
                <w:rStyle w:val="8"/>
                <w:lang w:val="en-US" w:eastAsia="zh-CN" w:bidi="ar"/>
              </w:rPr>
              <w:t>日，部门占用的国有资产情况。</w:t>
            </w:r>
          </w:p>
        </w:tc>
      </w:tr>
    </w:tbl>
    <w:p w14:paraId="122607A8">
      <w:pPr>
        <w:autoSpaceDE w:val="0"/>
        <w:autoSpaceDN w:val="0"/>
        <w:adjustRightInd w:val="0"/>
        <w:spacing w:line="360" w:lineRule="auto"/>
        <w:jc w:val="left"/>
        <w:rPr>
          <w:rFonts w:hint="eastAsia"/>
          <w:szCs w:val="30"/>
        </w:rPr>
      </w:pPr>
    </w:p>
    <w:p w14:paraId="142B22E8">
      <w:pPr>
        <w:autoSpaceDE w:val="0"/>
        <w:autoSpaceDN w:val="0"/>
        <w:adjustRightInd w:val="0"/>
        <w:spacing w:line="360" w:lineRule="auto"/>
        <w:jc w:val="left"/>
        <w:rPr>
          <w:rFonts w:hint="eastAsia" w:ascii="仿宋" w:hAnsi="仿宋" w:eastAsia="仿宋" w:cs="仿宋_GB2312"/>
          <w:kern w:val="0"/>
          <w:sz w:val="30"/>
          <w:szCs w:val="30"/>
        </w:rPr>
      </w:pPr>
    </w:p>
    <w:p w14:paraId="5DB31DC7">
      <w:pPr>
        <w:widowControl/>
        <w:spacing w:line="600" w:lineRule="exact"/>
        <w:ind w:firstLine="640"/>
        <w:jc w:val="center"/>
        <w:rPr>
          <w:rFonts w:hint="eastAsia" w:ascii="宋体" w:hAnsi="宋体"/>
          <w:b/>
          <w:sz w:val="32"/>
          <w:szCs w:val="32"/>
        </w:rPr>
      </w:pPr>
    </w:p>
    <w:p w14:paraId="48C354F6">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43B01697">
      <w:pPr>
        <w:ind w:firstLine="630"/>
        <w:jc w:val="left"/>
        <w:rPr>
          <w:rFonts w:hint="eastAsia" w:ascii="仿宋" w:hAnsi="仿宋" w:eastAsia="仿宋"/>
          <w:sz w:val="30"/>
          <w:szCs w:val="30"/>
        </w:rPr>
      </w:pPr>
    </w:p>
    <w:p w14:paraId="5A0D0A87">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4974073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2786.69</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92.79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增加82.37</w:t>
      </w:r>
      <w:r>
        <w:rPr>
          <w:rFonts w:hint="eastAsia" w:ascii="仿宋" w:hAnsi="仿宋" w:eastAsia="仿宋"/>
          <w:sz w:val="30"/>
          <w:szCs w:val="30"/>
        </w:rPr>
        <w:t>万元，增长</w:t>
      </w:r>
      <w:r>
        <w:rPr>
          <w:rFonts w:hint="eastAsia" w:ascii="仿宋" w:hAnsi="仿宋" w:eastAsia="仿宋"/>
          <w:sz w:val="30"/>
          <w:szCs w:val="30"/>
          <w:lang w:val="en-US" w:eastAsia="zh-CN"/>
        </w:rPr>
        <w:t>790.50</w:t>
      </w:r>
      <w:r>
        <w:rPr>
          <w:rFonts w:hint="eastAsia" w:ascii="仿宋" w:hAnsi="仿宋" w:eastAsia="仿宋"/>
          <w:sz w:val="30"/>
          <w:szCs w:val="30"/>
        </w:rPr>
        <w:t>%；本年收入合计</w:t>
      </w:r>
      <w:r>
        <w:rPr>
          <w:rFonts w:hint="eastAsia" w:ascii="仿宋" w:hAnsi="仿宋" w:eastAsia="仿宋"/>
          <w:sz w:val="30"/>
          <w:szCs w:val="30"/>
          <w:lang w:val="en-US" w:eastAsia="zh-CN"/>
        </w:rPr>
        <w:t>2693.9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585.22</w:t>
      </w:r>
      <w:r>
        <w:rPr>
          <w:rFonts w:hint="eastAsia" w:ascii="仿宋" w:hAnsi="仿宋" w:eastAsia="仿宋"/>
          <w:sz w:val="30"/>
          <w:szCs w:val="30"/>
        </w:rPr>
        <w:t>万元，下降</w:t>
      </w:r>
      <w:r>
        <w:rPr>
          <w:rFonts w:hint="eastAsia" w:ascii="仿宋" w:hAnsi="仿宋" w:eastAsia="仿宋"/>
          <w:sz w:val="30"/>
          <w:szCs w:val="30"/>
          <w:lang w:val="en-US" w:eastAsia="zh-CN"/>
        </w:rPr>
        <w:t>17.85</w:t>
      </w:r>
      <w:r>
        <w:rPr>
          <w:rFonts w:hint="eastAsia" w:ascii="仿宋" w:hAnsi="仿宋" w:eastAsia="仿宋"/>
          <w:sz w:val="30"/>
          <w:szCs w:val="30"/>
        </w:rPr>
        <w:t>%，主要原因是：</w:t>
      </w:r>
      <w:r>
        <w:rPr>
          <w:rFonts w:hint="eastAsia" w:ascii="仿宋" w:hAnsi="仿宋" w:eastAsia="仿宋"/>
          <w:sz w:val="30"/>
          <w:szCs w:val="30"/>
          <w:highlight w:val="none"/>
          <w:lang w:eastAsia="zh-CN"/>
        </w:rPr>
        <w:t>上年度完成建设应急指挥中心项目</w:t>
      </w:r>
      <w:r>
        <w:rPr>
          <w:rFonts w:hint="eastAsia" w:ascii="仿宋" w:hAnsi="仿宋" w:eastAsia="仿宋"/>
          <w:sz w:val="30"/>
          <w:szCs w:val="30"/>
        </w:rPr>
        <w:t>。</w:t>
      </w:r>
    </w:p>
    <w:p w14:paraId="195850FC">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2675.58</w:t>
      </w:r>
      <w:r>
        <w:rPr>
          <w:rFonts w:hint="eastAsia" w:ascii="仿宋" w:hAnsi="仿宋" w:eastAsia="仿宋"/>
          <w:sz w:val="30"/>
          <w:szCs w:val="30"/>
        </w:rPr>
        <w:t>万元，占</w:t>
      </w:r>
      <w:r>
        <w:rPr>
          <w:rFonts w:hint="eastAsia" w:ascii="仿宋" w:hAnsi="仿宋" w:eastAsia="仿宋"/>
          <w:sz w:val="30"/>
          <w:szCs w:val="30"/>
          <w:lang w:val="en-US" w:eastAsia="zh-CN"/>
        </w:rPr>
        <w:t>99.32</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18.32</w:t>
      </w:r>
      <w:r>
        <w:rPr>
          <w:rFonts w:hint="eastAsia" w:ascii="仿宋" w:hAnsi="仿宋" w:eastAsia="仿宋"/>
          <w:sz w:val="30"/>
          <w:szCs w:val="30"/>
        </w:rPr>
        <w:t>万元，占</w:t>
      </w:r>
      <w:r>
        <w:rPr>
          <w:rFonts w:hint="eastAsia" w:ascii="仿宋" w:hAnsi="仿宋" w:eastAsia="仿宋"/>
          <w:sz w:val="30"/>
          <w:szCs w:val="30"/>
          <w:lang w:val="en-US" w:eastAsia="zh-CN"/>
        </w:rPr>
        <w:t>0.68</w:t>
      </w:r>
      <w:r>
        <w:rPr>
          <w:rFonts w:hint="eastAsia" w:ascii="仿宋" w:hAnsi="仿宋" w:eastAsia="仿宋"/>
          <w:sz w:val="30"/>
          <w:szCs w:val="30"/>
        </w:rPr>
        <w:t xml:space="preserve">%。  </w:t>
      </w:r>
    </w:p>
    <w:p w14:paraId="088CC45B">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71DBE21A">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2786.69</w:t>
      </w:r>
      <w:r>
        <w:rPr>
          <w:rFonts w:hint="eastAsia" w:ascii="仿宋" w:hAnsi="仿宋" w:eastAsia="仿宋"/>
          <w:sz w:val="30"/>
          <w:szCs w:val="30"/>
        </w:rPr>
        <w:t>万元，其中本年支出合计</w:t>
      </w:r>
      <w:r>
        <w:rPr>
          <w:rFonts w:hint="eastAsia" w:ascii="仿宋" w:hAnsi="仿宋" w:eastAsia="仿宋"/>
          <w:sz w:val="30"/>
          <w:szCs w:val="30"/>
          <w:lang w:val="en-US" w:eastAsia="zh-CN"/>
        </w:rPr>
        <w:t>2759.07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减少</w:t>
      </w:r>
      <w:r>
        <w:rPr>
          <w:rFonts w:hint="eastAsia" w:ascii="仿宋" w:hAnsi="仿宋" w:eastAsia="仿宋"/>
          <w:sz w:val="30"/>
          <w:szCs w:val="30"/>
          <w:lang w:val="en-US" w:eastAsia="zh-CN"/>
        </w:rPr>
        <w:t>437.5</w:t>
      </w:r>
      <w:r>
        <w:rPr>
          <w:rFonts w:hint="eastAsia" w:ascii="仿宋" w:hAnsi="仿宋" w:eastAsia="仿宋"/>
          <w:sz w:val="30"/>
          <w:szCs w:val="30"/>
        </w:rPr>
        <w:t>万元，下降</w:t>
      </w:r>
      <w:r>
        <w:rPr>
          <w:rFonts w:hint="eastAsia" w:ascii="仿宋" w:hAnsi="仿宋" w:eastAsia="仿宋"/>
          <w:sz w:val="30"/>
          <w:szCs w:val="30"/>
          <w:lang w:val="en-US" w:eastAsia="zh-CN"/>
        </w:rPr>
        <w:t>13.69</w:t>
      </w:r>
      <w:r>
        <w:rPr>
          <w:rFonts w:hint="eastAsia" w:ascii="仿宋" w:hAnsi="仿宋" w:eastAsia="仿宋"/>
          <w:sz w:val="30"/>
          <w:szCs w:val="30"/>
        </w:rPr>
        <w:t>%，主要原因是：</w:t>
      </w:r>
      <w:r>
        <w:rPr>
          <w:rFonts w:hint="eastAsia" w:ascii="仿宋" w:hAnsi="仿宋" w:eastAsia="仿宋"/>
          <w:sz w:val="30"/>
          <w:szCs w:val="30"/>
          <w:highlight w:val="none"/>
          <w:lang w:eastAsia="zh-CN"/>
        </w:rPr>
        <w:t>上年度完成建设应急指挥中心项目</w:t>
      </w:r>
      <w:r>
        <w:rPr>
          <w:rFonts w:hint="eastAsia" w:ascii="仿宋" w:hAnsi="仿宋" w:eastAsia="仿宋"/>
          <w:sz w:val="30"/>
          <w:szCs w:val="30"/>
        </w:rPr>
        <w:t>；年末结转和结余</w:t>
      </w:r>
      <w:r>
        <w:rPr>
          <w:rFonts w:hint="eastAsia" w:ascii="仿宋" w:hAnsi="仿宋" w:eastAsia="仿宋"/>
          <w:sz w:val="30"/>
          <w:szCs w:val="30"/>
          <w:lang w:val="en-US" w:eastAsia="zh-CN"/>
        </w:rPr>
        <w:t>27.62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65.17</w:t>
      </w:r>
      <w:r>
        <w:rPr>
          <w:rFonts w:hint="eastAsia" w:ascii="仿宋" w:hAnsi="仿宋" w:eastAsia="仿宋"/>
          <w:sz w:val="30"/>
          <w:szCs w:val="30"/>
        </w:rPr>
        <w:t>万元，下降</w:t>
      </w:r>
      <w:r>
        <w:rPr>
          <w:rFonts w:hint="eastAsia" w:ascii="仿宋" w:hAnsi="仿宋" w:eastAsia="仿宋"/>
          <w:sz w:val="30"/>
          <w:szCs w:val="30"/>
          <w:lang w:val="en-US" w:eastAsia="zh-CN"/>
        </w:rPr>
        <w:t>70.23</w:t>
      </w:r>
      <w:r>
        <w:rPr>
          <w:rFonts w:hint="eastAsia" w:ascii="仿宋" w:hAnsi="仿宋" w:eastAsia="仿宋"/>
          <w:sz w:val="30"/>
          <w:szCs w:val="30"/>
        </w:rPr>
        <w:t>%，主要原因是：</w:t>
      </w:r>
      <w:r>
        <w:rPr>
          <w:rFonts w:hint="eastAsia" w:ascii="仿宋" w:hAnsi="仿宋" w:eastAsia="仿宋"/>
          <w:sz w:val="30"/>
          <w:szCs w:val="30"/>
          <w:lang w:val="en-US" w:eastAsia="zh-CN"/>
        </w:rPr>
        <w:t>消化上年度结余结转资金</w:t>
      </w:r>
      <w:r>
        <w:rPr>
          <w:rFonts w:hint="eastAsia" w:ascii="仿宋" w:hAnsi="仿宋" w:eastAsia="仿宋"/>
          <w:sz w:val="30"/>
          <w:szCs w:val="30"/>
        </w:rPr>
        <w:t>。</w:t>
      </w:r>
    </w:p>
    <w:p w14:paraId="49CF3DD3">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2759.07</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467E5DFB">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040A2E9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2060</w:t>
      </w:r>
      <w:r>
        <w:rPr>
          <w:rFonts w:hint="eastAsia" w:ascii="仿宋" w:hAnsi="仿宋" w:eastAsia="仿宋"/>
          <w:sz w:val="30"/>
          <w:szCs w:val="30"/>
        </w:rPr>
        <w:t>万元，决算数为</w:t>
      </w:r>
      <w:r>
        <w:rPr>
          <w:rFonts w:hint="eastAsia" w:ascii="仿宋" w:hAnsi="仿宋" w:eastAsia="仿宋"/>
          <w:sz w:val="30"/>
          <w:szCs w:val="30"/>
          <w:lang w:val="en-US" w:eastAsia="zh-CN"/>
        </w:rPr>
        <w:t>2740.75</w:t>
      </w:r>
      <w:r>
        <w:rPr>
          <w:rFonts w:hint="eastAsia" w:ascii="仿宋" w:hAnsi="仿宋" w:eastAsia="仿宋"/>
          <w:sz w:val="30"/>
          <w:szCs w:val="30"/>
        </w:rPr>
        <w:t>万元，完成年初预算的</w:t>
      </w:r>
      <w:r>
        <w:rPr>
          <w:rFonts w:hint="eastAsia" w:ascii="仿宋" w:hAnsi="仿宋" w:eastAsia="仿宋"/>
          <w:sz w:val="30"/>
          <w:szCs w:val="30"/>
          <w:lang w:val="en-US" w:eastAsia="zh-CN"/>
        </w:rPr>
        <w:t>133.05</w:t>
      </w:r>
      <w:r>
        <w:rPr>
          <w:rFonts w:hint="eastAsia" w:ascii="仿宋" w:hAnsi="仿宋" w:eastAsia="仿宋"/>
          <w:sz w:val="30"/>
          <w:szCs w:val="30"/>
        </w:rPr>
        <w:t>%。其中：</w:t>
      </w:r>
    </w:p>
    <w:p w14:paraId="19E53537">
      <w:pPr>
        <w:numPr>
          <w:ilvl w:val="0"/>
          <w:numId w:val="3"/>
        </w:numPr>
        <w:ind w:firstLine="630"/>
        <w:jc w:val="left"/>
        <w:rPr>
          <w:rFonts w:hint="eastAsia" w:ascii="仿宋" w:hAnsi="仿宋" w:eastAsia="仿宋"/>
          <w:sz w:val="30"/>
          <w:szCs w:val="30"/>
        </w:rPr>
      </w:pPr>
      <w:r>
        <w:rPr>
          <w:rFonts w:hint="eastAsia" w:ascii="仿宋" w:hAnsi="仿宋" w:eastAsia="仿宋"/>
          <w:sz w:val="30"/>
          <w:szCs w:val="30"/>
        </w:rPr>
        <w:t>一般公共服务支出年初预算数为</w:t>
      </w:r>
      <w:r>
        <w:rPr>
          <w:rFonts w:hint="eastAsia" w:ascii="仿宋" w:hAnsi="仿宋" w:eastAsia="仿宋"/>
          <w:sz w:val="30"/>
          <w:szCs w:val="30"/>
          <w:lang w:val="en-US" w:eastAsia="zh-CN"/>
        </w:rPr>
        <w:t>1662.75</w:t>
      </w:r>
      <w:r>
        <w:rPr>
          <w:rFonts w:hint="eastAsia" w:ascii="仿宋" w:hAnsi="仿宋" w:eastAsia="仿宋"/>
          <w:sz w:val="30"/>
          <w:szCs w:val="30"/>
        </w:rPr>
        <w:t>万元，决算数为</w:t>
      </w:r>
      <w:r>
        <w:rPr>
          <w:rFonts w:hint="eastAsia" w:ascii="仿宋" w:hAnsi="仿宋" w:eastAsia="仿宋"/>
          <w:sz w:val="30"/>
          <w:szCs w:val="30"/>
          <w:lang w:val="en-US" w:eastAsia="zh-CN"/>
        </w:rPr>
        <w:t>2363.23</w:t>
      </w:r>
      <w:r>
        <w:rPr>
          <w:rFonts w:hint="eastAsia" w:ascii="仿宋" w:hAnsi="仿宋" w:eastAsia="仿宋"/>
          <w:sz w:val="30"/>
          <w:szCs w:val="30"/>
        </w:rPr>
        <w:t>万元，完成年初预算的</w:t>
      </w:r>
      <w:r>
        <w:rPr>
          <w:rFonts w:hint="eastAsia" w:ascii="仿宋" w:hAnsi="仿宋" w:eastAsia="仿宋"/>
          <w:sz w:val="30"/>
          <w:szCs w:val="30"/>
          <w:lang w:val="en-US" w:eastAsia="zh-CN"/>
        </w:rPr>
        <w:t>142.13</w:t>
      </w:r>
      <w:r>
        <w:rPr>
          <w:rFonts w:hint="eastAsia" w:ascii="仿宋" w:hAnsi="仿宋" w:eastAsia="仿宋"/>
          <w:sz w:val="30"/>
          <w:szCs w:val="30"/>
        </w:rPr>
        <w:t>%，主要原因是：</w:t>
      </w:r>
      <w:r>
        <w:rPr>
          <w:rFonts w:hint="eastAsia" w:ascii="仿宋" w:hAnsi="仿宋" w:eastAsia="仿宋"/>
          <w:sz w:val="30"/>
          <w:szCs w:val="30"/>
          <w:lang w:eastAsia="zh-CN"/>
        </w:rPr>
        <w:t>追加</w:t>
      </w:r>
      <w:r>
        <w:rPr>
          <w:rFonts w:hint="eastAsia" w:eastAsia="仿宋_GB2312"/>
          <w:sz w:val="32"/>
          <w:szCs w:val="32"/>
        </w:rPr>
        <w:t>行政事业单位人员调资</w:t>
      </w:r>
      <w:r>
        <w:rPr>
          <w:rFonts w:hint="eastAsia" w:eastAsia="仿宋_GB2312"/>
          <w:sz w:val="32"/>
          <w:szCs w:val="32"/>
          <w:lang w:eastAsia="zh-CN"/>
        </w:rPr>
        <w:t>等</w:t>
      </w:r>
      <w:r>
        <w:rPr>
          <w:rFonts w:hint="eastAsia" w:ascii="仿宋" w:hAnsi="仿宋" w:eastAsia="仿宋"/>
          <w:sz w:val="30"/>
          <w:szCs w:val="30"/>
        </w:rPr>
        <w:t>。</w:t>
      </w:r>
    </w:p>
    <w:p w14:paraId="3693C47D">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_GB2312" w:hAnsi="华文细黑" w:eastAsia="仿宋_GB2312" w:cs="宋体"/>
          <w:color w:val="000000"/>
          <w:kern w:val="0"/>
          <w:sz w:val="28"/>
          <w:szCs w:val="28"/>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 xml:space="preserve"> 176.8</w:t>
      </w:r>
      <w:r>
        <w:rPr>
          <w:rFonts w:hint="eastAsia" w:ascii="仿宋" w:hAnsi="仿宋" w:eastAsia="仿宋"/>
          <w:sz w:val="30"/>
          <w:szCs w:val="30"/>
        </w:rPr>
        <w:t>万元，决算数为</w:t>
      </w:r>
      <w:r>
        <w:rPr>
          <w:rFonts w:hint="eastAsia" w:ascii="仿宋" w:hAnsi="仿宋" w:eastAsia="仿宋"/>
          <w:sz w:val="30"/>
          <w:szCs w:val="30"/>
          <w:lang w:val="en-US" w:eastAsia="zh-CN"/>
        </w:rPr>
        <w:t>189.07</w:t>
      </w:r>
      <w:r>
        <w:rPr>
          <w:rFonts w:hint="eastAsia" w:ascii="仿宋" w:hAnsi="仿宋" w:eastAsia="仿宋"/>
          <w:sz w:val="30"/>
          <w:szCs w:val="30"/>
        </w:rPr>
        <w:t>万元，完成年初预算的</w:t>
      </w:r>
      <w:r>
        <w:rPr>
          <w:rFonts w:hint="eastAsia" w:ascii="仿宋" w:hAnsi="仿宋" w:eastAsia="仿宋"/>
          <w:sz w:val="30"/>
          <w:szCs w:val="30"/>
          <w:lang w:val="en-US" w:eastAsia="zh-CN"/>
        </w:rPr>
        <w:t>106.94</w:t>
      </w:r>
      <w:r>
        <w:rPr>
          <w:rFonts w:hint="eastAsia" w:ascii="仿宋" w:hAnsi="仿宋" w:eastAsia="仿宋"/>
          <w:sz w:val="30"/>
          <w:szCs w:val="30"/>
        </w:rPr>
        <w:t>%，主要原因是：</w:t>
      </w:r>
      <w:r>
        <w:rPr>
          <w:rFonts w:hint="eastAsia" w:ascii="仿宋" w:hAnsi="仿宋" w:eastAsia="仿宋"/>
          <w:sz w:val="30"/>
          <w:szCs w:val="30"/>
          <w:lang w:eastAsia="zh-CN"/>
        </w:rPr>
        <w:t>缴纳职工养老、</w:t>
      </w:r>
      <w:r>
        <w:rPr>
          <w:rFonts w:hint="eastAsia" w:ascii="仿宋" w:hAnsi="仿宋" w:eastAsia="仿宋"/>
          <w:sz w:val="30"/>
          <w:szCs w:val="30"/>
          <w:lang w:val="en-US" w:eastAsia="zh-CN"/>
        </w:rPr>
        <w:t>年金</w:t>
      </w:r>
      <w:r>
        <w:rPr>
          <w:rFonts w:hint="eastAsia" w:ascii="仿宋" w:hAnsi="仿宋" w:eastAsia="仿宋"/>
          <w:sz w:val="30"/>
          <w:szCs w:val="30"/>
          <w:lang w:eastAsia="zh-CN"/>
        </w:rPr>
        <w:t>等各项保险</w:t>
      </w:r>
      <w:r>
        <w:rPr>
          <w:rFonts w:hint="eastAsia" w:ascii="仿宋" w:hAnsi="仿宋" w:eastAsia="仿宋"/>
          <w:sz w:val="30"/>
          <w:szCs w:val="30"/>
        </w:rPr>
        <w:t>。</w:t>
      </w:r>
    </w:p>
    <w:p w14:paraId="4613A61C">
      <w:pPr>
        <w:ind w:firstLine="585"/>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_GB2312" w:hAnsi="华文细黑" w:eastAsia="仿宋_GB2312" w:cs="宋体"/>
          <w:color w:val="000000"/>
          <w:kern w:val="0"/>
          <w:sz w:val="28"/>
          <w:szCs w:val="28"/>
          <w:lang w:val="en-US" w:eastAsia="zh-CN"/>
        </w:rPr>
        <w:t>卫生健康</w:t>
      </w:r>
      <w:r>
        <w:rPr>
          <w:rFonts w:hint="eastAsia" w:ascii="仿宋_GB2312" w:hAnsi="华文细黑" w:eastAsia="仿宋_GB2312" w:cs="宋体"/>
          <w:color w:val="000000"/>
          <w:kern w:val="0"/>
          <w:sz w:val="28"/>
          <w:szCs w:val="28"/>
        </w:rPr>
        <w:t>支出</w:t>
      </w:r>
      <w:r>
        <w:rPr>
          <w:rFonts w:hint="eastAsia" w:ascii="仿宋" w:hAnsi="仿宋" w:eastAsia="仿宋"/>
          <w:sz w:val="30"/>
          <w:szCs w:val="30"/>
        </w:rPr>
        <w:t>年初预算数为万</w:t>
      </w:r>
      <w:r>
        <w:rPr>
          <w:rFonts w:hint="eastAsia" w:ascii="仿宋" w:hAnsi="仿宋" w:eastAsia="仿宋"/>
          <w:sz w:val="30"/>
          <w:szCs w:val="30"/>
          <w:lang w:val="en-US" w:eastAsia="zh-CN"/>
        </w:rPr>
        <w:t>104.47</w:t>
      </w:r>
      <w:r>
        <w:rPr>
          <w:rFonts w:hint="eastAsia" w:ascii="仿宋" w:hAnsi="仿宋" w:eastAsia="仿宋"/>
          <w:sz w:val="30"/>
          <w:szCs w:val="30"/>
        </w:rPr>
        <w:t>元，决算数为</w:t>
      </w:r>
      <w:r>
        <w:rPr>
          <w:rFonts w:hint="eastAsia" w:ascii="仿宋" w:hAnsi="仿宋" w:eastAsia="仿宋"/>
          <w:sz w:val="30"/>
          <w:szCs w:val="30"/>
          <w:lang w:val="en-US" w:eastAsia="zh-CN"/>
        </w:rPr>
        <w:t>104.47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全额</w:t>
      </w:r>
      <w:r>
        <w:rPr>
          <w:rFonts w:hint="eastAsia" w:ascii="仿宋" w:hAnsi="仿宋" w:eastAsia="仿宋"/>
          <w:sz w:val="30"/>
          <w:szCs w:val="30"/>
          <w:lang w:eastAsia="zh-CN"/>
        </w:rPr>
        <w:t>缴纳职工</w:t>
      </w:r>
      <w:r>
        <w:rPr>
          <w:rFonts w:hint="eastAsia" w:ascii="仿宋" w:hAnsi="仿宋" w:eastAsia="仿宋"/>
          <w:sz w:val="30"/>
          <w:szCs w:val="30"/>
          <w:lang w:val="en-US" w:eastAsia="zh-CN"/>
        </w:rPr>
        <w:t>医疗</w:t>
      </w:r>
      <w:r>
        <w:rPr>
          <w:rFonts w:hint="eastAsia" w:ascii="仿宋" w:hAnsi="仿宋" w:eastAsia="仿宋"/>
          <w:sz w:val="30"/>
          <w:szCs w:val="30"/>
          <w:lang w:eastAsia="zh-CN"/>
        </w:rPr>
        <w:t>、</w:t>
      </w:r>
      <w:r>
        <w:rPr>
          <w:rFonts w:hint="eastAsia" w:ascii="仿宋" w:hAnsi="仿宋" w:eastAsia="仿宋"/>
          <w:sz w:val="30"/>
          <w:szCs w:val="30"/>
          <w:lang w:val="en-US" w:eastAsia="zh-CN"/>
        </w:rPr>
        <w:t>生育</w:t>
      </w:r>
      <w:r>
        <w:rPr>
          <w:rFonts w:hint="eastAsia" w:ascii="仿宋" w:hAnsi="仿宋" w:eastAsia="仿宋"/>
          <w:sz w:val="30"/>
          <w:szCs w:val="30"/>
          <w:lang w:eastAsia="zh-CN"/>
        </w:rPr>
        <w:t>等各项保险。</w:t>
      </w:r>
    </w:p>
    <w:p w14:paraId="39D06E86">
      <w:pPr>
        <w:ind w:firstLine="585"/>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_GB2312" w:hAnsi="华文细黑" w:eastAsia="仿宋_GB2312" w:cs="宋体"/>
          <w:color w:val="000000"/>
          <w:kern w:val="0"/>
          <w:sz w:val="28"/>
          <w:szCs w:val="28"/>
        </w:rPr>
        <w:t>住房保障支出</w:t>
      </w:r>
      <w:r>
        <w:rPr>
          <w:rFonts w:hint="eastAsia" w:ascii="仿宋" w:hAnsi="仿宋" w:eastAsia="仿宋"/>
          <w:sz w:val="30"/>
          <w:szCs w:val="30"/>
        </w:rPr>
        <w:t>年初预算数为</w:t>
      </w:r>
      <w:r>
        <w:rPr>
          <w:rFonts w:hint="eastAsia" w:ascii="仿宋" w:hAnsi="仿宋" w:eastAsia="仿宋"/>
          <w:sz w:val="30"/>
          <w:szCs w:val="30"/>
          <w:lang w:val="en-US" w:eastAsia="zh-CN"/>
        </w:rPr>
        <w:t>83.98</w:t>
      </w:r>
      <w:r>
        <w:rPr>
          <w:rFonts w:hint="eastAsia" w:ascii="仿宋" w:hAnsi="仿宋" w:eastAsia="仿宋"/>
          <w:sz w:val="30"/>
          <w:szCs w:val="30"/>
        </w:rPr>
        <w:t>万元，决算数为</w:t>
      </w:r>
      <w:r>
        <w:rPr>
          <w:rFonts w:hint="eastAsia" w:ascii="仿宋" w:hAnsi="仿宋" w:eastAsia="仿宋"/>
          <w:sz w:val="30"/>
          <w:szCs w:val="30"/>
          <w:lang w:val="en-US" w:eastAsia="zh-CN"/>
        </w:rPr>
        <w:t>83.98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全额缴纳在职职工住房公积金</w:t>
      </w:r>
      <w:r>
        <w:rPr>
          <w:rFonts w:hint="eastAsia" w:ascii="仿宋" w:hAnsi="仿宋" w:eastAsia="仿宋"/>
          <w:sz w:val="30"/>
          <w:szCs w:val="30"/>
        </w:rPr>
        <w:t>。</w:t>
      </w:r>
    </w:p>
    <w:p w14:paraId="3D93A4A6">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464153FA">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2074.75</w:t>
      </w:r>
      <w:r>
        <w:rPr>
          <w:rFonts w:hint="eastAsia" w:ascii="仿宋" w:hAnsi="仿宋" w:eastAsia="仿宋"/>
          <w:sz w:val="30"/>
          <w:szCs w:val="30"/>
        </w:rPr>
        <w:t>万元，其中：</w:t>
      </w:r>
    </w:p>
    <w:p w14:paraId="316BDB47">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1368.19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增加123.32</w:t>
      </w:r>
      <w:r>
        <w:rPr>
          <w:rFonts w:hint="eastAsia" w:ascii="仿宋" w:hAnsi="仿宋" w:eastAsia="仿宋"/>
          <w:sz w:val="30"/>
          <w:szCs w:val="30"/>
        </w:rPr>
        <w:t>万元，增长</w:t>
      </w:r>
      <w:r>
        <w:rPr>
          <w:rFonts w:hint="eastAsia" w:ascii="仿宋" w:hAnsi="仿宋" w:eastAsia="仿宋"/>
          <w:sz w:val="30"/>
          <w:szCs w:val="30"/>
          <w:lang w:val="en-US" w:eastAsia="zh-CN"/>
        </w:rPr>
        <w:t>9.91</w:t>
      </w:r>
      <w:r>
        <w:rPr>
          <w:rFonts w:hint="eastAsia" w:ascii="仿宋" w:hAnsi="仿宋" w:eastAsia="仿宋"/>
          <w:sz w:val="30"/>
          <w:szCs w:val="30"/>
        </w:rPr>
        <w:t>%，主要原因是：</w:t>
      </w:r>
      <w:r>
        <w:rPr>
          <w:rFonts w:hint="eastAsia" w:ascii="仿宋" w:hAnsi="仿宋" w:eastAsia="仿宋"/>
          <w:sz w:val="30"/>
          <w:szCs w:val="30"/>
          <w:lang w:eastAsia="zh-CN"/>
        </w:rPr>
        <w:t>人员增资</w:t>
      </w:r>
      <w:r>
        <w:rPr>
          <w:rFonts w:hint="eastAsia" w:ascii="仿宋" w:hAnsi="仿宋" w:eastAsia="仿宋"/>
          <w:sz w:val="30"/>
          <w:szCs w:val="30"/>
        </w:rPr>
        <w:t>。</w:t>
      </w:r>
    </w:p>
    <w:p w14:paraId="4FCB5DEF">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461.81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w:t>
      </w:r>
      <w:r>
        <w:rPr>
          <w:rFonts w:hint="eastAsia" w:ascii="仿宋" w:hAnsi="仿宋" w:eastAsia="仿宋"/>
          <w:sz w:val="30"/>
          <w:szCs w:val="30"/>
          <w:lang w:val="en-US" w:eastAsia="zh-CN"/>
        </w:rPr>
        <w:t>少72.07</w:t>
      </w:r>
      <w:r>
        <w:rPr>
          <w:rFonts w:hint="eastAsia" w:ascii="仿宋" w:hAnsi="仿宋" w:eastAsia="仿宋"/>
          <w:sz w:val="30"/>
          <w:szCs w:val="30"/>
        </w:rPr>
        <w:t>万元，下降</w:t>
      </w:r>
      <w:r>
        <w:rPr>
          <w:rFonts w:hint="eastAsia" w:ascii="仿宋" w:hAnsi="仿宋" w:eastAsia="仿宋"/>
          <w:sz w:val="30"/>
          <w:szCs w:val="30"/>
          <w:lang w:val="en-US" w:eastAsia="zh-CN"/>
        </w:rPr>
        <w:t>13.5</w:t>
      </w:r>
      <w:r>
        <w:rPr>
          <w:rFonts w:hint="eastAsia" w:ascii="仿宋" w:hAnsi="仿宋" w:eastAsia="仿宋"/>
          <w:sz w:val="30"/>
          <w:szCs w:val="30"/>
        </w:rPr>
        <w:t>%，主要原因是：</w:t>
      </w:r>
      <w:r>
        <w:rPr>
          <w:rFonts w:hint="eastAsia" w:ascii="仿宋" w:hAnsi="仿宋" w:eastAsia="仿宋"/>
          <w:sz w:val="30"/>
          <w:szCs w:val="30"/>
          <w:lang w:eastAsia="zh-CN"/>
        </w:rPr>
        <w:t>公用经费</w:t>
      </w:r>
      <w:r>
        <w:rPr>
          <w:rFonts w:hint="eastAsia" w:ascii="仿宋" w:hAnsi="仿宋" w:eastAsia="仿宋"/>
          <w:sz w:val="30"/>
          <w:szCs w:val="30"/>
          <w:lang w:val="en-US" w:eastAsia="zh-CN"/>
        </w:rPr>
        <w:t>减少</w:t>
      </w:r>
      <w:r>
        <w:rPr>
          <w:rFonts w:hint="eastAsia" w:ascii="仿宋" w:hAnsi="仿宋" w:eastAsia="仿宋"/>
          <w:sz w:val="30"/>
          <w:szCs w:val="30"/>
        </w:rPr>
        <w:t>。</w:t>
      </w:r>
    </w:p>
    <w:p w14:paraId="6F80703E">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845.11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43.53</w:t>
      </w:r>
      <w:r>
        <w:rPr>
          <w:rFonts w:hint="eastAsia" w:ascii="仿宋" w:hAnsi="仿宋" w:eastAsia="仿宋"/>
          <w:sz w:val="30"/>
          <w:szCs w:val="30"/>
        </w:rPr>
        <w:t>万元，增长</w:t>
      </w:r>
      <w:r>
        <w:rPr>
          <w:rFonts w:hint="eastAsia" w:ascii="仿宋" w:hAnsi="仿宋" w:eastAsia="仿宋"/>
          <w:sz w:val="30"/>
          <w:szCs w:val="30"/>
          <w:lang w:val="en-US" w:eastAsia="zh-CN"/>
        </w:rPr>
        <w:t>5.43</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离退休人员增资</w:t>
      </w:r>
      <w:r>
        <w:rPr>
          <w:rFonts w:hint="eastAsia" w:ascii="仿宋" w:hAnsi="仿宋" w:eastAsia="仿宋"/>
          <w:sz w:val="30"/>
          <w:szCs w:val="30"/>
        </w:rPr>
        <w:t>。</w:t>
      </w:r>
    </w:p>
    <w:p w14:paraId="04167E66">
      <w:pPr>
        <w:ind w:firstLine="585"/>
        <w:jc w:val="left"/>
        <w:rPr>
          <w:rFonts w:hint="eastAsia" w:ascii="仿宋" w:hAnsi="仿宋" w:eastAsia="仿宋"/>
          <w:sz w:val="30"/>
          <w:szCs w:val="30"/>
          <w:highlight w:val="none"/>
        </w:rPr>
      </w:pPr>
      <w:r>
        <w:rPr>
          <w:rFonts w:hint="eastAsia" w:ascii="仿宋" w:hAnsi="仿宋" w:eastAsia="仿宋"/>
          <w:sz w:val="30"/>
          <w:szCs w:val="30"/>
        </w:rPr>
        <w:t>（四）资本性支出</w:t>
      </w:r>
      <w:r>
        <w:rPr>
          <w:rFonts w:hint="eastAsia" w:ascii="仿宋" w:hAnsi="仿宋" w:eastAsia="仿宋"/>
          <w:sz w:val="30"/>
          <w:szCs w:val="30"/>
          <w:lang w:val="en-US" w:eastAsia="zh-CN"/>
        </w:rPr>
        <w:t>65.64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334.22</w:t>
      </w:r>
      <w:r>
        <w:rPr>
          <w:rFonts w:hint="eastAsia" w:ascii="仿宋" w:hAnsi="仿宋" w:eastAsia="仿宋"/>
          <w:sz w:val="30"/>
          <w:szCs w:val="30"/>
        </w:rPr>
        <w:t>万元，下降%，主要原因是：</w:t>
      </w:r>
      <w:r>
        <w:rPr>
          <w:rFonts w:hint="eastAsia" w:ascii="仿宋" w:hAnsi="仿宋" w:eastAsia="仿宋"/>
          <w:sz w:val="30"/>
          <w:szCs w:val="30"/>
          <w:highlight w:val="none"/>
          <w:lang w:eastAsia="zh-CN"/>
        </w:rPr>
        <w:t>上年度完成建设应急指挥中心项目</w:t>
      </w:r>
      <w:r>
        <w:rPr>
          <w:rFonts w:hint="eastAsia" w:ascii="仿宋" w:hAnsi="仿宋" w:eastAsia="仿宋"/>
          <w:sz w:val="30"/>
          <w:szCs w:val="30"/>
          <w:highlight w:val="none"/>
        </w:rPr>
        <w:t>。</w:t>
      </w:r>
    </w:p>
    <w:p w14:paraId="107F9AE0">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5C4B7660">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127.95</w:t>
      </w:r>
      <w:r>
        <w:rPr>
          <w:rFonts w:hint="eastAsia" w:ascii="仿宋" w:hAnsi="仿宋" w:eastAsia="仿宋"/>
          <w:sz w:val="30"/>
          <w:szCs w:val="30"/>
        </w:rPr>
        <w:t>万元，决算数为</w:t>
      </w:r>
      <w:r>
        <w:rPr>
          <w:rFonts w:hint="eastAsia" w:ascii="仿宋" w:hAnsi="仿宋" w:eastAsia="仿宋"/>
          <w:sz w:val="30"/>
          <w:szCs w:val="30"/>
          <w:lang w:val="en-US" w:eastAsia="zh-CN"/>
        </w:rPr>
        <w:t>19.72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15.41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14.81</w:t>
      </w:r>
      <w:r>
        <w:rPr>
          <w:rFonts w:hint="eastAsia" w:ascii="仿宋" w:hAnsi="仿宋" w:eastAsia="仿宋"/>
          <w:sz w:val="30"/>
          <w:szCs w:val="30"/>
        </w:rPr>
        <w:t>万元，下降</w:t>
      </w:r>
      <w:r>
        <w:rPr>
          <w:rFonts w:hint="eastAsia" w:ascii="仿宋" w:hAnsi="仿宋" w:eastAsia="仿宋"/>
          <w:sz w:val="30"/>
          <w:szCs w:val="30"/>
          <w:lang w:val="en-US" w:eastAsia="zh-CN"/>
        </w:rPr>
        <w:t>42.89</w:t>
      </w:r>
      <w:r>
        <w:rPr>
          <w:rFonts w:hint="eastAsia" w:ascii="仿宋" w:hAnsi="仿宋" w:eastAsia="仿宋"/>
          <w:sz w:val="30"/>
          <w:szCs w:val="30"/>
        </w:rPr>
        <w:t>%，其中：</w:t>
      </w:r>
    </w:p>
    <w:p w14:paraId="1A7284F7">
      <w:pPr>
        <w:numPr>
          <w:ilvl w:val="0"/>
          <w:numId w:val="4"/>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w:t>
      </w:r>
      <w:r>
        <w:rPr>
          <w:rFonts w:hint="eastAsia" w:ascii="仿宋" w:hAnsi="仿宋" w:eastAsia="仿宋"/>
          <w:sz w:val="30"/>
          <w:szCs w:val="30"/>
          <w:lang w:val="en-US" w:eastAsia="zh-CN"/>
        </w:rPr>
        <w:t>与</w:t>
      </w:r>
      <w:r>
        <w:rPr>
          <w:rFonts w:hint="eastAsia" w:ascii="仿宋" w:hAnsi="仿宋" w:eastAsia="仿宋"/>
          <w:sz w:val="30"/>
          <w:szCs w:val="30"/>
        </w:rPr>
        <w:t>201</w:t>
      </w:r>
      <w:r>
        <w:rPr>
          <w:rFonts w:hint="eastAsia" w:ascii="仿宋" w:hAnsi="仿宋" w:eastAsia="仿宋"/>
          <w:sz w:val="30"/>
          <w:szCs w:val="30"/>
          <w:lang w:val="en-US" w:eastAsia="zh-CN"/>
        </w:rPr>
        <w:t>8年</w:t>
      </w:r>
      <w:r>
        <w:rPr>
          <w:rFonts w:hint="eastAsia" w:ascii="仿宋" w:hAnsi="仿宋" w:eastAsia="仿宋"/>
          <w:sz w:val="30"/>
          <w:szCs w:val="30"/>
        </w:rPr>
        <w:t>减少</w:t>
      </w:r>
      <w:r>
        <w:rPr>
          <w:rFonts w:hint="eastAsia" w:ascii="仿宋" w:hAnsi="仿宋" w:eastAsia="仿宋"/>
          <w:sz w:val="30"/>
          <w:szCs w:val="30"/>
          <w:lang w:val="en-US" w:eastAsia="zh-CN"/>
        </w:rPr>
        <w:t>0</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年未发生</w:t>
      </w:r>
      <w:r>
        <w:rPr>
          <w:rFonts w:hint="eastAsia" w:ascii="仿宋" w:hAnsi="仿宋" w:eastAsia="仿宋"/>
          <w:sz w:val="30"/>
          <w:szCs w:val="30"/>
        </w:rPr>
        <w:t>因公出国（境）支出</w:t>
      </w:r>
      <w:r>
        <w:rPr>
          <w:rFonts w:hint="eastAsia" w:ascii="仿宋" w:hAnsi="仿宋" w:eastAsia="仿宋"/>
          <w:sz w:val="30"/>
          <w:szCs w:val="30"/>
          <w:lang w:val="en-US" w:eastAsia="zh-CN"/>
        </w:rPr>
        <w:t>.</w:t>
      </w:r>
    </w:p>
    <w:p w14:paraId="3CD9C932">
      <w:pPr>
        <w:numPr>
          <w:ilvl w:val="0"/>
          <w:numId w:val="4"/>
        </w:numPr>
        <w:ind w:firstLine="630"/>
        <w:jc w:val="left"/>
        <w:rPr>
          <w:rFonts w:hint="eastAsia" w:ascii="仿宋" w:hAnsi="仿宋" w:eastAsia="仿宋"/>
          <w:sz w:val="30"/>
          <w:szCs w:val="30"/>
        </w:rPr>
      </w:pPr>
      <w:r>
        <w:rPr>
          <w:rFonts w:hint="eastAsia" w:ascii="仿宋" w:hAnsi="仿宋" w:eastAsia="仿宋"/>
          <w:sz w:val="30"/>
          <w:szCs w:val="30"/>
        </w:rPr>
        <w:t>公务接待费支出年初预算数为</w:t>
      </w:r>
      <w:r>
        <w:rPr>
          <w:rFonts w:hint="eastAsia" w:ascii="仿宋" w:hAnsi="仿宋" w:eastAsia="仿宋"/>
          <w:sz w:val="30"/>
          <w:szCs w:val="30"/>
          <w:lang w:val="en-US" w:eastAsia="zh-CN"/>
        </w:rPr>
        <w:t>60</w:t>
      </w:r>
      <w:r>
        <w:rPr>
          <w:rFonts w:hint="eastAsia" w:ascii="仿宋" w:hAnsi="仿宋" w:eastAsia="仿宋"/>
          <w:sz w:val="30"/>
          <w:szCs w:val="30"/>
        </w:rPr>
        <w:t>万元，决算数为</w:t>
      </w:r>
      <w:r>
        <w:rPr>
          <w:rFonts w:hint="eastAsia" w:ascii="仿宋" w:hAnsi="仿宋" w:eastAsia="仿宋"/>
          <w:sz w:val="30"/>
          <w:szCs w:val="30"/>
          <w:lang w:val="en-US" w:eastAsia="zh-CN"/>
        </w:rPr>
        <w:t>0.72</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0.87</w:t>
      </w:r>
      <w:r>
        <w:rPr>
          <w:rFonts w:hint="eastAsia" w:ascii="仿宋" w:hAnsi="仿宋" w:eastAsia="仿宋"/>
          <w:sz w:val="30"/>
          <w:szCs w:val="30"/>
        </w:rPr>
        <w:t>万元，下降</w:t>
      </w:r>
      <w:r>
        <w:rPr>
          <w:rFonts w:hint="eastAsia" w:ascii="仿宋" w:hAnsi="仿宋" w:eastAsia="仿宋"/>
          <w:sz w:val="30"/>
          <w:szCs w:val="30"/>
          <w:lang w:val="en-US" w:eastAsia="zh-CN"/>
        </w:rPr>
        <w:t>54.72</w:t>
      </w:r>
      <w:r>
        <w:rPr>
          <w:rFonts w:hint="eastAsia" w:ascii="仿宋" w:hAnsi="仿宋" w:eastAsia="仿宋"/>
          <w:sz w:val="30"/>
          <w:szCs w:val="30"/>
        </w:rPr>
        <w:t>%。决算数较年初预算数减少的主要原因是：</w:t>
      </w:r>
      <w:r>
        <w:rPr>
          <w:rFonts w:hint="eastAsia" w:eastAsia="仿宋_GB2312"/>
          <w:sz w:val="32"/>
          <w:szCs w:val="32"/>
        </w:rPr>
        <w:t>厉行节约，非必要接待原则上不予安排</w:t>
      </w:r>
      <w:r>
        <w:rPr>
          <w:rFonts w:hint="eastAsia" w:ascii="仿宋" w:hAnsi="仿宋" w:eastAsia="仿宋"/>
          <w:sz w:val="30"/>
          <w:szCs w:val="30"/>
        </w:rPr>
        <w:t>。</w:t>
      </w:r>
    </w:p>
    <w:p w14:paraId="76212BB4">
      <w:pPr>
        <w:ind w:firstLine="600" w:firstLineChars="200"/>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62.95</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eastAsia="zh-CN"/>
        </w:rPr>
        <w:t>严格执行车改，无公车购置计划</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62.95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19</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30.18</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13.94</w:t>
      </w:r>
      <w:r>
        <w:rPr>
          <w:rFonts w:hint="eastAsia" w:ascii="仿宋" w:hAnsi="仿宋" w:eastAsia="仿宋"/>
          <w:sz w:val="30"/>
          <w:szCs w:val="30"/>
        </w:rPr>
        <w:t>万元，下降</w:t>
      </w:r>
      <w:r>
        <w:rPr>
          <w:rFonts w:hint="eastAsia" w:ascii="仿宋" w:hAnsi="仿宋" w:eastAsia="仿宋"/>
          <w:sz w:val="30"/>
          <w:szCs w:val="30"/>
          <w:lang w:val="en-US" w:eastAsia="zh-CN"/>
        </w:rPr>
        <w:t>42.32</w:t>
      </w:r>
      <w:r>
        <w:rPr>
          <w:rFonts w:hint="eastAsia" w:ascii="仿宋" w:hAnsi="仿宋" w:eastAsia="仿宋"/>
          <w:sz w:val="30"/>
          <w:szCs w:val="30"/>
        </w:rPr>
        <w:t>%。决算数较年初预算数减少的主要原因是：</w:t>
      </w:r>
      <w:r>
        <w:rPr>
          <w:rFonts w:hint="eastAsia" w:ascii="仿宋_GB2312" w:hAnsi="宋体" w:eastAsia="仿宋_GB2312" w:cs="仿宋_GB2312"/>
          <w:sz w:val="32"/>
          <w:szCs w:val="32"/>
          <w:lang w:val="en-US" w:eastAsia="zh-CN"/>
        </w:rPr>
        <w:t>严格执行公务用车管理办法，减少不必要用车</w:t>
      </w:r>
      <w:r>
        <w:rPr>
          <w:rFonts w:hint="eastAsia" w:ascii="仿宋" w:hAnsi="仿宋" w:eastAsia="仿宋"/>
          <w:sz w:val="30"/>
          <w:szCs w:val="30"/>
        </w:rPr>
        <w:t>。</w:t>
      </w:r>
    </w:p>
    <w:p w14:paraId="23E25A49">
      <w:pPr>
        <w:ind w:firstLine="630"/>
        <w:jc w:val="left"/>
        <w:rPr>
          <w:rFonts w:hint="eastAsia" w:ascii="黑体" w:hAnsi="黑体" w:eastAsia="黑体"/>
          <w:sz w:val="30"/>
          <w:szCs w:val="30"/>
        </w:rPr>
      </w:pPr>
    </w:p>
    <w:p w14:paraId="1E87892C">
      <w:pPr>
        <w:ind w:firstLine="630"/>
        <w:jc w:val="left"/>
        <w:rPr>
          <w:rFonts w:hint="eastAsia" w:ascii="黑体" w:hAnsi="黑体" w:eastAsia="黑体"/>
          <w:sz w:val="30"/>
          <w:szCs w:val="30"/>
        </w:rPr>
      </w:pPr>
    </w:p>
    <w:p w14:paraId="047DE127">
      <w:pPr>
        <w:ind w:firstLine="630"/>
        <w:jc w:val="left"/>
        <w:rPr>
          <w:rFonts w:hint="eastAsia" w:ascii="黑体" w:hAnsi="黑体" w:eastAsia="黑体"/>
          <w:sz w:val="30"/>
          <w:szCs w:val="30"/>
        </w:rPr>
      </w:pPr>
    </w:p>
    <w:p w14:paraId="4117F8B8">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5220D59E">
      <w:pPr>
        <w:ind w:firstLine="630"/>
        <w:jc w:val="left"/>
        <w:rPr>
          <w:rFonts w:hint="eastAsia" w:ascii="仿宋" w:hAnsi="仿宋" w:eastAsia="仿宋"/>
          <w:sz w:val="30"/>
          <w:szCs w:val="30"/>
        </w:rPr>
      </w:pPr>
    </w:p>
    <w:p w14:paraId="52A37B3C">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527.45</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453.15</w:t>
      </w:r>
      <w:r>
        <w:rPr>
          <w:rFonts w:hint="eastAsia" w:ascii="仿宋" w:hAnsi="仿宋" w:eastAsia="仿宋"/>
          <w:sz w:val="30"/>
          <w:szCs w:val="30"/>
        </w:rPr>
        <w:t>万元，降低</w:t>
      </w:r>
      <w:r>
        <w:rPr>
          <w:rFonts w:hint="eastAsia" w:ascii="仿宋" w:hAnsi="仿宋" w:eastAsia="仿宋"/>
          <w:sz w:val="30"/>
          <w:szCs w:val="30"/>
          <w:lang w:val="en-US" w:eastAsia="zh-CN"/>
        </w:rPr>
        <w:t>31.95</w:t>
      </w:r>
      <w:r>
        <w:rPr>
          <w:rFonts w:hint="eastAsia" w:ascii="仿宋" w:hAnsi="仿宋" w:eastAsia="仿宋"/>
          <w:sz w:val="30"/>
          <w:szCs w:val="30"/>
        </w:rPr>
        <w:t>%，主要原因是：</w:t>
      </w:r>
      <w:r>
        <w:rPr>
          <w:rFonts w:hint="eastAsia" w:ascii="仿宋" w:hAnsi="仿宋" w:eastAsia="仿宋"/>
          <w:sz w:val="30"/>
          <w:szCs w:val="30"/>
          <w:lang w:val="en-US" w:eastAsia="zh-CN"/>
        </w:rPr>
        <w:t>办公设施设备购置经费及资本性支出减少</w:t>
      </w:r>
      <w:r>
        <w:rPr>
          <w:rFonts w:hint="eastAsia" w:ascii="仿宋" w:hAnsi="仿宋" w:eastAsia="仿宋"/>
          <w:sz w:val="30"/>
          <w:szCs w:val="30"/>
        </w:rPr>
        <w:t xml:space="preserve">。 </w:t>
      </w:r>
    </w:p>
    <w:p w14:paraId="4DFFB8A2">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0403B262">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47.67</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40.39</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7.28</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2.58</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5.41</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37.81</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79.32</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47D6A219">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3D4B827E">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年12月31日，本部门共有车辆</w:t>
      </w:r>
      <w:r>
        <w:rPr>
          <w:rFonts w:hint="eastAsia" w:ascii="仿宋" w:hAnsi="仿宋" w:eastAsia="仿宋"/>
          <w:kern w:val="0"/>
          <w:sz w:val="30"/>
          <w:szCs w:val="30"/>
          <w:lang w:val="en-US" w:eastAsia="zh-CN"/>
        </w:rPr>
        <w:t>3</w:t>
      </w:r>
      <w:r>
        <w:rPr>
          <w:rFonts w:hint="eastAsia" w:ascii="仿宋" w:hAnsi="仿宋" w:eastAsia="仿宋"/>
          <w:kern w:val="0"/>
          <w:sz w:val="30"/>
          <w:szCs w:val="30"/>
        </w:rPr>
        <w:t>辆，其中，副部（省）级及以上领导用车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辆、主要领导干部用车</w:t>
      </w:r>
      <w:r>
        <w:rPr>
          <w:rFonts w:hint="eastAsia" w:ascii="仿宋" w:hAnsi="仿宋" w:eastAsia="仿宋"/>
          <w:kern w:val="0"/>
          <w:sz w:val="30"/>
          <w:szCs w:val="30"/>
          <w:lang w:val="en-US" w:eastAsia="zh-CN"/>
        </w:rPr>
        <w:t>1</w:t>
      </w:r>
      <w:r>
        <w:rPr>
          <w:rFonts w:hint="eastAsia" w:ascii="仿宋" w:hAnsi="仿宋" w:eastAsia="仿宋"/>
          <w:kern w:val="0"/>
          <w:sz w:val="30"/>
          <w:szCs w:val="30"/>
        </w:rPr>
        <w:t>辆、机要通信用车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辆、应急保障用车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辆、执法执勤用车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辆、特种专业技术用车</w:t>
      </w:r>
      <w:r>
        <w:rPr>
          <w:rFonts w:hint="eastAsia" w:ascii="仿宋" w:hAnsi="仿宋" w:eastAsia="仿宋"/>
          <w:kern w:val="0"/>
          <w:sz w:val="30"/>
          <w:szCs w:val="30"/>
          <w:lang w:val="en-US" w:eastAsia="zh-CN"/>
        </w:rPr>
        <w:t>2</w:t>
      </w:r>
      <w:r>
        <w:rPr>
          <w:rFonts w:hint="eastAsia" w:ascii="仿宋" w:hAnsi="仿宋" w:eastAsia="仿宋"/>
          <w:kern w:val="0"/>
          <w:sz w:val="30"/>
          <w:szCs w:val="30"/>
        </w:rPr>
        <w:t>辆、其他用车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辆；单位价值50万元以上通用设备</w:t>
      </w:r>
      <w:r>
        <w:rPr>
          <w:rFonts w:hint="eastAsia" w:ascii="仿宋" w:hAnsi="仿宋" w:eastAsia="仿宋"/>
          <w:kern w:val="0"/>
          <w:sz w:val="30"/>
          <w:szCs w:val="30"/>
          <w:lang w:val="en-US" w:eastAsia="zh-CN"/>
        </w:rPr>
        <w:t>1</w:t>
      </w:r>
      <w:r>
        <w:rPr>
          <w:rFonts w:hint="eastAsia" w:ascii="仿宋" w:hAnsi="仿宋" w:eastAsia="仿宋"/>
          <w:kern w:val="0"/>
          <w:sz w:val="30"/>
          <w:szCs w:val="30"/>
        </w:rPr>
        <w:t>台（套）；单位价值100万元以上专用设备</w:t>
      </w:r>
      <w:r>
        <w:rPr>
          <w:rFonts w:hint="eastAsia" w:ascii="仿宋" w:hAnsi="仿宋" w:eastAsia="仿宋"/>
          <w:kern w:val="0"/>
          <w:sz w:val="30"/>
          <w:szCs w:val="30"/>
          <w:lang w:val="en-US" w:eastAsia="zh-CN"/>
        </w:rPr>
        <w:t>2</w:t>
      </w:r>
      <w:r>
        <w:rPr>
          <w:rFonts w:hint="eastAsia" w:ascii="仿宋" w:hAnsi="仿宋" w:eastAsia="仿宋"/>
          <w:kern w:val="0"/>
          <w:sz w:val="30"/>
          <w:szCs w:val="30"/>
        </w:rPr>
        <w:t>台（套）。</w:t>
      </w:r>
    </w:p>
    <w:p w14:paraId="0A97FB03">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50533A45">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4F04501C">
      <w:pPr>
        <w:pStyle w:val="9"/>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w:t>
      </w:r>
      <w:r>
        <w:rPr>
          <w:rFonts w:hint="eastAsia" w:ascii="仿宋" w:hAnsi="仿宋" w:eastAsia="仿宋" w:cs="仿宋"/>
          <w:kern w:val="2"/>
          <w:sz w:val="28"/>
          <w:szCs w:val="28"/>
          <w:lang w:val="en-US" w:eastAsia="zh-CN" w:bidi="ar-SA"/>
        </w:rPr>
        <w:t>在省政府办公厅和市委、市政府的正确领导下，坚持以习近平新时代中国特色社会主义思想为指导，认真贯彻落实党的十九大和省委十四届六次、七次会议精神，按照“五型”政府建设要求和“三个五”战略部署，紧紧围绕全市中心工作，不断深化服务意识，改进工作方法，进一步发挥了参谋助手、督促检查、协调综合、后勤保障作用，牢固树立服务和效率意识，全面履行各项职责，为推动全市经济社会发展作出积极贡献</w:t>
      </w:r>
      <w:r>
        <w:rPr>
          <w:rFonts w:hint="eastAsia" w:ascii="仿宋" w:hAnsi="仿宋" w:eastAsia="仿宋" w:cs="仿宋_GB2312"/>
          <w:kern w:val="0"/>
          <w:sz w:val="30"/>
          <w:szCs w:val="30"/>
        </w:rPr>
        <w:t>。</w:t>
      </w:r>
    </w:p>
    <w:p w14:paraId="0059B151">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2DA07069">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14:paraId="0E06B0A5">
      <w:pPr>
        <w:pStyle w:val="9"/>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绩效自评综述：根据年初设定的绩效目标</w:t>
      </w:r>
      <w:r>
        <w:rPr>
          <w:rFonts w:hint="eastAsia" w:ascii="仿宋" w:hAnsi="仿宋" w:eastAsia="仿宋" w:cs="仿宋_GB2312"/>
          <w:kern w:val="0"/>
          <w:sz w:val="30"/>
          <w:szCs w:val="30"/>
          <w:lang w:eastAsia="zh-CN"/>
        </w:rPr>
        <w:t>。</w:t>
      </w:r>
    </w:p>
    <w:p w14:paraId="6029A400">
      <w:pPr>
        <w:pStyle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绩效目标1：当好参谋助手，提高政务保障水平</w:t>
      </w:r>
    </w:p>
    <w:p w14:paraId="06E6B9DD">
      <w:pPr>
        <w:pStyle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绩效目标2：创新载体机制，优化政务服务能力。</w:t>
      </w:r>
    </w:p>
    <w:p w14:paraId="29452775">
      <w:pPr>
        <w:pStyle w:val="9"/>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绩效目标3：加强组织统筹，服务经济社会发展。</w:t>
      </w:r>
    </w:p>
    <w:p w14:paraId="68BF4A8D">
      <w:pPr>
        <w:pStyle w:val="9"/>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绩效目标4：着眼科学发展，强化自身整体建设。</w:t>
      </w:r>
    </w:p>
    <w:p w14:paraId="4B37B39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90.22</w:t>
      </w:r>
      <w:r>
        <w:rPr>
          <w:rFonts w:hint="eastAsia" w:ascii="仿宋" w:hAnsi="仿宋" w:eastAsia="仿宋" w:cs="仿宋_GB2312"/>
          <w:kern w:val="0"/>
          <w:sz w:val="30"/>
          <w:szCs w:val="30"/>
        </w:rPr>
        <w:t>分。</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全年预算数为</w:t>
      </w:r>
      <w:r>
        <w:rPr>
          <w:rFonts w:hint="eastAsia" w:ascii="仿宋" w:hAnsi="仿宋" w:eastAsia="仿宋" w:cs="仿宋_GB2312"/>
          <w:kern w:val="0"/>
          <w:sz w:val="30"/>
          <w:szCs w:val="30"/>
          <w:lang w:val="en-US" w:eastAsia="zh-CN"/>
        </w:rPr>
        <w:t>2196.9</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2759.07</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125.58</w:t>
      </w:r>
      <w:r>
        <w:rPr>
          <w:rFonts w:hint="eastAsia" w:ascii="仿宋" w:hAnsi="仿宋" w:eastAsia="仿宋" w:cs="仿宋_GB2312"/>
          <w:kern w:val="0"/>
          <w:sz w:val="30"/>
          <w:szCs w:val="30"/>
        </w:rPr>
        <w:t>%。主要产出和效果：</w:t>
      </w:r>
      <w:r>
        <w:rPr>
          <w:rFonts w:hint="eastAsia" w:ascii="仿宋" w:hAnsi="仿宋" w:eastAsia="仿宋" w:cs="仿宋"/>
          <w:kern w:val="2"/>
          <w:sz w:val="28"/>
          <w:szCs w:val="28"/>
          <w:lang w:val="en-US" w:eastAsia="zh-CN" w:bidi="ar-SA"/>
        </w:rPr>
        <w:t>一、当好参谋助手，提高政务保障水平。充分发挥综合组织协调职能。一是围绕综合协调，发挥中枢作用。二是围绕领导决策，搞好文稿服务。三是完善重大事项科学决策机制。充分发挥政务调研献策职能。一是指导干部职工根据调研任务，深入基层和项目一线进行实地调研。二是组织办公室干部职工围绕全市中心工作赴赣州、新余、上海靖安区等省内外开展专题调研活动，学习借鉴其他地市的先进经验。三是组织市政府参事围绕市委市政府中心工作，开展调查研究，收集调研课题8个，为政府科学决策、依法决策提供智力支持。发挥信息纽带辅政职能。一是做好政务信息工作。二是做好值班信息收集报送工作。三是做好政府公报发行工作。发挥精文优会保障职能。一是优化公文办理。二是提升办会效能。发挥重大事项督查职能。一是紧盯市委市政府重大决策部署。二是认真抓好上级督查任务的承转反馈。三是快速落实各类重要会议确定事项及领导批办事项。四是创新督查方式。五是狠抓建议提案办理。</w:t>
      </w:r>
    </w:p>
    <w:p w14:paraId="43C6D30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创新载体机制，优化政务服务能力。强化三大建设：强化政务服务平台建设。二是全面深化“放管服”改革。三是推进简政放权。印发《景德镇市机构改革实施方案》《景德镇市人民政府办公室关于清理报送行政权力清单的通知》，对市政府机构和职能进行了调整优化。另一方面，进一步深化行政审批制度改革，规范我市市场中介行为，有效破除“红顶中介”。强化政府工作法制化建设。积极开展对规范性文件的审查和清理，认真做好政府规范性文件的审核备案工作。推行政府法律顾问制度。强化政务公开体制机制建设。一是制定下发了《2019年景德镇市政务公开工作要点》，对市政府门户网站相关栏目进行了优化调整，与省政府政务公开第三方公司进行政务公开第三方监测合作。二是做好政府网站信息保障工作。三是做好机房的安全管理工作。</w:t>
      </w:r>
    </w:p>
    <w:p w14:paraId="2A9E0D5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加强组织统筹，服务经济社会发展。树立“项目为王”理念，服务重点项目建设。强化产业支撑，服务产业转型升级。聚焦破除瓶颈制约，服务改革创新。提升城市功能和品质，服务“双创双修”。积极谋划民生实事，服务民生事业。推进“映山红行动”，服务金融市场。</w:t>
      </w:r>
    </w:p>
    <w:p w14:paraId="6C5663A4">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着眼科学发展，强化自身整体建设。结合自身工作特点，加强思想建设、制度建设、作风建设、组织建设，为办公室各项事业科学、健康、可持续发展提供保障。推进机关作风建设。深化学习型机关建设。加强干部队伍建设。扎实开展对口帮扶工作。强化后勤保障服务。</w:t>
      </w:r>
    </w:p>
    <w:p w14:paraId="238B8FC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发现的问题及原因：</w:t>
      </w:r>
      <w:r>
        <w:rPr>
          <w:rFonts w:hint="eastAsia" w:ascii="仿宋" w:hAnsi="仿宋" w:eastAsia="仿宋" w:cs="仿宋"/>
          <w:kern w:val="2"/>
          <w:sz w:val="28"/>
          <w:szCs w:val="28"/>
          <w:lang w:val="en-US" w:eastAsia="zh-CN" w:bidi="ar-SA"/>
        </w:rPr>
        <w:t xml:space="preserve">1、预算绩效目标设置有待改进的地方。部门整体支出绩效目标缺乏基础和依据，预算精确度不高，缺乏分项预算金额。  </w:t>
      </w:r>
    </w:p>
    <w:p w14:paraId="2EA8967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2、绩效管理方面存在薄弱环节，项目进度跟踪存在不及时的现象。</w:t>
      </w:r>
    </w:p>
    <w:p w14:paraId="511E377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3、干部队伍的整体素质待提高。适应新形势、推动新发展的创造能力待增强，机关效能应进一步提高。</w:t>
      </w:r>
    </w:p>
    <w:p w14:paraId="575749E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4、参谋服务作用发挥不够充分，在超前谋划、主动服务方面还应加强。</w:t>
      </w:r>
    </w:p>
    <w:p w14:paraId="289AD9C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下一步改进措施：</w:t>
      </w:r>
      <w:r>
        <w:rPr>
          <w:rFonts w:hint="eastAsia" w:ascii="仿宋" w:hAnsi="仿宋" w:eastAsia="仿宋" w:cs="仿宋"/>
          <w:kern w:val="2"/>
          <w:sz w:val="28"/>
          <w:szCs w:val="28"/>
          <w:lang w:val="en-US" w:eastAsia="zh-CN" w:bidi="ar-SA"/>
        </w:rPr>
        <w:t>1，提高对全面预算管理的重视程度。建立以绩效为导向的预算编制模式，借鉴其他部门在绩效管理方面的经验和做法，制定绩效管理制度，并将其贯彻到预算申请、预算分配、项目实施和绩效考评的全过程。</w:t>
      </w:r>
    </w:p>
    <w:p w14:paraId="43C48D9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2，实施预算进度跟踪，合理支出预算资金，做到目标管理与执行进度跟踪统一，项目产出与效益管理的统一。</w:t>
      </w:r>
    </w:p>
    <w:p w14:paraId="3F17255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进一步提高决策服务水平。提升办公室干部职工的文字写作能力，起草好市政府领导的讲话和各类综合性材料。办公室干部职工要深入一线和基层开展调研。加大我市信息报送质量审查，进一步提升国务院办公厅和省政府办公厅对我市信息的采用量。</w:t>
      </w:r>
    </w:p>
    <w:p w14:paraId="758CF1B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进一步发挥推动发展作用。热情主动地为各级领导、部门和群众做好服务，保障全市政务工作高效有序运转。运用“互联网+督查”的方式，围绕我市经济社会发展大局，进一步加强中央、省交办事项以及我市相关重点工作的督查。同时积极与市委督查室联系对接，构建大督查格局。加大服务景德镇国家陶瓷文化传承创新试验区建设的力度。</w:t>
      </w:r>
    </w:p>
    <w:p w14:paraId="30F7E68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进一步提升机关行政效能。进一步精简政府系统各类文件和会议数量，提升办理质量，切实减轻基层负担。加强档案管理工作,对2010年及以前的各类档案进行数字化，并移交档案馆统一管理。梳理2012年以来省部级及以上领导来景德镇参加的重大活动资料，并移交市档案馆。规范单位机关事务管理。做好应急值守工作。</w:t>
      </w:r>
    </w:p>
    <w:p w14:paraId="7B369F8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进一步增强依法行政能力。继续推进政府法制建设，完善政府文件规范性、合法性审查工作。以推进“五型”政府建设为抓手，不断推动政务服务便民化，进一步激发市场活力和社会创造力，不断增加人民群众和企业的获得感，打造“最好、最快”景德镇政务服务，持续推进高质量跨越式发展政务服务工作。</w:t>
      </w:r>
    </w:p>
    <w:p w14:paraId="7C4257E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7、在队伍建设上狠下功夫。抓好干部职工学习培训工作，提高服务社会发展的能力，加强党风廉政建设，提升干部的服务意识，增强责任感和商业心。</w:t>
      </w:r>
    </w:p>
    <w:p w14:paraId="7174EFF5"/>
    <w:p w14:paraId="0A0EF497">
      <w:pPr>
        <w:rPr>
          <w:rFonts w:hint="eastAsia" w:eastAsia="宋体"/>
          <w:lang w:eastAsia="zh-CN"/>
        </w:rPr>
      </w:pPr>
      <w:r>
        <w:rPr>
          <w:rFonts w:hint="eastAsia" w:eastAsia="宋体"/>
          <w:lang w:eastAsia="zh-CN"/>
        </w:rPr>
        <w:drawing>
          <wp:inline distT="0" distB="0" distL="114300" distR="114300">
            <wp:extent cx="4269105" cy="8844280"/>
            <wp:effectExtent l="0" t="0" r="17145" b="13970"/>
            <wp:docPr id="1" name="图片 1" descr="1602645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2645036(1)"/>
                    <pic:cNvPicPr>
                      <a:picLocks noChangeAspect="1"/>
                    </pic:cNvPicPr>
                  </pic:nvPicPr>
                  <pic:blipFill>
                    <a:blip r:embed="rId5"/>
                    <a:stretch>
                      <a:fillRect/>
                    </a:stretch>
                  </pic:blipFill>
                  <pic:spPr>
                    <a:xfrm>
                      <a:off x="0" y="0"/>
                      <a:ext cx="4269105" cy="8844280"/>
                    </a:xfrm>
                    <a:prstGeom prst="rect">
                      <a:avLst/>
                    </a:prstGeom>
                  </pic:spPr>
                </pic:pic>
              </a:graphicData>
            </a:graphic>
          </wp:inline>
        </w:drawing>
      </w:r>
    </w:p>
    <w:p w14:paraId="4C68BF38">
      <w:pPr>
        <w:jc w:val="center"/>
        <w:rPr>
          <w:rFonts w:hint="eastAsia" w:ascii="宋体" w:hAnsi="宋体"/>
          <w:b/>
          <w:sz w:val="32"/>
          <w:szCs w:val="32"/>
        </w:rPr>
      </w:pPr>
      <w:r>
        <w:rPr>
          <w:rFonts w:hint="eastAsia" w:ascii="宋体" w:hAnsi="宋体"/>
          <w:b/>
          <w:sz w:val="32"/>
          <w:szCs w:val="32"/>
        </w:rPr>
        <w:t>第四部分  名词解释</w:t>
      </w:r>
    </w:p>
    <w:p w14:paraId="68F53701">
      <w:pPr>
        <w:pStyle w:val="6"/>
        <w:spacing w:line="600" w:lineRule="atLeast"/>
        <w:ind w:firstLine="600"/>
        <w:rPr>
          <w:rFonts w:hint="eastAsia" w:ascii="仿宋" w:hAnsi="仿宋" w:eastAsia="仿宋"/>
          <w:sz w:val="30"/>
          <w:szCs w:val="30"/>
        </w:rPr>
      </w:pPr>
    </w:p>
    <w:p w14:paraId="75E02C47">
      <w:pPr>
        <w:spacing w:line="600" w:lineRule="exact"/>
        <w:ind w:firstLine="600" w:firstLineChars="200"/>
        <w:rPr>
          <w:rFonts w:hint="default" w:eastAsia="仿宋_GB2312"/>
          <w:sz w:val="32"/>
          <w:szCs w:val="32"/>
          <w:lang w:val="en-US"/>
        </w:rPr>
      </w:pPr>
      <w:r>
        <w:rPr>
          <w:rFonts w:hint="eastAsia" w:ascii="仿宋" w:hAnsi="仿宋" w:eastAsia="仿宋"/>
          <w:kern w:val="0"/>
          <w:sz w:val="30"/>
          <w:szCs w:val="30"/>
        </w:rPr>
        <w:t xml:space="preserve">      </w:t>
      </w:r>
      <w:r>
        <w:rPr>
          <w:rFonts w:hint="eastAsia" w:eastAsia="仿宋_GB2312"/>
          <w:sz w:val="32"/>
          <w:szCs w:val="32"/>
          <w:lang w:val="en-US" w:eastAsia="zh-CN"/>
        </w:rPr>
        <w:t>一、收入科目</w:t>
      </w:r>
    </w:p>
    <w:p w14:paraId="5E5B99B9">
      <w:pPr>
        <w:spacing w:line="600" w:lineRule="exact"/>
        <w:ind w:firstLine="640" w:firstLineChars="200"/>
        <w:rPr>
          <w:rFonts w:hint="default" w:eastAsia="仿宋_GB2312"/>
          <w:sz w:val="32"/>
          <w:szCs w:val="32"/>
          <w:lang w:val="en-US"/>
        </w:rPr>
      </w:pPr>
      <w:r>
        <w:rPr>
          <w:rFonts w:hint="default" w:eastAsia="仿宋_GB2312"/>
          <w:sz w:val="32"/>
          <w:szCs w:val="32"/>
          <w:lang w:val="en-US" w:eastAsia="zh-CN"/>
        </w:rPr>
        <w:t xml:space="preserve">  （一）财政拨款：指省级财政当年拨付的资金。</w:t>
      </w:r>
    </w:p>
    <w:p w14:paraId="5D33ED98">
      <w:pPr>
        <w:spacing w:line="600" w:lineRule="exact"/>
        <w:ind w:firstLine="640" w:firstLineChars="200"/>
        <w:rPr>
          <w:rFonts w:hint="default" w:eastAsia="仿宋_GB2312"/>
          <w:sz w:val="32"/>
          <w:szCs w:val="32"/>
          <w:lang w:val="en-US"/>
        </w:rPr>
      </w:pPr>
      <w:r>
        <w:rPr>
          <w:rFonts w:hint="default" w:eastAsia="仿宋_GB2312"/>
          <w:sz w:val="32"/>
          <w:szCs w:val="32"/>
          <w:lang w:val="en-US" w:eastAsia="zh-CN"/>
        </w:rPr>
        <w:t xml:space="preserve">  （二）其他收入：指除财政补助拨款、事业收入、事业单位经营收入等以外的各项收入。</w:t>
      </w:r>
    </w:p>
    <w:p w14:paraId="7D839542">
      <w:pPr>
        <w:spacing w:line="600" w:lineRule="exact"/>
        <w:ind w:firstLine="960" w:firstLineChars="300"/>
        <w:rPr>
          <w:rFonts w:hint="default" w:eastAsia="仿宋_GB2312"/>
          <w:sz w:val="32"/>
          <w:szCs w:val="32"/>
          <w:lang w:val="en-US"/>
        </w:rPr>
      </w:pPr>
      <w:r>
        <w:rPr>
          <w:rFonts w:hint="default" w:eastAsia="仿宋_GB2312"/>
          <w:sz w:val="32"/>
          <w:szCs w:val="32"/>
          <w:lang w:val="en-US" w:eastAsia="zh-CN"/>
        </w:rPr>
        <w:t>（</w:t>
      </w:r>
      <w:r>
        <w:rPr>
          <w:rFonts w:hint="eastAsia" w:eastAsia="仿宋_GB2312"/>
          <w:sz w:val="32"/>
          <w:szCs w:val="32"/>
          <w:lang w:val="en-US" w:eastAsia="zh-CN"/>
        </w:rPr>
        <w:t>三</w:t>
      </w:r>
      <w:r>
        <w:rPr>
          <w:rFonts w:hint="default" w:eastAsia="仿宋_GB2312"/>
          <w:sz w:val="32"/>
          <w:szCs w:val="32"/>
          <w:lang w:val="en-US" w:eastAsia="zh-CN"/>
        </w:rPr>
        <w:t>）上年结转和结余：填列</w:t>
      </w:r>
      <w:r>
        <w:rPr>
          <w:rFonts w:hint="eastAsia" w:eastAsia="仿宋_GB2312"/>
          <w:sz w:val="32"/>
          <w:szCs w:val="32"/>
          <w:lang w:val="en-US" w:eastAsia="zh-CN"/>
        </w:rPr>
        <w:t>2018</w:t>
      </w:r>
      <w:r>
        <w:rPr>
          <w:rFonts w:hint="default" w:eastAsia="仿宋_GB2312"/>
          <w:sz w:val="32"/>
          <w:szCs w:val="32"/>
          <w:lang w:val="en-US" w:eastAsia="zh-CN"/>
        </w:rPr>
        <w:t>年全部结转和结余的资金数，包括当年结转结余资金和历年滚存结存结余资金。</w:t>
      </w:r>
    </w:p>
    <w:p w14:paraId="7DE6E5E8">
      <w:pPr>
        <w:spacing w:line="600" w:lineRule="exact"/>
        <w:ind w:firstLine="640" w:firstLineChars="200"/>
        <w:rPr>
          <w:rFonts w:hint="default" w:eastAsia="仿宋_GB2312"/>
          <w:sz w:val="32"/>
          <w:szCs w:val="32"/>
          <w:lang w:val="en-US"/>
        </w:rPr>
      </w:pPr>
      <w:r>
        <w:rPr>
          <w:rFonts w:hint="default" w:eastAsia="仿宋_GB2312"/>
          <w:sz w:val="32"/>
          <w:szCs w:val="32"/>
          <w:lang w:val="en-US" w:eastAsia="zh-CN"/>
        </w:rPr>
        <w:t>二、支出科目</w:t>
      </w:r>
    </w:p>
    <w:p w14:paraId="5A8D9EAF">
      <w:pPr>
        <w:widowControl/>
        <w:spacing w:line="600" w:lineRule="exact"/>
        <w:ind w:firstLine="640"/>
        <w:jc w:val="left"/>
        <w:rPr>
          <w:rFonts w:hint="eastAsia" w:ascii="仿宋_GB2312" w:hAnsi="宋体" w:eastAsia="仿宋_GB2312" w:cs="仿宋_GB2312"/>
          <w:sz w:val="32"/>
          <w:szCs w:val="32"/>
        </w:rPr>
      </w:pPr>
      <w:r>
        <w:rPr>
          <w:rFonts w:hint="default" w:eastAsia="仿宋_GB2312"/>
          <w:sz w:val="32"/>
          <w:szCs w:val="32"/>
          <w:lang w:val="en-US" w:eastAsia="zh-CN"/>
        </w:rPr>
        <w:t xml:space="preserve">  </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一</w:t>
      </w:r>
      <w:r>
        <w:rPr>
          <w:rFonts w:hint="eastAsia" w:ascii="仿宋_GB2312" w:eastAsia="仿宋_GB2312"/>
          <w:color w:val="000000"/>
          <w:sz w:val="32"/>
          <w:szCs w:val="30"/>
        </w:rPr>
        <w:t>）</w:t>
      </w:r>
      <w:r>
        <w:rPr>
          <w:rFonts w:hint="eastAsia" w:ascii="仿宋_GB2312" w:hAnsi="宋体" w:eastAsia="仿宋_GB2312" w:cs="仿宋_GB2312"/>
          <w:sz w:val="32"/>
          <w:szCs w:val="32"/>
        </w:rPr>
        <w:t>一般公共服务（类）</w:t>
      </w:r>
      <w:r>
        <w:rPr>
          <w:rFonts w:hint="eastAsia" w:ascii="仿宋_GB2312" w:hAnsi="宋体" w:eastAsia="仿宋_GB2312" w:cs="仿宋_GB2312"/>
          <w:sz w:val="32"/>
          <w:szCs w:val="32"/>
          <w:lang w:eastAsia="zh-CN"/>
        </w:rPr>
        <w:t>政府办公厅（室）及相关机构事务</w:t>
      </w:r>
      <w:r>
        <w:rPr>
          <w:rFonts w:hint="eastAsia" w:ascii="仿宋_GB2312" w:hAnsi="宋体" w:eastAsia="仿宋_GB2312" w:cs="仿宋_GB2312"/>
          <w:sz w:val="32"/>
          <w:szCs w:val="32"/>
        </w:rPr>
        <w:t>（款）</w:t>
      </w:r>
    </w:p>
    <w:p w14:paraId="4D239A2A">
      <w:pPr>
        <w:widowControl/>
        <w:spacing w:line="600" w:lineRule="exact"/>
        <w:ind w:firstLine="640"/>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行政运行（项）：反映行政单位（包括实行公务员管理的事业单位）的基本支出。</w:t>
      </w:r>
    </w:p>
    <w:p w14:paraId="19BAC62D">
      <w:pPr>
        <w:ind w:firstLine="562"/>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其他政府办公</w:t>
      </w:r>
      <w:r>
        <w:rPr>
          <w:rFonts w:hint="eastAsia" w:ascii="仿宋_GB2312" w:hAnsi="宋体" w:eastAsia="仿宋_GB2312" w:cs="仿宋_GB2312"/>
          <w:sz w:val="32"/>
          <w:szCs w:val="32"/>
          <w:lang w:val="en-US" w:eastAsia="zh-CN"/>
        </w:rPr>
        <w:t>厅</w:t>
      </w:r>
      <w:r>
        <w:rPr>
          <w:rFonts w:hint="eastAsia" w:ascii="仿宋_GB2312" w:hAnsi="宋体" w:eastAsia="仿宋_GB2312" w:cs="仿宋_GB2312"/>
          <w:sz w:val="32"/>
          <w:szCs w:val="32"/>
        </w:rPr>
        <w:t>（室）及相关机构事务支出事务支出（项）：反映除上述项目以外的其他政府办公厅（室）及相关机构事务支出</w:t>
      </w:r>
      <w:r>
        <w:rPr>
          <w:rFonts w:hint="eastAsia" w:ascii="仿宋_GB2312" w:hAnsi="宋体" w:eastAsia="仿宋_GB2312" w:cs="仿宋_GB2312"/>
          <w:sz w:val="32"/>
          <w:szCs w:val="32"/>
          <w:lang w:eastAsia="zh-CN"/>
        </w:rPr>
        <w:t>。</w:t>
      </w:r>
    </w:p>
    <w:p w14:paraId="074D76BC">
      <w:pPr>
        <w:spacing w:line="600" w:lineRule="exact"/>
        <w:ind w:firstLine="960" w:firstLineChars="300"/>
        <w:rPr>
          <w:rFonts w:hint="default" w:eastAsia="仿宋_GB2312"/>
          <w:sz w:val="32"/>
          <w:szCs w:val="32"/>
          <w:lang w:val="en-US" w:eastAsia="zh-CN"/>
        </w:rPr>
      </w:pPr>
      <w:r>
        <w:rPr>
          <w:rFonts w:hint="default" w:eastAsia="仿宋_GB2312"/>
          <w:sz w:val="32"/>
          <w:szCs w:val="32"/>
          <w:lang w:val="en-US" w:eastAsia="zh-CN"/>
        </w:rPr>
        <w:t>（</w:t>
      </w:r>
      <w:r>
        <w:rPr>
          <w:rFonts w:hint="eastAsia" w:eastAsia="仿宋_GB2312"/>
          <w:sz w:val="32"/>
          <w:szCs w:val="32"/>
          <w:lang w:val="en-US" w:eastAsia="zh-CN"/>
        </w:rPr>
        <w:t>二</w:t>
      </w:r>
      <w:r>
        <w:rPr>
          <w:rFonts w:hint="default" w:eastAsia="仿宋_GB2312"/>
          <w:sz w:val="32"/>
          <w:szCs w:val="32"/>
          <w:lang w:val="en-US" w:eastAsia="zh-CN"/>
        </w:rPr>
        <w:t>）社会保障和就业支出（类）行政事业单位离退休（款）机关事业单位基本养老保险缴费支出（项）：反映机关事业单位实施养老保险制度由单位缴纳的基本养老保险费支出。</w:t>
      </w:r>
    </w:p>
    <w:p w14:paraId="1B9D2FB8">
      <w:pPr>
        <w:spacing w:line="600" w:lineRule="exact"/>
        <w:ind w:firstLine="960" w:firstLineChars="300"/>
        <w:rPr>
          <w:rFonts w:hint="eastAsia" w:ascii="仿宋_GB2312" w:eastAsia="仿宋_GB2312"/>
          <w:color w:val="000000"/>
          <w:sz w:val="32"/>
          <w:szCs w:val="30"/>
        </w:rPr>
      </w:pPr>
      <w:r>
        <w:rPr>
          <w:rFonts w:hint="default" w:eastAsia="仿宋_GB2312"/>
          <w:sz w:val="32"/>
          <w:szCs w:val="32"/>
          <w:lang w:val="en-US" w:eastAsia="zh-CN"/>
        </w:rPr>
        <w:t>（</w:t>
      </w:r>
      <w:r>
        <w:rPr>
          <w:rFonts w:hint="eastAsia" w:eastAsia="仿宋_GB2312"/>
          <w:sz w:val="32"/>
          <w:szCs w:val="32"/>
          <w:lang w:val="en-US" w:eastAsia="zh-CN"/>
        </w:rPr>
        <w:t>三</w:t>
      </w:r>
      <w:r>
        <w:rPr>
          <w:rFonts w:hint="default" w:eastAsia="仿宋_GB2312"/>
          <w:sz w:val="32"/>
          <w:szCs w:val="32"/>
          <w:lang w:val="en-US" w:eastAsia="zh-CN"/>
        </w:rPr>
        <w:t>）</w:t>
      </w:r>
      <w:r>
        <w:rPr>
          <w:rFonts w:hint="eastAsia" w:ascii="仿宋_GB2312" w:eastAsia="仿宋_GB2312"/>
          <w:color w:val="000000"/>
          <w:sz w:val="32"/>
          <w:szCs w:val="30"/>
        </w:rPr>
        <w:t>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6C8CA187">
      <w:pPr>
        <w:numPr>
          <w:ilvl w:val="0"/>
          <w:numId w:val="0"/>
        </w:numPr>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公务员医疗补助（项）:反映财政部门安排的公务员医疗补助经费。</w:t>
      </w:r>
    </w:p>
    <w:p w14:paraId="419D72D5">
      <w:pPr>
        <w:numPr>
          <w:ilvl w:val="0"/>
          <w:numId w:val="0"/>
        </w:numPr>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其他行政事业单位支出（项）:反映除上述项目以外的其他用于行政事业单位医疗方面的支出。</w:t>
      </w:r>
    </w:p>
    <w:p w14:paraId="3D7AB56C">
      <w:pPr>
        <w:numPr>
          <w:ilvl w:val="0"/>
          <w:numId w:val="0"/>
        </w:numPr>
        <w:ind w:left="562" w:leftChars="0"/>
        <w:rPr>
          <w:rFonts w:hint="eastAsia" w:ascii="仿宋_GB2312" w:eastAsia="仿宋_GB2312"/>
          <w:color w:val="000000"/>
          <w:sz w:val="32"/>
          <w:szCs w:val="30"/>
          <w:lang w:eastAsia="zh-CN"/>
        </w:rPr>
      </w:pPr>
      <w:r>
        <w:rPr>
          <w:rFonts w:hint="default" w:eastAsia="仿宋_GB2312"/>
          <w:sz w:val="32"/>
          <w:szCs w:val="32"/>
          <w:lang w:val="en-US" w:eastAsia="zh-CN"/>
        </w:rPr>
        <w:t>（</w:t>
      </w:r>
      <w:r>
        <w:rPr>
          <w:rFonts w:hint="eastAsia" w:eastAsia="仿宋_GB2312"/>
          <w:sz w:val="32"/>
          <w:szCs w:val="32"/>
          <w:lang w:val="en-US" w:eastAsia="zh-CN"/>
        </w:rPr>
        <w:t>四</w:t>
      </w:r>
      <w:r>
        <w:rPr>
          <w:rFonts w:hint="default" w:eastAsia="仿宋_GB2312"/>
          <w:sz w:val="32"/>
          <w:szCs w:val="32"/>
          <w:lang w:val="en-US" w:eastAsia="zh-CN"/>
        </w:rPr>
        <w:t>）</w:t>
      </w:r>
      <w:r>
        <w:rPr>
          <w:rFonts w:hint="eastAsia" w:ascii="仿宋_GB2312" w:eastAsia="仿宋_GB2312"/>
          <w:color w:val="000000"/>
          <w:sz w:val="32"/>
          <w:szCs w:val="30"/>
          <w:lang w:eastAsia="zh-CN"/>
        </w:rPr>
        <w:t>住房保障支出（类）住房改革支出（款）</w:t>
      </w:r>
    </w:p>
    <w:p w14:paraId="59A1A787">
      <w:pPr>
        <w:numPr>
          <w:ilvl w:val="0"/>
          <w:numId w:val="0"/>
        </w:num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住房公积金（项）:反映行政事业单位按人力资源和社会保障部、财政部规定的基本工资和津贴补贴以及规定比例为职工缴纳的住房公积金。</w:t>
      </w:r>
    </w:p>
    <w:p w14:paraId="0D0BE222">
      <w:pPr>
        <w:spacing w:line="600" w:lineRule="exact"/>
        <w:rPr>
          <w:rFonts w:hint="eastAsia" w:eastAsia="仿宋_GB2312"/>
          <w:sz w:val="32"/>
          <w:szCs w:val="32"/>
          <w:lang w:val="en-US"/>
        </w:rPr>
      </w:pPr>
      <w:r>
        <w:rPr>
          <w:rFonts w:hint="default" w:eastAsia="仿宋_GB2312"/>
          <w:sz w:val="32"/>
          <w:szCs w:val="32"/>
          <w:lang w:val="en-US"/>
        </w:rPr>
        <w:t xml:space="preserve">   </w:t>
      </w:r>
      <w:r>
        <w:rPr>
          <w:rFonts w:hint="eastAsia" w:eastAsia="仿宋_GB2312"/>
          <w:sz w:val="32"/>
          <w:szCs w:val="32"/>
          <w:lang w:val="en-US" w:eastAsia="zh-CN"/>
        </w:rPr>
        <w:t xml:space="preserve"> </w:t>
      </w:r>
      <w:r>
        <w:rPr>
          <w:rFonts w:hint="default" w:eastAsia="仿宋_GB2312"/>
          <w:sz w:val="32"/>
          <w:szCs w:val="32"/>
        </w:rPr>
        <w:t>（</w:t>
      </w:r>
      <w:r>
        <w:rPr>
          <w:rFonts w:hint="eastAsia" w:eastAsia="仿宋_GB2312"/>
          <w:sz w:val="32"/>
          <w:szCs w:val="32"/>
          <w:lang w:val="en-US" w:eastAsia="zh-CN"/>
        </w:rPr>
        <w:t>五</w:t>
      </w:r>
      <w:r>
        <w:rPr>
          <w:rFonts w:hint="default" w:eastAsia="仿宋_GB2312"/>
          <w:sz w:val="32"/>
          <w:szCs w:val="32"/>
        </w:rPr>
        <w:t>）</w:t>
      </w:r>
      <w:r>
        <w:rPr>
          <w:rFonts w:hint="default" w:eastAsia="仿宋_GB2312"/>
          <w:sz w:val="32"/>
          <w:szCs w:val="32"/>
          <w:lang w:val="en-US"/>
        </w:rPr>
        <w:t>“</w:t>
      </w:r>
      <w:r>
        <w:rPr>
          <w:rFonts w:hint="eastAsia" w:eastAsia="仿宋_GB2312"/>
          <w:sz w:val="32"/>
          <w:szCs w:val="32"/>
        </w:rPr>
        <w:t>三公经费</w:t>
      </w:r>
      <w:r>
        <w:rPr>
          <w:rFonts w:hint="default" w:eastAsia="仿宋_GB2312"/>
          <w:sz w:val="32"/>
          <w:szCs w:val="32"/>
          <w:lang w:val="en-US"/>
        </w:rPr>
        <w:t>”</w:t>
      </w:r>
      <w:r>
        <w:rPr>
          <w:rFonts w:hint="eastAsia" w:eastAsia="仿宋_GB2312"/>
          <w:sz w:val="32"/>
          <w:szCs w:val="32"/>
        </w:rPr>
        <w:t>：纳入财政预决算管理的</w:t>
      </w:r>
      <w:r>
        <w:rPr>
          <w:rFonts w:hint="default" w:eastAsia="仿宋_GB2312"/>
          <w:sz w:val="32"/>
          <w:szCs w:val="32"/>
          <w:lang w:val="en-US"/>
        </w:rPr>
        <w:t>“</w:t>
      </w:r>
      <w:r>
        <w:rPr>
          <w:rFonts w:hint="eastAsia" w:eastAsia="仿宋_GB2312"/>
          <w:sz w:val="32"/>
          <w:szCs w:val="32"/>
        </w:rPr>
        <w:t>三公</w:t>
      </w:r>
      <w:r>
        <w:rPr>
          <w:rFonts w:hint="default" w:eastAsia="仿宋_GB2312"/>
          <w:sz w:val="32"/>
          <w:szCs w:val="32"/>
          <w:lang w:val="en-US"/>
        </w:rPr>
        <w:t>”</w:t>
      </w:r>
      <w:r>
        <w:rPr>
          <w:rFonts w:hint="eastAsia" w:eastAsia="仿宋_GB2312"/>
          <w:sz w:val="32"/>
          <w:szCs w:val="32"/>
        </w:rPr>
        <w:t>经费，是指部门用财政拨款安排的因公出国</w:t>
      </w:r>
      <w:r>
        <w:rPr>
          <w:rFonts w:hint="eastAsia" w:eastAsia="仿宋_GB2312"/>
          <w:sz w:val="32"/>
          <w:szCs w:val="32"/>
          <w:lang w:val="en-US"/>
        </w:rPr>
        <w:t>(</w:t>
      </w:r>
      <w:r>
        <w:rPr>
          <w:rFonts w:hint="eastAsia" w:eastAsia="仿宋_GB2312"/>
          <w:sz w:val="32"/>
          <w:szCs w:val="32"/>
        </w:rPr>
        <w:t>境</w:t>
      </w:r>
      <w:r>
        <w:rPr>
          <w:rFonts w:hint="eastAsia" w:eastAsia="仿宋_GB2312"/>
          <w:sz w:val="32"/>
          <w:szCs w:val="32"/>
          <w:lang w:val="en-US"/>
        </w:rPr>
        <w:t>)</w:t>
      </w:r>
      <w:r>
        <w:rPr>
          <w:rFonts w:hint="eastAsia" w:eastAsia="仿宋_GB2312"/>
          <w:sz w:val="32"/>
          <w:szCs w:val="32"/>
        </w:rPr>
        <w:t>费、公务用车购置及运行费和公务接待费。其中，因公出国</w:t>
      </w:r>
      <w:r>
        <w:rPr>
          <w:rFonts w:hint="eastAsia" w:eastAsia="仿宋_GB2312"/>
          <w:sz w:val="32"/>
          <w:szCs w:val="32"/>
          <w:lang w:val="en-US"/>
        </w:rPr>
        <w:t>(</w:t>
      </w:r>
      <w:r>
        <w:rPr>
          <w:rFonts w:hint="eastAsia" w:eastAsia="仿宋_GB2312"/>
          <w:sz w:val="32"/>
          <w:szCs w:val="32"/>
        </w:rPr>
        <w:t>境</w:t>
      </w:r>
      <w:r>
        <w:rPr>
          <w:rFonts w:hint="eastAsia" w:eastAsia="仿宋_GB2312"/>
          <w:sz w:val="32"/>
          <w:szCs w:val="32"/>
          <w:lang w:val="en-US"/>
        </w:rPr>
        <w:t>)</w:t>
      </w:r>
      <w:r>
        <w:rPr>
          <w:rFonts w:hint="eastAsia" w:eastAsia="仿宋_GB2312"/>
          <w:sz w:val="32"/>
          <w:szCs w:val="32"/>
        </w:rPr>
        <w:t>费反映单位公务出国</w:t>
      </w:r>
      <w:r>
        <w:rPr>
          <w:rFonts w:hint="eastAsia" w:eastAsia="仿宋_GB2312"/>
          <w:sz w:val="32"/>
          <w:szCs w:val="32"/>
          <w:lang w:val="en-US"/>
        </w:rPr>
        <w:t>(</w:t>
      </w:r>
      <w:r>
        <w:rPr>
          <w:rFonts w:hint="eastAsia" w:eastAsia="仿宋_GB2312"/>
          <w:sz w:val="32"/>
          <w:szCs w:val="32"/>
        </w:rPr>
        <w:t>境</w:t>
      </w:r>
      <w:r>
        <w:rPr>
          <w:rFonts w:hint="eastAsia" w:eastAsia="仿宋_GB2312"/>
          <w:sz w:val="32"/>
          <w:szCs w:val="32"/>
          <w:lang w:val="en-US"/>
        </w:rPr>
        <w:t>)</w:t>
      </w:r>
      <w:r>
        <w:rPr>
          <w:rFonts w:hint="eastAsia" w:eastAsia="仿宋_GB2312"/>
          <w:sz w:val="32"/>
          <w:szCs w:val="32"/>
        </w:rPr>
        <w:t>的国际旅费、国外城市间交通费、住宿费、伙食费、培训费、公杂费等支出；公务用车购置及运行费反映单位公务用车车辆购置支出</w:t>
      </w:r>
      <w:r>
        <w:rPr>
          <w:rFonts w:hint="eastAsia" w:eastAsia="仿宋_GB2312"/>
          <w:sz w:val="32"/>
          <w:szCs w:val="32"/>
          <w:lang w:val="en-US"/>
        </w:rPr>
        <w:t>(</w:t>
      </w:r>
      <w:r>
        <w:rPr>
          <w:rFonts w:hint="eastAsia" w:eastAsia="仿宋_GB2312"/>
          <w:sz w:val="32"/>
          <w:szCs w:val="32"/>
        </w:rPr>
        <w:t>含车辆购置税</w:t>
      </w:r>
      <w:r>
        <w:rPr>
          <w:rFonts w:hint="eastAsia" w:eastAsia="仿宋_GB2312"/>
          <w:sz w:val="32"/>
          <w:szCs w:val="32"/>
          <w:lang w:val="en-US"/>
        </w:rPr>
        <w:t>)</w:t>
      </w:r>
      <w:r>
        <w:rPr>
          <w:rFonts w:hint="eastAsia" w:eastAsia="仿宋_GB2312"/>
          <w:sz w:val="32"/>
          <w:szCs w:val="32"/>
        </w:rPr>
        <w:t>及租用费、燃料费、维修费、过路过桥费、保险费、安全奖励费用等支出；公务接待费反映单位按规定开支的各类公务接待</w:t>
      </w:r>
      <w:r>
        <w:rPr>
          <w:rFonts w:hint="eastAsia" w:eastAsia="仿宋_GB2312"/>
          <w:sz w:val="32"/>
          <w:szCs w:val="32"/>
          <w:lang w:val="en-US"/>
        </w:rPr>
        <w:t>(</w:t>
      </w:r>
      <w:r>
        <w:rPr>
          <w:rFonts w:hint="eastAsia" w:eastAsia="仿宋_GB2312"/>
          <w:sz w:val="32"/>
          <w:szCs w:val="32"/>
        </w:rPr>
        <w:t>含外宾接待</w:t>
      </w:r>
      <w:r>
        <w:rPr>
          <w:rFonts w:hint="eastAsia" w:eastAsia="仿宋_GB2312"/>
          <w:sz w:val="32"/>
          <w:szCs w:val="32"/>
          <w:lang w:val="en-US"/>
        </w:rPr>
        <w:t>)</w:t>
      </w:r>
      <w:r>
        <w:rPr>
          <w:rFonts w:hint="eastAsia" w:eastAsia="仿宋_GB2312"/>
          <w:sz w:val="32"/>
          <w:szCs w:val="32"/>
        </w:rPr>
        <w:t>支出。</w:t>
      </w:r>
    </w:p>
    <w:p w14:paraId="553C0D47">
      <w:pPr>
        <w:spacing w:line="600" w:lineRule="exact"/>
        <w:ind w:firstLine="320" w:firstLineChars="100"/>
        <w:rPr>
          <w:rFonts w:hint="default" w:eastAsia="仿宋_GB2312"/>
          <w:sz w:val="32"/>
          <w:szCs w:val="32"/>
          <w:lang w:val="en-US"/>
        </w:rPr>
      </w:pPr>
      <w:r>
        <w:rPr>
          <w:rFonts w:hint="default" w:eastAsia="仿宋_GB2312"/>
          <w:sz w:val="32"/>
          <w:szCs w:val="32"/>
          <w:lang w:val="en-US"/>
        </w:rPr>
        <w:t xml:space="preserve"> </w:t>
      </w:r>
      <w:r>
        <w:rPr>
          <w:rFonts w:hint="eastAsia" w:eastAsia="仿宋_GB2312"/>
          <w:sz w:val="32"/>
          <w:szCs w:val="32"/>
          <w:lang w:val="en-US" w:eastAsia="zh-CN"/>
        </w:rPr>
        <w:t xml:space="preserve"> </w:t>
      </w:r>
      <w:r>
        <w:rPr>
          <w:rFonts w:hint="default" w:eastAsia="仿宋_GB2312"/>
          <w:sz w:val="32"/>
          <w:szCs w:val="32"/>
        </w:rPr>
        <w:t>（</w:t>
      </w:r>
      <w:r>
        <w:rPr>
          <w:rFonts w:hint="eastAsia" w:eastAsia="仿宋_GB2312"/>
          <w:sz w:val="32"/>
          <w:szCs w:val="32"/>
          <w:lang w:eastAsia="zh-CN"/>
        </w:rPr>
        <w:t>七</w:t>
      </w:r>
      <w:r>
        <w:rPr>
          <w:rFonts w:hint="default" w:eastAsia="仿宋_GB2312"/>
          <w:sz w:val="32"/>
          <w:szCs w:val="32"/>
        </w:rPr>
        <w:t>）机关运行经费：为保障行政单位</w:t>
      </w:r>
      <w:r>
        <w:rPr>
          <w:rFonts w:hint="default" w:eastAsia="仿宋_GB2312"/>
          <w:sz w:val="32"/>
          <w:szCs w:val="32"/>
          <w:lang w:val="en-US"/>
        </w:rPr>
        <w:t>(</w:t>
      </w:r>
      <w:r>
        <w:rPr>
          <w:rFonts w:hint="default" w:eastAsia="仿宋_GB2312"/>
          <w:sz w:val="32"/>
          <w:szCs w:val="32"/>
        </w:rPr>
        <w:t>包括实行公务员管理的事业单位</w:t>
      </w:r>
      <w:r>
        <w:rPr>
          <w:rFonts w:hint="default" w:eastAsia="仿宋_GB2312"/>
          <w:sz w:val="32"/>
          <w:szCs w:val="32"/>
          <w:lang w:val="en-US"/>
        </w:rPr>
        <w:t>)</w:t>
      </w:r>
      <w:r>
        <w:rPr>
          <w:rFonts w:hint="default" w:eastAsia="仿宋_GB2312"/>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C762355"/>
    <w:p w14:paraId="0A00C1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EFB67"/>
    <w:multiLevelType w:val="singleLevel"/>
    <w:tmpl w:val="93DEFB67"/>
    <w:lvl w:ilvl="0" w:tentative="0">
      <w:start w:val="1"/>
      <w:numFmt w:val="chineseCounting"/>
      <w:suff w:val="nothing"/>
      <w:lvlText w:val="（%1）"/>
      <w:lvlJc w:val="left"/>
      <w:rPr>
        <w:rFonts w:hint="eastAsia"/>
      </w:rPr>
    </w:lvl>
  </w:abstractNum>
  <w:abstractNum w:abstractNumId="1">
    <w:nsid w:val="BA3E6206"/>
    <w:multiLevelType w:val="singleLevel"/>
    <w:tmpl w:val="BA3E6206"/>
    <w:lvl w:ilvl="0" w:tentative="0">
      <w:start w:val="1"/>
      <w:numFmt w:val="chineseCounting"/>
      <w:suff w:val="nothing"/>
      <w:lvlText w:val="（%1）"/>
      <w:lvlJc w:val="left"/>
      <w:rPr>
        <w:rFonts w:hint="eastAsia"/>
      </w:rPr>
    </w:lvl>
  </w:abstractNum>
  <w:abstractNum w:abstractNumId="2">
    <w:nsid w:val="D9B61CE9"/>
    <w:multiLevelType w:val="singleLevel"/>
    <w:tmpl w:val="D9B61CE9"/>
    <w:lvl w:ilvl="0" w:tentative="0">
      <w:start w:val="2"/>
      <w:numFmt w:val="chineseCounting"/>
      <w:suff w:val="space"/>
      <w:lvlText w:val="第%1部分"/>
      <w:lvlJc w:val="left"/>
      <w:rPr>
        <w:rFonts w:hint="eastAsia"/>
      </w:rPr>
    </w:lvl>
  </w:abstractNum>
  <w:abstractNum w:abstractNumId="3">
    <w:nsid w:val="FA93EF8A"/>
    <w:multiLevelType w:val="singleLevel"/>
    <w:tmpl w:val="FA93EF8A"/>
    <w:lvl w:ilvl="0" w:tentative="0">
      <w:start w:val="1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00000000"/>
    <w:rsid w:val="088037AE"/>
    <w:rsid w:val="10962140"/>
    <w:rsid w:val="111F4CB2"/>
    <w:rsid w:val="15812F4D"/>
    <w:rsid w:val="16F95953"/>
    <w:rsid w:val="186E0550"/>
    <w:rsid w:val="239358A9"/>
    <w:rsid w:val="28CE0483"/>
    <w:rsid w:val="2AB21F73"/>
    <w:rsid w:val="2B720C88"/>
    <w:rsid w:val="2DF10E33"/>
    <w:rsid w:val="2F4A243C"/>
    <w:rsid w:val="30AC4BDE"/>
    <w:rsid w:val="34BA5A7D"/>
    <w:rsid w:val="352A495A"/>
    <w:rsid w:val="353B2244"/>
    <w:rsid w:val="365E2079"/>
    <w:rsid w:val="39BB2D00"/>
    <w:rsid w:val="3B347304"/>
    <w:rsid w:val="3F2F01C1"/>
    <w:rsid w:val="41EB17DF"/>
    <w:rsid w:val="42033DBF"/>
    <w:rsid w:val="462037CC"/>
    <w:rsid w:val="4A6C325D"/>
    <w:rsid w:val="4B4A0030"/>
    <w:rsid w:val="4CC55594"/>
    <w:rsid w:val="4CEC4458"/>
    <w:rsid w:val="53B76E19"/>
    <w:rsid w:val="5413394D"/>
    <w:rsid w:val="5B8A4B5A"/>
    <w:rsid w:val="5C311FA2"/>
    <w:rsid w:val="5CCF3555"/>
    <w:rsid w:val="60C13DE2"/>
    <w:rsid w:val="63C34F2D"/>
    <w:rsid w:val="642E5696"/>
    <w:rsid w:val="64B16629"/>
    <w:rsid w:val="65666071"/>
    <w:rsid w:val="6577597E"/>
    <w:rsid w:val="67F6080B"/>
    <w:rsid w:val="688E2C61"/>
    <w:rsid w:val="69A5057F"/>
    <w:rsid w:val="6AA03CEB"/>
    <w:rsid w:val="718F3873"/>
    <w:rsid w:val="722E2168"/>
    <w:rsid w:val="729E138D"/>
    <w:rsid w:val="74A17567"/>
    <w:rsid w:val="761B7E63"/>
    <w:rsid w:val="770B45AF"/>
    <w:rsid w:val="78690FE3"/>
    <w:rsid w:val="78A3320F"/>
    <w:rsid w:val="7AF34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character" w:styleId="5">
    <w:name w:val="Strong"/>
    <w:basedOn w:val="4"/>
    <w:qFormat/>
    <w:uiPriority w:val="0"/>
    <w:rPr>
      <w:rFonts w:cs="Times New Roman"/>
      <w:b/>
      <w:bCs/>
    </w:rPr>
  </w:style>
  <w:style w:type="paragraph" w:customStyle="1" w:styleId="6">
    <w:name w:val="p0"/>
    <w:basedOn w:val="1"/>
    <w:qFormat/>
    <w:uiPriority w:val="0"/>
    <w:pPr>
      <w:widowControl/>
    </w:pPr>
    <w:rPr>
      <w:kern w:val="0"/>
      <w:szCs w:val="21"/>
    </w:rPr>
  </w:style>
  <w:style w:type="character" w:customStyle="1" w:styleId="7">
    <w:name w:val="font41"/>
    <w:basedOn w:val="4"/>
    <w:qFormat/>
    <w:uiPriority w:val="0"/>
    <w:rPr>
      <w:rFonts w:hint="default" w:ascii="Arial" w:hAnsi="Arial" w:cs="Arial"/>
      <w:color w:val="000000"/>
      <w:sz w:val="20"/>
      <w:szCs w:val="20"/>
      <w:u w:val="none"/>
    </w:rPr>
  </w:style>
  <w:style w:type="character" w:customStyle="1" w:styleId="8">
    <w:name w:val="font51"/>
    <w:basedOn w:val="4"/>
    <w:qFormat/>
    <w:uiPriority w:val="0"/>
    <w:rPr>
      <w:rFonts w:hint="eastAsia" w:ascii="宋体" w:hAnsi="宋体" w:eastAsia="宋体" w:cs="宋体"/>
      <w:color w:val="000000"/>
      <w:sz w:val="20"/>
      <w:szCs w:val="20"/>
      <w:u w:val="none"/>
    </w:rPr>
  </w:style>
  <w:style w:type="paragraph" w:customStyle="1" w:styleId="9">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3074</Words>
  <Characters>4520</Characters>
  <Lines>0</Lines>
  <Paragraphs>0</Paragraphs>
  <TotalTime>138</TotalTime>
  <ScaleCrop>false</ScaleCrop>
  <LinksUpToDate>false</LinksUpToDate>
  <CharactersWithSpaces>4752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cp:lastPrinted>2020-10-13T09:00:00Z</cp:lastPrinted>
  <dcterms:modified xsi:type="dcterms:W3CDTF">2026-07-20T08:23:56Z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CD8F0166D9614010860367900EC13AA0_12</vt:lpwstr>
  </property>
  <property fmtid="{D5CDD505-2E9C-101B-9397-08002B2CF9AE}" pid="4" name="KSOTemplateDocerSaveRecord">
    <vt:lpwstr>eyJoZGlkIjoiMjE2YWY5NzI1MThhZDljY2U3MzkwYzYyOTljZjg5ZmIiLCJ1c2VySWQiOiI0MjQ5NjU3NjUifQ==</vt:lpwstr>
  </property>
</Properties>
</file>