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44"/>
        </w:rPr>
      </w:pPr>
      <w:r>
        <w:rPr>
          <w:rFonts w:hint="eastAsia" w:ascii="黑体" w:hAnsi="黑体" w:eastAsia="黑体"/>
          <w:sz w:val="44"/>
          <w:szCs w:val="44"/>
          <w:lang w:eastAsia="zh-CN"/>
        </w:rPr>
        <w:t>景德镇市应急管理局</w:t>
      </w:r>
      <w:r>
        <w:rPr>
          <w:rFonts w:hint="eastAsia" w:ascii="黑体" w:eastAsia="黑体"/>
          <w:sz w:val="44"/>
          <w:szCs w:val="44"/>
        </w:rPr>
        <w:t>201</w:t>
      </w:r>
      <w:r>
        <w:rPr>
          <w:rFonts w:hint="eastAsia" w:ascii="黑体" w:eastAsia="黑体"/>
          <w:sz w:val="44"/>
          <w:szCs w:val="44"/>
          <w:lang w:val="en-US" w:eastAsia="zh-CN"/>
        </w:rPr>
        <w:t>9</w:t>
      </w:r>
      <w:r>
        <w:rPr>
          <w:rFonts w:hint="eastAsia" w:ascii="黑体" w:eastAsia="黑体"/>
          <w:sz w:val="44"/>
          <w:szCs w:val="44"/>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景德镇市应急管理局部门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both"/>
        <w:rPr>
          <w:rFonts w:hint="eastAsia" w:ascii="宋体" w:hAnsi="宋体"/>
          <w:b/>
          <w:sz w:val="32"/>
          <w:szCs w:val="30"/>
        </w:rPr>
      </w:pPr>
    </w:p>
    <w:p>
      <w:pPr>
        <w:widowControl/>
        <w:spacing w:line="580" w:lineRule="exact"/>
        <w:jc w:val="both"/>
        <w:rPr>
          <w:rFonts w:hint="eastAsia" w:ascii="宋体" w:hAnsi="宋体"/>
          <w:b/>
          <w:sz w:val="32"/>
          <w:szCs w:val="30"/>
        </w:rPr>
      </w:pPr>
    </w:p>
    <w:p>
      <w:pPr>
        <w:widowControl/>
        <w:spacing w:line="580" w:lineRule="exact"/>
        <w:jc w:val="both"/>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景德镇市应急管理局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100"/>
        <w:jc w:val="both"/>
        <w:rPr>
          <w:rFonts w:ascii="Calibri" w:hAnsi="Calibri" w:cs="Calibri"/>
          <w:i w:val="0"/>
          <w:caps w:val="0"/>
          <w:color w:val="000000"/>
          <w:spacing w:val="0"/>
          <w:sz w:val="21"/>
          <w:szCs w:val="21"/>
        </w:rPr>
      </w:pPr>
      <w:r>
        <w:rPr>
          <w:rFonts w:ascii="仿宋" w:hAnsi="仿宋" w:eastAsia="仿宋" w:cs="仿宋"/>
          <w:i w:val="0"/>
          <w:caps w:val="0"/>
          <w:color w:val="000000"/>
          <w:spacing w:val="0"/>
          <w:sz w:val="32"/>
          <w:szCs w:val="32"/>
        </w:rPr>
        <w:t>（一）负责应急管理工作，指导各地各部门应对安全生产类、自然灾害类等突发事件和综合防灾减灾救灾工作。负责安全生产综合监督管理和工矿商贸行业安全生产监督管理工作。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（二）贯彻执行国家应急管理、安全生产等法律法规，拟定全市应急管理、安全生产等政策规定，组织编制市应急体系建设、安全生产和综合防灾减灾规划，组织制定相关规程和标准并监督实施。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三）负责安全生产应急救援预案管理和综合监管安全生产应急救援资源，指导应急预案体系建设，落实、完善事故灾难和自然灾害分级应对制度，组织编制市总体应急预案和安全生产类、自然灾害类专项预案，综合协调应急预案衔接工作，组织开展预案演练，推动应急避难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（四）牵头建立我市统一的应急管理信息系统，负责信息传输渠道的规划和布局，建立监测预警和灾情报告制度，健全自然灾害信息资源获取和共享机制，依法依规统一发布灾情。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（五）组织指导协调安全生产类、自然灾害类等突发事件应急救援，承担市应对较大灾害指挥部工作，综合研判突发事件发展态势并提出应对建议，协助市委、市政府指定的负责同志组织较大灾害应急处置工作。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（六）统一协调指挥各类应急专业队伍，建立应急协调联动机制，推进指挥平台对接，衔接解放军和武警部队参与应急救援工作。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七）统筹应急救援力量建设，负责消防、森林火灾扑救、抗洪抢险、地震和地质灾害救援、生产安全事故救援等专业应急救援力量建设，按规定权限协调管理国家、省、市综合性应急救援队伍，指导县（市、区）及社会应急救援力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（八）负责消防管理工作，指导消防监督、火灾预防、火灾扑救等工作。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（九）指导协调森林火灾、水旱灾害、地震和地质灾害等防治工作，负责自然灾害综合监测预警工作，指导开展自然灾害综合风险评估工作。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（十）组织协调灾害救助工作，组织指导灾情核查、损失评估、救灾捐赠工作，按权限管理、分配救灾款物并监督使用。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（十一）依法行使安全生产综合监督管理职权，指导协调、监督检查市政府有关部门和下级政府安全生产工作，组织开展安全生产巡查、考核工作。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十二）按照分级、属地原则，依法监督检查工矿商贸生产经营单位贯彻执行安全生产法律法规情况及其安全生产条件和有关设备（特种设备除外）、材料、劳动防护用品的安全生产管理工作。负责监督管理工矿商贸行业驻景中央企业总部、驻景省属企业集团和市属企业集团安全生产工作。依法组织并指导监督实施安全生产准入制度。负责危险化学品安全监督管理综合工作和烟花爆竹安全生产监督管理工作。依法组织指导并监督职责范围内生产经营单位主要负责人、安全生产管理人员的安全生产知识和管理能力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（十三）依法依规组织指导生产安全事故调查处理，监督事故查处和责任追究落实情况。组织开展自然灾害类突发事件的调查评估工作。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（十四）开展应急管理方面的对外交流与合作，组织参与安全生产类、自然灾害类等突发事件的对外救援工作。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（十五）制定应急物资储备和应急救援装备规划并组织实施，会同相关部门建立健全应急物资信息平台和调拨制度，在救灾时统一调度。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（十六）负责应急管理、安全生产宣传教育和培训工作，组织指导应急管理、安全生产的科学技术研究、推广应用和信息化建设工作。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（十七）承担防震减灾监管职能。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（十八）完成市委、市政府交办的其他任务。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（十九）转变职能。市应急管理局应加强、优化、统筹全市应急能力建设，构建统一领导、权责一致、权威高效的应急能力体系，推动形成统一指挥、专常兼备、反应灵敏、上下联动、平战结合的应急管理体制。</w:t>
      </w:r>
      <w:r>
        <w:rPr>
          <w:rFonts w:hint="eastAsia" w:ascii="仿宋" w:hAnsi="仿宋" w:eastAsia="仿宋" w:cs="仿宋"/>
          <w:b/>
          <w:i w:val="0"/>
          <w:caps w:val="0"/>
          <w:color w:val="000000"/>
          <w:spacing w:val="0"/>
          <w:sz w:val="32"/>
          <w:szCs w:val="32"/>
        </w:rPr>
        <w:t>一是</w:t>
      </w:r>
      <w:r>
        <w:rPr>
          <w:rFonts w:hint="eastAsia" w:ascii="仿宋" w:hAnsi="仿宋" w:eastAsia="仿宋" w:cs="仿宋"/>
          <w:i w:val="0"/>
          <w:caps w:val="0"/>
          <w:color w:val="000000"/>
          <w:spacing w:val="0"/>
          <w:sz w:val="32"/>
          <w:szCs w:val="32"/>
        </w:rPr>
        <w:t>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较大及以上安全风险</w:t>
      </w:r>
      <w:r>
        <w:rPr>
          <w:rFonts w:hint="eastAsia" w:ascii="仿宋" w:hAnsi="仿宋" w:eastAsia="仿宋" w:cs="仿宋"/>
          <w:b/>
          <w:i w:val="0"/>
          <w:caps w:val="0"/>
          <w:color w:val="000000"/>
          <w:spacing w:val="0"/>
          <w:sz w:val="32"/>
          <w:szCs w:val="32"/>
        </w:rPr>
        <w:t>。二是</w:t>
      </w:r>
      <w:r>
        <w:rPr>
          <w:rFonts w:hint="eastAsia" w:ascii="仿宋" w:hAnsi="仿宋" w:eastAsia="仿宋" w:cs="仿宋"/>
          <w:i w:val="0"/>
          <w:caps w:val="0"/>
          <w:color w:val="000000"/>
          <w:spacing w:val="0"/>
          <w:sz w:val="32"/>
          <w:szCs w:val="32"/>
        </w:rPr>
        <w:t>坚持以人为本，把确保人民群众生命安全放在首位，确保受灾群众基本生活，加强应急预案演练，增强全民防灾减灾意识，提升公众知识普及和自救互救技能，切实减少人员伤亡和财产损失。</w:t>
      </w:r>
      <w:r>
        <w:rPr>
          <w:rFonts w:hint="eastAsia" w:ascii="仿宋" w:hAnsi="仿宋" w:eastAsia="仿宋" w:cs="仿宋"/>
          <w:b/>
          <w:i w:val="0"/>
          <w:caps w:val="0"/>
          <w:color w:val="000000"/>
          <w:spacing w:val="0"/>
          <w:sz w:val="32"/>
          <w:szCs w:val="32"/>
        </w:rPr>
        <w:t>三是</w:t>
      </w:r>
      <w:r>
        <w:rPr>
          <w:rFonts w:hint="eastAsia" w:ascii="仿宋" w:hAnsi="仿宋" w:eastAsia="仿宋" w:cs="仿宋"/>
          <w:i w:val="0"/>
          <w:caps w:val="0"/>
          <w:color w:val="000000"/>
          <w:spacing w:val="0"/>
          <w:sz w:val="32"/>
          <w:szCs w:val="32"/>
        </w:rPr>
        <w:t>树立安全发展理念，坚持生命至上、安全第一，完善安全生产责任制，坚决遏制较大及以上安全事故。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（二十）有关职责分工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与市自然资源和规划局、市水利局、市林业局等部门在自然灾害防救方面的职责分工。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1）市应急管理局负责组织编制市总体应急预案和安全生产类、自然灾害类专项预案，综合协调应急预案衔接工作，组织开展预案演练。按照分级负责的原则，指导自然灾害类应急救援；组织协调较大灾害应急救援工作，并按照权限做出决定；承担市应对较大灾害指挥部工作，协助市委、市政府指定的负责同志组织较大灾害应急处置工作。组织编制综合防灾减灾规划，指导协调相关部门森林火灾、水旱灾害、地震和地质灾害等防治工作，指导开展地质灾害工程治理工作；会同市自然资源和规划局、市水利局、市林业局、市气象局等有关部门建立统一的应急管理信息平台，建立监测预警和灾情报告制度，健全自然灾害信息资源获取和共享机制，依法依规统一发布灾情。开展多灾种和灾害链综合监测预警，指导开展自然灾害综合风险评估。负责森林火情监测预警工作，发布森林火险、火灾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　　（2）市自然资源和规划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3）市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4）市林业局负责落实综合防灾减灾规划相关要求，组织编制森林火灾防治规划和防护标准并指导实施；指导开展防火巡护、火源管理、防火设施建设等工作；组织指导国有林场开展防火宣传教育、监测预警、督促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（5）必要时，市自然资源和规划局、市水利局、市林业局等部门可以提请市应急管理局，以市应急指挥机构名义部署相关防治工作。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sz w:val="30"/>
          <w:szCs w:val="30"/>
        </w:rPr>
      </w:pPr>
      <w:r>
        <w:rPr>
          <w:rFonts w:hint="default" w:ascii="Calibri" w:hAnsi="Calibri" w:cs="Calibri"/>
          <w:i w:val="0"/>
          <w:caps w:val="0"/>
          <w:color w:val="000000"/>
          <w:spacing w:val="0"/>
          <w:sz w:val="21"/>
          <w:szCs w:val="21"/>
        </w:rPr>
        <w:t> </w:t>
      </w:r>
      <w:r>
        <w:rPr>
          <w:rFonts w:hint="eastAsia" w:ascii="Calibri" w:hAnsi="Calibri" w:cs="Calibri"/>
          <w:i w:val="0"/>
          <w:caps w:val="0"/>
          <w:color w:val="000000"/>
          <w:spacing w:val="0"/>
          <w:sz w:val="21"/>
          <w:szCs w:val="21"/>
          <w:lang w:val="en-US" w:eastAsia="zh-CN"/>
        </w:rPr>
        <w:t xml:space="preserve">      </w:t>
      </w: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4</w:t>
      </w:r>
      <w:r>
        <w:rPr>
          <w:rFonts w:hint="eastAsia" w:ascii="仿宋" w:hAnsi="仿宋" w:eastAsia="仿宋"/>
          <w:sz w:val="30"/>
          <w:szCs w:val="30"/>
        </w:rPr>
        <w:t>个，包括：</w:t>
      </w:r>
      <w:r>
        <w:rPr>
          <w:rFonts w:hint="eastAsia" w:ascii="仿宋" w:hAnsi="仿宋" w:eastAsia="仿宋"/>
          <w:sz w:val="30"/>
          <w:szCs w:val="30"/>
          <w:lang w:eastAsia="zh-CN"/>
        </w:rPr>
        <w:t>市应急管理局本级、市劳动保护教育中心、市安全生产应急救援指挥中心、市安全生产监察支队</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70</w:t>
      </w:r>
      <w:r>
        <w:rPr>
          <w:rFonts w:hint="eastAsia" w:ascii="仿宋" w:hAnsi="仿宋" w:eastAsia="仿宋"/>
          <w:sz w:val="30"/>
          <w:szCs w:val="30"/>
        </w:rPr>
        <w:t>人，其中在职人员</w:t>
      </w:r>
      <w:r>
        <w:rPr>
          <w:rFonts w:hint="eastAsia" w:ascii="仿宋" w:hAnsi="仿宋" w:eastAsia="仿宋"/>
          <w:sz w:val="30"/>
          <w:szCs w:val="30"/>
          <w:lang w:val="en-US" w:eastAsia="zh-CN"/>
        </w:rPr>
        <w:t>51</w:t>
      </w:r>
      <w:r>
        <w:rPr>
          <w:rFonts w:hint="eastAsia" w:ascii="仿宋" w:hAnsi="仿宋" w:eastAsia="仿宋"/>
          <w:sz w:val="30"/>
          <w:szCs w:val="30"/>
        </w:rPr>
        <w:t>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19</w:t>
      </w:r>
      <w:r>
        <w:rPr>
          <w:rFonts w:hint="eastAsia" w:ascii="仿宋" w:hAnsi="仿宋" w:eastAsia="仿宋"/>
          <w:sz w:val="30"/>
          <w:szCs w:val="30"/>
        </w:rPr>
        <w:t>人；</w:t>
      </w:r>
      <w:r>
        <w:rPr>
          <w:rFonts w:hint="eastAsia" w:ascii="仿宋" w:hAnsi="仿宋" w:eastAsia="仿宋"/>
          <w:sz w:val="30"/>
          <w:szCs w:val="30"/>
          <w:lang w:val="en-US" w:eastAsia="zh-CN"/>
        </w:rPr>
        <w:t>年末其他人员3人；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tbl>
      <w:tblPr>
        <w:tblStyle w:val="3"/>
        <w:tblW w:w="12150" w:type="dxa"/>
        <w:jc w:val="center"/>
        <w:shd w:val="clear" w:color="auto" w:fill="auto"/>
        <w:tblLayout w:type="autofit"/>
        <w:tblCellMar>
          <w:top w:w="0" w:type="dxa"/>
          <w:left w:w="0" w:type="dxa"/>
          <w:bottom w:w="0" w:type="dxa"/>
          <w:right w:w="0" w:type="dxa"/>
        </w:tblCellMar>
      </w:tblPr>
      <w:tblGrid>
        <w:gridCol w:w="4070"/>
        <w:gridCol w:w="574"/>
        <w:gridCol w:w="1112"/>
        <w:gridCol w:w="4070"/>
        <w:gridCol w:w="574"/>
        <w:gridCol w:w="1750"/>
      </w:tblGrid>
      <w:tr>
        <w:tblPrEx>
          <w:shd w:val="clear" w:color="auto" w:fill="auto"/>
          <w:tblCellMar>
            <w:top w:w="0" w:type="dxa"/>
            <w:left w:w="0" w:type="dxa"/>
            <w:bottom w:w="0" w:type="dxa"/>
            <w:right w:w="0" w:type="dxa"/>
          </w:tblCellMar>
        </w:tblPrEx>
        <w:trPr>
          <w:trHeight w:val="540" w:hRule="atLeast"/>
          <w:jc w:val="center"/>
        </w:trPr>
        <w:tc>
          <w:tcPr>
            <w:tcW w:w="12150" w:type="dxa"/>
            <w:gridSpan w:val="6"/>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收入支出决算总表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编制单位：景德镇市应急管理局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0" w:type="auto"/>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1,313.23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622.71</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二十三、债务还本支出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1,313.23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987.30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                 </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284.56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                                </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610.49</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1,597.79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1,597.79</w:t>
            </w:r>
          </w:p>
        </w:tc>
      </w:tr>
      <w:tr>
        <w:tblPrEx>
          <w:tblCellMar>
            <w:top w:w="0" w:type="dxa"/>
            <w:left w:w="0" w:type="dxa"/>
            <w:bottom w:w="0" w:type="dxa"/>
            <w:right w:w="0" w:type="dxa"/>
          </w:tblCellMar>
        </w:tblPrEx>
        <w:trPr>
          <w:trHeight w:val="308" w:hRule="atLeast"/>
          <w:jc w:val="center"/>
        </w:trPr>
        <w:tc>
          <w:tcPr>
            <w:tcW w:w="0" w:type="auto"/>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p>
    <w:p>
      <w:pPr>
        <w:autoSpaceDE w:val="0"/>
        <w:autoSpaceDN w:val="0"/>
        <w:adjustRightInd w:val="0"/>
        <w:spacing w:line="360" w:lineRule="auto"/>
        <w:jc w:val="left"/>
        <w:rPr>
          <w:rFonts w:hint="eastAsia" w:ascii="仿宋" w:hAnsi="仿宋" w:eastAsia="仿宋" w:cs="仿宋_GB2312"/>
          <w:kern w:val="0"/>
          <w:sz w:val="30"/>
          <w:szCs w:val="30"/>
        </w:rPr>
      </w:pPr>
    </w:p>
    <w:tbl>
      <w:tblPr>
        <w:tblStyle w:val="3"/>
        <w:tblW w:w="12844" w:type="dxa"/>
        <w:jc w:val="center"/>
        <w:shd w:val="clear" w:color="auto" w:fill="auto"/>
        <w:tblLayout w:type="fixed"/>
        <w:tblCellMar>
          <w:top w:w="0" w:type="dxa"/>
          <w:left w:w="0" w:type="dxa"/>
          <w:bottom w:w="0" w:type="dxa"/>
          <w:right w:w="0" w:type="dxa"/>
        </w:tblCellMar>
      </w:tblPr>
      <w:tblGrid>
        <w:gridCol w:w="756"/>
        <w:gridCol w:w="665"/>
        <w:gridCol w:w="398"/>
        <w:gridCol w:w="3836"/>
        <w:gridCol w:w="1044"/>
        <w:gridCol w:w="1082"/>
        <w:gridCol w:w="1064"/>
        <w:gridCol w:w="1025"/>
        <w:gridCol w:w="1000"/>
        <w:gridCol w:w="683"/>
        <w:gridCol w:w="741"/>
        <w:gridCol w:w="550"/>
      </w:tblGrid>
      <w:tr>
        <w:tblPrEx>
          <w:shd w:val="clear" w:color="auto" w:fill="auto"/>
          <w:tblCellMar>
            <w:top w:w="0" w:type="dxa"/>
            <w:left w:w="0" w:type="dxa"/>
            <w:bottom w:w="0" w:type="dxa"/>
            <w:right w:w="0" w:type="dxa"/>
          </w:tblCellMar>
        </w:tblPrEx>
        <w:trPr>
          <w:trHeight w:val="577" w:hRule="atLeast"/>
          <w:jc w:val="center"/>
        </w:trPr>
        <w:tc>
          <w:tcPr>
            <w:tcW w:w="12844" w:type="dxa"/>
            <w:gridSpan w:val="12"/>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收入决算表</w:t>
            </w:r>
          </w:p>
        </w:tc>
      </w:tr>
      <w:tr>
        <w:tblPrEx>
          <w:tblCellMar>
            <w:top w:w="0" w:type="dxa"/>
            <w:left w:w="0" w:type="dxa"/>
            <w:bottom w:w="0" w:type="dxa"/>
            <w:right w:w="0" w:type="dxa"/>
          </w:tblCellMar>
        </w:tblPrEx>
        <w:trPr>
          <w:trHeight w:val="255" w:hRule="atLeast"/>
          <w:jc w:val="center"/>
        </w:trPr>
        <w:tc>
          <w:tcPr>
            <w:tcW w:w="7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74"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55" w:hRule="atLeast"/>
          <w:jc w:val="center"/>
        </w:trPr>
        <w:tc>
          <w:tcPr>
            <w:tcW w:w="6699" w:type="dxa"/>
            <w:gridSpan w:val="5"/>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编制单位：景德镇市应急管理局</w:t>
            </w:r>
          </w:p>
        </w:tc>
        <w:tc>
          <w:tcPr>
            <w:tcW w:w="10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10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9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308" w:hRule="atLeast"/>
          <w:jc w:val="center"/>
        </w:trPr>
        <w:tc>
          <w:tcPr>
            <w:tcW w:w="5655"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1044"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82"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64"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2025"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83"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741"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5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jc w:val="center"/>
        </w:trPr>
        <w:tc>
          <w:tcPr>
            <w:tcW w:w="1819"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383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44"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4"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0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其中：教育收费</w:t>
            </w:r>
          </w:p>
        </w:tc>
        <w:tc>
          <w:tcPr>
            <w:tcW w:w="68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81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3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4"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jc w:val="center"/>
        </w:trPr>
        <w:tc>
          <w:tcPr>
            <w:tcW w:w="181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3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4"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75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665"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98"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8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220" w:hRule="atLeast"/>
          <w:jc w:val="center"/>
        </w:trPr>
        <w:tc>
          <w:tcPr>
            <w:tcW w:w="75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8"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1,313.23</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1,313.23</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2010604</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预算改革业务</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51.68</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51.68</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33.94</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33.94</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33.94</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33.94</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10.56</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10.56</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防灾减灾</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资源勘探信息等支出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工业和信息产业监管</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2150599</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其他工业和信息产业监管支出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国有资产监管</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2150701</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其他资源勘探信息等支出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2159999</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其他资源勘探信息等支出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935.34</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935.34</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881.34</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881.34</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2240101</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238.10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238.10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2240102</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2240106</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安全监管</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2240107</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安全生产基础</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2240108</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应急救援</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72.91</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72.91</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2240150</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48.59</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48.59</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77"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2240199</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23.85</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23.85</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77"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81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2240799</w:t>
            </w:r>
          </w:p>
        </w:tc>
        <w:tc>
          <w:tcPr>
            <w:tcW w:w="3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其他自然灾害生活救助支出</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2844" w:type="dxa"/>
            <w:gridSpan w:val="1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autoSpaceDE w:val="0"/>
        <w:autoSpaceDN w:val="0"/>
        <w:adjustRightInd w:val="0"/>
        <w:spacing w:line="360" w:lineRule="auto"/>
        <w:jc w:val="left"/>
      </w:pPr>
    </w:p>
    <w:tbl>
      <w:tblPr>
        <w:tblStyle w:val="3"/>
        <w:tblpPr w:leftFromText="180" w:rightFromText="180" w:vertAnchor="text" w:horzAnchor="page" w:tblpXSpec="center" w:tblpY="450"/>
        <w:tblOverlap w:val="never"/>
        <w:tblW w:w="13175" w:type="dxa"/>
        <w:jc w:val="center"/>
        <w:shd w:val="clear" w:color="auto" w:fill="auto"/>
        <w:tblLayout w:type="fixed"/>
        <w:tblCellMar>
          <w:top w:w="0" w:type="dxa"/>
          <w:left w:w="0" w:type="dxa"/>
          <w:bottom w:w="0" w:type="dxa"/>
          <w:right w:w="0" w:type="dxa"/>
        </w:tblCellMar>
      </w:tblPr>
      <w:tblGrid>
        <w:gridCol w:w="353"/>
        <w:gridCol w:w="551"/>
        <w:gridCol w:w="589"/>
        <w:gridCol w:w="3740"/>
        <w:gridCol w:w="1026"/>
        <w:gridCol w:w="1177"/>
        <w:gridCol w:w="1044"/>
        <w:gridCol w:w="1861"/>
        <w:gridCol w:w="1538"/>
        <w:gridCol w:w="1296"/>
      </w:tblGrid>
      <w:tr>
        <w:tblPrEx>
          <w:shd w:val="clear" w:color="auto" w:fill="auto"/>
          <w:tblCellMar>
            <w:top w:w="0" w:type="dxa"/>
            <w:left w:w="0" w:type="dxa"/>
            <w:bottom w:w="0" w:type="dxa"/>
            <w:right w:w="0" w:type="dxa"/>
          </w:tblCellMar>
        </w:tblPrEx>
        <w:trPr>
          <w:trHeight w:val="540" w:hRule="atLeast"/>
          <w:jc w:val="center"/>
        </w:trPr>
        <w:tc>
          <w:tcPr>
            <w:tcW w:w="13175" w:type="dxa"/>
            <w:gridSpan w:val="10"/>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支出决算表</w:t>
            </w:r>
          </w:p>
        </w:tc>
      </w:tr>
      <w:tr>
        <w:tblPrEx>
          <w:tblCellMar>
            <w:top w:w="0" w:type="dxa"/>
            <w:left w:w="0" w:type="dxa"/>
            <w:bottom w:w="0" w:type="dxa"/>
            <w:right w:w="0" w:type="dxa"/>
          </w:tblCellMar>
        </w:tblPrEx>
        <w:trPr>
          <w:trHeight w:val="255" w:hRule="atLeast"/>
          <w:jc w:val="center"/>
        </w:trPr>
        <w:tc>
          <w:tcPr>
            <w:tcW w:w="3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5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4"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55" w:hRule="atLeast"/>
          <w:jc w:val="center"/>
        </w:trPr>
        <w:tc>
          <w:tcPr>
            <w:tcW w:w="5233"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编制单位：景德镇市应急管理局</w:t>
            </w:r>
          </w:p>
        </w:tc>
        <w:tc>
          <w:tcPr>
            <w:tcW w:w="102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08" w:hRule="atLeast"/>
          <w:jc w:val="center"/>
        </w:trPr>
        <w:tc>
          <w:tcPr>
            <w:tcW w:w="5233"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102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7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4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53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29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jc w:val="center"/>
        </w:trPr>
        <w:tc>
          <w:tcPr>
            <w:tcW w:w="1493"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374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2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49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49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35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55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58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7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9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35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987.30</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695.12</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292.18</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2010604</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预算改革业务</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防灾减灾</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资源勘探信息等支出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工业和信息产业监管</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2150599</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其他工业和信息产业监管支出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国有资产监管</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2150701</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其他资源勘探信息等支出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2159999</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其他资源勘探信息等支出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622.71</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360.53</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262.18</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622.71</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360.53</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262.18</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2240101</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2240102</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64.00</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64.00</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2240106</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安全监管</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166.93</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133.90</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33.03</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2240107</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安全生产基础</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145.90</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15.15</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4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2240108</w:t>
            </w:r>
          </w:p>
        </w:tc>
        <w:tc>
          <w:tcPr>
            <w:tcW w:w="3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应急救援</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98.40</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98.40</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13175" w:type="dxa"/>
            <w:gridSpan w:val="10"/>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tbl>
      <w:tblPr>
        <w:tblStyle w:val="3"/>
        <w:tblW w:w="13159" w:type="dxa"/>
        <w:tblInd w:w="414" w:type="dxa"/>
        <w:shd w:val="clear" w:color="auto" w:fill="auto"/>
        <w:tblLayout w:type="fixed"/>
        <w:tblCellMar>
          <w:top w:w="0" w:type="dxa"/>
          <w:left w:w="0" w:type="dxa"/>
          <w:bottom w:w="0" w:type="dxa"/>
          <w:right w:w="0" w:type="dxa"/>
        </w:tblCellMar>
      </w:tblPr>
      <w:tblGrid>
        <w:gridCol w:w="2646"/>
        <w:gridCol w:w="540"/>
        <w:gridCol w:w="1800"/>
        <w:gridCol w:w="2970"/>
        <w:gridCol w:w="760"/>
        <w:gridCol w:w="1348"/>
        <w:gridCol w:w="1538"/>
        <w:gridCol w:w="1557"/>
      </w:tblGrid>
      <w:tr>
        <w:tblPrEx>
          <w:shd w:val="clear" w:color="auto" w:fill="auto"/>
          <w:tblCellMar>
            <w:top w:w="0" w:type="dxa"/>
            <w:left w:w="0" w:type="dxa"/>
            <w:bottom w:w="0" w:type="dxa"/>
            <w:right w:w="0" w:type="dxa"/>
          </w:tblCellMar>
        </w:tblPrEx>
        <w:trPr>
          <w:trHeight w:val="540" w:hRule="atLeast"/>
        </w:trPr>
        <w:tc>
          <w:tcPr>
            <w:tcW w:w="13159"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255" w:hRule="atLeast"/>
        </w:trPr>
        <w:tc>
          <w:tcPr>
            <w:tcW w:w="26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4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55" w:hRule="atLeast"/>
        </w:trPr>
        <w:tc>
          <w:tcPr>
            <w:tcW w:w="3186"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编制单位：景德镇市应急管理局</w:t>
            </w: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4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308" w:hRule="atLeast"/>
        </w:trPr>
        <w:tc>
          <w:tcPr>
            <w:tcW w:w="498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173"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08" w:hRule="atLeast"/>
        </w:trPr>
        <w:tc>
          <w:tcPr>
            <w:tcW w:w="264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54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0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297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76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44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585" w:hRule="atLeast"/>
        </w:trPr>
        <w:tc>
          <w:tcPr>
            <w:tcW w:w="264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7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55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5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1,313.23</w:t>
            </w: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622.71</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622.71</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二十三、债务还本支出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1,313.23</w:t>
            </w: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987.30</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987.30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284.56</w:t>
            </w: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610.49</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610.49</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284.56</w:t>
            </w: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4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1,597.79</w:t>
            </w:r>
          </w:p>
        </w:tc>
        <w:tc>
          <w:tcPr>
            <w:tcW w:w="2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1,597.79</w:t>
            </w:r>
          </w:p>
        </w:tc>
        <w:tc>
          <w:tcPr>
            <w:tcW w:w="1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1,597.79</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159"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tbl>
      <w:tblPr>
        <w:tblStyle w:val="3"/>
        <w:tblW w:w="13140" w:type="dxa"/>
        <w:tblInd w:w="452" w:type="dxa"/>
        <w:shd w:val="clear" w:color="auto" w:fill="auto"/>
        <w:tblLayout w:type="fixed"/>
        <w:tblCellMar>
          <w:top w:w="0" w:type="dxa"/>
          <w:left w:w="0" w:type="dxa"/>
          <w:bottom w:w="0" w:type="dxa"/>
          <w:right w:w="0" w:type="dxa"/>
        </w:tblCellMar>
      </w:tblPr>
      <w:tblGrid>
        <w:gridCol w:w="2947"/>
        <w:gridCol w:w="300"/>
        <w:gridCol w:w="300"/>
        <w:gridCol w:w="4528"/>
        <w:gridCol w:w="1622"/>
        <w:gridCol w:w="1506"/>
        <w:gridCol w:w="1937"/>
      </w:tblGrid>
      <w:tr>
        <w:tblPrEx>
          <w:shd w:val="clear" w:color="auto" w:fill="auto"/>
          <w:tblCellMar>
            <w:top w:w="0" w:type="dxa"/>
            <w:left w:w="0" w:type="dxa"/>
            <w:bottom w:w="0" w:type="dxa"/>
            <w:right w:w="0" w:type="dxa"/>
          </w:tblCellMar>
        </w:tblPrEx>
        <w:trPr>
          <w:trHeight w:val="540" w:hRule="atLeast"/>
        </w:trPr>
        <w:tc>
          <w:tcPr>
            <w:tcW w:w="13140" w:type="dxa"/>
            <w:gridSpan w:val="7"/>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29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2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3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55" w:hRule="atLeast"/>
        </w:trPr>
        <w:tc>
          <w:tcPr>
            <w:tcW w:w="294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编制单位：景德镇市应急管理局</w:t>
            </w:r>
          </w:p>
        </w:tc>
        <w:tc>
          <w:tcPr>
            <w:tcW w:w="3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2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2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15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3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公开05表 </w:t>
            </w:r>
          </w:p>
        </w:tc>
      </w:tr>
      <w:tr>
        <w:tblPrEx>
          <w:tblCellMar>
            <w:top w:w="0" w:type="dxa"/>
            <w:left w:w="0" w:type="dxa"/>
            <w:bottom w:w="0" w:type="dxa"/>
            <w:right w:w="0" w:type="dxa"/>
          </w:tblCellMar>
        </w:tblPrEx>
        <w:trPr>
          <w:trHeight w:val="308" w:hRule="atLeast"/>
        </w:trPr>
        <w:tc>
          <w:tcPr>
            <w:tcW w:w="8075"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1622"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06"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937"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trPr>
        <w:tc>
          <w:tcPr>
            <w:tcW w:w="3547"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4528"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22"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6"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7"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54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8"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2"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6"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7"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54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8"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2"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6"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7"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4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0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0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452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294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987.30</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695.12</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292.18</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2010604</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预算改革业务</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防灾减灾</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资源勘探信息等支出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工业和信息产业监管</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2150599</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其他工业和信息产业监管支出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219.23</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国有资产监管</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2150701</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其他资源勘探信息等支出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2159999</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其他资源勘探信息等支出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28.55</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622.71</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360.53</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262.18</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622.71</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360.53</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262.18</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2240101</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147.48</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2240102</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64.00</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64.00</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2240106</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安全监管</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166.93</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133.90</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33.03</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2240107</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安全生产基础</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145.90</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15.15</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w:t>
            </w:r>
          </w:p>
        </w:tc>
      </w:tr>
      <w:tr>
        <w:tblPrEx>
          <w:tblCellMar>
            <w:top w:w="0" w:type="dxa"/>
            <w:left w:w="0" w:type="dxa"/>
            <w:bottom w:w="0" w:type="dxa"/>
            <w:right w:w="0" w:type="dxa"/>
          </w:tblCellMar>
        </w:tblPrEx>
        <w:trPr>
          <w:trHeight w:val="308" w:hRule="atLeast"/>
        </w:trPr>
        <w:tc>
          <w:tcPr>
            <w:tcW w:w="354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2240108</w:t>
            </w:r>
          </w:p>
        </w:tc>
        <w:tc>
          <w:tcPr>
            <w:tcW w:w="4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应急救援</w:t>
            </w:r>
          </w:p>
        </w:tc>
        <w:tc>
          <w:tcPr>
            <w:tcW w:w="1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98.40</w:t>
            </w: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98.40</w:t>
            </w:r>
          </w:p>
        </w:tc>
      </w:tr>
      <w:tr>
        <w:tblPrEx>
          <w:tblCellMar>
            <w:top w:w="0" w:type="dxa"/>
            <w:left w:w="0" w:type="dxa"/>
            <w:bottom w:w="0" w:type="dxa"/>
            <w:right w:w="0" w:type="dxa"/>
          </w:tblCellMar>
        </w:tblPrEx>
        <w:trPr>
          <w:trHeight w:val="308" w:hRule="atLeast"/>
        </w:trPr>
        <w:tc>
          <w:tcPr>
            <w:tcW w:w="1314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tbl>
      <w:tblPr>
        <w:tblStyle w:val="3"/>
        <w:tblW w:w="13120" w:type="dxa"/>
        <w:tblInd w:w="484" w:type="dxa"/>
        <w:shd w:val="clear" w:color="auto" w:fill="auto"/>
        <w:tblLayout w:type="fixed"/>
        <w:tblCellMar>
          <w:top w:w="0" w:type="dxa"/>
          <w:left w:w="0" w:type="dxa"/>
          <w:bottom w:w="0" w:type="dxa"/>
          <w:right w:w="0" w:type="dxa"/>
        </w:tblCellMar>
      </w:tblPr>
      <w:tblGrid>
        <w:gridCol w:w="1500"/>
        <w:gridCol w:w="2031"/>
        <w:gridCol w:w="1507"/>
        <w:gridCol w:w="949"/>
        <w:gridCol w:w="1690"/>
        <w:gridCol w:w="1114"/>
        <w:gridCol w:w="1044"/>
        <w:gridCol w:w="2146"/>
        <w:gridCol w:w="1139"/>
      </w:tblGrid>
      <w:tr>
        <w:tblPrEx>
          <w:shd w:val="clear" w:color="auto" w:fill="auto"/>
          <w:tblCellMar>
            <w:top w:w="0" w:type="dxa"/>
            <w:left w:w="0" w:type="dxa"/>
            <w:bottom w:w="0" w:type="dxa"/>
            <w:right w:w="0" w:type="dxa"/>
          </w:tblCellMar>
        </w:tblPrEx>
        <w:trPr>
          <w:trHeight w:val="634" w:hRule="atLeast"/>
        </w:trPr>
        <w:tc>
          <w:tcPr>
            <w:tcW w:w="13120" w:type="dxa"/>
            <w:gridSpan w:val="9"/>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一般公共预算财政拨款基本支出决算表</w:t>
            </w:r>
          </w:p>
        </w:tc>
      </w:tr>
      <w:tr>
        <w:tblPrEx>
          <w:tblCellMar>
            <w:top w:w="0" w:type="dxa"/>
            <w:left w:w="0" w:type="dxa"/>
            <w:bottom w:w="0" w:type="dxa"/>
            <w:right w:w="0" w:type="dxa"/>
          </w:tblCellMar>
        </w:tblPrEx>
        <w:trPr>
          <w:trHeight w:val="255" w:hRule="atLeast"/>
        </w:trPr>
        <w:tc>
          <w:tcPr>
            <w:tcW w:w="15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8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55" w:hRule="atLeast"/>
        </w:trPr>
        <w:tc>
          <w:tcPr>
            <w:tcW w:w="353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编制单位：景德镇市应急管理局</w:t>
            </w:r>
          </w:p>
        </w:tc>
        <w:tc>
          <w:tcPr>
            <w:tcW w:w="15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111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CellMar>
            <w:top w:w="0" w:type="dxa"/>
            <w:left w:w="0" w:type="dxa"/>
            <w:bottom w:w="0" w:type="dxa"/>
            <w:right w:w="0" w:type="dxa"/>
          </w:tblCellMar>
        </w:tblPrEx>
        <w:trPr>
          <w:trHeight w:val="308" w:hRule="atLeast"/>
        </w:trPr>
        <w:tc>
          <w:tcPr>
            <w:tcW w:w="5038"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082"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662" w:hRule="atLeast"/>
        </w:trPr>
        <w:tc>
          <w:tcPr>
            <w:tcW w:w="150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9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1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0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3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502"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679.76</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302</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307</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债务利息及费用支出</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9"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182.13</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3"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88.37</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44"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188.01</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25"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31.27</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7"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46.64</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资本性支出</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01"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47.69</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06"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06"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26.55</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20"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公务员医疗补助缴款</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63"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0.17</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25"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46.55</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06"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63"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22.39</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7"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303</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对个人和家庭的补助</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20"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310111</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44"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63"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25"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63"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生活补贴</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25"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44"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44"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15.15</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312</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对企业补助</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82"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64"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44"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其他对个人和家庭的补助支出</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68"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25"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82"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399</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其他支出</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7"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68"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62"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62" w:hRule="atLeast"/>
        </w:trPr>
        <w:tc>
          <w:tcPr>
            <w:tcW w:w="1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1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62" w:hRule="atLeast"/>
        </w:trPr>
        <w:tc>
          <w:tcPr>
            <w:tcW w:w="353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679.92</w:t>
            </w:r>
          </w:p>
        </w:tc>
        <w:tc>
          <w:tcPr>
            <w:tcW w:w="694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公用支出合计</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w:t>
            </w:r>
          </w:p>
        </w:tc>
      </w:tr>
      <w:tr>
        <w:tblPrEx>
          <w:tblCellMar>
            <w:top w:w="0" w:type="dxa"/>
            <w:left w:w="0" w:type="dxa"/>
            <w:bottom w:w="0" w:type="dxa"/>
            <w:right w:w="0" w:type="dxa"/>
          </w:tblCellMar>
        </w:tblPrEx>
        <w:trPr>
          <w:trHeight w:val="308" w:hRule="atLeast"/>
        </w:trPr>
        <w:tc>
          <w:tcPr>
            <w:tcW w:w="13120" w:type="dxa"/>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autoSpaceDE w:val="0"/>
        <w:autoSpaceDN w:val="0"/>
        <w:adjustRightInd w:val="0"/>
        <w:spacing w:line="360" w:lineRule="auto"/>
        <w:jc w:val="left"/>
        <w:rPr>
          <w:rFonts w:hint="eastAsia" w:ascii="仿宋" w:hAnsi="仿宋" w:eastAsia="仿宋" w:cs="仿宋_GB2312"/>
          <w:kern w:val="0"/>
          <w:sz w:val="30"/>
          <w:szCs w:val="30"/>
        </w:rPr>
      </w:pPr>
    </w:p>
    <w:tbl>
      <w:tblPr>
        <w:tblStyle w:val="3"/>
        <w:tblW w:w="13121" w:type="dxa"/>
        <w:tblInd w:w="490" w:type="dxa"/>
        <w:shd w:val="clear" w:color="auto" w:fill="auto"/>
        <w:tblLayout w:type="fixed"/>
        <w:tblCellMar>
          <w:top w:w="0" w:type="dxa"/>
          <w:left w:w="0" w:type="dxa"/>
          <w:bottom w:w="0" w:type="dxa"/>
          <w:right w:w="0" w:type="dxa"/>
        </w:tblCellMar>
      </w:tblPr>
      <w:tblGrid>
        <w:gridCol w:w="3422"/>
        <w:gridCol w:w="970"/>
        <w:gridCol w:w="3849"/>
        <w:gridCol w:w="4880"/>
      </w:tblGrid>
      <w:tr>
        <w:tblPrEx>
          <w:shd w:val="clear" w:color="auto" w:fill="auto"/>
          <w:tblCellMar>
            <w:top w:w="0" w:type="dxa"/>
            <w:left w:w="0" w:type="dxa"/>
            <w:bottom w:w="0" w:type="dxa"/>
            <w:right w:w="0" w:type="dxa"/>
          </w:tblCellMar>
        </w:tblPrEx>
        <w:trPr>
          <w:trHeight w:val="540" w:hRule="atLeast"/>
        </w:trPr>
        <w:tc>
          <w:tcPr>
            <w:tcW w:w="13121" w:type="dxa"/>
            <w:gridSpan w:val="4"/>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CellMar>
            <w:top w:w="0" w:type="dxa"/>
            <w:left w:w="0" w:type="dxa"/>
            <w:bottom w:w="0" w:type="dxa"/>
            <w:right w:w="0" w:type="dxa"/>
          </w:tblCellMar>
        </w:tblPrEx>
        <w:trPr>
          <w:trHeight w:val="255" w:hRule="atLeast"/>
        </w:trPr>
        <w:tc>
          <w:tcPr>
            <w:tcW w:w="34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55" w:hRule="atLeast"/>
        </w:trPr>
        <w:tc>
          <w:tcPr>
            <w:tcW w:w="342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编制单位：景德镇市应急管理局</w:t>
            </w:r>
          </w:p>
        </w:tc>
        <w:tc>
          <w:tcPr>
            <w:tcW w:w="9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38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08" w:hRule="atLeast"/>
        </w:trPr>
        <w:tc>
          <w:tcPr>
            <w:tcW w:w="34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70"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849"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4880"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二、相关统计数</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34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8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13121"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注：本表反映部门本年度“三公”经费支出预决算情况。其中：预算数为批复的年初预算数，不包含以前年度结转的资金；决算数是包括当年一般公共预算财政拨款和以前年度结转资金安排的实际支出。</w:t>
            </w:r>
          </w:p>
        </w:tc>
      </w:tr>
      <w:tr>
        <w:tblPrEx>
          <w:tblCellMar>
            <w:top w:w="0" w:type="dxa"/>
            <w:left w:w="0" w:type="dxa"/>
            <w:bottom w:w="0" w:type="dxa"/>
            <w:right w:w="0" w:type="dxa"/>
          </w:tblCellMar>
        </w:tblPrEx>
        <w:trPr>
          <w:trHeight w:val="523" w:hRule="atLeast"/>
        </w:trPr>
        <w:tc>
          <w:tcPr>
            <w:tcW w:w="13121"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autoSpaceDE w:val="0"/>
        <w:autoSpaceDN w:val="0"/>
        <w:adjustRightInd w:val="0"/>
        <w:spacing w:line="360" w:lineRule="auto"/>
        <w:jc w:val="left"/>
        <w:rPr>
          <w:rFonts w:hint="eastAsia" w:ascii="仿宋" w:hAnsi="仿宋" w:eastAsia="仿宋" w:cs="仿宋_GB2312"/>
          <w:kern w:val="0"/>
          <w:sz w:val="30"/>
          <w:szCs w:val="30"/>
        </w:rPr>
      </w:pPr>
    </w:p>
    <w:tbl>
      <w:tblPr>
        <w:tblStyle w:val="3"/>
        <w:tblW w:w="13630" w:type="dxa"/>
        <w:tblInd w:w="0" w:type="dxa"/>
        <w:shd w:val="clear" w:color="auto" w:fill="auto"/>
        <w:tblLayout w:type="fixed"/>
        <w:tblCellMar>
          <w:top w:w="0" w:type="dxa"/>
          <w:left w:w="0" w:type="dxa"/>
          <w:bottom w:w="0" w:type="dxa"/>
          <w:right w:w="0" w:type="dxa"/>
        </w:tblCellMar>
      </w:tblPr>
      <w:tblGrid>
        <w:gridCol w:w="471"/>
        <w:gridCol w:w="677"/>
        <w:gridCol w:w="589"/>
        <w:gridCol w:w="607"/>
        <w:gridCol w:w="1330"/>
        <w:gridCol w:w="1516"/>
        <w:gridCol w:w="439"/>
        <w:gridCol w:w="2051"/>
        <w:gridCol w:w="1013"/>
        <w:gridCol w:w="658"/>
        <w:gridCol w:w="1462"/>
        <w:gridCol w:w="1177"/>
        <w:gridCol w:w="1633"/>
        <w:gridCol w:w="7"/>
      </w:tblGrid>
      <w:tr>
        <w:tblPrEx>
          <w:shd w:val="clear" w:color="auto" w:fill="auto"/>
          <w:tblCellMar>
            <w:top w:w="0" w:type="dxa"/>
            <w:left w:w="0" w:type="dxa"/>
            <w:bottom w:w="0" w:type="dxa"/>
            <w:right w:w="0" w:type="dxa"/>
          </w:tblCellMar>
        </w:tblPrEx>
        <w:trPr>
          <w:gridBefore w:val="1"/>
          <w:gridAfter w:val="1"/>
          <w:wBefore w:w="471" w:type="dxa"/>
          <w:wAfter w:w="7" w:type="dxa"/>
          <w:trHeight w:val="540" w:hRule="atLeast"/>
        </w:trPr>
        <w:tc>
          <w:tcPr>
            <w:tcW w:w="13152" w:type="dxa"/>
            <w:gridSpan w:val="12"/>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gridBefore w:val="1"/>
          <w:gridAfter w:val="1"/>
          <w:wBefore w:w="471" w:type="dxa"/>
          <w:wAfter w:w="7" w:type="dxa"/>
          <w:trHeight w:val="255" w:hRule="atLeast"/>
        </w:trPr>
        <w:tc>
          <w:tcPr>
            <w:tcW w:w="67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5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7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6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gridBefore w:val="1"/>
          <w:gridAfter w:val="1"/>
          <w:wBefore w:w="471" w:type="dxa"/>
          <w:wAfter w:w="7" w:type="dxa"/>
          <w:trHeight w:val="255" w:hRule="atLeast"/>
        </w:trPr>
        <w:tc>
          <w:tcPr>
            <w:tcW w:w="3203"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编制单位：景德镇市应急管理局</w:t>
            </w:r>
          </w:p>
        </w:tc>
        <w:tc>
          <w:tcPr>
            <w:tcW w:w="195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167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6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gridBefore w:val="1"/>
          <w:gridAfter w:val="1"/>
          <w:wBefore w:w="471" w:type="dxa"/>
          <w:wAfter w:w="7" w:type="dxa"/>
          <w:trHeight w:val="308" w:hRule="atLeast"/>
        </w:trPr>
        <w:tc>
          <w:tcPr>
            <w:tcW w:w="3203"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1955" w:type="dxa"/>
            <w:gridSpan w:val="2"/>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2051"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310" w:type="dxa"/>
            <w:gridSpan w:val="4"/>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633"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gridBefore w:val="1"/>
          <w:gridAfter w:val="1"/>
          <w:wBefore w:w="471" w:type="dxa"/>
          <w:wAfter w:w="7" w:type="dxa"/>
          <w:trHeight w:val="308" w:hRule="atLeast"/>
        </w:trPr>
        <w:tc>
          <w:tcPr>
            <w:tcW w:w="1873"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133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55" w:type="dxa"/>
            <w:gridSpan w:val="2"/>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1" w:type="dxa"/>
            <w:gridSpan w:val="2"/>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62"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3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187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5" w:type="dxa"/>
            <w:gridSpan w:val="2"/>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1"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187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5" w:type="dxa"/>
            <w:gridSpan w:val="2"/>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1"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67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58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60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5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7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gridBefore w:val="1"/>
          <w:gridAfter w:val="1"/>
          <w:wBefore w:w="471" w:type="dxa"/>
          <w:wAfter w:w="7" w:type="dxa"/>
          <w:trHeight w:val="308" w:hRule="atLeast"/>
        </w:trPr>
        <w:tc>
          <w:tcPr>
            <w:tcW w:w="67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187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187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187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187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187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187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471" w:type="dxa"/>
          <w:wAfter w:w="7" w:type="dxa"/>
          <w:trHeight w:val="308" w:hRule="atLeast"/>
        </w:trPr>
        <w:tc>
          <w:tcPr>
            <w:tcW w:w="13152" w:type="dxa"/>
            <w:gridSpan w:val="1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r>
        <w:tblPrEx>
          <w:tblCellMar>
            <w:top w:w="0" w:type="dxa"/>
            <w:left w:w="0" w:type="dxa"/>
            <w:bottom w:w="0" w:type="dxa"/>
            <w:right w:w="0" w:type="dxa"/>
          </w:tblCellMar>
        </w:tblPrEx>
        <w:trPr>
          <w:trHeight w:val="540" w:hRule="atLeast"/>
        </w:trPr>
        <w:tc>
          <w:tcPr>
            <w:tcW w:w="13630" w:type="dxa"/>
            <w:gridSpan w:val="14"/>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国有资产占用情况表</w:t>
            </w:r>
          </w:p>
        </w:tc>
      </w:tr>
      <w:tr>
        <w:tblPrEx>
          <w:tblCellMar>
            <w:top w:w="0" w:type="dxa"/>
            <w:left w:w="0" w:type="dxa"/>
            <w:bottom w:w="0" w:type="dxa"/>
            <w:right w:w="0" w:type="dxa"/>
          </w:tblCellMar>
        </w:tblPrEx>
        <w:trPr>
          <w:trHeight w:val="255" w:hRule="atLeast"/>
        </w:trPr>
        <w:tc>
          <w:tcPr>
            <w:tcW w:w="5190" w:type="dxa"/>
            <w:gridSpan w:val="6"/>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37"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255" w:hRule="atLeast"/>
        </w:trPr>
        <w:tc>
          <w:tcPr>
            <w:tcW w:w="519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编制单位：景德镇市应急管理局</w:t>
            </w:r>
          </w:p>
        </w:tc>
        <w:tc>
          <w:tcPr>
            <w:tcW w:w="3503"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4937"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308" w:hRule="atLeast"/>
        </w:trPr>
        <w:tc>
          <w:tcPr>
            <w:tcW w:w="5190"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3503"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937"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一、车辆数合计(台、辆)</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二、单价50万元（含）以上通用设备（台，套）</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90"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三、单价100万元（含）以上专用设备（台，套）</w:t>
            </w:r>
          </w:p>
        </w:tc>
        <w:tc>
          <w:tcPr>
            <w:tcW w:w="3503"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93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1313.23</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284.56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172.02</w:t>
      </w:r>
      <w:r>
        <w:rPr>
          <w:rFonts w:hint="eastAsia" w:ascii="仿宋" w:hAnsi="仿宋" w:eastAsia="仿宋"/>
          <w:sz w:val="30"/>
          <w:szCs w:val="30"/>
        </w:rPr>
        <w:t>万元，增长</w:t>
      </w:r>
      <w:r>
        <w:rPr>
          <w:rFonts w:hint="eastAsia" w:ascii="仿宋" w:hAnsi="仿宋" w:eastAsia="仿宋"/>
          <w:sz w:val="30"/>
          <w:szCs w:val="30"/>
          <w:lang w:val="en-US" w:eastAsia="zh-CN"/>
        </w:rPr>
        <w:t>152.85</w:t>
      </w:r>
      <w:r>
        <w:rPr>
          <w:rFonts w:hint="eastAsia" w:ascii="仿宋" w:hAnsi="仿宋" w:eastAsia="仿宋"/>
          <w:sz w:val="30"/>
          <w:szCs w:val="30"/>
        </w:rPr>
        <w:t>%；本年收入合计</w:t>
      </w:r>
      <w:r>
        <w:rPr>
          <w:rFonts w:hint="eastAsia" w:ascii="仿宋" w:hAnsi="仿宋" w:eastAsia="仿宋"/>
          <w:sz w:val="30"/>
          <w:szCs w:val="30"/>
          <w:lang w:val="en-US" w:eastAsia="zh-CN"/>
        </w:rPr>
        <w:t>1597.79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261.68</w:t>
      </w:r>
      <w:r>
        <w:rPr>
          <w:rFonts w:hint="eastAsia" w:ascii="仿宋" w:hAnsi="仿宋" w:eastAsia="仿宋"/>
          <w:sz w:val="30"/>
          <w:szCs w:val="30"/>
        </w:rPr>
        <w:t>万元，增长</w:t>
      </w:r>
      <w:r>
        <w:rPr>
          <w:rFonts w:hint="eastAsia" w:ascii="仿宋" w:hAnsi="仿宋" w:eastAsia="仿宋"/>
          <w:sz w:val="30"/>
          <w:szCs w:val="30"/>
          <w:lang w:val="en-US" w:eastAsia="zh-CN"/>
        </w:rPr>
        <w:t>19.59</w:t>
      </w:r>
      <w:r>
        <w:rPr>
          <w:rFonts w:hint="eastAsia" w:ascii="仿宋" w:hAnsi="仿宋" w:eastAsia="仿宋"/>
          <w:sz w:val="30"/>
          <w:szCs w:val="30"/>
        </w:rPr>
        <w:t xml:space="preserve"> %，主要原因是：</w:t>
      </w:r>
      <w:r>
        <w:rPr>
          <w:rFonts w:hint="eastAsia" w:ascii="仿宋" w:hAnsi="仿宋" w:eastAsia="仿宋"/>
          <w:sz w:val="30"/>
          <w:szCs w:val="30"/>
          <w:lang w:eastAsia="zh-CN"/>
        </w:rPr>
        <w:t>我局是</w:t>
      </w:r>
      <w:r>
        <w:rPr>
          <w:rFonts w:hint="eastAsia" w:ascii="仿宋" w:hAnsi="仿宋" w:eastAsia="仿宋"/>
          <w:sz w:val="30"/>
          <w:szCs w:val="30"/>
          <w:lang w:val="en-US" w:eastAsia="zh-CN"/>
        </w:rPr>
        <w:t>在原市安监局的基础上整合增加了其他人员和职能。</w:t>
      </w: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1313.23</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 xml:space="preserve"> %；事业收入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年度支出总计 </w:t>
      </w:r>
      <w:r>
        <w:rPr>
          <w:rFonts w:hint="eastAsia" w:ascii="仿宋" w:hAnsi="仿宋" w:eastAsia="仿宋"/>
          <w:sz w:val="30"/>
          <w:szCs w:val="30"/>
          <w:lang w:val="en-US" w:eastAsia="zh-CN"/>
        </w:rPr>
        <w:t>1597.79</w:t>
      </w:r>
      <w:r>
        <w:rPr>
          <w:rFonts w:hint="eastAsia" w:ascii="仿宋" w:hAnsi="仿宋" w:eastAsia="仿宋"/>
          <w:sz w:val="30"/>
          <w:szCs w:val="30"/>
        </w:rPr>
        <w:t>万元，其中本年支出合计</w:t>
      </w:r>
      <w:r>
        <w:rPr>
          <w:rFonts w:hint="eastAsia" w:ascii="仿宋" w:hAnsi="仿宋" w:eastAsia="仿宋"/>
          <w:sz w:val="30"/>
          <w:szCs w:val="30"/>
          <w:lang w:val="en-US" w:eastAsia="zh-CN"/>
        </w:rPr>
        <w:t>987.30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64.25</w:t>
      </w:r>
      <w:r>
        <w:rPr>
          <w:rFonts w:hint="eastAsia" w:ascii="仿宋" w:hAnsi="仿宋" w:eastAsia="仿宋"/>
          <w:sz w:val="30"/>
          <w:szCs w:val="30"/>
        </w:rPr>
        <w:t>万元，下降</w:t>
      </w:r>
      <w:r>
        <w:rPr>
          <w:rFonts w:hint="eastAsia" w:ascii="仿宋" w:hAnsi="仿宋" w:eastAsia="仿宋"/>
          <w:sz w:val="30"/>
          <w:szCs w:val="30"/>
          <w:lang w:val="en-US" w:eastAsia="zh-CN"/>
        </w:rPr>
        <w:t>6.11</w:t>
      </w:r>
      <w:r>
        <w:rPr>
          <w:rFonts w:hint="eastAsia" w:ascii="仿宋" w:hAnsi="仿宋" w:eastAsia="仿宋"/>
          <w:sz w:val="30"/>
          <w:szCs w:val="30"/>
        </w:rPr>
        <w:t>%，主要原因是：</w:t>
      </w:r>
      <w:r>
        <w:rPr>
          <w:rFonts w:hint="eastAsia" w:ascii="仿宋" w:hAnsi="仿宋" w:eastAsia="仿宋"/>
          <w:sz w:val="30"/>
          <w:szCs w:val="30"/>
          <w:lang w:eastAsia="zh-CN"/>
        </w:rPr>
        <w:t>落实过紧日子要求，压减开支</w:t>
      </w:r>
      <w:r>
        <w:rPr>
          <w:rFonts w:hint="eastAsia" w:ascii="仿宋" w:hAnsi="仿宋" w:eastAsia="仿宋"/>
          <w:sz w:val="30"/>
          <w:szCs w:val="30"/>
        </w:rPr>
        <w:t>；年末结转和结余</w:t>
      </w:r>
      <w:r>
        <w:rPr>
          <w:rFonts w:hint="eastAsia" w:ascii="仿宋" w:hAnsi="仿宋" w:eastAsia="仿宋"/>
          <w:sz w:val="30"/>
          <w:szCs w:val="30"/>
          <w:lang w:val="en-US" w:eastAsia="zh-CN"/>
        </w:rPr>
        <w:t>610.49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325.93</w:t>
      </w:r>
      <w:r>
        <w:rPr>
          <w:rFonts w:hint="eastAsia" w:ascii="仿宋" w:hAnsi="仿宋" w:eastAsia="仿宋"/>
          <w:sz w:val="30"/>
          <w:szCs w:val="30"/>
        </w:rPr>
        <w:t>万元，增长</w:t>
      </w:r>
      <w:r>
        <w:rPr>
          <w:rFonts w:hint="eastAsia" w:ascii="仿宋" w:hAnsi="仿宋" w:eastAsia="仿宋"/>
          <w:sz w:val="30"/>
          <w:szCs w:val="30"/>
          <w:lang w:val="en-US" w:eastAsia="zh-CN"/>
        </w:rPr>
        <w:t>114.54</w:t>
      </w:r>
      <w:r>
        <w:rPr>
          <w:rFonts w:hint="eastAsia" w:ascii="仿宋" w:hAnsi="仿宋" w:eastAsia="仿宋"/>
          <w:sz w:val="30"/>
          <w:szCs w:val="30"/>
        </w:rPr>
        <w:t>%，主要原因是：</w:t>
      </w:r>
      <w:r>
        <w:rPr>
          <w:rFonts w:hint="eastAsia" w:ascii="仿宋" w:hAnsi="仿宋" w:eastAsia="仿宋"/>
          <w:sz w:val="30"/>
          <w:szCs w:val="30"/>
          <w:lang w:eastAsia="zh-CN"/>
        </w:rPr>
        <w:t>专项资金到位较晚，未能在年前及时拨出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695.12</w:t>
      </w:r>
      <w:r>
        <w:rPr>
          <w:rFonts w:hint="eastAsia" w:ascii="仿宋" w:hAnsi="仿宋" w:eastAsia="仿宋"/>
          <w:sz w:val="30"/>
          <w:szCs w:val="30"/>
        </w:rPr>
        <w:t>万元，占</w:t>
      </w:r>
      <w:r>
        <w:rPr>
          <w:rFonts w:hint="eastAsia" w:ascii="仿宋" w:hAnsi="仿宋" w:eastAsia="仿宋"/>
          <w:sz w:val="30"/>
          <w:szCs w:val="30"/>
          <w:lang w:val="en-US" w:eastAsia="zh-CN"/>
        </w:rPr>
        <w:t>70.41</w:t>
      </w:r>
      <w:r>
        <w:rPr>
          <w:rFonts w:hint="eastAsia" w:ascii="仿宋" w:hAnsi="仿宋" w:eastAsia="仿宋"/>
          <w:sz w:val="30"/>
          <w:szCs w:val="30"/>
        </w:rPr>
        <w:t>%；项目支出</w:t>
      </w:r>
      <w:r>
        <w:rPr>
          <w:rFonts w:hint="eastAsia" w:ascii="仿宋" w:hAnsi="仿宋" w:eastAsia="仿宋"/>
          <w:sz w:val="30"/>
          <w:szCs w:val="30"/>
          <w:lang w:val="en-US" w:eastAsia="zh-CN"/>
        </w:rPr>
        <w:t>292.18</w:t>
      </w:r>
      <w:r>
        <w:rPr>
          <w:rFonts w:hint="eastAsia" w:ascii="仿宋" w:hAnsi="仿宋" w:eastAsia="仿宋"/>
          <w:sz w:val="30"/>
          <w:szCs w:val="30"/>
        </w:rPr>
        <w:t>万元，占</w:t>
      </w:r>
      <w:r>
        <w:rPr>
          <w:rFonts w:hint="eastAsia" w:ascii="仿宋" w:hAnsi="仿宋" w:eastAsia="仿宋"/>
          <w:sz w:val="30"/>
          <w:szCs w:val="30"/>
          <w:lang w:val="en-US" w:eastAsia="zh-CN"/>
        </w:rPr>
        <w:t>29.59</w:t>
      </w:r>
      <w:r>
        <w:rPr>
          <w:rFonts w:hint="eastAsia" w:ascii="仿宋" w:hAnsi="仿宋" w:eastAsia="仿宋"/>
          <w:sz w:val="30"/>
          <w:szCs w:val="30"/>
        </w:rPr>
        <w:t xml:space="preserve"> %；经营支出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1313.23</w:t>
      </w:r>
      <w:r>
        <w:rPr>
          <w:rFonts w:hint="eastAsia" w:ascii="仿宋" w:hAnsi="仿宋" w:eastAsia="仿宋"/>
          <w:sz w:val="30"/>
          <w:szCs w:val="30"/>
        </w:rPr>
        <w:t>万元，决算数为</w:t>
      </w:r>
      <w:r>
        <w:rPr>
          <w:rFonts w:hint="eastAsia" w:ascii="仿宋" w:hAnsi="仿宋" w:eastAsia="仿宋"/>
          <w:sz w:val="30"/>
          <w:szCs w:val="30"/>
          <w:lang w:val="en-US" w:eastAsia="zh-CN"/>
        </w:rPr>
        <w:t>987.30</w:t>
      </w:r>
      <w:r>
        <w:rPr>
          <w:rFonts w:hint="eastAsia" w:ascii="仿宋" w:hAnsi="仿宋" w:eastAsia="仿宋"/>
          <w:sz w:val="30"/>
          <w:szCs w:val="30"/>
        </w:rPr>
        <w:t>万元，完成年初预算的</w:t>
      </w:r>
      <w:r>
        <w:rPr>
          <w:rFonts w:hint="eastAsia" w:ascii="仿宋" w:hAnsi="仿宋" w:eastAsia="仿宋"/>
          <w:sz w:val="30"/>
          <w:szCs w:val="30"/>
          <w:lang w:val="en-US" w:eastAsia="zh-CN"/>
        </w:rPr>
        <w:t>75.18</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1313.23</w:t>
      </w:r>
      <w:r>
        <w:rPr>
          <w:rFonts w:hint="eastAsia" w:ascii="仿宋" w:hAnsi="仿宋" w:eastAsia="仿宋"/>
          <w:sz w:val="30"/>
          <w:szCs w:val="30"/>
        </w:rPr>
        <w:t>万元，决算数为</w:t>
      </w:r>
      <w:r>
        <w:rPr>
          <w:rFonts w:hint="eastAsia" w:ascii="仿宋" w:hAnsi="仿宋" w:eastAsia="仿宋"/>
          <w:sz w:val="30"/>
          <w:szCs w:val="30"/>
          <w:lang w:val="en-US" w:eastAsia="zh-CN"/>
        </w:rPr>
        <w:t>987.30</w:t>
      </w:r>
      <w:r>
        <w:rPr>
          <w:rFonts w:hint="eastAsia" w:ascii="仿宋" w:hAnsi="仿宋" w:eastAsia="仿宋"/>
          <w:sz w:val="30"/>
          <w:szCs w:val="30"/>
        </w:rPr>
        <w:t>万元，完成年初预算的</w:t>
      </w:r>
      <w:r>
        <w:rPr>
          <w:rFonts w:hint="eastAsia" w:ascii="仿宋" w:hAnsi="仿宋" w:eastAsia="仿宋"/>
          <w:sz w:val="30"/>
          <w:szCs w:val="30"/>
          <w:lang w:val="en-US" w:eastAsia="zh-CN"/>
        </w:rPr>
        <w:t>75.18</w:t>
      </w:r>
      <w:r>
        <w:rPr>
          <w:rFonts w:hint="eastAsia" w:ascii="仿宋" w:hAnsi="仿宋" w:eastAsia="仿宋"/>
          <w:sz w:val="30"/>
          <w:szCs w:val="30"/>
        </w:rPr>
        <w:t>%，主要原因是：</w:t>
      </w:r>
      <w:r>
        <w:rPr>
          <w:rFonts w:hint="eastAsia" w:ascii="仿宋" w:hAnsi="仿宋" w:eastAsia="仿宋"/>
          <w:sz w:val="30"/>
          <w:szCs w:val="30"/>
          <w:lang w:eastAsia="zh-CN"/>
        </w:rPr>
        <w:t>落实过紧日子要求，压减开支。</w:t>
      </w:r>
    </w:p>
    <w:p>
      <w:pPr>
        <w:ind w:firstLine="630"/>
        <w:jc w:val="left"/>
        <w:rPr>
          <w:rFonts w:hint="eastAsia" w:ascii="仿宋" w:hAnsi="仿宋" w:eastAsia="仿宋"/>
          <w:sz w:val="30"/>
          <w:szCs w:val="30"/>
        </w:rPr>
      </w:pPr>
      <w:r>
        <w:rPr>
          <w:rFonts w:hint="eastAsia" w:ascii="仿宋" w:hAnsi="仿宋" w:eastAsia="仿宋"/>
          <w:sz w:val="30"/>
          <w:szCs w:val="30"/>
        </w:rPr>
        <w:t>（二）公共安全支出年初预算数为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eastAsia="zh-CN"/>
        </w:rPr>
        <w:t>无此项支出</w:t>
      </w:r>
      <w:bookmarkStart w:id="0" w:name="_GoBack"/>
      <w:bookmarkEnd w:id="0"/>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695.12</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679.76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79.9</w:t>
      </w:r>
      <w:r>
        <w:rPr>
          <w:rFonts w:hint="eastAsia" w:ascii="仿宋" w:hAnsi="仿宋" w:eastAsia="仿宋"/>
          <w:sz w:val="30"/>
          <w:szCs w:val="30"/>
        </w:rPr>
        <w:t>万元，增长</w:t>
      </w:r>
      <w:r>
        <w:rPr>
          <w:rFonts w:hint="eastAsia" w:ascii="仿宋" w:hAnsi="仿宋" w:eastAsia="仿宋"/>
          <w:sz w:val="30"/>
          <w:szCs w:val="30"/>
          <w:lang w:val="en-US" w:eastAsia="zh-CN"/>
        </w:rPr>
        <w:t>13.32</w:t>
      </w:r>
      <w:r>
        <w:rPr>
          <w:rFonts w:hint="eastAsia" w:ascii="仿宋" w:hAnsi="仿宋" w:eastAsia="仿宋"/>
          <w:sz w:val="30"/>
          <w:szCs w:val="30"/>
        </w:rPr>
        <w:t xml:space="preserve"> %，主要原因是：</w:t>
      </w:r>
      <w:r>
        <w:rPr>
          <w:rFonts w:hint="eastAsia" w:ascii="仿宋" w:hAnsi="仿宋" w:eastAsia="仿宋"/>
          <w:sz w:val="30"/>
          <w:szCs w:val="30"/>
          <w:lang w:eastAsia="zh-CN"/>
        </w:rPr>
        <w:t>机构改革人员经费支出增加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15.20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15.20</w:t>
      </w:r>
      <w:r>
        <w:rPr>
          <w:rFonts w:hint="eastAsia" w:ascii="仿宋" w:hAnsi="仿宋" w:eastAsia="仿宋"/>
          <w:sz w:val="30"/>
          <w:szCs w:val="30"/>
        </w:rPr>
        <w:t>万元，下降</w:t>
      </w:r>
      <w:r>
        <w:rPr>
          <w:rFonts w:hint="eastAsia" w:ascii="仿宋" w:hAnsi="仿宋" w:eastAsia="仿宋"/>
          <w:sz w:val="30"/>
          <w:szCs w:val="30"/>
          <w:lang w:val="en-US" w:eastAsia="zh-CN"/>
        </w:rPr>
        <w:t>56.77</w:t>
      </w:r>
      <w:r>
        <w:rPr>
          <w:rFonts w:hint="eastAsia" w:ascii="仿宋" w:hAnsi="仿宋" w:eastAsia="仿宋"/>
          <w:sz w:val="30"/>
          <w:szCs w:val="30"/>
        </w:rPr>
        <w:t>%，主要原因是</w:t>
      </w:r>
      <w:r>
        <w:rPr>
          <w:rFonts w:hint="eastAsia" w:ascii="仿宋" w:hAnsi="仿宋" w:eastAsia="仿宋"/>
          <w:sz w:val="30"/>
          <w:szCs w:val="30"/>
          <w:lang w:eastAsia="zh-CN"/>
        </w:rPr>
        <w:t>：落实过紧日子要求，压减开支</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0.16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0.16</w:t>
      </w:r>
      <w:r>
        <w:rPr>
          <w:rFonts w:hint="eastAsia" w:ascii="仿宋" w:hAnsi="仿宋" w:eastAsia="仿宋"/>
          <w:sz w:val="30"/>
          <w:szCs w:val="30"/>
        </w:rPr>
        <w:t>万元，增长</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2018年没有计入本科目</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17.71</w:t>
      </w:r>
      <w:r>
        <w:rPr>
          <w:rFonts w:hint="eastAsia" w:ascii="仿宋" w:hAnsi="仿宋" w:eastAsia="仿宋"/>
          <w:sz w:val="30"/>
          <w:szCs w:val="30"/>
        </w:rPr>
        <w:t>万元，下降</w:t>
      </w:r>
      <w:r>
        <w:rPr>
          <w:rFonts w:hint="eastAsia" w:ascii="仿宋" w:hAnsi="仿宋" w:eastAsia="仿宋"/>
          <w:sz w:val="30"/>
          <w:szCs w:val="30"/>
          <w:lang w:val="en-US" w:eastAsia="zh-CN"/>
        </w:rPr>
        <w:t>100</w:t>
      </w:r>
      <w:r>
        <w:rPr>
          <w:rFonts w:hint="eastAsia" w:ascii="仿宋" w:hAnsi="仿宋" w:eastAsia="仿宋"/>
          <w:sz w:val="30"/>
          <w:szCs w:val="30"/>
        </w:rPr>
        <w:t xml:space="preserve"> %，主要原因是：</w:t>
      </w:r>
      <w:r>
        <w:rPr>
          <w:rFonts w:hint="eastAsia" w:ascii="仿宋" w:hAnsi="仿宋" w:eastAsia="仿宋"/>
          <w:sz w:val="30"/>
          <w:szCs w:val="30"/>
          <w:lang w:eastAsia="zh-CN"/>
        </w:rPr>
        <w:t>没有资本性支出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42</w:t>
      </w:r>
      <w:r>
        <w:rPr>
          <w:rFonts w:hint="eastAsia" w:ascii="仿宋" w:hAnsi="仿宋" w:eastAsia="仿宋"/>
          <w:sz w:val="30"/>
          <w:szCs w:val="30"/>
        </w:rPr>
        <w:t>万元，决算数为</w:t>
      </w:r>
      <w:r>
        <w:rPr>
          <w:rFonts w:hint="eastAsia" w:ascii="仿宋" w:hAnsi="仿宋" w:eastAsia="仿宋"/>
          <w:sz w:val="30"/>
          <w:szCs w:val="30"/>
          <w:lang w:val="en-US" w:eastAsia="zh-CN"/>
        </w:rPr>
        <w:t>21.39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50.93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4.41</w:t>
      </w:r>
      <w:r>
        <w:rPr>
          <w:rFonts w:hint="eastAsia" w:ascii="仿宋" w:hAnsi="仿宋" w:eastAsia="仿宋"/>
          <w:sz w:val="30"/>
          <w:szCs w:val="30"/>
        </w:rPr>
        <w:t>万元，下降</w:t>
      </w:r>
      <w:r>
        <w:rPr>
          <w:rFonts w:hint="eastAsia" w:ascii="仿宋" w:hAnsi="仿宋" w:eastAsia="仿宋"/>
          <w:sz w:val="30"/>
          <w:szCs w:val="30"/>
          <w:lang w:val="en-US" w:eastAsia="zh-CN"/>
        </w:rPr>
        <w:t>17.09</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 xml:space="preserve">（一）因公出国（境）支出年初预算数为 </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w:t>
      </w:r>
      <w:r>
        <w:rPr>
          <w:rFonts w:hint="eastAsia" w:ascii="仿宋" w:hAnsi="仿宋" w:eastAsia="仿宋"/>
          <w:sz w:val="30"/>
          <w:szCs w:val="30"/>
        </w:rPr>
        <w:t xml:space="preserve"> 万元，</w:t>
      </w:r>
      <w:r>
        <w:rPr>
          <w:rFonts w:hint="eastAsia" w:ascii="仿宋" w:hAnsi="仿宋" w:eastAsia="仿宋"/>
          <w:sz w:val="30"/>
          <w:szCs w:val="30"/>
          <w:lang w:eastAsia="zh-CN"/>
        </w:rPr>
        <w:t>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无此项</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23</w:t>
      </w:r>
      <w:r>
        <w:rPr>
          <w:rFonts w:hint="eastAsia" w:ascii="仿宋" w:hAnsi="仿宋" w:eastAsia="仿宋"/>
          <w:sz w:val="30"/>
          <w:szCs w:val="30"/>
        </w:rPr>
        <w:t>万元，决算数为</w:t>
      </w:r>
      <w:r>
        <w:rPr>
          <w:rFonts w:hint="eastAsia" w:ascii="仿宋" w:hAnsi="仿宋" w:eastAsia="仿宋"/>
          <w:sz w:val="30"/>
          <w:szCs w:val="30"/>
          <w:lang w:val="en-US" w:eastAsia="zh-CN"/>
        </w:rPr>
        <w:t>3.09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13.43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7.5</w:t>
      </w:r>
      <w:r>
        <w:rPr>
          <w:rFonts w:hint="eastAsia" w:ascii="仿宋" w:hAnsi="仿宋" w:eastAsia="仿宋"/>
          <w:sz w:val="30"/>
          <w:szCs w:val="30"/>
        </w:rPr>
        <w:t>万元，下降</w:t>
      </w:r>
      <w:r>
        <w:rPr>
          <w:rFonts w:hint="eastAsia" w:ascii="仿宋" w:hAnsi="仿宋" w:eastAsia="仿宋"/>
          <w:sz w:val="30"/>
          <w:szCs w:val="30"/>
          <w:lang w:val="en-US" w:eastAsia="zh-CN"/>
        </w:rPr>
        <w:t>70.82</w:t>
      </w:r>
      <w:r>
        <w:rPr>
          <w:rFonts w:hint="eastAsia" w:ascii="仿宋" w:hAnsi="仿宋" w:eastAsia="仿宋"/>
          <w:sz w:val="30"/>
          <w:szCs w:val="30"/>
        </w:rPr>
        <w:t xml:space="preserve"> %。决算数较年初预算数减少的主要原因是：</w:t>
      </w:r>
      <w:r>
        <w:rPr>
          <w:rFonts w:hint="eastAsia" w:ascii="仿宋" w:hAnsi="仿宋" w:eastAsia="仿宋"/>
          <w:sz w:val="30"/>
          <w:szCs w:val="30"/>
          <w:lang w:eastAsia="zh-CN"/>
        </w:rPr>
        <w:t>落实过紧日子要求，压减开支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18.30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%。决算数较年初预算数减少的主要原因是：</w:t>
      </w:r>
      <w:r>
        <w:rPr>
          <w:rFonts w:hint="eastAsia" w:ascii="仿宋" w:hAnsi="仿宋" w:eastAsia="仿宋"/>
          <w:sz w:val="30"/>
          <w:szCs w:val="30"/>
          <w:lang w:eastAsia="zh-CN"/>
        </w:rPr>
        <w:t>无此项</w:t>
      </w:r>
      <w:r>
        <w:rPr>
          <w:rFonts w:hint="eastAsia" w:ascii="仿宋" w:hAnsi="仿宋" w:eastAsia="仿宋"/>
          <w:sz w:val="30"/>
          <w:szCs w:val="30"/>
        </w:rPr>
        <w:t xml:space="preserve">；公务用车运行维护费支出年初预算数为 </w:t>
      </w:r>
      <w:r>
        <w:rPr>
          <w:rFonts w:hint="eastAsia" w:ascii="仿宋" w:hAnsi="仿宋" w:eastAsia="仿宋"/>
          <w:sz w:val="30"/>
          <w:szCs w:val="30"/>
          <w:lang w:val="en-US" w:eastAsia="zh-CN"/>
        </w:rPr>
        <w:t>19</w:t>
      </w:r>
      <w:r>
        <w:rPr>
          <w:rFonts w:hint="eastAsia" w:ascii="仿宋" w:hAnsi="仿宋" w:eastAsia="仿宋"/>
          <w:sz w:val="30"/>
          <w:szCs w:val="30"/>
        </w:rPr>
        <w:t>万元，决算数为</w:t>
      </w:r>
      <w:r>
        <w:rPr>
          <w:rFonts w:hint="eastAsia" w:ascii="仿宋" w:hAnsi="仿宋" w:eastAsia="仿宋"/>
          <w:sz w:val="30"/>
          <w:szCs w:val="30"/>
          <w:lang w:val="en-US" w:eastAsia="zh-CN"/>
        </w:rPr>
        <w:t>18.30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96.32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3.10</w:t>
      </w:r>
      <w:r>
        <w:rPr>
          <w:rFonts w:hint="eastAsia" w:ascii="仿宋" w:hAnsi="仿宋" w:eastAsia="仿宋"/>
          <w:sz w:val="30"/>
          <w:szCs w:val="30"/>
        </w:rPr>
        <w:t>万元，增长</w:t>
      </w:r>
      <w:r>
        <w:rPr>
          <w:rFonts w:hint="eastAsia" w:ascii="仿宋" w:hAnsi="仿宋" w:eastAsia="仿宋"/>
          <w:sz w:val="30"/>
          <w:szCs w:val="30"/>
          <w:lang w:val="en-US" w:eastAsia="zh-CN"/>
        </w:rPr>
        <w:t>20.39</w:t>
      </w:r>
      <w:r>
        <w:rPr>
          <w:rFonts w:hint="eastAsia" w:ascii="仿宋" w:hAnsi="仿宋" w:eastAsia="仿宋"/>
          <w:sz w:val="30"/>
          <w:szCs w:val="30"/>
        </w:rPr>
        <w:t xml:space="preserve"> %。决算数较年初预算数</w:t>
      </w:r>
      <w:r>
        <w:rPr>
          <w:rFonts w:hint="eastAsia" w:ascii="仿宋" w:hAnsi="仿宋" w:eastAsia="仿宋"/>
          <w:sz w:val="30"/>
          <w:szCs w:val="30"/>
          <w:lang w:eastAsia="zh-CN"/>
        </w:rPr>
        <w:t>增加（较少）</w:t>
      </w:r>
      <w:r>
        <w:rPr>
          <w:rFonts w:hint="eastAsia" w:ascii="仿宋" w:hAnsi="仿宋" w:eastAsia="仿宋"/>
          <w:sz w:val="30"/>
          <w:szCs w:val="30"/>
        </w:rPr>
        <w:t>的主要原因是：</w:t>
      </w:r>
      <w:r>
        <w:rPr>
          <w:rFonts w:hint="eastAsia" w:ascii="仿宋" w:hAnsi="仿宋" w:eastAsia="仿宋"/>
          <w:sz w:val="30"/>
          <w:szCs w:val="30"/>
          <w:lang w:eastAsia="zh-CN"/>
        </w:rPr>
        <w:t>基本按照财政预算开支</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15.20</w:t>
      </w:r>
      <w:r>
        <w:rPr>
          <w:rFonts w:hint="eastAsia" w:ascii="仿宋" w:hAnsi="仿宋" w:eastAsia="仿宋"/>
          <w:sz w:val="30"/>
          <w:szCs w:val="30"/>
        </w:rPr>
        <w:t>万元（与部门决算中行政单位和参照公务员法管理事业单位一般公共预算财政拨款基本支出中公用经费之和保持一致），较年初预算数减少</w:t>
      </w:r>
      <w:r>
        <w:rPr>
          <w:rFonts w:hint="eastAsia" w:ascii="仿宋" w:hAnsi="仿宋" w:eastAsia="仿宋"/>
          <w:sz w:val="30"/>
          <w:szCs w:val="30"/>
          <w:lang w:val="en-US" w:eastAsia="zh-CN"/>
        </w:rPr>
        <w:t>31.80</w:t>
      </w:r>
      <w:r>
        <w:rPr>
          <w:rFonts w:hint="eastAsia" w:ascii="仿宋" w:hAnsi="仿宋" w:eastAsia="仿宋"/>
          <w:sz w:val="30"/>
          <w:szCs w:val="30"/>
        </w:rPr>
        <w:t>万元，降低</w:t>
      </w:r>
      <w:r>
        <w:rPr>
          <w:rFonts w:hint="eastAsia" w:ascii="仿宋" w:hAnsi="仿宋" w:eastAsia="仿宋"/>
          <w:sz w:val="30"/>
          <w:szCs w:val="30"/>
          <w:lang w:val="en-US" w:eastAsia="zh-CN"/>
        </w:rPr>
        <w:t>67.66</w:t>
      </w:r>
      <w:r>
        <w:rPr>
          <w:rFonts w:hint="eastAsia" w:ascii="仿宋" w:hAnsi="仿宋" w:eastAsia="仿宋"/>
          <w:sz w:val="30"/>
          <w:szCs w:val="30"/>
        </w:rPr>
        <w:t xml:space="preserve"> %，主要原因是：</w:t>
      </w:r>
      <w:r>
        <w:rPr>
          <w:rFonts w:hint="eastAsia" w:ascii="仿宋" w:hAnsi="仿宋" w:eastAsia="仿宋"/>
          <w:sz w:val="30"/>
          <w:szCs w:val="30"/>
          <w:lang w:eastAsia="zh-CN"/>
        </w:rPr>
        <w:t>落实过紧日子要求，压减开支，还有部分资金未能及时支付</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 xml:space="preserve">万元、政府采购服务支出 </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%，其中：授予小微企业合同金额 </w:t>
      </w:r>
      <w:r>
        <w:rPr>
          <w:rFonts w:hint="eastAsia" w:ascii="仿宋" w:hAnsi="仿宋" w:eastAsia="仿宋"/>
          <w:sz w:val="30"/>
          <w:szCs w:val="30"/>
          <w:lang w:val="en-US" w:eastAsia="zh-CN"/>
        </w:rPr>
        <w:t>0</w:t>
      </w:r>
      <w:r>
        <w:rPr>
          <w:rFonts w:hint="eastAsia" w:ascii="仿宋" w:hAnsi="仿宋" w:eastAsia="仿宋"/>
          <w:sz w:val="30"/>
          <w:szCs w:val="30"/>
        </w:rPr>
        <w:t xml:space="preserve">万元，占政府采购支出总额的 </w:t>
      </w:r>
      <w:r>
        <w:rPr>
          <w:rFonts w:hint="eastAsia" w:ascii="仿宋" w:hAnsi="仿宋" w:eastAsia="仿宋"/>
          <w:sz w:val="30"/>
          <w:szCs w:val="30"/>
          <w:lang w:val="en-US" w:eastAsia="zh-CN"/>
        </w:rPr>
        <w:t>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：无</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个，二级项目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500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autoSpaceDE w:val="0"/>
        <w:autoSpaceDN w:val="0"/>
        <w:adjustRightInd w:val="0"/>
        <w:spacing w:line="360" w:lineRule="auto"/>
        <w:ind w:firstLine="600"/>
        <w:jc w:val="left"/>
        <w:rPr>
          <w:rFonts w:hint="eastAsia" w:ascii="仿宋" w:hAnsi="仿宋" w:eastAsia="仿宋" w:cs="仿宋"/>
          <w:i w:val="0"/>
          <w:caps w:val="0"/>
          <w:color w:val="000000"/>
          <w:spacing w:val="0"/>
          <w:sz w:val="32"/>
          <w:szCs w:val="32"/>
          <w:lang w:val="en-US" w:eastAsia="zh-CN"/>
        </w:rPr>
      </w:pPr>
      <w:r>
        <w:rPr>
          <w:rFonts w:hint="eastAsia" w:ascii="仿宋" w:hAnsi="仿宋" w:eastAsia="仿宋" w:cs="仿宋_GB2312"/>
          <w:kern w:val="0"/>
          <w:sz w:val="30"/>
          <w:szCs w:val="30"/>
        </w:rPr>
        <w:t>组织对</w:t>
      </w:r>
      <w:r>
        <w:rPr>
          <w:rFonts w:hint="eastAsia" w:ascii="仿宋" w:hAnsi="仿宋" w:eastAsia="仿宋" w:cs="仿宋_GB2312"/>
          <w:kern w:val="0"/>
          <w:sz w:val="30"/>
          <w:szCs w:val="30"/>
          <w:lang w:eastAsia="zh-CN"/>
        </w:rPr>
        <w:t>安全生产专项</w:t>
      </w:r>
      <w:r>
        <w:rPr>
          <w:rFonts w:hint="eastAsia" w:ascii="仿宋" w:hAnsi="仿宋" w:eastAsia="仿宋" w:cs="仿宋_GB2312"/>
          <w:kern w:val="0"/>
          <w:sz w:val="30"/>
          <w:szCs w:val="30"/>
        </w:rPr>
        <w:t>等</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500</w:t>
      </w:r>
      <w:r>
        <w:rPr>
          <w:rFonts w:hint="eastAsia" w:ascii="仿宋" w:hAnsi="仿宋" w:eastAsia="仿宋" w:cs="仿宋_GB2312"/>
          <w:kern w:val="0"/>
          <w:sz w:val="30"/>
          <w:szCs w:val="30"/>
        </w:rPr>
        <w:t>万元。其中，对</w:t>
      </w:r>
      <w:r>
        <w:rPr>
          <w:rFonts w:hint="eastAsia" w:ascii="仿宋" w:hAnsi="仿宋" w:eastAsia="仿宋" w:cs="仿宋_GB2312"/>
          <w:kern w:val="0"/>
          <w:sz w:val="30"/>
          <w:szCs w:val="30"/>
          <w:lang w:eastAsia="zh-CN"/>
        </w:rPr>
        <w:t>安全生产专</w:t>
      </w:r>
      <w:r>
        <w:rPr>
          <w:rFonts w:hint="eastAsia" w:ascii="仿宋" w:hAnsi="仿宋" w:eastAsia="仿宋" w:cs="仿宋_GB2312"/>
          <w:kern w:val="0"/>
          <w:sz w:val="30"/>
          <w:szCs w:val="30"/>
        </w:rPr>
        <w:t>项</w:t>
      </w:r>
      <w:r>
        <w:rPr>
          <w:rFonts w:hint="eastAsia" w:ascii="仿宋" w:hAnsi="仿宋" w:eastAsia="仿宋" w:cs="仿宋_GB2312"/>
          <w:kern w:val="0"/>
          <w:sz w:val="30"/>
          <w:szCs w:val="30"/>
          <w:lang w:eastAsia="zh-CN"/>
        </w:rPr>
        <w:t>运用</w:t>
      </w:r>
      <w:r>
        <w:rPr>
          <w:rFonts w:ascii="仿宋" w:hAnsi="仿宋" w:eastAsia="仿宋" w:cs="仿宋"/>
          <w:i w:val="0"/>
          <w:caps w:val="0"/>
          <w:color w:val="000000"/>
          <w:spacing w:val="0"/>
          <w:sz w:val="32"/>
          <w:szCs w:val="32"/>
        </w:rPr>
        <w:t>由景德镇恒成联合会计师事务所制定并经景德镇市财政绩效管理局审核的评价指标体系及评分标准开展绩效评价。</w:t>
      </w:r>
      <w:r>
        <w:rPr>
          <w:rFonts w:hint="eastAsia" w:ascii="仿宋" w:hAnsi="仿宋" w:eastAsia="仿宋" w:cs="仿宋"/>
          <w:i w:val="0"/>
          <w:caps w:val="0"/>
          <w:color w:val="000000"/>
          <w:spacing w:val="0"/>
          <w:sz w:val="32"/>
          <w:szCs w:val="32"/>
          <w:lang w:eastAsia="zh-CN"/>
        </w:rPr>
        <w:t>从评价情况来看，市应急管理局</w:t>
      </w:r>
      <w:r>
        <w:rPr>
          <w:rFonts w:hint="eastAsia" w:ascii="仿宋" w:hAnsi="仿宋" w:eastAsia="仿宋" w:cs="仿宋"/>
          <w:i w:val="0"/>
          <w:caps w:val="0"/>
          <w:color w:val="000000"/>
          <w:spacing w:val="0"/>
          <w:sz w:val="32"/>
          <w:szCs w:val="32"/>
          <w:lang w:val="en-US" w:eastAsia="zh-CN"/>
        </w:rPr>
        <w:t>2019年职责履行成果良好，取得一定成绩，但是长效管理机制有待加强。</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安全生产专项</w:t>
      </w:r>
      <w:r>
        <w:rPr>
          <w:rFonts w:hint="eastAsia" w:ascii="仿宋" w:hAnsi="仿宋" w:eastAsia="仿宋" w:cs="仿宋_GB2312"/>
          <w:kern w:val="0"/>
          <w:sz w:val="30"/>
          <w:szCs w:val="30"/>
        </w:rPr>
        <w:t>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t>安全生产专项项</w:t>
      </w:r>
      <w:r>
        <w:rPr>
          <w:rFonts w:hint="eastAsia" w:ascii="仿宋" w:hAnsi="仿宋" w:eastAsia="仿宋" w:cs="仿宋_GB2312"/>
          <w:kern w:val="0"/>
          <w:sz w:val="30"/>
          <w:szCs w:val="30"/>
        </w:rPr>
        <w:t>目绩效自评综述：根据年初设定的绩效目标，</w:t>
      </w:r>
      <w:r>
        <w:rPr>
          <w:rFonts w:hint="eastAsia" w:ascii="仿宋" w:hAnsi="仿宋" w:eastAsia="仿宋" w:cs="仿宋_GB2312"/>
          <w:kern w:val="0"/>
          <w:sz w:val="30"/>
          <w:szCs w:val="30"/>
          <w:lang w:eastAsia="zh-CN"/>
        </w:rPr>
        <w:t>安全生产专项</w:t>
      </w:r>
      <w:r>
        <w:rPr>
          <w:rFonts w:hint="eastAsia" w:ascii="仿宋" w:hAnsi="仿宋" w:eastAsia="仿宋" w:cs="仿宋_GB2312"/>
          <w:kern w:val="0"/>
          <w:sz w:val="30"/>
          <w:szCs w:val="30"/>
        </w:rPr>
        <w:t xml:space="preserve">项目绩效自评得分为 </w:t>
      </w:r>
      <w:r>
        <w:rPr>
          <w:rFonts w:ascii="仿宋" w:hAnsi="仿宋" w:eastAsia="仿宋" w:cs="仿宋_GB2312"/>
          <w:kern w:val="0"/>
          <w:sz w:val="30"/>
          <w:szCs w:val="30"/>
        </w:rPr>
        <w:t xml:space="preserve"> </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500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500</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 xml:space="preserve"> %。主要产出和效果：</w:t>
      </w:r>
      <w:r>
        <w:rPr>
          <w:rFonts w:hint="eastAsia" w:ascii="仿宋" w:hAnsi="仿宋" w:eastAsia="仿宋" w:cs="仿宋_GB2312"/>
          <w:kern w:val="0"/>
          <w:sz w:val="30"/>
          <w:szCs w:val="30"/>
          <w:lang w:eastAsia="zh-CN"/>
        </w:rPr>
        <w:t>安全生产标准化扎实稳步推进</w:t>
      </w:r>
      <w:r>
        <w:rPr>
          <w:rFonts w:hint="eastAsia" w:ascii="仿宋" w:hAnsi="仿宋" w:eastAsia="仿宋" w:cs="仿宋_GB2312"/>
          <w:kern w:val="0"/>
          <w:sz w:val="30"/>
          <w:szCs w:val="30"/>
        </w:rPr>
        <w:t>。发现的问题及原因：</w:t>
      </w:r>
      <w:r>
        <w:rPr>
          <w:rFonts w:hint="eastAsia" w:ascii="仿宋" w:hAnsi="仿宋" w:eastAsia="仿宋" w:cs="仿宋_GB2312"/>
          <w:kern w:val="0"/>
          <w:sz w:val="30"/>
          <w:szCs w:val="30"/>
          <w:lang w:eastAsia="zh-CN"/>
        </w:rPr>
        <w:t>长效管理机制有待进一步加强</w:t>
      </w:r>
      <w:r>
        <w:rPr>
          <w:rFonts w:hint="eastAsia" w:ascii="仿宋" w:hAnsi="仿宋" w:eastAsia="仿宋" w:cs="仿宋_GB2312"/>
          <w:kern w:val="0"/>
          <w:sz w:val="30"/>
          <w:szCs w:val="30"/>
        </w:rPr>
        <w:t>。下一步改进措施：</w:t>
      </w:r>
      <w:r>
        <w:rPr>
          <w:rFonts w:hint="eastAsia" w:ascii="仿宋" w:hAnsi="仿宋" w:eastAsia="仿宋" w:cs="仿宋_GB2312"/>
          <w:kern w:val="0"/>
          <w:sz w:val="30"/>
          <w:szCs w:val="30"/>
          <w:lang w:eastAsia="zh-CN"/>
        </w:rPr>
        <w:t>健全长效管理机制。</w:t>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eastAsia="zh-CN"/>
        </w:rPr>
        <w:t>安全生产专项</w:t>
      </w:r>
      <w:r>
        <w:rPr>
          <w:rFonts w:hint="eastAsia" w:ascii="仿宋" w:hAnsi="仿宋" w:eastAsia="仿宋" w:cs="仿宋_GB2312"/>
          <w:kern w:val="0"/>
          <w:sz w:val="30"/>
          <w:szCs w:val="30"/>
        </w:rPr>
        <w:t>项目绩效自评综述：</w:t>
      </w:r>
      <w:r>
        <w:rPr>
          <w:rFonts w:hint="eastAsia" w:ascii="仿宋" w:hAnsi="仿宋" w:eastAsia="仿宋" w:cs="仿宋_GB2312"/>
          <w:kern w:val="0"/>
          <w:sz w:val="30"/>
          <w:szCs w:val="30"/>
          <w:lang w:eastAsia="zh-CN"/>
        </w:rPr>
        <w:t>安全生产行政执法力度持续加大，组织开展了深化安全生产十大专项整治行动，隐患排查、风险管控进一步加强，企业安全生产标准化稳步推进，安全生产事故起数和死亡人数双下降，持续巩固我市安全生产平稳态势。</w:t>
      </w:r>
    </w:p>
    <w:p>
      <w:pPr>
        <w:autoSpaceDE w:val="0"/>
        <w:autoSpaceDN w:val="0"/>
        <w:adjustRightInd w:val="0"/>
        <w:spacing w:line="360" w:lineRule="auto"/>
        <w:ind w:firstLine="600"/>
        <w:jc w:val="left"/>
        <w:rPr>
          <w:rFonts w:hint="eastAsia"/>
        </w:rPr>
      </w:pPr>
      <w:r>
        <w:rPr>
          <w:rFonts w:hint="eastAsia" w:ascii="仿宋" w:hAnsi="仿宋" w:eastAsia="仿宋" w:cs="仿宋_GB2312"/>
          <w:kern w:val="0"/>
          <w:sz w:val="30"/>
          <w:szCs w:val="30"/>
        </w:rPr>
        <w:t>在公开项目绩效自评综述的同时，需公开《项目支出绩效自评表》</w:t>
      </w:r>
    </w:p>
    <w:p>
      <w:pPr>
        <w:rPr>
          <w:rFonts w:hint="eastAsia"/>
        </w:rPr>
      </w:pPr>
    </w:p>
    <w:tbl>
      <w:tblPr>
        <w:tblStyle w:val="3"/>
        <w:tblW w:w="15105" w:type="dxa"/>
        <w:tblInd w:w="0" w:type="dxa"/>
        <w:shd w:val="clear" w:color="auto" w:fill="auto"/>
        <w:tblLayout w:type="autofit"/>
        <w:tblCellMar>
          <w:top w:w="0" w:type="dxa"/>
          <w:left w:w="0" w:type="dxa"/>
          <w:bottom w:w="0" w:type="dxa"/>
          <w:right w:w="0" w:type="dxa"/>
        </w:tblCellMar>
      </w:tblPr>
      <w:tblGrid>
        <w:gridCol w:w="630"/>
        <w:gridCol w:w="780"/>
        <w:gridCol w:w="2480"/>
        <w:gridCol w:w="975"/>
        <w:gridCol w:w="4320"/>
        <w:gridCol w:w="4360"/>
        <w:gridCol w:w="495"/>
        <w:gridCol w:w="495"/>
        <w:gridCol w:w="570"/>
      </w:tblGrid>
      <w:tr>
        <w:tblPrEx>
          <w:shd w:val="clear" w:color="auto" w:fill="auto"/>
          <w:tblCellMar>
            <w:top w:w="0" w:type="dxa"/>
            <w:left w:w="0" w:type="dxa"/>
            <w:bottom w:w="0" w:type="dxa"/>
            <w:right w:w="0" w:type="dxa"/>
          </w:tblCellMar>
        </w:tblPrEx>
        <w:trPr>
          <w:trHeight w:val="405" w:hRule="atLeast"/>
        </w:trPr>
        <w:tc>
          <w:tcPr>
            <w:tcW w:w="1510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cs="宋体"/>
                <w:b/>
                <w:i w:val="0"/>
                <w:color w:val="000000"/>
                <w:kern w:val="0"/>
                <w:sz w:val="32"/>
                <w:szCs w:val="32"/>
                <w:u w:val="none"/>
                <w:lang w:val="en-US" w:eastAsia="zh-CN" w:bidi="ar"/>
              </w:rPr>
              <w:t>项目支出绩效自评表</w:t>
            </w:r>
          </w:p>
        </w:tc>
      </w:tr>
      <w:tr>
        <w:tblPrEx>
          <w:tblCellMar>
            <w:top w:w="0" w:type="dxa"/>
            <w:left w:w="0" w:type="dxa"/>
            <w:bottom w:w="0" w:type="dxa"/>
            <w:right w:w="0"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一级</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二级</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指标</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 xml:space="preserve"> 目标值 </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指标解释</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评分标准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权重</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评价得分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166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执法检查（10分）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安全生产执法督察检查</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督察检查全市所有安全生产企业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及时按标准完成300次 </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应急管理局2019年度安全执法督查检查实际完成率、质量达标率、完成及时率，用以反映和考核应急管理局执法督促检查的实际完成数、时效性以及质量达标情况。（计算公式见说明，下同）</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安全执法督查检查实际完成率、质量达标率、完成及时率，分别占权重分的1/3；前两项指标以100%为标准，达到100%，得满分，每减少1%，扣各自所占权重分的2%；后一项指标比率≤100%，得满分，每增加1%，扣所占权重分的1%，均扣完为止。</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r>
      <w:tr>
        <w:tblPrEx>
          <w:tblCellMar>
            <w:top w:w="0" w:type="dxa"/>
            <w:left w:w="0" w:type="dxa"/>
            <w:bottom w:w="0" w:type="dxa"/>
            <w:right w:w="0"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安全生产监管（60分）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危险物品安全专项整治</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危险化学品生产企业整治完成情况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及时按标准完成103家</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深化危险物品安全专项整治实际完成率、质量达标率、完成及时率，用以反映和考核应急管理局危险化学品生产企业安全专项整治的实际完成数、时效性以及质量达标情况。（计算公式见说明，下同）</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危险物品安全专项整治实际完成率、质量达标率、完成及时率，分别占权重分的1/3；前两项指标以100%为标准，达到100%，得满分，每减少1%，扣各自所占权重分的2%；后一项指标比率≤100%，得满分，每增加1%，扣所占权重分的2%，均扣完为止。</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0"/>
                <w:szCs w:val="20"/>
                <w:u w:val="none"/>
                <w:lang w:val="en-US"/>
              </w:rPr>
            </w:pPr>
            <w:r>
              <w:rPr>
                <w:rFonts w:hint="eastAsia" w:ascii="仿宋" w:hAnsi="仿宋" w:eastAsia="仿宋" w:cs="仿宋"/>
                <w:b/>
                <w:i w:val="0"/>
                <w:color w:val="000000"/>
                <w:kern w:val="0"/>
                <w:sz w:val="20"/>
                <w:szCs w:val="20"/>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r>
      <w:tr>
        <w:tblPrEx>
          <w:tblCellMar>
            <w:top w:w="0" w:type="dxa"/>
            <w:left w:w="0" w:type="dxa"/>
            <w:bottom w:w="0" w:type="dxa"/>
            <w:right w:w="0" w:type="dxa"/>
          </w:tblCellMar>
        </w:tblPrEx>
        <w:trPr>
          <w:trHeight w:val="12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烟花爆竹批发企业整治完成情况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及时按标准完成3家</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应急管理局2019年度深化危险物品安全专项整治实际完成率、质量达标率、完成及时率，用以反映和考核应急管理局烟花爆竹批发企业安全专项整治的实际完成数、时效性以及质量达标情况。</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烟花爆竹批发企业检查实际完成率、质量达标率、完成及时率，分别占权重分的1/3；前两项指标以100%为标准，达到100%，得满分，每减少1%，扣各自所占权重分的2%；后一项指标比率≤100%，得满分，每增加1%，扣所占权重分的2%，均扣完为止。</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1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煤矿及非煤矿山安全监管</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督促检查全市煤矿山安全生产标准化达标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督促完成安全生产企业标准化达标2家</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应急管理局2019年度督促检查全市煤矿山安全生产标准化达标分实际完成率、质量达标率、完成及时率，用以反映和考核督促检查全市煤矿山安全生产标准化达标实际完成数、时效性以及质量达标情况。</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督促检查全市煤矿山安全生产标准化达标实际完成率、质量达标率、完成及时率，分别占权重分的1/3；前两项指标以100%为标准，达到100%，得满分，每减少1%，扣各自所占权重分的2%；后一项指标比率≤100%，得满分，每增加1%，扣所占权重分的3%，均扣完为止。</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督促检查全市非煤矿山安全生产标准化达标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督促完成安全生产企业标准化达标29家</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应急管理局2019年度督促检查全市非煤矿山安全生产标准化达标分实际完成率、质量达标率、完成及时率，用以反映和考核督促检查全市非煤矿山安全生产标准化达标实际完成数、时效性以及质量达标情况。</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督促检查全市非煤矿山安全生产标准化达标实际完成率、质量达标率、完成及时率，分别占权重分的1/3；前两项指标以100%为标准，达到100%，得满分，每减少1%，扣各自所占权重分的2%；后一项指标比率≤100%，得满分，每增加1%，扣所占权重分的3%，均扣完为止。</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工贸安全监管</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工贸企业网上基本信息登记完成情况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及时按标准完成119家</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应急管理局2019年度工贸企业信息登记分实际完成率、质量达标率、完成及时率，用以反映和考核应急管理局检查劳动密集型企业消防隐患的实际完成数、时效性以及质量达标情况。</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贸企业信息登记实际完成率、质量达标率、完成及时率，分别占权重分的1/3；前两项指标以100%为标准，达到100%，得满分，每减少1%，扣各自所占权重分的2%；后一项指标比率≤100%，得满分，每增加1%，扣所占权重分的2%，均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工贸企业安全标准化达标创建</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及时按标准完成62家</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应急管理局2019年度工贸企业安全标准化达标创建实际完成率、质量达标率、完成及时率，用以反映和考核应急管理局检查劳动密集型企业消防隐患的实际完成数、时效性以及质量达标情况。</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贸企业安全标准化达标创建实际完成率、质量达标率、完成及时率，分别占权重分的1/3；前两项指标以100%为标准，达到100%，得满分，每减少1%，扣各自所占权重分的2%；后一项指标比率≤100%，得满分，每增加1%，扣所占权重分的2%，均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410" w:hRule="atLeast"/>
        </w:trPr>
        <w:tc>
          <w:tcPr>
            <w:tcW w:w="6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劳动保护教育（5分）</w:t>
            </w:r>
          </w:p>
        </w:tc>
        <w:tc>
          <w:tcPr>
            <w:tcW w:w="78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安全生产教育培训</w:t>
            </w:r>
          </w:p>
        </w:tc>
        <w:tc>
          <w:tcPr>
            <w:tcW w:w="24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企业安全培训完成情况</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及时按标准完成256场10126人次</w:t>
            </w:r>
          </w:p>
        </w:tc>
        <w:tc>
          <w:tcPr>
            <w:tcW w:w="4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应急管理局2019年度监管企业安全培训实际完成率、质量达标率、完成及时率，用以反映和考核安全培训的实际完成数、时效性以及质量达标情况。</w:t>
            </w:r>
          </w:p>
        </w:tc>
        <w:tc>
          <w:tcPr>
            <w:tcW w:w="43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培训实际完成率、质量达标率、完成及时率，分别占权重分的1/3；前两项指标以100%为标准，达到100%，得满分，每减少1%，扣各自所占权重分的2%；后一项指标比率≤100%，得满分，每增加1%，扣所占权重分的2%，均扣完为止。</w:t>
            </w: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5</w:t>
            </w: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4</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2440" w:hRule="atLeast"/>
        </w:trPr>
        <w:tc>
          <w:tcPr>
            <w:tcW w:w="6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安全生产宣传（5分）</w:t>
            </w:r>
          </w:p>
        </w:tc>
        <w:tc>
          <w:tcPr>
            <w:tcW w:w="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安全生产宣传</w:t>
            </w:r>
          </w:p>
        </w:tc>
        <w:tc>
          <w:tcPr>
            <w:tcW w:w="248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安全生产媒体报道完成情况</w:t>
            </w:r>
          </w:p>
        </w:tc>
        <w:tc>
          <w:tcPr>
            <w:tcW w:w="975" w:type="dxa"/>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及时按标准完成206篇</w:t>
            </w:r>
          </w:p>
        </w:tc>
        <w:tc>
          <w:tcPr>
            <w:tcW w:w="43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应急管理局2019年度安全生产媒体报道分实际完成率、质量达标率、完成及时率，用以反映和考核应急管理局安全生产媒体报道的实际完成数、时效性以及质量达标情况。</w:t>
            </w:r>
          </w:p>
        </w:tc>
        <w:tc>
          <w:tcPr>
            <w:tcW w:w="436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安全生产媒体报道实际完成率、质量达标率、完成及时率，分别占权重分的1/3；前两项指标以100%为标准，达到100%，得满分，每减少1%，扣各自所占权重分的2%；后一项指标比率≤100%，得满分，每增加1%，扣所占权重分的2%，均扣完为止。</w:t>
            </w:r>
          </w:p>
        </w:tc>
        <w:tc>
          <w:tcPr>
            <w:tcW w:w="49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5</w:t>
            </w:r>
          </w:p>
        </w:tc>
        <w:tc>
          <w:tcPr>
            <w:tcW w:w="49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5</w:t>
            </w:r>
          </w:p>
        </w:tc>
        <w:tc>
          <w:tcPr>
            <w:tcW w:w="5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应急救援（10分）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应急演练</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安全生产应急救援演练完成情况</w:t>
            </w:r>
          </w:p>
        </w:tc>
        <w:tc>
          <w:tcPr>
            <w:tcW w:w="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及时按标准完成8次</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应急管理局2019年度安全生产救援演练分实际完成率、质量达标率、完成及时率，用以反映和考核应急管理局安全生产救援演练的实际完成数、时效性以及质量达标情况。</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救援演练实际完成率、质量达标率、完成及时率，分别占权重分的1/3；前两项指标以100%为标准，达到100%，得满分，每减少1%，扣各自所占权重分的2%；后一项指标比率≤100%，得满分，每增加1%，扣所占权重分的2%，均扣完为止。</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4</w:t>
            </w:r>
          </w:p>
        </w:tc>
        <w:tc>
          <w:tcPr>
            <w:tcW w:w="5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单兵对接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4G单兵联通省应急通管理厅</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及时按要求完成2次</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应急管理局2019年度单兵系统和省厅对接实际完成率、质量达标率、完成及时率，用以反映和考核应急管理局安全生产救援演练的实际完成数、时效性以及质量达标情况。</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兵系统和省厅对接实际完成率、质量达标率、完成及时率，分别占权重分的1/3；前两项指标以100%为标准，达到100%，得满分，每减少1%，扣各自所占权重分的2%；后一项指标比率≤100%，得满分，每增加1%，扣所占权重分的3%，均扣完为止。</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8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视频会议系统建设（5分）</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视频会议系统搬迁及应用情况</w:t>
            </w:r>
          </w:p>
        </w:tc>
        <w:tc>
          <w:tcPr>
            <w:tcW w:w="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视频会议系统搬迁完成，视频保障80余次</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应急管理局2019年度视频会议系统搬迁及使用分实际完成率、质量达标率、完成及时率，用以反映和考核应急管理局视频会议系统搬迁并使用的实际完成数、时效性以及质量达标情况。</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视频会议系统搬迁及使用完成率、质量达标率、完成及时率，分别占权重分的1/3；前两项指标以100%为标准，达到100%，得满分，每减少1%，扣各自所占权重分的2%；后一项指标比率≤100%，得满分，每增加1%，扣所占权重分的2%，均扣完为止。</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4</w:t>
            </w:r>
          </w:p>
        </w:tc>
        <w:tc>
          <w:tcPr>
            <w:tcW w:w="5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2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财政绩效</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（5分）</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部门绩效自评项目占比率</w:t>
            </w:r>
          </w:p>
        </w:tc>
        <w:tc>
          <w:tcPr>
            <w:tcW w:w="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100%</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年度内是否按市财政绩效管理局要求进行了项目自评，反映和评价残联对项目自评的重视程度。占比率=(自评项目个数/按要求应进行评价的项目)×100%。</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占比率达到了财政局规定的比率，得权重分的50%；自评结果经市财政绩效管理局审核通过，得权重分的50%；若占比率没有达到规定的比率，此项不得分。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4</w:t>
            </w:r>
          </w:p>
        </w:tc>
        <w:tc>
          <w:tcPr>
            <w:tcW w:w="5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5" w:hRule="atLeast"/>
        </w:trPr>
        <w:tc>
          <w:tcPr>
            <w:tcW w:w="1354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1542" w:hRule="atLeast"/>
        </w:trPr>
        <w:tc>
          <w:tcPr>
            <w:tcW w:w="1510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说明：实际完成率=（实际完成任务数/下达的任务数）×100%。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完成及时率=（实际完成任务时间/计划应完成的时间）×100%。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质量达标率=（达到质量要求数量/实际完成数量）×100%</w:t>
            </w:r>
          </w:p>
        </w:tc>
      </w:tr>
    </w:tbl>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widowControl/>
        <w:spacing w:line="580" w:lineRule="exact"/>
        <w:jc w:val="left"/>
        <w:rPr>
          <w:rFonts w:ascii="仿宋" w:hAnsi="仿宋" w:eastAsia="仿宋"/>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ascii="微软雅黑" w:hAnsi="微软雅黑" w:eastAsia="微软雅黑" w:cs="微软雅黑"/>
          <w:i w:val="0"/>
          <w:caps w:val="0"/>
          <w:color w:val="000000"/>
          <w:spacing w:val="0"/>
          <w:sz w:val="27"/>
          <w:szCs w:val="27"/>
        </w:rPr>
      </w:pPr>
      <w:r>
        <w:rPr>
          <w:rFonts w:ascii="仿宋" w:hAnsi="仿宋" w:eastAsia="仿宋" w:cs="仿宋"/>
          <w:i w:val="0"/>
          <w:caps w:val="0"/>
          <w:color w:val="000000"/>
          <w:spacing w:val="0"/>
          <w:sz w:val="32"/>
          <w:szCs w:val="32"/>
        </w:rPr>
        <w:t>（一）财政拨款：指市级财政当年拨付的资金。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（二）事业收入：指事业单位开展专业业务活动及辅助活动取得的收入。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（三）行政运行：反映行政单位（包括参公单位）的基本支出。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sectPr>
      <w:pgSz w:w="16838" w:h="11905"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0F60"/>
    <w:rsid w:val="01183603"/>
    <w:rsid w:val="026A409E"/>
    <w:rsid w:val="04FE1EB1"/>
    <w:rsid w:val="082F5E3C"/>
    <w:rsid w:val="0C023BF0"/>
    <w:rsid w:val="0DB12ED6"/>
    <w:rsid w:val="0E89304A"/>
    <w:rsid w:val="0ECD65D4"/>
    <w:rsid w:val="10461F3D"/>
    <w:rsid w:val="150A3FBA"/>
    <w:rsid w:val="16ED1582"/>
    <w:rsid w:val="181F5573"/>
    <w:rsid w:val="258C2D17"/>
    <w:rsid w:val="26F013EE"/>
    <w:rsid w:val="27C7246B"/>
    <w:rsid w:val="27D423BA"/>
    <w:rsid w:val="28A30D75"/>
    <w:rsid w:val="29184106"/>
    <w:rsid w:val="297568B0"/>
    <w:rsid w:val="2BAB012B"/>
    <w:rsid w:val="2C444C9B"/>
    <w:rsid w:val="2D505560"/>
    <w:rsid w:val="34633CF1"/>
    <w:rsid w:val="34A51CC8"/>
    <w:rsid w:val="352A495A"/>
    <w:rsid w:val="39781CE2"/>
    <w:rsid w:val="3A694930"/>
    <w:rsid w:val="3A972C78"/>
    <w:rsid w:val="3EB47DB8"/>
    <w:rsid w:val="3EBF76C2"/>
    <w:rsid w:val="40763B12"/>
    <w:rsid w:val="43A83FEB"/>
    <w:rsid w:val="44A419F5"/>
    <w:rsid w:val="44D11E9C"/>
    <w:rsid w:val="44D5148A"/>
    <w:rsid w:val="45376442"/>
    <w:rsid w:val="45692435"/>
    <w:rsid w:val="48B7491B"/>
    <w:rsid w:val="495E6B76"/>
    <w:rsid w:val="4A311959"/>
    <w:rsid w:val="4C752540"/>
    <w:rsid w:val="4EC44B0B"/>
    <w:rsid w:val="50637050"/>
    <w:rsid w:val="507F3EA7"/>
    <w:rsid w:val="50A31C94"/>
    <w:rsid w:val="50F07BE0"/>
    <w:rsid w:val="51B06838"/>
    <w:rsid w:val="58F74E09"/>
    <w:rsid w:val="5C3723C1"/>
    <w:rsid w:val="5D76372F"/>
    <w:rsid w:val="5DB831C6"/>
    <w:rsid w:val="5E321D22"/>
    <w:rsid w:val="5EED5A18"/>
    <w:rsid w:val="5F65082C"/>
    <w:rsid w:val="5FD158AA"/>
    <w:rsid w:val="61057769"/>
    <w:rsid w:val="61DB7DC1"/>
    <w:rsid w:val="66FE3CEB"/>
    <w:rsid w:val="672B1276"/>
    <w:rsid w:val="67940500"/>
    <w:rsid w:val="685B3784"/>
    <w:rsid w:val="68B12B69"/>
    <w:rsid w:val="68FA6EE7"/>
    <w:rsid w:val="70790632"/>
    <w:rsid w:val="71B533FD"/>
    <w:rsid w:val="73562683"/>
    <w:rsid w:val="73B25F73"/>
    <w:rsid w:val="760754CC"/>
    <w:rsid w:val="769157BB"/>
    <w:rsid w:val="772C28BA"/>
    <w:rsid w:val="775B3006"/>
    <w:rsid w:val="792A7EE0"/>
    <w:rsid w:val="794B087E"/>
    <w:rsid w:val="7B1E67AC"/>
    <w:rsid w:val="7EE3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林国庆</cp:lastModifiedBy>
  <cp:lastPrinted>2020-10-10T06:38:46Z</cp:lastPrinted>
  <dcterms:modified xsi:type="dcterms:W3CDTF">2020-10-10T06:52:21Z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