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D27A9">
      <w:pPr>
        <w:spacing w:line="360" w:lineRule="auto"/>
        <w:jc w:val="center"/>
        <w:rPr>
          <w:rFonts w:hint="eastAsia" w:ascii="黑体" w:hAnsi="黑体" w:eastAsia="黑体"/>
          <w:sz w:val="44"/>
          <w:szCs w:val="36"/>
          <w:lang w:eastAsia="zh-CN"/>
        </w:rPr>
      </w:pPr>
      <w:r>
        <w:rPr>
          <w:rFonts w:hint="eastAsia" w:ascii="黑体" w:hAnsi="黑体" w:eastAsia="黑体"/>
          <w:sz w:val="44"/>
          <w:szCs w:val="36"/>
          <w:lang w:eastAsia="zh-CN"/>
        </w:rPr>
        <w:t>景德镇市人民政府外事办公室</w:t>
      </w:r>
    </w:p>
    <w:p w14:paraId="49E143FB">
      <w:pPr>
        <w:spacing w:line="360" w:lineRule="auto"/>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1A12050C">
      <w:pPr>
        <w:spacing w:line="360" w:lineRule="auto"/>
        <w:jc w:val="center"/>
        <w:rPr>
          <w:rFonts w:hint="eastAsia" w:ascii="黑体" w:eastAsia="黑体"/>
          <w:sz w:val="44"/>
          <w:szCs w:val="36"/>
        </w:rPr>
      </w:pPr>
    </w:p>
    <w:p w14:paraId="57AB5207">
      <w:pPr>
        <w:spacing w:line="360" w:lineRule="auto"/>
        <w:jc w:val="center"/>
        <w:rPr>
          <w:rFonts w:hint="eastAsia" w:ascii="黑体" w:eastAsia="黑体"/>
          <w:sz w:val="40"/>
          <w:szCs w:val="36"/>
        </w:rPr>
      </w:pPr>
      <w:r>
        <w:rPr>
          <w:rFonts w:hint="eastAsia" w:ascii="黑体" w:eastAsia="黑体"/>
          <w:sz w:val="40"/>
          <w:szCs w:val="36"/>
        </w:rPr>
        <w:t>目    录</w:t>
      </w:r>
    </w:p>
    <w:p w14:paraId="0279B733">
      <w:pPr>
        <w:widowControl/>
        <w:spacing w:line="360" w:lineRule="auto"/>
        <w:ind w:firstLine="640"/>
        <w:jc w:val="left"/>
        <w:rPr>
          <w:rFonts w:hint="eastAsia" w:ascii="仿宋_GB2312" w:eastAsia="仿宋_GB2312"/>
          <w:sz w:val="32"/>
          <w:szCs w:val="30"/>
        </w:rPr>
      </w:pPr>
    </w:p>
    <w:p w14:paraId="4F755F6F">
      <w:pPr>
        <w:widowControl/>
        <w:spacing w:line="360" w:lineRule="auto"/>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val="en-US" w:eastAsia="zh-CN"/>
        </w:rPr>
        <w:t>市外办</w:t>
      </w:r>
      <w:r>
        <w:rPr>
          <w:rFonts w:hint="eastAsia" w:ascii="黑体" w:hAnsi="黑体" w:eastAsia="黑体"/>
          <w:sz w:val="32"/>
          <w:szCs w:val="32"/>
        </w:rPr>
        <w:t>部门</w:t>
      </w:r>
      <w:r>
        <w:rPr>
          <w:rFonts w:hint="eastAsia" w:ascii="黑体" w:hAnsi="黑体" w:eastAsia="黑体"/>
          <w:b w:val="0"/>
          <w:sz w:val="32"/>
          <w:szCs w:val="32"/>
        </w:rPr>
        <w:t>概况</w:t>
      </w:r>
    </w:p>
    <w:p w14:paraId="3847CBB9">
      <w:pPr>
        <w:widowControl/>
        <w:spacing w:line="360" w:lineRule="auto"/>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03E6CFD8">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15BF2D34">
      <w:pPr>
        <w:widowControl/>
        <w:spacing w:line="360" w:lineRule="auto"/>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716EBCC5">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42300C34">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03AFF6E6">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08F4F144">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02F28B9B">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605F5CA1">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20AA121F">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七、一般公共预算财政拨款“三公”经费支出决算表</w:t>
      </w:r>
    </w:p>
    <w:p w14:paraId="61C759A9">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2C85DE76">
      <w:pPr>
        <w:widowControl/>
        <w:spacing w:line="360" w:lineRule="auto"/>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35E8AE24">
      <w:pPr>
        <w:widowControl/>
        <w:spacing w:line="360" w:lineRule="auto"/>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0B918E1B">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480A96E2">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3825BA33">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6A5836C">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72A9151F">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71100E38">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 xml:space="preserve">    情况说明</w:t>
      </w:r>
    </w:p>
    <w:p w14:paraId="0AC0AD43">
      <w:pPr>
        <w:widowControl/>
        <w:spacing w:line="360" w:lineRule="auto"/>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0AB655C2">
      <w:pPr>
        <w:widowControl/>
        <w:spacing w:line="360" w:lineRule="auto"/>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73BD2824">
      <w:pPr>
        <w:widowControl/>
        <w:spacing w:line="360" w:lineRule="auto"/>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3BC6CC01">
      <w:pPr>
        <w:widowControl/>
        <w:spacing w:line="360" w:lineRule="auto"/>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2AAB7FDF">
      <w:pPr>
        <w:widowControl/>
        <w:spacing w:line="360" w:lineRule="auto"/>
        <w:ind w:firstLine="640"/>
        <w:jc w:val="left"/>
        <w:rPr>
          <w:rFonts w:ascii="仿宋" w:hAnsi="仿宋" w:eastAsia="仿宋"/>
          <w:sz w:val="32"/>
          <w:szCs w:val="30"/>
        </w:rPr>
      </w:pPr>
      <w:r>
        <w:rPr>
          <w:rFonts w:hint="eastAsia" w:ascii="黑体" w:hAnsi="黑体" w:eastAsia="黑体"/>
          <w:sz w:val="32"/>
          <w:szCs w:val="32"/>
        </w:rPr>
        <w:t>第四部分  名词解释</w:t>
      </w:r>
    </w:p>
    <w:p w14:paraId="401BDFA0">
      <w:pPr>
        <w:spacing w:line="360" w:lineRule="auto"/>
        <w:ind w:firstLine="630"/>
        <w:jc w:val="center"/>
        <w:rPr>
          <w:rFonts w:hint="eastAsia" w:ascii="宋体" w:hAnsi="宋体"/>
          <w:b/>
          <w:sz w:val="36"/>
          <w:szCs w:val="36"/>
        </w:rPr>
      </w:pPr>
    </w:p>
    <w:p w14:paraId="615659D7">
      <w:pPr>
        <w:spacing w:line="360" w:lineRule="auto"/>
        <w:ind w:firstLine="630"/>
        <w:jc w:val="center"/>
        <w:rPr>
          <w:rFonts w:hint="eastAsia" w:ascii="宋体" w:hAnsi="宋体"/>
          <w:b/>
          <w:sz w:val="36"/>
          <w:szCs w:val="36"/>
        </w:rPr>
      </w:pPr>
    </w:p>
    <w:p w14:paraId="69357F4E">
      <w:pPr>
        <w:spacing w:line="360" w:lineRule="auto"/>
        <w:ind w:firstLine="630"/>
        <w:jc w:val="center"/>
        <w:rPr>
          <w:rFonts w:hint="eastAsia" w:ascii="宋体" w:hAnsi="宋体"/>
          <w:b/>
          <w:sz w:val="36"/>
          <w:szCs w:val="36"/>
        </w:rPr>
      </w:pPr>
    </w:p>
    <w:p w14:paraId="6BD2B7F1">
      <w:pPr>
        <w:spacing w:line="360" w:lineRule="auto"/>
        <w:ind w:firstLine="630"/>
        <w:jc w:val="center"/>
        <w:rPr>
          <w:rFonts w:hint="eastAsia" w:ascii="宋体" w:hAnsi="宋体"/>
          <w:b/>
          <w:sz w:val="36"/>
          <w:szCs w:val="36"/>
        </w:rPr>
      </w:pPr>
    </w:p>
    <w:p w14:paraId="5F41F15A">
      <w:pPr>
        <w:spacing w:line="360" w:lineRule="auto"/>
        <w:ind w:firstLine="630"/>
        <w:jc w:val="center"/>
        <w:rPr>
          <w:rFonts w:hint="eastAsia" w:ascii="宋体" w:hAnsi="宋体"/>
          <w:b/>
          <w:sz w:val="36"/>
          <w:szCs w:val="36"/>
        </w:rPr>
      </w:pPr>
    </w:p>
    <w:p w14:paraId="065C1F6C">
      <w:pPr>
        <w:spacing w:line="360" w:lineRule="auto"/>
        <w:ind w:firstLine="630"/>
        <w:jc w:val="center"/>
        <w:rPr>
          <w:rFonts w:hint="eastAsia" w:ascii="宋体" w:hAnsi="宋体"/>
          <w:b/>
          <w:sz w:val="36"/>
          <w:szCs w:val="36"/>
        </w:rPr>
      </w:pPr>
    </w:p>
    <w:p w14:paraId="0FBE3DDE">
      <w:pPr>
        <w:spacing w:line="360" w:lineRule="auto"/>
        <w:ind w:firstLine="630"/>
        <w:jc w:val="center"/>
        <w:rPr>
          <w:rFonts w:hint="eastAsia" w:ascii="宋体" w:hAnsi="宋体"/>
          <w:b/>
          <w:sz w:val="36"/>
          <w:szCs w:val="36"/>
        </w:rPr>
      </w:pPr>
    </w:p>
    <w:p w14:paraId="32F46D79">
      <w:pPr>
        <w:spacing w:line="360" w:lineRule="auto"/>
        <w:ind w:firstLine="630"/>
        <w:jc w:val="center"/>
        <w:rPr>
          <w:rFonts w:hint="eastAsia" w:ascii="宋体" w:hAnsi="宋体"/>
          <w:b/>
          <w:sz w:val="36"/>
          <w:szCs w:val="36"/>
        </w:rPr>
      </w:pPr>
    </w:p>
    <w:p w14:paraId="1E3828DA">
      <w:pPr>
        <w:spacing w:line="360" w:lineRule="auto"/>
        <w:jc w:val="both"/>
        <w:rPr>
          <w:rFonts w:hint="eastAsia" w:ascii="宋体" w:hAnsi="宋体"/>
          <w:b/>
          <w:sz w:val="36"/>
          <w:szCs w:val="36"/>
        </w:rPr>
      </w:pPr>
    </w:p>
    <w:p w14:paraId="7D13A23B">
      <w:pPr>
        <w:spacing w:line="360" w:lineRule="auto"/>
        <w:ind w:firstLine="630"/>
        <w:jc w:val="center"/>
        <w:rPr>
          <w:rFonts w:hint="eastAsia" w:ascii="宋体" w:hAnsi="宋体"/>
          <w:b/>
          <w:sz w:val="36"/>
          <w:szCs w:val="36"/>
        </w:rPr>
      </w:pPr>
    </w:p>
    <w:p w14:paraId="7BA48268">
      <w:pPr>
        <w:spacing w:line="360" w:lineRule="auto"/>
        <w:ind w:firstLine="630"/>
        <w:jc w:val="center"/>
        <w:rPr>
          <w:rFonts w:hint="eastAsia" w:ascii="宋体" w:hAnsi="宋体"/>
          <w:b/>
          <w:sz w:val="36"/>
          <w:szCs w:val="36"/>
        </w:rPr>
      </w:pPr>
    </w:p>
    <w:p w14:paraId="4BAEC2C8">
      <w:pPr>
        <w:spacing w:line="360" w:lineRule="auto"/>
        <w:ind w:firstLine="630"/>
        <w:jc w:val="center"/>
        <w:rPr>
          <w:rFonts w:hint="eastAsia" w:ascii="宋体" w:hAnsi="宋体"/>
          <w:b/>
          <w:sz w:val="36"/>
          <w:szCs w:val="36"/>
        </w:rPr>
      </w:pPr>
    </w:p>
    <w:p w14:paraId="2659A040">
      <w:pPr>
        <w:spacing w:line="360" w:lineRule="auto"/>
        <w:ind w:firstLine="630"/>
        <w:jc w:val="center"/>
        <w:rPr>
          <w:rFonts w:hint="eastAsia" w:ascii="宋体" w:hAnsi="宋体"/>
          <w:b/>
          <w:sz w:val="36"/>
          <w:szCs w:val="36"/>
        </w:rPr>
      </w:pPr>
    </w:p>
    <w:p w14:paraId="13F64542">
      <w:pPr>
        <w:spacing w:line="360" w:lineRule="auto"/>
        <w:ind w:firstLine="630"/>
        <w:jc w:val="center"/>
        <w:rPr>
          <w:rFonts w:hint="eastAsia" w:ascii="宋体" w:hAnsi="宋体"/>
          <w:b/>
          <w:sz w:val="36"/>
          <w:szCs w:val="36"/>
        </w:rPr>
      </w:pPr>
    </w:p>
    <w:p w14:paraId="4EC73C7C">
      <w:pPr>
        <w:widowControl/>
        <w:spacing w:line="360" w:lineRule="auto"/>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市外办</w:t>
      </w:r>
      <w:r>
        <w:rPr>
          <w:rFonts w:hint="eastAsia" w:ascii="宋体" w:hAnsi="宋体"/>
          <w:b/>
          <w:sz w:val="32"/>
          <w:szCs w:val="32"/>
        </w:rPr>
        <w:t>部门</w:t>
      </w:r>
      <w:r>
        <w:rPr>
          <w:rFonts w:hint="eastAsia" w:ascii="宋体" w:hAnsi="宋体"/>
          <w:b/>
          <w:sz w:val="32"/>
          <w:szCs w:val="30"/>
        </w:rPr>
        <w:t>概况</w:t>
      </w:r>
    </w:p>
    <w:p w14:paraId="6962120B">
      <w:pPr>
        <w:spacing w:line="360" w:lineRule="auto"/>
        <w:ind w:firstLine="630"/>
        <w:jc w:val="center"/>
        <w:rPr>
          <w:rFonts w:hint="eastAsia"/>
          <w:sz w:val="32"/>
          <w:szCs w:val="32"/>
        </w:rPr>
      </w:pPr>
    </w:p>
    <w:p w14:paraId="48DE154F">
      <w:pPr>
        <w:spacing w:line="360" w:lineRule="auto"/>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46D61D3A">
      <w:pPr>
        <w:spacing w:line="360" w:lineRule="auto"/>
        <w:ind w:firstLine="630"/>
        <w:jc w:val="left"/>
        <w:rPr>
          <w:rFonts w:hint="eastAsia" w:ascii="仿宋" w:hAnsi="仿宋" w:eastAsia="仿宋"/>
          <w:sz w:val="30"/>
          <w:szCs w:val="30"/>
        </w:rPr>
      </w:pPr>
      <w:r>
        <w:rPr>
          <w:rFonts w:hint="eastAsia" w:ascii="仿宋" w:hAnsi="仿宋" w:eastAsia="仿宋"/>
          <w:sz w:val="30"/>
          <w:szCs w:val="30"/>
        </w:rPr>
        <w:t>（一）坚持和加强党对全市对外工作的集中统一领导，贯彻执行党和国家对外方针政策和港澳工作政策法规以及市委、市政府关于外事、港澳工作的决策部署；围绕全市经济社会发展和外事、港澳工作开展调查研究，为市委和市政府的对外工作决策提供意见和建议；起草全市外事、港澳工作政策、规定，研究制定全市外事工作和港澳工作发展规划；负责协调处理全市重大外事工作和涉港涉澳工作。</w:t>
      </w:r>
    </w:p>
    <w:p w14:paraId="6EFCF0D3">
      <w:pPr>
        <w:spacing w:line="360" w:lineRule="auto"/>
        <w:ind w:firstLine="630"/>
        <w:jc w:val="left"/>
        <w:rPr>
          <w:rFonts w:hint="eastAsia" w:ascii="仿宋" w:hAnsi="仿宋" w:eastAsia="仿宋"/>
          <w:sz w:val="30"/>
          <w:szCs w:val="30"/>
        </w:rPr>
      </w:pPr>
      <w:r>
        <w:rPr>
          <w:rFonts w:hint="eastAsia" w:ascii="仿宋" w:hAnsi="仿宋" w:eastAsia="仿宋"/>
          <w:sz w:val="30"/>
          <w:szCs w:val="30"/>
        </w:rPr>
        <w:t>（二）牵头做好重要外宾访景的有关工作；归口协调市级领导的涉外活动；办理市级领导对外交往事宜；指导有关单位做好外事礼宾工作；负责全市对外参观点的开辟、调整和建设工作。</w:t>
      </w:r>
    </w:p>
    <w:p w14:paraId="577B8E0B">
      <w:pPr>
        <w:spacing w:line="360" w:lineRule="auto"/>
        <w:ind w:firstLine="630"/>
        <w:jc w:val="left"/>
        <w:rPr>
          <w:rFonts w:hint="eastAsia" w:ascii="仿宋" w:hAnsi="仿宋" w:eastAsia="仿宋"/>
          <w:sz w:val="30"/>
          <w:szCs w:val="30"/>
        </w:rPr>
      </w:pPr>
      <w:r>
        <w:rPr>
          <w:rFonts w:hint="eastAsia" w:ascii="仿宋" w:hAnsi="仿宋" w:eastAsia="仿宋"/>
          <w:sz w:val="30"/>
          <w:szCs w:val="30"/>
        </w:rPr>
        <w:t>（三）归口管理全市因公出国（境）和邀请外国人来赣访问工作。审核审批并管理因公护照和因公赴港澳通行证；负责办理因公出国人员签证和来访外国人的邀请、签证函电等业务；指导对外事干部和出国（境）人员及其团组的外事政策纪律教育和业务培训。</w:t>
      </w:r>
    </w:p>
    <w:p w14:paraId="1E87035A">
      <w:pPr>
        <w:spacing w:line="360" w:lineRule="auto"/>
        <w:ind w:firstLine="630"/>
        <w:jc w:val="left"/>
        <w:rPr>
          <w:rFonts w:hint="eastAsia" w:ascii="仿宋" w:hAnsi="仿宋" w:eastAsia="仿宋"/>
          <w:sz w:val="30"/>
          <w:szCs w:val="30"/>
        </w:rPr>
      </w:pPr>
      <w:r>
        <w:rPr>
          <w:rFonts w:hint="eastAsia" w:ascii="仿宋" w:hAnsi="仿宋" w:eastAsia="仿宋"/>
          <w:sz w:val="30"/>
          <w:szCs w:val="30"/>
        </w:rPr>
        <w:t>（四）归口管理全市与外国驻华使领馆和我国驻外国使领馆的工作联络与交往；协调处理外国人在景以及我市公民在海外的领事事务；代办领事认证。</w:t>
      </w:r>
    </w:p>
    <w:p w14:paraId="263D790B">
      <w:pPr>
        <w:spacing w:line="360" w:lineRule="auto"/>
        <w:ind w:firstLine="630"/>
        <w:jc w:val="left"/>
        <w:rPr>
          <w:rFonts w:hint="eastAsia" w:ascii="仿宋" w:hAnsi="仿宋" w:eastAsia="仿宋"/>
          <w:sz w:val="30"/>
          <w:szCs w:val="30"/>
        </w:rPr>
      </w:pPr>
      <w:r>
        <w:rPr>
          <w:rFonts w:hint="eastAsia" w:ascii="仿宋" w:hAnsi="仿宋" w:eastAsia="仿宋"/>
          <w:sz w:val="30"/>
          <w:szCs w:val="30"/>
        </w:rPr>
        <w:t>（五）归口管理全市涉港涉澳事务。负责统筹我市与港澳各领域的交流合作；协调处理港澳同胞的来信来访工作，依法保护港澳同胞在景的合法权益；负责港澳同胞捐赠的接收工作，并参与对捐赠财产使用与管理的监督。</w:t>
      </w:r>
    </w:p>
    <w:p w14:paraId="3F9FD0CC">
      <w:pPr>
        <w:spacing w:line="360" w:lineRule="auto"/>
        <w:ind w:firstLine="630"/>
        <w:jc w:val="left"/>
        <w:rPr>
          <w:rFonts w:hint="eastAsia" w:ascii="仿宋" w:hAnsi="仿宋" w:eastAsia="仿宋"/>
          <w:sz w:val="30"/>
          <w:szCs w:val="30"/>
        </w:rPr>
      </w:pPr>
      <w:r>
        <w:rPr>
          <w:rFonts w:hint="eastAsia" w:ascii="仿宋" w:hAnsi="仿宋" w:eastAsia="仿宋"/>
          <w:sz w:val="30"/>
          <w:szCs w:val="30"/>
        </w:rPr>
        <w:t>（六）负责全市国际友好城市缔结与交流；协调全市与外国友好城市的交往活动；指导民间对外交往工作；负责我市社会组织参与国际非政府组织活动的协调管理工作。</w:t>
      </w:r>
    </w:p>
    <w:p w14:paraId="682B4A95">
      <w:pPr>
        <w:spacing w:line="360" w:lineRule="auto"/>
        <w:ind w:firstLine="630"/>
        <w:jc w:val="left"/>
        <w:rPr>
          <w:rFonts w:hint="eastAsia" w:ascii="仿宋" w:hAnsi="仿宋" w:eastAsia="仿宋"/>
          <w:sz w:val="30"/>
          <w:szCs w:val="30"/>
        </w:rPr>
      </w:pPr>
      <w:r>
        <w:rPr>
          <w:rFonts w:hint="eastAsia" w:ascii="仿宋" w:hAnsi="仿宋" w:eastAsia="仿宋"/>
          <w:sz w:val="30"/>
          <w:szCs w:val="30"/>
        </w:rPr>
        <w:t>（七）贯彻落实总体国家安全观，牵头或会同有关部门处置全市重大涉外和涉港涉澳突发事件。</w:t>
      </w:r>
    </w:p>
    <w:p w14:paraId="362C5384">
      <w:pPr>
        <w:spacing w:line="360" w:lineRule="auto"/>
        <w:ind w:firstLine="630"/>
        <w:jc w:val="left"/>
        <w:rPr>
          <w:rFonts w:hint="eastAsia" w:ascii="仿宋" w:hAnsi="仿宋" w:eastAsia="仿宋"/>
          <w:sz w:val="30"/>
          <w:szCs w:val="30"/>
        </w:rPr>
      </w:pPr>
      <w:r>
        <w:rPr>
          <w:rFonts w:hint="eastAsia" w:ascii="仿宋" w:hAnsi="仿宋" w:eastAsia="仿宋"/>
          <w:sz w:val="30"/>
          <w:szCs w:val="30"/>
        </w:rPr>
        <w:t>（八）配合纪委监委部门、国家安全及保密部门监督检查外事纪律及涉外保密制度的执行情况。</w:t>
      </w:r>
    </w:p>
    <w:p w14:paraId="47A26651">
      <w:pPr>
        <w:spacing w:line="360" w:lineRule="auto"/>
        <w:ind w:firstLine="630"/>
        <w:jc w:val="left"/>
        <w:rPr>
          <w:rFonts w:hint="eastAsia" w:ascii="仿宋" w:hAnsi="仿宋" w:eastAsia="仿宋"/>
          <w:sz w:val="30"/>
          <w:szCs w:val="30"/>
        </w:rPr>
      </w:pPr>
      <w:r>
        <w:rPr>
          <w:rFonts w:hint="eastAsia" w:ascii="仿宋" w:hAnsi="仿宋" w:eastAsia="仿宋"/>
          <w:sz w:val="30"/>
          <w:szCs w:val="30"/>
        </w:rPr>
        <w:t xml:space="preserve">（九）完成市委、市政府交办的其他任务。 </w:t>
      </w:r>
      <w:r>
        <w:rPr>
          <w:rFonts w:ascii="仿宋" w:hAnsi="仿宋" w:eastAsia="仿宋"/>
          <w:sz w:val="30"/>
          <w:szCs w:val="30"/>
        </w:rPr>
        <w:t>……</w:t>
      </w:r>
    </w:p>
    <w:p w14:paraId="274E41CF">
      <w:pPr>
        <w:spacing w:line="360" w:lineRule="auto"/>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1B29B523">
      <w:pPr>
        <w:spacing w:line="360" w:lineRule="auto"/>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2</w:t>
      </w:r>
      <w:r>
        <w:rPr>
          <w:rFonts w:hint="eastAsia" w:ascii="仿宋" w:hAnsi="仿宋" w:eastAsia="仿宋"/>
          <w:sz w:val="30"/>
          <w:szCs w:val="30"/>
        </w:rPr>
        <w:t>个，</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景</w:t>
      </w:r>
      <w:r>
        <w:rPr>
          <w:rFonts w:hint="eastAsia" w:ascii="仿宋_GB2312" w:hAnsi="仿宋_GB2312" w:eastAsia="仿宋_GB2312" w:cs="仿宋_GB2312"/>
          <w:color w:val="auto"/>
          <w:sz w:val="32"/>
          <w:szCs w:val="32"/>
          <w:lang w:eastAsia="zh-CN"/>
        </w:rPr>
        <w:t>德镇市外事办公室</w:t>
      </w:r>
      <w:r>
        <w:rPr>
          <w:rFonts w:hint="eastAsia" w:ascii="仿宋_GB2312" w:hAnsi="仿宋_GB2312" w:eastAsia="仿宋_GB2312" w:cs="仿宋_GB2312"/>
          <w:color w:val="auto"/>
          <w:sz w:val="32"/>
          <w:szCs w:val="32"/>
        </w:rPr>
        <w:t>本级</w:t>
      </w:r>
      <w:r>
        <w:rPr>
          <w:rFonts w:hint="eastAsia" w:ascii="仿宋_GB2312" w:hAnsi="仿宋_GB2312" w:eastAsia="仿宋_GB2312" w:cs="仿宋_GB2312"/>
          <w:color w:val="auto"/>
          <w:sz w:val="32"/>
          <w:szCs w:val="32"/>
          <w:lang w:eastAsia="zh-CN"/>
        </w:rPr>
        <w:t>、景德镇市因公出国（境）管理中心</w:t>
      </w:r>
      <w:r>
        <w:rPr>
          <w:rFonts w:hint="eastAsia" w:ascii="仿宋_GB2312" w:hAnsi="仿宋_GB2312" w:eastAsia="仿宋_GB2312" w:cs="仿宋_GB2312"/>
          <w:color w:val="auto"/>
          <w:sz w:val="32"/>
          <w:szCs w:val="32"/>
        </w:rPr>
        <w:t>。</w:t>
      </w:r>
    </w:p>
    <w:p w14:paraId="1AFE55D2">
      <w:pPr>
        <w:spacing w:line="360" w:lineRule="auto"/>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26</w:t>
      </w:r>
      <w:r>
        <w:rPr>
          <w:rFonts w:hint="eastAsia" w:ascii="仿宋" w:hAnsi="仿宋" w:eastAsia="仿宋"/>
          <w:sz w:val="30"/>
          <w:szCs w:val="30"/>
        </w:rPr>
        <w:t>人，其中在职人员</w:t>
      </w:r>
      <w:r>
        <w:rPr>
          <w:rFonts w:hint="eastAsia" w:ascii="仿宋" w:hAnsi="仿宋" w:eastAsia="仿宋"/>
          <w:sz w:val="30"/>
          <w:szCs w:val="30"/>
          <w:lang w:val="en-US" w:eastAsia="zh-CN"/>
        </w:rPr>
        <w:t>19</w:t>
      </w:r>
      <w:r>
        <w:rPr>
          <w:rFonts w:hint="eastAsia" w:ascii="仿宋" w:hAnsi="仿宋" w:eastAsia="仿宋"/>
          <w:sz w:val="30"/>
          <w:szCs w:val="30"/>
        </w:rPr>
        <w:t>人，退休人员</w:t>
      </w:r>
      <w:r>
        <w:rPr>
          <w:rFonts w:hint="eastAsia" w:ascii="仿宋" w:hAnsi="仿宋" w:eastAsia="仿宋"/>
          <w:sz w:val="30"/>
          <w:szCs w:val="30"/>
          <w:lang w:val="en-US" w:eastAsia="zh-CN"/>
        </w:rPr>
        <w:t>7</w:t>
      </w:r>
      <w:r>
        <w:rPr>
          <w:rFonts w:hint="eastAsia" w:ascii="仿宋" w:hAnsi="仿宋" w:eastAsia="仿宋"/>
          <w:sz w:val="30"/>
          <w:szCs w:val="30"/>
        </w:rPr>
        <w:t>人。</w:t>
      </w:r>
    </w:p>
    <w:p w14:paraId="26AE6347">
      <w:pPr>
        <w:spacing w:line="360" w:lineRule="auto"/>
        <w:rPr>
          <w:rFonts w:hint="eastAsia" w:ascii="宋体" w:hAnsi="宋体"/>
          <w:b/>
          <w:sz w:val="32"/>
          <w:szCs w:val="32"/>
        </w:rPr>
      </w:pPr>
      <w:r>
        <w:rPr>
          <w:rFonts w:hint="eastAsia" w:ascii="宋体" w:hAnsi="宋体"/>
          <w:b/>
          <w:sz w:val="32"/>
          <w:szCs w:val="32"/>
        </w:rPr>
        <w:br w:type="page"/>
      </w:r>
    </w:p>
    <w:p w14:paraId="1FFD5F17">
      <w:pPr>
        <w:widowControl/>
        <w:spacing w:line="360" w:lineRule="auto"/>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04AC1EEA">
      <w:pPr>
        <w:autoSpaceDE w:val="0"/>
        <w:autoSpaceDN w:val="0"/>
        <w:adjustRightInd w:val="0"/>
        <w:spacing w:line="360" w:lineRule="auto"/>
        <w:jc w:val="left"/>
        <w:rPr>
          <w:rFonts w:hint="eastAsia"/>
          <w:szCs w:val="30"/>
        </w:rPr>
      </w:pPr>
    </w:p>
    <w:p w14:paraId="606F2B2B">
      <w:pPr>
        <w:autoSpaceDE w:val="0"/>
        <w:autoSpaceDN w:val="0"/>
        <w:adjustRightInd w:val="0"/>
        <w:spacing w:line="360" w:lineRule="auto"/>
        <w:jc w:val="left"/>
        <w:rPr>
          <w:rFonts w:hint="eastAsia"/>
          <w:szCs w:val="30"/>
        </w:rPr>
      </w:pPr>
      <w:r>
        <w:drawing>
          <wp:inline distT="0" distB="0" distL="114300" distR="114300">
            <wp:extent cx="5399405" cy="7197090"/>
            <wp:effectExtent l="0" t="0" r="10795" b="381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4"/>
                    <a:stretch>
                      <a:fillRect/>
                    </a:stretch>
                  </pic:blipFill>
                  <pic:spPr>
                    <a:xfrm>
                      <a:off x="0" y="0"/>
                      <a:ext cx="5399405" cy="7197090"/>
                    </a:xfrm>
                    <a:prstGeom prst="rect">
                      <a:avLst/>
                    </a:prstGeom>
                    <a:noFill/>
                    <a:ln>
                      <a:noFill/>
                    </a:ln>
                  </pic:spPr>
                </pic:pic>
              </a:graphicData>
            </a:graphic>
          </wp:inline>
        </w:drawing>
      </w:r>
    </w:p>
    <w:p w14:paraId="6D8A9771">
      <w:pPr>
        <w:spacing w:line="360" w:lineRule="auto"/>
      </w:pPr>
      <w:r>
        <w:br w:type="page"/>
      </w:r>
    </w:p>
    <w:p w14:paraId="3ED1A84D">
      <w:pPr>
        <w:autoSpaceDE w:val="0"/>
        <w:autoSpaceDN w:val="0"/>
        <w:adjustRightInd w:val="0"/>
        <w:spacing w:line="360" w:lineRule="auto"/>
        <w:jc w:val="left"/>
        <w:rPr>
          <w:rFonts w:hint="eastAsia"/>
          <w:szCs w:val="30"/>
        </w:rPr>
      </w:pPr>
      <w:r>
        <w:drawing>
          <wp:inline distT="0" distB="0" distL="114300" distR="114300">
            <wp:extent cx="5392420" cy="4666615"/>
            <wp:effectExtent l="0" t="0" r="17780" b="63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5"/>
                    <a:stretch>
                      <a:fillRect/>
                    </a:stretch>
                  </pic:blipFill>
                  <pic:spPr>
                    <a:xfrm>
                      <a:off x="0" y="0"/>
                      <a:ext cx="5392420" cy="4666615"/>
                    </a:xfrm>
                    <a:prstGeom prst="rect">
                      <a:avLst/>
                    </a:prstGeom>
                    <a:noFill/>
                    <a:ln>
                      <a:noFill/>
                    </a:ln>
                  </pic:spPr>
                </pic:pic>
              </a:graphicData>
            </a:graphic>
          </wp:inline>
        </w:drawing>
      </w:r>
    </w:p>
    <w:p w14:paraId="212ADF4F">
      <w:pPr>
        <w:spacing w:line="360" w:lineRule="auto"/>
        <w:rPr>
          <w:rFonts w:hint="eastAsia" w:ascii="仿宋" w:hAnsi="仿宋" w:eastAsia="仿宋" w:cs="仿宋_GB2312"/>
          <w:kern w:val="0"/>
          <w:sz w:val="30"/>
          <w:szCs w:val="30"/>
        </w:rPr>
      </w:pPr>
      <w:r>
        <w:rPr>
          <w:rFonts w:hint="eastAsia" w:ascii="仿宋" w:hAnsi="仿宋" w:eastAsia="仿宋" w:cs="仿宋_GB2312"/>
          <w:kern w:val="0"/>
          <w:sz w:val="30"/>
          <w:szCs w:val="30"/>
        </w:rPr>
        <w:br w:type="page"/>
      </w:r>
    </w:p>
    <w:p w14:paraId="786AB87F">
      <w:pPr>
        <w:autoSpaceDE w:val="0"/>
        <w:autoSpaceDN w:val="0"/>
        <w:adjustRightInd w:val="0"/>
        <w:spacing w:line="360" w:lineRule="auto"/>
        <w:jc w:val="left"/>
        <w:rPr>
          <w:rFonts w:hint="eastAsia" w:ascii="仿宋" w:hAnsi="仿宋" w:eastAsia="仿宋" w:cs="仿宋_GB2312"/>
          <w:kern w:val="0"/>
          <w:sz w:val="30"/>
          <w:szCs w:val="30"/>
        </w:rPr>
      </w:pPr>
    </w:p>
    <w:p w14:paraId="26FE3234">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393690" cy="5572760"/>
            <wp:effectExtent l="0" t="0" r="16510" b="889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6"/>
                    <a:stretch>
                      <a:fillRect/>
                    </a:stretch>
                  </pic:blipFill>
                  <pic:spPr>
                    <a:xfrm>
                      <a:off x="0" y="0"/>
                      <a:ext cx="5393690" cy="5572760"/>
                    </a:xfrm>
                    <a:prstGeom prst="rect">
                      <a:avLst/>
                    </a:prstGeom>
                    <a:noFill/>
                    <a:ln>
                      <a:noFill/>
                    </a:ln>
                  </pic:spPr>
                </pic:pic>
              </a:graphicData>
            </a:graphic>
          </wp:inline>
        </w:drawing>
      </w:r>
    </w:p>
    <w:p w14:paraId="444BFCDD">
      <w:pPr>
        <w:spacing w:line="360" w:lineRule="auto"/>
      </w:pPr>
      <w:r>
        <w:br w:type="page"/>
      </w:r>
    </w:p>
    <w:p w14:paraId="1172E866">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394325" cy="6471285"/>
            <wp:effectExtent l="0" t="0" r="15875" b="5715"/>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7"/>
                    <a:stretch>
                      <a:fillRect/>
                    </a:stretch>
                  </pic:blipFill>
                  <pic:spPr>
                    <a:xfrm>
                      <a:off x="0" y="0"/>
                      <a:ext cx="5394325" cy="6471285"/>
                    </a:xfrm>
                    <a:prstGeom prst="rect">
                      <a:avLst/>
                    </a:prstGeom>
                    <a:noFill/>
                    <a:ln>
                      <a:noFill/>
                    </a:ln>
                  </pic:spPr>
                </pic:pic>
              </a:graphicData>
            </a:graphic>
          </wp:inline>
        </w:drawing>
      </w:r>
    </w:p>
    <w:p w14:paraId="1C83436F">
      <w:pPr>
        <w:autoSpaceDE w:val="0"/>
        <w:autoSpaceDN w:val="0"/>
        <w:adjustRightInd w:val="0"/>
        <w:spacing w:line="360" w:lineRule="auto"/>
        <w:jc w:val="left"/>
        <w:rPr>
          <w:rFonts w:hint="eastAsia"/>
          <w:szCs w:val="30"/>
        </w:rPr>
      </w:pPr>
    </w:p>
    <w:p w14:paraId="58E281F0">
      <w:pPr>
        <w:autoSpaceDE w:val="0"/>
        <w:autoSpaceDN w:val="0"/>
        <w:adjustRightInd w:val="0"/>
        <w:spacing w:line="360" w:lineRule="auto"/>
        <w:jc w:val="left"/>
        <w:rPr>
          <w:rFonts w:hint="eastAsia"/>
          <w:szCs w:val="30"/>
        </w:rPr>
      </w:pPr>
    </w:p>
    <w:p w14:paraId="42FD387E">
      <w:pPr>
        <w:spacing w:line="360" w:lineRule="auto"/>
        <w:rPr>
          <w:rFonts w:hint="eastAsia"/>
          <w:szCs w:val="30"/>
        </w:rPr>
      </w:pPr>
      <w:r>
        <w:rPr>
          <w:rFonts w:hint="eastAsia"/>
          <w:szCs w:val="30"/>
        </w:rPr>
        <w:br w:type="page"/>
      </w:r>
    </w:p>
    <w:p w14:paraId="73711DA7">
      <w:pPr>
        <w:spacing w:line="360" w:lineRule="auto"/>
      </w:pPr>
    </w:p>
    <w:p w14:paraId="229D3F9E">
      <w:pPr>
        <w:autoSpaceDE w:val="0"/>
        <w:autoSpaceDN w:val="0"/>
        <w:adjustRightInd w:val="0"/>
        <w:spacing w:line="360" w:lineRule="auto"/>
        <w:jc w:val="left"/>
        <w:rPr>
          <w:rFonts w:hint="eastAsia"/>
        </w:rPr>
      </w:pPr>
      <w:r>
        <w:drawing>
          <wp:inline distT="0" distB="0" distL="114300" distR="114300">
            <wp:extent cx="5398135" cy="7897495"/>
            <wp:effectExtent l="0" t="0" r="12065" b="8255"/>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8"/>
                    <a:stretch>
                      <a:fillRect/>
                    </a:stretch>
                  </pic:blipFill>
                  <pic:spPr>
                    <a:xfrm>
                      <a:off x="0" y="0"/>
                      <a:ext cx="5398135" cy="7897495"/>
                    </a:xfrm>
                    <a:prstGeom prst="rect">
                      <a:avLst/>
                    </a:prstGeom>
                    <a:noFill/>
                    <a:ln>
                      <a:noFill/>
                    </a:ln>
                  </pic:spPr>
                </pic:pic>
              </a:graphicData>
            </a:graphic>
          </wp:inline>
        </w:drawing>
      </w:r>
    </w:p>
    <w:p w14:paraId="33A06E39">
      <w:pPr>
        <w:spacing w:line="360" w:lineRule="auto"/>
        <w:rPr>
          <w:rFonts w:hint="eastAsia" w:ascii="仿宋" w:hAnsi="仿宋" w:eastAsia="仿宋" w:cs="仿宋_GB2312"/>
          <w:kern w:val="0"/>
          <w:sz w:val="30"/>
          <w:szCs w:val="30"/>
        </w:rPr>
      </w:pPr>
      <w:r>
        <w:rPr>
          <w:rFonts w:hint="eastAsia" w:ascii="仿宋" w:hAnsi="仿宋" w:eastAsia="仿宋" w:cs="仿宋_GB2312"/>
          <w:kern w:val="0"/>
          <w:sz w:val="30"/>
          <w:szCs w:val="30"/>
        </w:rPr>
        <w:br w:type="page"/>
      </w:r>
    </w:p>
    <w:p w14:paraId="39886E71">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394325" cy="7981315"/>
            <wp:effectExtent l="0" t="0" r="15875" b="63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9"/>
                    <a:stretch>
                      <a:fillRect/>
                    </a:stretch>
                  </pic:blipFill>
                  <pic:spPr>
                    <a:xfrm>
                      <a:off x="0" y="0"/>
                      <a:ext cx="5394325" cy="7981315"/>
                    </a:xfrm>
                    <a:prstGeom prst="rect">
                      <a:avLst/>
                    </a:prstGeom>
                    <a:noFill/>
                    <a:ln>
                      <a:noFill/>
                    </a:ln>
                  </pic:spPr>
                </pic:pic>
              </a:graphicData>
            </a:graphic>
          </wp:inline>
        </w:drawing>
      </w:r>
    </w:p>
    <w:p w14:paraId="5653D500">
      <w:pPr>
        <w:spacing w:line="360" w:lineRule="auto"/>
      </w:pPr>
      <w:r>
        <w:br w:type="page"/>
      </w:r>
    </w:p>
    <w:p w14:paraId="6F1BFC62">
      <w:pPr>
        <w:autoSpaceDE w:val="0"/>
        <w:autoSpaceDN w:val="0"/>
        <w:adjustRightInd w:val="0"/>
        <w:spacing w:line="360" w:lineRule="auto"/>
        <w:jc w:val="left"/>
        <w:rPr>
          <w:rFonts w:hint="eastAsia"/>
          <w:szCs w:val="30"/>
        </w:rPr>
      </w:pPr>
      <w:r>
        <w:drawing>
          <wp:inline distT="0" distB="0" distL="114300" distR="114300">
            <wp:extent cx="5396865" cy="6858635"/>
            <wp:effectExtent l="0" t="0" r="13335" b="18415"/>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pic:cNvPicPr>
                  </pic:nvPicPr>
                  <pic:blipFill>
                    <a:blip r:embed="rId10"/>
                    <a:stretch>
                      <a:fillRect/>
                    </a:stretch>
                  </pic:blipFill>
                  <pic:spPr>
                    <a:xfrm>
                      <a:off x="0" y="0"/>
                      <a:ext cx="5396865" cy="6858635"/>
                    </a:xfrm>
                    <a:prstGeom prst="rect">
                      <a:avLst/>
                    </a:prstGeom>
                    <a:noFill/>
                    <a:ln>
                      <a:noFill/>
                    </a:ln>
                  </pic:spPr>
                </pic:pic>
              </a:graphicData>
            </a:graphic>
          </wp:inline>
        </w:drawing>
      </w:r>
    </w:p>
    <w:p w14:paraId="05A48FEA">
      <w:pPr>
        <w:autoSpaceDE w:val="0"/>
        <w:autoSpaceDN w:val="0"/>
        <w:adjustRightInd w:val="0"/>
        <w:spacing w:line="360" w:lineRule="auto"/>
        <w:jc w:val="left"/>
        <w:rPr>
          <w:rFonts w:hint="eastAsia"/>
          <w:szCs w:val="30"/>
        </w:rPr>
      </w:pPr>
    </w:p>
    <w:p w14:paraId="70F71BC5">
      <w:pPr>
        <w:spacing w:line="360" w:lineRule="auto"/>
      </w:pPr>
      <w:r>
        <w:br w:type="page"/>
      </w:r>
    </w:p>
    <w:p w14:paraId="71023DBB">
      <w:pPr>
        <w:autoSpaceDE w:val="0"/>
        <w:autoSpaceDN w:val="0"/>
        <w:adjustRightInd w:val="0"/>
        <w:spacing w:line="360" w:lineRule="auto"/>
        <w:jc w:val="left"/>
        <w:rPr>
          <w:rFonts w:hint="eastAsia"/>
          <w:szCs w:val="30"/>
        </w:rPr>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14:paraId="67415805">
      <w:pPr>
        <w:autoSpaceDE w:val="0"/>
        <w:autoSpaceDN w:val="0"/>
        <w:adjustRightInd w:val="0"/>
        <w:spacing w:line="360" w:lineRule="auto"/>
        <w:jc w:val="left"/>
        <w:rPr>
          <w:rFonts w:hint="eastAsia"/>
          <w:szCs w:val="30"/>
        </w:rPr>
      </w:pPr>
    </w:p>
    <w:p w14:paraId="7369A6E0">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2405" cy="2936875"/>
            <wp:effectExtent l="0" t="0" r="635" b="444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2"/>
                    <a:stretch>
                      <a:fillRect/>
                    </a:stretch>
                  </pic:blipFill>
                  <pic:spPr>
                    <a:xfrm>
                      <a:off x="0" y="0"/>
                      <a:ext cx="5272405" cy="2936875"/>
                    </a:xfrm>
                    <a:prstGeom prst="rect">
                      <a:avLst/>
                    </a:prstGeom>
                    <a:noFill/>
                    <a:ln>
                      <a:noFill/>
                    </a:ln>
                  </pic:spPr>
                </pic:pic>
              </a:graphicData>
            </a:graphic>
          </wp:inline>
        </w:drawing>
      </w:r>
    </w:p>
    <w:p w14:paraId="4E5C6340">
      <w:pPr>
        <w:widowControl/>
        <w:spacing w:line="360" w:lineRule="auto"/>
        <w:ind w:firstLine="640"/>
        <w:jc w:val="center"/>
        <w:rPr>
          <w:rFonts w:hint="eastAsia" w:ascii="宋体" w:hAnsi="宋体"/>
          <w:b/>
          <w:sz w:val="32"/>
          <w:szCs w:val="32"/>
        </w:rPr>
      </w:pPr>
    </w:p>
    <w:p w14:paraId="27F13C82">
      <w:pPr>
        <w:widowControl/>
        <w:spacing w:line="360" w:lineRule="auto"/>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0CC59EB2">
      <w:pPr>
        <w:spacing w:line="360" w:lineRule="auto"/>
        <w:ind w:firstLine="630"/>
        <w:jc w:val="left"/>
        <w:rPr>
          <w:rFonts w:hint="eastAsia" w:ascii="仿宋" w:hAnsi="仿宋" w:eastAsia="仿宋"/>
          <w:sz w:val="30"/>
          <w:szCs w:val="30"/>
        </w:rPr>
      </w:pPr>
    </w:p>
    <w:p w14:paraId="4D79E340">
      <w:pPr>
        <w:spacing w:line="360" w:lineRule="auto"/>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5D554592">
      <w:pPr>
        <w:spacing w:line="360" w:lineRule="auto"/>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574.4</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186.47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37.79</w:t>
      </w:r>
      <w:r>
        <w:rPr>
          <w:rFonts w:hint="eastAsia" w:ascii="仿宋" w:hAnsi="仿宋" w:eastAsia="仿宋"/>
          <w:sz w:val="30"/>
          <w:szCs w:val="30"/>
        </w:rPr>
        <w:t>万元，增长</w:t>
      </w:r>
      <w:r>
        <w:rPr>
          <w:rFonts w:hint="eastAsia" w:ascii="仿宋" w:hAnsi="仿宋" w:eastAsia="仿宋"/>
          <w:sz w:val="30"/>
          <w:szCs w:val="30"/>
          <w:lang w:val="en-US" w:eastAsia="zh-CN"/>
        </w:rPr>
        <w:t>25.42</w:t>
      </w:r>
      <w:r>
        <w:rPr>
          <w:rFonts w:hint="eastAsia" w:ascii="仿宋" w:hAnsi="仿宋" w:eastAsia="仿宋"/>
          <w:sz w:val="30"/>
          <w:szCs w:val="30"/>
        </w:rPr>
        <w:t>%；本年收入合计</w:t>
      </w:r>
      <w:r>
        <w:rPr>
          <w:rFonts w:hint="eastAsia" w:ascii="仿宋" w:hAnsi="仿宋" w:eastAsia="仿宋"/>
          <w:sz w:val="30"/>
          <w:szCs w:val="30"/>
          <w:lang w:val="en-US" w:eastAsia="zh-CN"/>
        </w:rPr>
        <w:t>387.93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12.76</w:t>
      </w:r>
      <w:r>
        <w:rPr>
          <w:rFonts w:hint="eastAsia" w:ascii="仿宋" w:hAnsi="仿宋" w:eastAsia="仿宋"/>
          <w:sz w:val="30"/>
          <w:szCs w:val="30"/>
        </w:rPr>
        <w:t>万元，增长</w:t>
      </w:r>
      <w:r>
        <w:rPr>
          <w:rFonts w:hint="eastAsia" w:ascii="仿宋" w:hAnsi="仿宋" w:eastAsia="仿宋"/>
          <w:sz w:val="30"/>
          <w:szCs w:val="30"/>
          <w:lang w:val="en-US" w:eastAsia="zh-CN"/>
        </w:rPr>
        <w:t>3.4</w:t>
      </w:r>
      <w:r>
        <w:rPr>
          <w:rFonts w:hint="eastAsia" w:ascii="仿宋" w:hAnsi="仿宋" w:eastAsia="仿宋"/>
          <w:sz w:val="30"/>
          <w:szCs w:val="30"/>
        </w:rPr>
        <w:t>%，主要原因是：</w:t>
      </w:r>
      <w:r>
        <w:rPr>
          <w:rFonts w:hint="eastAsia" w:ascii="仿宋" w:hAnsi="仿宋" w:eastAsia="仿宋"/>
          <w:sz w:val="30"/>
          <w:szCs w:val="30"/>
          <w:lang w:val="en-US" w:eastAsia="zh-CN"/>
        </w:rPr>
        <w:t>增人增资</w:t>
      </w:r>
      <w:r>
        <w:rPr>
          <w:rFonts w:hint="eastAsia" w:ascii="仿宋" w:hAnsi="仿宋" w:eastAsia="仿宋"/>
          <w:sz w:val="30"/>
          <w:szCs w:val="30"/>
        </w:rPr>
        <w:t>。</w:t>
      </w:r>
    </w:p>
    <w:p w14:paraId="76AA92E7">
      <w:pPr>
        <w:spacing w:line="360" w:lineRule="auto"/>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387.67</w:t>
      </w:r>
      <w:r>
        <w:rPr>
          <w:rFonts w:hint="eastAsia" w:ascii="仿宋" w:hAnsi="仿宋" w:eastAsia="仿宋"/>
          <w:sz w:val="30"/>
          <w:szCs w:val="30"/>
        </w:rPr>
        <w:t>万元，占</w:t>
      </w:r>
      <w:r>
        <w:rPr>
          <w:rFonts w:hint="eastAsia" w:ascii="仿宋" w:hAnsi="仿宋" w:eastAsia="仿宋"/>
          <w:sz w:val="30"/>
          <w:szCs w:val="30"/>
          <w:lang w:val="en-US" w:eastAsia="zh-CN"/>
        </w:rPr>
        <w:t>99.93</w:t>
      </w:r>
      <w:r>
        <w:rPr>
          <w:rFonts w:hint="eastAsia" w:ascii="仿宋" w:hAnsi="仿宋" w:eastAsia="仿宋"/>
          <w:sz w:val="30"/>
          <w:szCs w:val="30"/>
        </w:rPr>
        <w:t>%；其他收入</w:t>
      </w:r>
      <w:r>
        <w:rPr>
          <w:rFonts w:hint="eastAsia" w:ascii="仿宋" w:hAnsi="仿宋" w:eastAsia="仿宋"/>
          <w:sz w:val="30"/>
          <w:szCs w:val="30"/>
          <w:lang w:val="en-US" w:eastAsia="zh-CN"/>
        </w:rPr>
        <w:t>0.26</w:t>
      </w:r>
      <w:r>
        <w:rPr>
          <w:rFonts w:hint="eastAsia" w:ascii="仿宋" w:hAnsi="仿宋" w:eastAsia="仿宋"/>
          <w:sz w:val="30"/>
          <w:szCs w:val="30"/>
        </w:rPr>
        <w:t>万元，占</w:t>
      </w:r>
      <w:r>
        <w:rPr>
          <w:rFonts w:hint="eastAsia" w:ascii="仿宋" w:hAnsi="仿宋" w:eastAsia="仿宋"/>
          <w:sz w:val="30"/>
          <w:szCs w:val="30"/>
          <w:lang w:val="en-US" w:eastAsia="zh-CN"/>
        </w:rPr>
        <w:t>0.07</w:t>
      </w:r>
      <w:r>
        <w:rPr>
          <w:rFonts w:hint="eastAsia" w:ascii="仿宋" w:hAnsi="仿宋" w:eastAsia="仿宋"/>
          <w:sz w:val="30"/>
          <w:szCs w:val="30"/>
        </w:rPr>
        <w:t xml:space="preserve">%。  </w:t>
      </w:r>
    </w:p>
    <w:p w14:paraId="4B19BA3A">
      <w:pPr>
        <w:spacing w:line="360" w:lineRule="auto"/>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34A1FFAD">
      <w:pPr>
        <w:spacing w:line="360" w:lineRule="auto"/>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574.4</w:t>
      </w:r>
      <w:r>
        <w:rPr>
          <w:rFonts w:hint="eastAsia" w:ascii="仿宋" w:hAnsi="仿宋" w:eastAsia="仿宋"/>
          <w:sz w:val="30"/>
          <w:szCs w:val="30"/>
        </w:rPr>
        <w:t>万元，其中本年支出合计</w:t>
      </w:r>
      <w:r>
        <w:rPr>
          <w:rFonts w:hint="eastAsia" w:ascii="仿宋" w:hAnsi="仿宋" w:eastAsia="仿宋"/>
          <w:sz w:val="30"/>
          <w:szCs w:val="30"/>
          <w:lang w:val="en-US" w:eastAsia="zh-CN"/>
        </w:rPr>
        <w:t>414.04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50.54</w:t>
      </w:r>
      <w:r>
        <w:rPr>
          <w:rFonts w:hint="eastAsia" w:ascii="仿宋" w:hAnsi="仿宋" w:eastAsia="仿宋"/>
          <w:sz w:val="30"/>
          <w:szCs w:val="30"/>
        </w:rPr>
        <w:t>万元，增长</w:t>
      </w:r>
      <w:r>
        <w:rPr>
          <w:rFonts w:hint="eastAsia" w:ascii="仿宋" w:hAnsi="仿宋" w:eastAsia="仿宋"/>
          <w:sz w:val="30"/>
          <w:szCs w:val="30"/>
          <w:lang w:val="en-US" w:eastAsia="zh-CN"/>
        </w:rPr>
        <w:t>9.65</w:t>
      </w:r>
      <w:r>
        <w:rPr>
          <w:rFonts w:hint="eastAsia" w:ascii="仿宋" w:hAnsi="仿宋" w:eastAsia="仿宋"/>
          <w:sz w:val="30"/>
          <w:szCs w:val="30"/>
        </w:rPr>
        <w:t>%，主要原因是：</w:t>
      </w:r>
      <w:r>
        <w:rPr>
          <w:rFonts w:hint="eastAsia" w:ascii="仿宋" w:hAnsi="仿宋" w:eastAsia="仿宋"/>
          <w:sz w:val="30"/>
          <w:szCs w:val="30"/>
          <w:lang w:val="en-US" w:eastAsia="zh-CN"/>
        </w:rPr>
        <w:t>增人增资以及购置办公设备</w:t>
      </w:r>
      <w:r>
        <w:rPr>
          <w:rFonts w:hint="eastAsia" w:ascii="仿宋" w:hAnsi="仿宋" w:eastAsia="仿宋"/>
          <w:sz w:val="30"/>
          <w:szCs w:val="30"/>
        </w:rPr>
        <w:t>；年末结转和结余</w:t>
      </w:r>
      <w:r>
        <w:rPr>
          <w:rFonts w:hint="eastAsia" w:ascii="仿宋" w:hAnsi="仿宋" w:eastAsia="仿宋"/>
          <w:sz w:val="30"/>
          <w:szCs w:val="30"/>
          <w:lang w:val="en-US" w:eastAsia="zh-CN"/>
        </w:rPr>
        <w:t>160.36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26.11</w:t>
      </w:r>
      <w:r>
        <w:rPr>
          <w:rFonts w:hint="eastAsia" w:ascii="仿宋" w:hAnsi="仿宋" w:eastAsia="仿宋"/>
          <w:sz w:val="30"/>
          <w:szCs w:val="30"/>
        </w:rPr>
        <w:t>万元，下降</w:t>
      </w:r>
      <w:r>
        <w:rPr>
          <w:rFonts w:hint="eastAsia" w:ascii="仿宋" w:hAnsi="仿宋" w:eastAsia="仿宋"/>
          <w:sz w:val="30"/>
          <w:szCs w:val="30"/>
          <w:lang w:val="en-US" w:eastAsia="zh-CN"/>
        </w:rPr>
        <w:t>14</w:t>
      </w:r>
      <w:r>
        <w:rPr>
          <w:rFonts w:hint="eastAsia" w:ascii="仿宋" w:hAnsi="仿宋" w:eastAsia="仿宋"/>
          <w:sz w:val="30"/>
          <w:szCs w:val="30"/>
        </w:rPr>
        <w:t>%。</w:t>
      </w:r>
    </w:p>
    <w:p w14:paraId="03E485BE">
      <w:pPr>
        <w:spacing w:line="360" w:lineRule="auto"/>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414.04</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w:t>
      </w:r>
    </w:p>
    <w:p w14:paraId="39818EB0">
      <w:pPr>
        <w:spacing w:line="360" w:lineRule="auto"/>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4EB9F851">
      <w:pPr>
        <w:spacing w:line="360" w:lineRule="auto"/>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384.22</w:t>
      </w:r>
      <w:r>
        <w:rPr>
          <w:rFonts w:hint="eastAsia" w:ascii="仿宋" w:hAnsi="仿宋" w:eastAsia="仿宋"/>
          <w:sz w:val="30"/>
          <w:szCs w:val="30"/>
        </w:rPr>
        <w:t>万元，决算数为</w:t>
      </w:r>
      <w:r>
        <w:rPr>
          <w:rFonts w:hint="eastAsia" w:ascii="仿宋" w:hAnsi="仿宋" w:eastAsia="仿宋"/>
          <w:sz w:val="30"/>
          <w:szCs w:val="30"/>
          <w:lang w:val="en-US" w:eastAsia="zh-CN"/>
        </w:rPr>
        <w:t>414.04</w:t>
      </w:r>
      <w:r>
        <w:rPr>
          <w:rFonts w:hint="eastAsia" w:ascii="仿宋" w:hAnsi="仿宋" w:eastAsia="仿宋"/>
          <w:sz w:val="30"/>
          <w:szCs w:val="30"/>
        </w:rPr>
        <w:t>万元，完成年初预算的</w:t>
      </w:r>
      <w:r>
        <w:rPr>
          <w:rFonts w:hint="eastAsia" w:ascii="仿宋" w:hAnsi="仿宋" w:eastAsia="仿宋"/>
          <w:sz w:val="30"/>
          <w:szCs w:val="30"/>
          <w:lang w:val="en-US" w:eastAsia="zh-CN"/>
        </w:rPr>
        <w:t>107.76</w:t>
      </w:r>
      <w:r>
        <w:rPr>
          <w:rFonts w:hint="eastAsia" w:ascii="仿宋" w:hAnsi="仿宋" w:eastAsia="仿宋"/>
          <w:sz w:val="30"/>
          <w:szCs w:val="30"/>
        </w:rPr>
        <w:t>%。其中：</w:t>
      </w:r>
    </w:p>
    <w:p w14:paraId="189C62E0">
      <w:pPr>
        <w:spacing w:line="360" w:lineRule="auto"/>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317.72</w:t>
      </w:r>
      <w:r>
        <w:rPr>
          <w:rFonts w:hint="eastAsia" w:ascii="仿宋" w:hAnsi="仿宋" w:eastAsia="仿宋"/>
          <w:sz w:val="30"/>
          <w:szCs w:val="30"/>
        </w:rPr>
        <w:t>万元，决算数为</w:t>
      </w:r>
      <w:r>
        <w:rPr>
          <w:rFonts w:hint="eastAsia" w:ascii="仿宋" w:hAnsi="仿宋" w:eastAsia="仿宋"/>
          <w:sz w:val="30"/>
          <w:szCs w:val="30"/>
          <w:lang w:val="en-US" w:eastAsia="zh-CN"/>
        </w:rPr>
        <w:t>367.5</w:t>
      </w:r>
      <w:r>
        <w:rPr>
          <w:rFonts w:hint="eastAsia" w:ascii="仿宋" w:hAnsi="仿宋" w:eastAsia="仿宋"/>
          <w:sz w:val="30"/>
          <w:szCs w:val="30"/>
        </w:rPr>
        <w:t>万元，完成年初预算的</w:t>
      </w:r>
      <w:r>
        <w:rPr>
          <w:rFonts w:hint="eastAsia" w:ascii="仿宋" w:hAnsi="仿宋" w:eastAsia="仿宋"/>
          <w:sz w:val="30"/>
          <w:szCs w:val="30"/>
          <w:lang w:val="en-US" w:eastAsia="zh-CN"/>
        </w:rPr>
        <w:t>115.67</w:t>
      </w:r>
      <w:r>
        <w:rPr>
          <w:rFonts w:hint="eastAsia" w:ascii="仿宋" w:hAnsi="仿宋" w:eastAsia="仿宋"/>
          <w:sz w:val="30"/>
          <w:szCs w:val="30"/>
        </w:rPr>
        <w:t>%，主要原因是：</w:t>
      </w:r>
      <w:r>
        <w:rPr>
          <w:rFonts w:hint="eastAsia" w:ascii="仿宋" w:hAnsi="仿宋" w:eastAsia="仿宋"/>
          <w:sz w:val="30"/>
          <w:szCs w:val="30"/>
          <w:lang w:val="en-US" w:eastAsia="zh-CN"/>
        </w:rPr>
        <w:t>增人增资以及购置办公设备</w:t>
      </w:r>
      <w:r>
        <w:rPr>
          <w:rFonts w:hint="eastAsia" w:ascii="仿宋" w:hAnsi="仿宋" w:eastAsia="仿宋"/>
          <w:sz w:val="30"/>
          <w:szCs w:val="30"/>
        </w:rPr>
        <w:t>。</w:t>
      </w:r>
    </w:p>
    <w:p w14:paraId="1C6FC1E8">
      <w:pPr>
        <w:spacing w:line="360" w:lineRule="auto"/>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val="en-US"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20.41</w:t>
      </w:r>
      <w:r>
        <w:rPr>
          <w:rFonts w:hint="eastAsia" w:ascii="仿宋" w:hAnsi="仿宋" w:eastAsia="仿宋"/>
          <w:sz w:val="30"/>
          <w:szCs w:val="30"/>
        </w:rPr>
        <w:t>万元，决算数为</w:t>
      </w:r>
      <w:r>
        <w:rPr>
          <w:rFonts w:hint="eastAsia" w:ascii="仿宋" w:hAnsi="仿宋" w:eastAsia="仿宋"/>
          <w:sz w:val="30"/>
          <w:szCs w:val="30"/>
          <w:lang w:val="en-US" w:eastAsia="zh-CN"/>
        </w:rPr>
        <w:t>20.56</w:t>
      </w:r>
      <w:r>
        <w:rPr>
          <w:rFonts w:hint="eastAsia" w:ascii="仿宋" w:hAnsi="仿宋" w:eastAsia="仿宋"/>
          <w:sz w:val="30"/>
          <w:szCs w:val="30"/>
        </w:rPr>
        <w:t>万元，完成年初预算的</w:t>
      </w:r>
      <w:r>
        <w:rPr>
          <w:rFonts w:hint="eastAsia" w:ascii="仿宋" w:hAnsi="仿宋" w:eastAsia="仿宋"/>
          <w:sz w:val="30"/>
          <w:szCs w:val="30"/>
          <w:lang w:val="en-US" w:eastAsia="zh-CN"/>
        </w:rPr>
        <w:t>100.73</w:t>
      </w:r>
      <w:r>
        <w:rPr>
          <w:rFonts w:hint="eastAsia" w:ascii="仿宋" w:hAnsi="仿宋" w:eastAsia="仿宋"/>
          <w:sz w:val="30"/>
          <w:szCs w:val="30"/>
        </w:rPr>
        <w:t>%，主要原因是：</w:t>
      </w:r>
      <w:r>
        <w:rPr>
          <w:rFonts w:hint="eastAsia" w:ascii="仿宋" w:hAnsi="仿宋" w:eastAsia="仿宋"/>
          <w:sz w:val="30"/>
          <w:szCs w:val="30"/>
          <w:lang w:val="en-US" w:eastAsia="zh-CN"/>
        </w:rPr>
        <w:t>新增退休人员独生子女父母奖励金</w:t>
      </w:r>
      <w:r>
        <w:rPr>
          <w:rFonts w:hint="eastAsia" w:ascii="仿宋" w:hAnsi="仿宋" w:eastAsia="仿宋"/>
          <w:sz w:val="30"/>
          <w:szCs w:val="30"/>
        </w:rPr>
        <w:t>。</w:t>
      </w:r>
    </w:p>
    <w:p w14:paraId="1CC4D85C">
      <w:pPr>
        <w:spacing w:line="360" w:lineRule="auto"/>
        <w:ind w:firstLine="630"/>
        <w:jc w:val="left"/>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三</w:t>
      </w:r>
      <w:r>
        <w:rPr>
          <w:rFonts w:hint="eastAsia" w:ascii="仿宋" w:hAnsi="仿宋" w:eastAsia="仿宋"/>
          <w:sz w:val="30"/>
          <w:szCs w:val="30"/>
        </w:rPr>
        <w:t>）</w:t>
      </w:r>
      <w:r>
        <w:rPr>
          <w:rFonts w:hint="eastAsia" w:ascii="仿宋" w:hAnsi="仿宋" w:eastAsia="仿宋"/>
          <w:sz w:val="30"/>
          <w:szCs w:val="30"/>
          <w:lang w:val="en-US" w:eastAsia="zh-CN"/>
        </w:rPr>
        <w:t>卫生健康</w:t>
      </w:r>
      <w:r>
        <w:rPr>
          <w:rFonts w:hint="eastAsia" w:ascii="仿宋" w:hAnsi="仿宋" w:eastAsia="仿宋"/>
          <w:sz w:val="30"/>
          <w:szCs w:val="30"/>
        </w:rPr>
        <w:t>支出年初预算数为</w:t>
      </w:r>
      <w:r>
        <w:rPr>
          <w:rFonts w:hint="eastAsia" w:ascii="仿宋" w:hAnsi="仿宋" w:eastAsia="仿宋"/>
          <w:sz w:val="30"/>
          <w:szCs w:val="30"/>
          <w:lang w:val="en-US" w:eastAsia="zh-CN"/>
        </w:rPr>
        <w:t>14.18</w:t>
      </w:r>
      <w:r>
        <w:rPr>
          <w:rFonts w:hint="eastAsia" w:ascii="仿宋" w:hAnsi="仿宋" w:eastAsia="仿宋"/>
          <w:sz w:val="30"/>
          <w:szCs w:val="30"/>
        </w:rPr>
        <w:t>万元，决算数为</w:t>
      </w:r>
      <w:r>
        <w:rPr>
          <w:rFonts w:hint="eastAsia" w:ascii="仿宋" w:hAnsi="仿宋" w:eastAsia="仿宋"/>
          <w:sz w:val="30"/>
          <w:szCs w:val="30"/>
          <w:lang w:val="en-US" w:eastAsia="zh-CN"/>
        </w:rPr>
        <w:t>14.18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0C794A65">
      <w:pPr>
        <w:spacing w:line="360" w:lineRule="auto"/>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val="en-US" w:eastAsia="zh-CN"/>
        </w:rPr>
        <w:t>住房保障</w:t>
      </w:r>
      <w:r>
        <w:rPr>
          <w:rFonts w:hint="eastAsia" w:ascii="仿宋" w:hAnsi="仿宋" w:eastAsia="仿宋"/>
          <w:sz w:val="30"/>
          <w:szCs w:val="30"/>
        </w:rPr>
        <w:t>支出年初预算数为</w:t>
      </w:r>
      <w:r>
        <w:rPr>
          <w:rFonts w:hint="eastAsia" w:ascii="仿宋" w:hAnsi="仿宋" w:eastAsia="仿宋"/>
          <w:sz w:val="30"/>
          <w:szCs w:val="30"/>
          <w:lang w:val="en-US" w:eastAsia="zh-CN"/>
        </w:rPr>
        <w:t>11.8</w:t>
      </w:r>
      <w:r>
        <w:rPr>
          <w:rFonts w:hint="eastAsia" w:ascii="仿宋" w:hAnsi="仿宋" w:eastAsia="仿宋"/>
          <w:sz w:val="30"/>
          <w:szCs w:val="30"/>
        </w:rPr>
        <w:t>万元，决算数为</w:t>
      </w:r>
      <w:r>
        <w:rPr>
          <w:rFonts w:hint="eastAsia" w:ascii="仿宋" w:hAnsi="仿宋" w:eastAsia="仿宋"/>
          <w:sz w:val="30"/>
          <w:szCs w:val="30"/>
          <w:lang w:val="en-US" w:eastAsia="zh-CN"/>
        </w:rPr>
        <w:t>11.8</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64586BFE">
      <w:pPr>
        <w:spacing w:line="360" w:lineRule="auto"/>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299EF7DF">
      <w:pPr>
        <w:spacing w:line="360" w:lineRule="auto"/>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414.04</w:t>
      </w:r>
      <w:r>
        <w:rPr>
          <w:rFonts w:hint="eastAsia" w:ascii="仿宋" w:hAnsi="仿宋" w:eastAsia="仿宋"/>
          <w:sz w:val="30"/>
          <w:szCs w:val="30"/>
        </w:rPr>
        <w:t>万元，其中：</w:t>
      </w:r>
    </w:p>
    <w:p w14:paraId="201164CF">
      <w:pPr>
        <w:spacing w:line="360" w:lineRule="auto"/>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271.05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47.43</w:t>
      </w:r>
      <w:r>
        <w:rPr>
          <w:rFonts w:hint="eastAsia" w:ascii="仿宋" w:hAnsi="仿宋" w:eastAsia="仿宋"/>
          <w:sz w:val="30"/>
          <w:szCs w:val="30"/>
        </w:rPr>
        <w:t>万元，增长</w:t>
      </w:r>
      <w:r>
        <w:rPr>
          <w:rFonts w:hint="eastAsia" w:ascii="仿宋" w:hAnsi="仿宋" w:eastAsia="仿宋"/>
          <w:sz w:val="30"/>
          <w:szCs w:val="30"/>
          <w:lang w:val="en-US" w:eastAsia="zh-CN"/>
        </w:rPr>
        <w:t>21.21</w:t>
      </w:r>
      <w:r>
        <w:rPr>
          <w:rFonts w:hint="eastAsia" w:ascii="仿宋" w:hAnsi="仿宋" w:eastAsia="仿宋"/>
          <w:sz w:val="30"/>
          <w:szCs w:val="30"/>
        </w:rPr>
        <w:t>%，主要原因是：</w:t>
      </w:r>
      <w:r>
        <w:rPr>
          <w:rFonts w:hint="eastAsia" w:ascii="仿宋" w:hAnsi="仿宋" w:eastAsia="仿宋"/>
          <w:sz w:val="30"/>
          <w:szCs w:val="30"/>
          <w:lang w:val="en-US" w:eastAsia="zh-CN"/>
        </w:rPr>
        <w:t>增人增资</w:t>
      </w:r>
      <w:r>
        <w:rPr>
          <w:rFonts w:hint="eastAsia" w:ascii="仿宋" w:hAnsi="仿宋" w:eastAsia="仿宋"/>
          <w:sz w:val="30"/>
          <w:szCs w:val="30"/>
        </w:rPr>
        <w:t>。</w:t>
      </w:r>
    </w:p>
    <w:p w14:paraId="233E93F5">
      <w:pPr>
        <w:spacing w:line="360" w:lineRule="auto"/>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128.74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19.85</w:t>
      </w:r>
      <w:r>
        <w:rPr>
          <w:rFonts w:hint="eastAsia" w:ascii="仿宋" w:hAnsi="仿宋" w:eastAsia="仿宋"/>
          <w:sz w:val="30"/>
          <w:szCs w:val="30"/>
        </w:rPr>
        <w:t>万元，增长</w:t>
      </w:r>
      <w:r>
        <w:rPr>
          <w:rFonts w:hint="eastAsia" w:ascii="仿宋" w:hAnsi="仿宋" w:eastAsia="仿宋"/>
          <w:sz w:val="30"/>
          <w:szCs w:val="30"/>
          <w:lang w:val="en-US" w:eastAsia="zh-CN"/>
        </w:rPr>
        <w:t>18.23</w:t>
      </w:r>
      <w:r>
        <w:rPr>
          <w:rFonts w:hint="eastAsia" w:ascii="仿宋" w:hAnsi="仿宋" w:eastAsia="仿宋"/>
          <w:sz w:val="30"/>
          <w:szCs w:val="30"/>
        </w:rPr>
        <w:t>%，主要原因是：</w:t>
      </w:r>
      <w:r>
        <w:rPr>
          <w:rFonts w:hint="eastAsia" w:ascii="仿宋" w:hAnsi="仿宋" w:eastAsia="仿宋"/>
          <w:sz w:val="30"/>
          <w:szCs w:val="30"/>
          <w:lang w:val="en-US" w:eastAsia="zh-CN"/>
        </w:rPr>
        <w:t>人员增加以及购置办公设备</w:t>
      </w:r>
      <w:r>
        <w:rPr>
          <w:rFonts w:hint="eastAsia" w:ascii="仿宋" w:hAnsi="仿宋" w:eastAsia="仿宋"/>
          <w:sz w:val="30"/>
          <w:szCs w:val="30"/>
        </w:rPr>
        <w:t>。</w:t>
      </w:r>
    </w:p>
    <w:p w14:paraId="40851654">
      <w:pPr>
        <w:spacing w:line="360" w:lineRule="auto"/>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0.94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0.38</w:t>
      </w:r>
      <w:r>
        <w:rPr>
          <w:rFonts w:hint="eastAsia" w:ascii="仿宋" w:hAnsi="仿宋" w:eastAsia="仿宋"/>
          <w:sz w:val="30"/>
          <w:szCs w:val="30"/>
        </w:rPr>
        <w:t>万元，下降</w:t>
      </w:r>
      <w:r>
        <w:rPr>
          <w:rFonts w:hint="eastAsia" w:ascii="仿宋" w:hAnsi="仿宋" w:eastAsia="仿宋"/>
          <w:sz w:val="30"/>
          <w:szCs w:val="30"/>
          <w:lang w:val="en-US" w:eastAsia="zh-CN"/>
        </w:rPr>
        <w:t>28.79</w:t>
      </w:r>
      <w:r>
        <w:rPr>
          <w:rFonts w:hint="eastAsia" w:ascii="仿宋" w:hAnsi="仿宋" w:eastAsia="仿宋"/>
          <w:sz w:val="30"/>
          <w:szCs w:val="30"/>
        </w:rPr>
        <w:t>%。</w:t>
      </w:r>
    </w:p>
    <w:p w14:paraId="1DE2D303">
      <w:pPr>
        <w:spacing w:line="360" w:lineRule="auto"/>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13.31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13.31</w:t>
      </w:r>
      <w:r>
        <w:rPr>
          <w:rFonts w:hint="eastAsia" w:ascii="仿宋" w:hAnsi="仿宋" w:eastAsia="仿宋"/>
          <w:sz w:val="30"/>
          <w:szCs w:val="30"/>
        </w:rPr>
        <w:t>万元，增长</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val="en-US" w:eastAsia="zh-CN"/>
        </w:rPr>
        <w:t>购置办公设备</w:t>
      </w:r>
      <w:r>
        <w:rPr>
          <w:rFonts w:hint="eastAsia" w:ascii="仿宋" w:hAnsi="仿宋" w:eastAsia="仿宋"/>
          <w:sz w:val="30"/>
          <w:szCs w:val="30"/>
        </w:rPr>
        <w:t>。</w:t>
      </w:r>
    </w:p>
    <w:p w14:paraId="7689DDA8">
      <w:pPr>
        <w:spacing w:line="360" w:lineRule="auto"/>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68E5624C">
      <w:pPr>
        <w:spacing w:line="360" w:lineRule="auto"/>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105.7</w:t>
      </w:r>
      <w:r>
        <w:rPr>
          <w:rFonts w:hint="eastAsia" w:ascii="仿宋" w:hAnsi="仿宋" w:eastAsia="仿宋"/>
          <w:sz w:val="30"/>
          <w:szCs w:val="30"/>
        </w:rPr>
        <w:t>万元，决算数为</w:t>
      </w:r>
      <w:r>
        <w:rPr>
          <w:rFonts w:hint="eastAsia" w:ascii="仿宋" w:hAnsi="仿宋" w:eastAsia="仿宋"/>
          <w:sz w:val="30"/>
          <w:szCs w:val="30"/>
          <w:lang w:val="en-US" w:eastAsia="zh-CN"/>
        </w:rPr>
        <w:t>78.32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74.1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减少3.95</w:t>
      </w:r>
      <w:r>
        <w:rPr>
          <w:rFonts w:hint="eastAsia" w:ascii="仿宋" w:hAnsi="仿宋" w:eastAsia="仿宋"/>
          <w:sz w:val="30"/>
          <w:szCs w:val="30"/>
        </w:rPr>
        <w:t>万元，</w:t>
      </w:r>
      <w:r>
        <w:rPr>
          <w:rFonts w:hint="eastAsia" w:ascii="仿宋" w:hAnsi="仿宋" w:eastAsia="仿宋"/>
          <w:sz w:val="30"/>
          <w:szCs w:val="30"/>
          <w:lang w:val="en-US" w:eastAsia="zh-CN"/>
        </w:rPr>
        <w:t>下降4.8</w:t>
      </w:r>
      <w:r>
        <w:rPr>
          <w:rFonts w:hint="eastAsia" w:ascii="仿宋" w:hAnsi="仿宋" w:eastAsia="仿宋"/>
          <w:sz w:val="30"/>
          <w:szCs w:val="30"/>
        </w:rPr>
        <w:t>%，其中：</w:t>
      </w:r>
    </w:p>
    <w:p w14:paraId="612881CF">
      <w:pPr>
        <w:spacing w:line="360" w:lineRule="auto"/>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78.7</w:t>
      </w:r>
      <w:r>
        <w:rPr>
          <w:rFonts w:hint="eastAsia" w:ascii="仿宋" w:hAnsi="仿宋" w:eastAsia="仿宋"/>
          <w:sz w:val="30"/>
          <w:szCs w:val="30"/>
        </w:rPr>
        <w:t>万元，决算数为</w:t>
      </w:r>
      <w:r>
        <w:rPr>
          <w:rFonts w:hint="eastAsia" w:ascii="仿宋" w:hAnsi="仿宋" w:eastAsia="仿宋"/>
          <w:sz w:val="30"/>
          <w:szCs w:val="30"/>
          <w:lang w:val="en-US" w:eastAsia="zh-CN"/>
        </w:rPr>
        <w:t>66.65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84.69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6.26</w:t>
      </w:r>
      <w:r>
        <w:rPr>
          <w:rFonts w:hint="eastAsia" w:ascii="仿宋" w:hAnsi="仿宋" w:eastAsia="仿宋"/>
          <w:sz w:val="30"/>
          <w:szCs w:val="30"/>
        </w:rPr>
        <w:t>万元，下降</w:t>
      </w:r>
      <w:r>
        <w:rPr>
          <w:rFonts w:hint="eastAsia" w:ascii="仿宋" w:hAnsi="仿宋" w:eastAsia="仿宋"/>
          <w:sz w:val="30"/>
          <w:szCs w:val="30"/>
          <w:lang w:val="en-US" w:eastAsia="zh-CN"/>
        </w:rPr>
        <w:t>8.59</w:t>
      </w:r>
      <w:r>
        <w:rPr>
          <w:rFonts w:hint="eastAsia" w:ascii="仿宋" w:hAnsi="仿宋" w:eastAsia="仿宋"/>
          <w:sz w:val="30"/>
          <w:szCs w:val="30"/>
        </w:rPr>
        <w:t>%。决算数较年初预算数</w:t>
      </w:r>
      <w:r>
        <w:rPr>
          <w:rFonts w:hint="eastAsia" w:ascii="仿宋" w:hAnsi="仿宋" w:eastAsia="仿宋"/>
          <w:sz w:val="30"/>
          <w:szCs w:val="30"/>
          <w:lang w:val="en-US" w:eastAsia="zh-CN"/>
        </w:rPr>
        <w:t>减少</w:t>
      </w:r>
      <w:r>
        <w:rPr>
          <w:rFonts w:hint="eastAsia" w:ascii="仿宋" w:hAnsi="仿宋" w:eastAsia="仿宋"/>
          <w:sz w:val="30"/>
          <w:szCs w:val="30"/>
        </w:rPr>
        <w:t>的主要原因是：</w:t>
      </w:r>
      <w:r>
        <w:rPr>
          <w:rFonts w:hint="eastAsia" w:ascii="仿宋" w:hAnsi="仿宋" w:eastAsia="仿宋"/>
          <w:sz w:val="30"/>
          <w:szCs w:val="30"/>
          <w:lang w:val="en-US" w:eastAsia="zh-CN"/>
        </w:rPr>
        <w:t>严格控制出国人次</w:t>
      </w:r>
      <w:r>
        <w:rPr>
          <w:rFonts w:hint="eastAsia" w:ascii="仿宋" w:hAnsi="仿宋" w:eastAsia="仿宋"/>
          <w:sz w:val="30"/>
          <w:szCs w:val="30"/>
        </w:rPr>
        <w:t>。</w:t>
      </w:r>
    </w:p>
    <w:p w14:paraId="0119FD24">
      <w:pPr>
        <w:spacing w:line="360" w:lineRule="auto"/>
        <w:ind w:firstLine="630"/>
        <w:jc w:val="left"/>
        <w:rPr>
          <w:rFonts w:hint="eastAsia" w:ascii="仿宋" w:hAnsi="仿宋" w:eastAsia="仿宋" w:cs="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27</w:t>
      </w:r>
      <w:r>
        <w:rPr>
          <w:rFonts w:hint="eastAsia" w:ascii="仿宋" w:hAnsi="仿宋" w:eastAsia="仿宋"/>
          <w:sz w:val="30"/>
          <w:szCs w:val="30"/>
        </w:rPr>
        <w:t>万元，决算数为</w:t>
      </w:r>
      <w:r>
        <w:rPr>
          <w:rFonts w:hint="eastAsia" w:ascii="仿宋" w:hAnsi="仿宋" w:eastAsia="仿宋"/>
          <w:sz w:val="30"/>
          <w:szCs w:val="30"/>
          <w:lang w:val="en-US" w:eastAsia="zh-CN"/>
        </w:rPr>
        <w:t>11.67</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43.22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2.32</w:t>
      </w:r>
      <w:r>
        <w:rPr>
          <w:rFonts w:hint="eastAsia" w:ascii="仿宋" w:hAnsi="仿宋" w:eastAsia="仿宋"/>
          <w:sz w:val="30"/>
          <w:szCs w:val="30"/>
        </w:rPr>
        <w:t>万元，增长</w:t>
      </w:r>
      <w:r>
        <w:rPr>
          <w:rFonts w:hint="eastAsia" w:ascii="仿宋" w:hAnsi="仿宋" w:eastAsia="仿宋"/>
          <w:sz w:val="30"/>
          <w:szCs w:val="30"/>
          <w:lang w:val="en-US" w:eastAsia="zh-CN"/>
        </w:rPr>
        <w:t>24.81</w:t>
      </w:r>
      <w:r>
        <w:rPr>
          <w:rFonts w:hint="eastAsia" w:ascii="仿宋" w:hAnsi="仿宋" w:eastAsia="仿宋"/>
          <w:sz w:val="30"/>
          <w:szCs w:val="30"/>
        </w:rPr>
        <w:t>%。决算数较年初预算数减少的主要原因是：</w:t>
      </w:r>
      <w:r>
        <w:rPr>
          <w:rFonts w:hint="eastAsia" w:ascii="仿宋" w:hAnsi="仿宋" w:eastAsia="仿宋" w:cs="仿宋"/>
          <w:color w:val="333333"/>
          <w:sz w:val="30"/>
          <w:szCs w:val="30"/>
        </w:rPr>
        <w:t>严格控制接待费用支出。</w:t>
      </w:r>
    </w:p>
    <w:p w14:paraId="6DD69564">
      <w:pPr>
        <w:spacing w:line="360" w:lineRule="auto"/>
        <w:ind w:firstLine="630"/>
        <w:jc w:val="left"/>
        <w:rPr>
          <w:rFonts w:hint="eastAsia" w:ascii="仿宋" w:hAnsi="仿宋" w:eastAsia="仿宋"/>
          <w:sz w:val="30"/>
          <w:szCs w:val="30"/>
        </w:rPr>
      </w:pPr>
      <w:r>
        <w:rPr>
          <w:rFonts w:hint="eastAsia" w:ascii="仿宋" w:hAnsi="仿宋" w:eastAsia="仿宋" w:cs="仿宋"/>
          <w:sz w:val="30"/>
          <w:szCs w:val="30"/>
        </w:rPr>
        <w:t>（三）</w:t>
      </w:r>
      <w:r>
        <w:rPr>
          <w:rFonts w:hint="eastAsia" w:ascii="仿宋" w:hAnsi="仿宋" w:eastAsia="仿宋" w:cs="仿宋"/>
          <w:sz w:val="32"/>
          <w:szCs w:val="32"/>
          <w:lang w:val="en-US" w:eastAsia="zh-CN"/>
        </w:rPr>
        <w:t>本部门本年度无</w:t>
      </w:r>
      <w:r>
        <w:rPr>
          <w:rFonts w:hint="eastAsia" w:ascii="仿宋" w:hAnsi="仿宋" w:eastAsia="仿宋"/>
          <w:sz w:val="30"/>
          <w:szCs w:val="30"/>
        </w:rPr>
        <w:t>公务用车购置及运行维护费支出。</w:t>
      </w:r>
    </w:p>
    <w:p w14:paraId="246A45B5">
      <w:pPr>
        <w:spacing w:line="360" w:lineRule="auto"/>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20A02C01">
      <w:pPr>
        <w:spacing w:line="360" w:lineRule="auto"/>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142.05</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27.6</w:t>
      </w:r>
      <w:r>
        <w:rPr>
          <w:rFonts w:hint="eastAsia" w:ascii="仿宋" w:hAnsi="仿宋" w:eastAsia="仿宋"/>
          <w:sz w:val="30"/>
          <w:szCs w:val="30"/>
        </w:rPr>
        <w:t>万元，增长</w:t>
      </w:r>
      <w:r>
        <w:rPr>
          <w:rFonts w:hint="eastAsia" w:ascii="仿宋" w:hAnsi="仿宋" w:eastAsia="仿宋"/>
          <w:sz w:val="30"/>
          <w:szCs w:val="30"/>
          <w:lang w:val="en-US" w:eastAsia="zh-CN"/>
        </w:rPr>
        <w:t>24.12</w:t>
      </w:r>
      <w:r>
        <w:rPr>
          <w:rFonts w:hint="eastAsia" w:ascii="仿宋" w:hAnsi="仿宋" w:eastAsia="仿宋"/>
          <w:sz w:val="30"/>
          <w:szCs w:val="30"/>
        </w:rPr>
        <w:t>%，主要原因是：</w:t>
      </w:r>
      <w:r>
        <w:rPr>
          <w:rFonts w:hint="eastAsia" w:ascii="仿宋" w:hAnsi="仿宋" w:eastAsia="仿宋"/>
          <w:sz w:val="30"/>
          <w:szCs w:val="30"/>
          <w:lang w:val="en-US" w:eastAsia="zh-CN"/>
        </w:rPr>
        <w:t>增人增资以及购置办公设备</w:t>
      </w:r>
      <w:r>
        <w:rPr>
          <w:rFonts w:hint="eastAsia" w:ascii="仿宋" w:hAnsi="仿宋" w:eastAsia="仿宋"/>
          <w:sz w:val="30"/>
          <w:szCs w:val="30"/>
        </w:rPr>
        <w:t xml:space="preserve">。 </w:t>
      </w:r>
    </w:p>
    <w:p w14:paraId="52755A66">
      <w:pPr>
        <w:spacing w:line="360" w:lineRule="auto"/>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0A7B600">
      <w:pPr>
        <w:pStyle w:val="9"/>
        <w:spacing w:line="360" w:lineRule="auto"/>
        <w:ind w:firstLine="600"/>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13.31</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13.31</w:t>
      </w:r>
      <w:r>
        <w:rPr>
          <w:rFonts w:hint="eastAsia" w:ascii="仿宋" w:hAnsi="仿宋" w:eastAsia="仿宋"/>
          <w:sz w:val="30"/>
          <w:szCs w:val="30"/>
        </w:rPr>
        <w:t>万元</w:t>
      </w:r>
      <w:r>
        <w:rPr>
          <w:rFonts w:hint="eastAsia" w:ascii="仿宋" w:hAnsi="仿宋" w:eastAsia="仿宋"/>
          <w:sz w:val="30"/>
          <w:szCs w:val="30"/>
          <w:lang w:val="en-US" w:eastAsia="zh-CN"/>
        </w:rPr>
        <w:t>。</w:t>
      </w:r>
    </w:p>
    <w:p w14:paraId="5C04E925">
      <w:pPr>
        <w:spacing w:line="360" w:lineRule="auto"/>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6F0465C6">
      <w:pPr>
        <w:spacing w:line="360" w:lineRule="auto"/>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w:t>
      </w:r>
      <w:r>
        <w:rPr>
          <w:rFonts w:hint="eastAsia" w:ascii="仿宋_GB2312" w:hAnsi="仿宋_GB2312" w:eastAsia="仿宋_GB2312" w:cs="仿宋_GB2312"/>
          <w:kern w:val="0"/>
          <w:sz w:val="32"/>
          <w:szCs w:val="32"/>
        </w:rPr>
        <w:t>本部</w:t>
      </w:r>
      <w:r>
        <w:rPr>
          <w:rFonts w:hint="eastAsia" w:ascii="仿宋_GB2312" w:hAnsi="仿宋_GB2312" w:eastAsia="仿宋_GB2312" w:cs="仿宋_GB2312"/>
          <w:kern w:val="0"/>
          <w:sz w:val="32"/>
          <w:szCs w:val="32"/>
          <w:lang w:eastAsia="zh-CN"/>
        </w:rPr>
        <w:t>门共有车辆</w:t>
      </w:r>
      <w:r>
        <w:rPr>
          <w:rFonts w:hint="eastAsia" w:ascii="仿宋_GB2312" w:hAnsi="仿宋_GB2312" w:eastAsia="仿宋_GB2312" w:cs="仿宋_GB2312"/>
          <w:kern w:val="0"/>
          <w:sz w:val="32"/>
          <w:szCs w:val="32"/>
          <w:lang w:val="en-US" w:eastAsia="zh-CN"/>
        </w:rPr>
        <w:t>0辆</w:t>
      </w:r>
      <w:r>
        <w:rPr>
          <w:rFonts w:hint="eastAsia" w:ascii="仿宋" w:hAnsi="仿宋" w:eastAsia="仿宋"/>
          <w:kern w:val="0"/>
          <w:sz w:val="30"/>
          <w:szCs w:val="30"/>
        </w:rPr>
        <w:t>。</w:t>
      </w:r>
    </w:p>
    <w:p w14:paraId="6FB04D35">
      <w:pPr>
        <w:spacing w:line="360" w:lineRule="auto"/>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4A883597">
      <w:pPr>
        <w:spacing w:line="360" w:lineRule="auto"/>
        <w:ind w:firstLine="630"/>
        <w:jc w:val="left"/>
        <w:rPr>
          <w:rFonts w:hint="eastAsia" w:ascii="仿宋" w:hAnsi="仿宋" w:eastAsia="仿宋"/>
          <w:sz w:val="30"/>
          <w:szCs w:val="30"/>
        </w:rPr>
      </w:pPr>
      <w:r>
        <w:rPr>
          <w:rFonts w:hint="eastAsia" w:ascii="仿宋" w:hAnsi="仿宋" w:eastAsia="仿宋"/>
          <w:sz w:val="30"/>
          <w:szCs w:val="30"/>
        </w:rPr>
        <w:t>（一）绩效管理工作开展情况。</w:t>
      </w:r>
    </w:p>
    <w:p w14:paraId="4E599AE0">
      <w:pPr>
        <w:spacing w:line="360" w:lineRule="auto"/>
        <w:ind w:firstLine="630"/>
        <w:jc w:val="left"/>
        <w:rPr>
          <w:rFonts w:hint="eastAsia" w:ascii="仿宋" w:hAnsi="仿宋" w:eastAsia="仿宋"/>
          <w:sz w:val="30"/>
          <w:szCs w:val="30"/>
        </w:rPr>
      </w:pPr>
      <w:r>
        <w:rPr>
          <w:rFonts w:hint="eastAsia" w:ascii="仿宋" w:hAnsi="仿宋" w:eastAsia="仿宋"/>
          <w:sz w:val="30"/>
          <w:szCs w:val="30"/>
        </w:rPr>
        <w:t>根据预算绩效管理要求，我部门组织对201</w:t>
      </w:r>
      <w:r>
        <w:rPr>
          <w:rFonts w:hint="eastAsia" w:ascii="仿宋" w:hAnsi="仿宋" w:eastAsia="仿宋"/>
          <w:sz w:val="30"/>
          <w:szCs w:val="30"/>
          <w:lang w:val="en-US" w:eastAsia="zh-CN"/>
        </w:rPr>
        <w:t>9</w:t>
      </w:r>
      <w:r>
        <w:rPr>
          <w:rFonts w:hint="eastAsia" w:ascii="仿宋" w:hAnsi="仿宋" w:eastAsia="仿宋"/>
          <w:sz w:val="30"/>
          <w:szCs w:val="30"/>
        </w:rPr>
        <w:t>年度一般公共预算项目支出全面开展绩效自评，其中，一级项目</w:t>
      </w:r>
      <w:r>
        <w:rPr>
          <w:rFonts w:hint="eastAsia" w:ascii="仿宋" w:hAnsi="仿宋" w:eastAsia="仿宋"/>
          <w:sz w:val="30"/>
          <w:szCs w:val="30"/>
          <w:lang w:val="en-US" w:eastAsia="zh-CN"/>
        </w:rPr>
        <w:t>1</w:t>
      </w:r>
      <w:r>
        <w:rPr>
          <w:rFonts w:hint="eastAsia" w:ascii="仿宋" w:hAnsi="仿宋" w:eastAsia="仿宋"/>
          <w:sz w:val="30"/>
          <w:szCs w:val="30"/>
        </w:rPr>
        <w:t>个，二级项目</w:t>
      </w:r>
    </w:p>
    <w:p w14:paraId="0CC1B6FA">
      <w:pPr>
        <w:spacing w:line="360" w:lineRule="auto"/>
        <w:ind w:firstLine="630"/>
        <w:jc w:val="left"/>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个，共涉及资金</w:t>
      </w:r>
      <w:r>
        <w:rPr>
          <w:rFonts w:hint="eastAsia" w:ascii="仿宋" w:hAnsi="仿宋" w:eastAsia="仿宋"/>
          <w:sz w:val="30"/>
          <w:szCs w:val="30"/>
          <w:lang w:val="en-US" w:eastAsia="zh-CN"/>
        </w:rPr>
        <w:t>48.36</w:t>
      </w:r>
      <w:r>
        <w:rPr>
          <w:rFonts w:hint="eastAsia" w:ascii="仿宋" w:hAnsi="仿宋" w:eastAsia="仿宋"/>
          <w:sz w:val="30"/>
          <w:szCs w:val="30"/>
        </w:rPr>
        <w:t>万元，占一般公共预算项目支出总额的</w:t>
      </w:r>
      <w:r>
        <w:rPr>
          <w:rFonts w:hint="eastAsia" w:ascii="仿宋" w:hAnsi="仿宋" w:eastAsia="仿宋"/>
          <w:sz w:val="30"/>
          <w:szCs w:val="30"/>
          <w:lang w:val="en-US" w:eastAsia="zh-CN"/>
        </w:rPr>
        <w:t>68.11</w:t>
      </w:r>
      <w:r>
        <w:rPr>
          <w:rFonts w:hint="eastAsia" w:ascii="仿宋" w:hAnsi="仿宋" w:eastAsia="仿宋"/>
          <w:sz w:val="30"/>
          <w:szCs w:val="30"/>
        </w:rPr>
        <w:t>%。</w:t>
      </w:r>
    </w:p>
    <w:p w14:paraId="4D6F590A">
      <w:pPr>
        <w:spacing w:line="360" w:lineRule="auto"/>
        <w:ind w:firstLine="630"/>
        <w:jc w:val="left"/>
        <w:rPr>
          <w:rFonts w:hint="eastAsia" w:ascii="仿宋" w:hAnsi="仿宋" w:eastAsia="仿宋"/>
          <w:sz w:val="30"/>
          <w:szCs w:val="30"/>
        </w:rPr>
      </w:pPr>
      <w:r>
        <w:rPr>
          <w:rFonts w:hint="eastAsia" w:ascii="仿宋" w:hAnsi="仿宋" w:eastAsia="仿宋"/>
          <w:sz w:val="30"/>
          <w:szCs w:val="30"/>
        </w:rPr>
        <w:t>组织对“</w:t>
      </w:r>
      <w:r>
        <w:rPr>
          <w:rFonts w:hint="eastAsia" w:ascii="仿宋" w:hAnsi="仿宋" w:eastAsia="仿宋"/>
          <w:sz w:val="30"/>
          <w:szCs w:val="30"/>
          <w:lang w:val="en-US" w:eastAsia="zh-CN"/>
        </w:rPr>
        <w:t>对外交流工会经费</w:t>
      </w:r>
      <w:r>
        <w:rPr>
          <w:rFonts w:hint="eastAsia" w:ascii="仿宋" w:hAnsi="仿宋" w:eastAsia="仿宋"/>
          <w:sz w:val="30"/>
          <w:szCs w:val="30"/>
        </w:rPr>
        <w:t>”</w:t>
      </w:r>
      <w:r>
        <w:rPr>
          <w:rFonts w:hint="eastAsia" w:ascii="仿宋" w:hAnsi="仿宋" w:eastAsia="仿宋"/>
          <w:sz w:val="30"/>
          <w:szCs w:val="30"/>
          <w:lang w:eastAsia="zh-CN"/>
        </w:rPr>
        <w:t>“</w:t>
      </w:r>
      <w:r>
        <w:rPr>
          <w:rFonts w:hint="eastAsia" w:ascii="仿宋" w:hAnsi="仿宋" w:eastAsia="仿宋"/>
          <w:sz w:val="30"/>
          <w:szCs w:val="30"/>
          <w:lang w:val="en-US" w:eastAsia="zh-CN"/>
        </w:rPr>
        <w:t>外事接待经费”“因公出国工作经费”共3个</w:t>
      </w:r>
      <w:r>
        <w:rPr>
          <w:rFonts w:hint="eastAsia" w:ascii="仿宋" w:hAnsi="仿宋" w:eastAsia="仿宋"/>
          <w:sz w:val="30"/>
          <w:szCs w:val="30"/>
        </w:rPr>
        <w:t>项目</w:t>
      </w:r>
      <w:r>
        <w:rPr>
          <w:rFonts w:hint="eastAsia" w:ascii="仿宋" w:hAnsi="仿宋" w:eastAsia="仿宋"/>
          <w:sz w:val="30"/>
          <w:szCs w:val="30"/>
          <w:lang w:val="en-US" w:eastAsia="zh-CN"/>
        </w:rPr>
        <w:t>开展</w:t>
      </w:r>
      <w:r>
        <w:rPr>
          <w:rFonts w:hint="eastAsia" w:ascii="仿宋" w:hAnsi="仿宋" w:eastAsia="仿宋"/>
          <w:sz w:val="30"/>
          <w:szCs w:val="30"/>
        </w:rPr>
        <w:t>了</w:t>
      </w:r>
      <w:r>
        <w:rPr>
          <w:rFonts w:hint="eastAsia" w:ascii="仿宋" w:hAnsi="仿宋" w:eastAsia="仿宋"/>
          <w:sz w:val="30"/>
          <w:szCs w:val="30"/>
          <w:lang w:val="en-US" w:eastAsia="zh-CN"/>
        </w:rPr>
        <w:t>部门</w:t>
      </w:r>
      <w:r>
        <w:rPr>
          <w:rFonts w:hint="eastAsia" w:ascii="仿宋" w:hAnsi="仿宋" w:eastAsia="仿宋"/>
          <w:sz w:val="30"/>
          <w:szCs w:val="30"/>
        </w:rPr>
        <w:t>评价，涉及一般公共预算支出</w:t>
      </w:r>
      <w:r>
        <w:rPr>
          <w:rFonts w:hint="eastAsia" w:ascii="仿宋" w:hAnsi="仿宋" w:eastAsia="仿宋"/>
          <w:sz w:val="30"/>
          <w:szCs w:val="30"/>
          <w:lang w:val="en-US" w:eastAsia="zh-CN"/>
        </w:rPr>
        <w:t>35.82</w:t>
      </w:r>
      <w:r>
        <w:rPr>
          <w:rFonts w:hint="eastAsia" w:ascii="仿宋" w:hAnsi="仿宋" w:eastAsia="仿宋"/>
          <w:sz w:val="30"/>
          <w:szCs w:val="30"/>
        </w:rPr>
        <w:t>万元。从评价情况来看，年度总体目标完成良好。</w:t>
      </w:r>
    </w:p>
    <w:p w14:paraId="4CDF33A6">
      <w:pPr>
        <w:spacing w:line="360" w:lineRule="auto"/>
        <w:ind w:firstLine="630"/>
        <w:jc w:val="left"/>
        <w:rPr>
          <w:rFonts w:hint="eastAsia" w:ascii="仿宋" w:hAnsi="仿宋" w:eastAsia="仿宋"/>
          <w:sz w:val="30"/>
          <w:szCs w:val="30"/>
        </w:rPr>
      </w:pPr>
      <w:r>
        <w:rPr>
          <w:rFonts w:hint="eastAsia" w:ascii="仿宋" w:hAnsi="仿宋" w:eastAsia="仿宋"/>
          <w:sz w:val="30"/>
          <w:szCs w:val="30"/>
        </w:rPr>
        <w:t>（二）部门决算中项目绩效自评结果。</w:t>
      </w:r>
    </w:p>
    <w:p w14:paraId="4C6D3D1B">
      <w:pPr>
        <w:spacing w:line="360" w:lineRule="auto"/>
        <w:ind w:firstLine="630"/>
        <w:jc w:val="left"/>
        <w:rPr>
          <w:rFonts w:hint="eastAsia"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lang w:val="en-US" w:eastAsia="zh-CN"/>
        </w:rPr>
        <w:t>对外交流工会经费”</w:t>
      </w:r>
      <w:r>
        <w:rPr>
          <w:rFonts w:hint="eastAsia" w:ascii="仿宋" w:hAnsi="仿宋" w:eastAsia="仿宋"/>
          <w:sz w:val="30"/>
          <w:szCs w:val="30"/>
        </w:rPr>
        <w:t>项目绩效自评综述：根据年初设定的绩效目标，</w:t>
      </w:r>
      <w:r>
        <w:rPr>
          <w:rFonts w:hint="eastAsia" w:ascii="仿宋" w:hAnsi="仿宋" w:eastAsia="仿宋"/>
          <w:sz w:val="30"/>
          <w:szCs w:val="30"/>
          <w:lang w:val="en-US" w:eastAsia="zh-CN"/>
        </w:rPr>
        <w:t>该</w:t>
      </w:r>
      <w:r>
        <w:rPr>
          <w:rFonts w:hint="eastAsia" w:ascii="仿宋" w:hAnsi="仿宋" w:eastAsia="仿宋"/>
          <w:sz w:val="30"/>
          <w:szCs w:val="30"/>
        </w:rPr>
        <w:t>项目绩效自评得分为</w:t>
      </w:r>
      <w:r>
        <w:rPr>
          <w:rFonts w:hint="eastAsia" w:ascii="仿宋" w:hAnsi="仿宋" w:eastAsia="仿宋"/>
          <w:sz w:val="30"/>
          <w:szCs w:val="30"/>
          <w:lang w:val="en-US" w:eastAsia="zh-CN"/>
        </w:rPr>
        <w:t>98</w:t>
      </w:r>
      <w:r>
        <w:rPr>
          <w:rFonts w:hint="eastAsia" w:ascii="仿宋" w:hAnsi="仿宋" w:eastAsia="仿宋"/>
          <w:sz w:val="30"/>
          <w:szCs w:val="30"/>
        </w:rPr>
        <w:t>分。项目全年预算数为</w:t>
      </w:r>
      <w:r>
        <w:rPr>
          <w:rFonts w:hint="eastAsia" w:ascii="仿宋" w:hAnsi="仿宋" w:eastAsia="仿宋"/>
          <w:sz w:val="30"/>
          <w:szCs w:val="30"/>
          <w:lang w:val="en-US" w:eastAsia="zh-CN"/>
        </w:rPr>
        <w:t>40</w:t>
      </w:r>
      <w:r>
        <w:rPr>
          <w:rFonts w:hint="eastAsia" w:ascii="仿宋" w:hAnsi="仿宋" w:eastAsia="仿宋"/>
          <w:sz w:val="30"/>
          <w:szCs w:val="30"/>
        </w:rPr>
        <w:t>万元，执行数为</w:t>
      </w:r>
      <w:r>
        <w:rPr>
          <w:rFonts w:hint="eastAsia" w:ascii="仿宋" w:hAnsi="仿宋" w:eastAsia="仿宋"/>
          <w:sz w:val="30"/>
          <w:szCs w:val="30"/>
          <w:lang w:val="en-US" w:eastAsia="zh-CN"/>
        </w:rPr>
        <w:t>35.82</w:t>
      </w:r>
      <w:r>
        <w:rPr>
          <w:rFonts w:hint="eastAsia" w:ascii="仿宋" w:hAnsi="仿宋" w:eastAsia="仿宋"/>
          <w:sz w:val="30"/>
          <w:szCs w:val="30"/>
        </w:rPr>
        <w:t>万元，完成预算的</w:t>
      </w:r>
      <w:r>
        <w:rPr>
          <w:rFonts w:hint="eastAsia" w:ascii="仿宋" w:hAnsi="仿宋" w:eastAsia="仿宋"/>
          <w:sz w:val="30"/>
          <w:szCs w:val="30"/>
          <w:lang w:val="en-US" w:eastAsia="zh-CN"/>
        </w:rPr>
        <w:t>89.55</w:t>
      </w:r>
      <w:r>
        <w:rPr>
          <w:rFonts w:hint="eastAsia" w:ascii="仿宋" w:hAnsi="仿宋" w:eastAsia="仿宋"/>
          <w:sz w:val="30"/>
          <w:szCs w:val="30"/>
        </w:rPr>
        <w:t>%。主要产出和效果：</w:t>
      </w:r>
      <w:r>
        <w:rPr>
          <w:rFonts w:hint="eastAsia" w:ascii="仿宋" w:hAnsi="仿宋" w:eastAsia="仿宋"/>
          <w:sz w:val="30"/>
          <w:szCs w:val="30"/>
          <w:lang w:val="en-US" w:eastAsia="zh-CN"/>
        </w:rPr>
        <w:t>一是</w:t>
      </w:r>
      <w:r>
        <w:rPr>
          <w:rFonts w:hint="eastAsia" w:ascii="仿宋" w:hAnsi="仿宋" w:eastAsia="仿宋"/>
          <w:sz w:val="30"/>
          <w:szCs w:val="30"/>
        </w:rPr>
        <w:t>与</w:t>
      </w:r>
      <w:r>
        <w:rPr>
          <w:rFonts w:hint="eastAsia" w:ascii="仿宋" w:hAnsi="仿宋" w:eastAsia="仿宋"/>
          <w:sz w:val="30"/>
          <w:szCs w:val="30"/>
          <w:lang w:val="en-US" w:eastAsia="zh-CN"/>
        </w:rPr>
        <w:t>上级部门</w:t>
      </w:r>
      <w:r>
        <w:rPr>
          <w:rFonts w:hint="eastAsia" w:ascii="仿宋" w:hAnsi="仿宋" w:eastAsia="仿宋"/>
          <w:sz w:val="30"/>
          <w:szCs w:val="30"/>
        </w:rPr>
        <w:t>洽谈在驻外机构推广景德镇陶瓷文化以及驻外机构用瓷相关事宜，双方达成一致，并确认了政府牵头企业合作的新型合作模式，形成了双方在我市共同征集驻外机构用瓷的工作方案</w:t>
      </w:r>
      <w:r>
        <w:rPr>
          <w:rFonts w:hint="eastAsia" w:ascii="仿宋" w:hAnsi="仿宋" w:eastAsia="仿宋"/>
          <w:sz w:val="30"/>
          <w:szCs w:val="30"/>
          <w:lang w:val="en-US" w:eastAsia="zh-CN"/>
        </w:rPr>
        <w:t>。二是</w:t>
      </w:r>
      <w:r>
        <w:rPr>
          <w:rFonts w:hint="eastAsia" w:ascii="仿宋" w:hAnsi="仿宋" w:eastAsia="仿宋"/>
          <w:sz w:val="30"/>
          <w:szCs w:val="30"/>
        </w:rPr>
        <w:t>结合</w:t>
      </w:r>
      <w:r>
        <w:rPr>
          <w:rFonts w:hint="eastAsia" w:ascii="仿宋" w:hAnsi="仿宋" w:eastAsia="仿宋"/>
          <w:sz w:val="30"/>
          <w:szCs w:val="30"/>
          <w:lang w:val="en-US" w:eastAsia="zh-CN"/>
        </w:rPr>
        <w:t>省、部重大</w:t>
      </w:r>
      <w:r>
        <w:rPr>
          <w:rFonts w:hint="eastAsia" w:ascii="仿宋" w:hAnsi="仿宋" w:eastAsia="仿宋"/>
          <w:sz w:val="30"/>
          <w:szCs w:val="30"/>
        </w:rPr>
        <w:t>主题宣介会活动，积极向外宾宣传我市</w:t>
      </w:r>
      <w:r>
        <w:rPr>
          <w:rFonts w:hint="eastAsia" w:ascii="仿宋" w:hAnsi="仿宋" w:eastAsia="仿宋"/>
          <w:sz w:val="30"/>
          <w:szCs w:val="30"/>
          <w:lang w:val="en-US" w:eastAsia="zh-CN"/>
        </w:rPr>
        <w:t>陶瓷</w:t>
      </w:r>
      <w:r>
        <w:rPr>
          <w:rFonts w:hint="eastAsia" w:ascii="仿宋" w:hAnsi="仿宋" w:eastAsia="仿宋"/>
          <w:sz w:val="30"/>
          <w:szCs w:val="30"/>
        </w:rPr>
        <w:t>企业；积极牵线搭桥促成</w:t>
      </w:r>
      <w:r>
        <w:rPr>
          <w:rFonts w:hint="eastAsia" w:ascii="仿宋" w:hAnsi="仿宋" w:eastAsia="仿宋"/>
          <w:sz w:val="30"/>
          <w:szCs w:val="30"/>
          <w:lang w:val="en-US" w:eastAsia="zh-CN"/>
        </w:rPr>
        <w:t>外国政</w:t>
      </w:r>
      <w:r>
        <w:rPr>
          <w:rFonts w:hint="eastAsia" w:ascii="仿宋" w:hAnsi="仿宋" w:eastAsia="仿宋"/>
          <w:sz w:val="30"/>
          <w:szCs w:val="30"/>
        </w:rPr>
        <w:t>党代表团与景陶集团开展合作；邀请中联部机关服务中心和礼宾局领导前往我市各重点产瓷企业考察外事礼宾用瓷，并达成初步意向。</w:t>
      </w:r>
      <w:r>
        <w:rPr>
          <w:rFonts w:hint="eastAsia" w:ascii="仿宋" w:hAnsi="仿宋" w:eastAsia="仿宋"/>
          <w:sz w:val="30"/>
          <w:szCs w:val="30"/>
          <w:lang w:val="en-US" w:eastAsia="zh-CN"/>
        </w:rPr>
        <w:t>三是</w:t>
      </w:r>
      <w:r>
        <w:rPr>
          <w:rFonts w:hint="eastAsia" w:ascii="仿宋" w:hAnsi="仿宋" w:eastAsia="仿宋"/>
          <w:sz w:val="30"/>
          <w:szCs w:val="30"/>
        </w:rPr>
        <w:t>接待</w:t>
      </w:r>
      <w:r>
        <w:rPr>
          <w:rFonts w:hint="eastAsia" w:ascii="仿宋" w:hAnsi="仿宋" w:eastAsia="仿宋"/>
          <w:sz w:val="30"/>
          <w:szCs w:val="30"/>
          <w:lang w:val="en-US" w:eastAsia="zh-CN"/>
        </w:rPr>
        <w:t>外国</w:t>
      </w:r>
      <w:r>
        <w:rPr>
          <w:rFonts w:hint="eastAsia" w:ascii="仿宋" w:hAnsi="仿宋" w:eastAsia="仿宋"/>
          <w:sz w:val="30"/>
          <w:szCs w:val="30"/>
        </w:rPr>
        <w:t>驻华大使等重要来宾，积极将接待工作与经贸、外宣工作相结合，推动经贸交流与合作，促进</w:t>
      </w:r>
      <w:r>
        <w:rPr>
          <w:rFonts w:hint="eastAsia" w:ascii="仿宋" w:hAnsi="仿宋" w:eastAsia="仿宋"/>
          <w:sz w:val="30"/>
          <w:szCs w:val="30"/>
          <w:lang w:val="en-US" w:eastAsia="zh-CN"/>
        </w:rPr>
        <w:t>民间友好</w:t>
      </w:r>
      <w:r>
        <w:rPr>
          <w:rFonts w:hint="eastAsia" w:ascii="仿宋" w:hAnsi="仿宋" w:eastAsia="仿宋"/>
          <w:sz w:val="30"/>
          <w:szCs w:val="30"/>
        </w:rPr>
        <w:t>交往、招商引资和项目对接，为景德镇与世界对话助力。</w:t>
      </w:r>
      <w:r>
        <w:rPr>
          <w:rFonts w:hint="eastAsia" w:ascii="仿宋" w:hAnsi="仿宋" w:eastAsia="仿宋"/>
          <w:sz w:val="30"/>
          <w:szCs w:val="30"/>
          <w:lang w:val="en-US" w:eastAsia="zh-CN"/>
        </w:rPr>
        <w:t>四是</w:t>
      </w:r>
      <w:r>
        <w:rPr>
          <w:rFonts w:hint="eastAsia" w:ascii="仿宋" w:hAnsi="仿宋" w:eastAsia="仿宋"/>
          <w:sz w:val="30"/>
          <w:szCs w:val="30"/>
        </w:rPr>
        <w:t>受友好城市邀请，还组织陶艺家赴</w:t>
      </w:r>
      <w:r>
        <w:rPr>
          <w:rFonts w:hint="eastAsia" w:ascii="仿宋" w:hAnsi="仿宋" w:eastAsia="仿宋"/>
          <w:sz w:val="30"/>
          <w:szCs w:val="30"/>
          <w:lang w:val="en-US" w:eastAsia="zh-CN"/>
        </w:rPr>
        <w:t>国（境）外</w:t>
      </w:r>
      <w:r>
        <w:rPr>
          <w:rFonts w:hint="eastAsia" w:ascii="仿宋" w:hAnsi="仿宋" w:eastAsia="仿宋"/>
          <w:sz w:val="30"/>
          <w:szCs w:val="30"/>
        </w:rPr>
        <w:t>参加</w:t>
      </w:r>
      <w:r>
        <w:rPr>
          <w:rFonts w:hint="eastAsia" w:ascii="仿宋" w:hAnsi="仿宋" w:eastAsia="仿宋"/>
          <w:sz w:val="30"/>
          <w:szCs w:val="30"/>
          <w:lang w:val="en-US" w:eastAsia="zh-CN"/>
        </w:rPr>
        <w:t>高端展览展示活动，</w:t>
      </w:r>
      <w:r>
        <w:rPr>
          <w:rFonts w:hint="eastAsia" w:ascii="仿宋" w:hAnsi="仿宋" w:eastAsia="仿宋"/>
          <w:sz w:val="30"/>
          <w:szCs w:val="30"/>
        </w:rPr>
        <w:t>宣传景德镇的陶瓷文化和历史</w:t>
      </w:r>
      <w:r>
        <w:rPr>
          <w:rFonts w:hint="eastAsia" w:ascii="仿宋" w:hAnsi="仿宋" w:eastAsia="仿宋"/>
          <w:sz w:val="30"/>
          <w:szCs w:val="30"/>
          <w:lang w:eastAsia="zh-CN"/>
        </w:rPr>
        <w:t>，</w:t>
      </w:r>
      <w:r>
        <w:rPr>
          <w:rFonts w:hint="eastAsia" w:ascii="仿宋" w:hAnsi="仿宋" w:eastAsia="仿宋"/>
          <w:sz w:val="30"/>
          <w:szCs w:val="30"/>
          <w:lang w:val="en-US" w:eastAsia="zh-CN"/>
        </w:rPr>
        <w:t>取得预期效果</w:t>
      </w:r>
      <w:r>
        <w:rPr>
          <w:rFonts w:hint="eastAsia" w:ascii="仿宋" w:hAnsi="仿宋" w:eastAsia="仿宋"/>
          <w:sz w:val="30"/>
          <w:szCs w:val="30"/>
        </w:rPr>
        <w:t>。</w:t>
      </w:r>
      <w:r>
        <w:rPr>
          <w:rFonts w:hint="eastAsia" w:ascii="仿宋" w:hAnsi="仿宋" w:eastAsia="仿宋"/>
          <w:sz w:val="30"/>
          <w:szCs w:val="30"/>
          <w:lang w:val="en-US" w:eastAsia="zh-CN"/>
        </w:rPr>
        <w:t>五是</w:t>
      </w:r>
      <w:r>
        <w:rPr>
          <w:rFonts w:hint="eastAsia" w:ascii="仿宋" w:hAnsi="仿宋" w:eastAsia="仿宋"/>
          <w:sz w:val="30"/>
          <w:szCs w:val="30"/>
        </w:rPr>
        <w:t>积极</w:t>
      </w:r>
      <w:r>
        <w:rPr>
          <w:rFonts w:hint="eastAsia" w:ascii="仿宋" w:hAnsi="仿宋" w:eastAsia="仿宋"/>
          <w:sz w:val="30"/>
          <w:szCs w:val="30"/>
          <w:lang w:val="en-US" w:eastAsia="zh-CN"/>
        </w:rPr>
        <w:t>支持</w:t>
      </w:r>
      <w:r>
        <w:rPr>
          <w:rFonts w:hint="eastAsia" w:ascii="仿宋" w:hAnsi="仿宋" w:eastAsia="仿宋"/>
          <w:sz w:val="30"/>
          <w:szCs w:val="30"/>
        </w:rPr>
        <w:t>配合市</w:t>
      </w:r>
      <w:r>
        <w:rPr>
          <w:rFonts w:hint="eastAsia" w:ascii="仿宋" w:hAnsi="仿宋" w:eastAsia="仿宋"/>
          <w:sz w:val="30"/>
          <w:szCs w:val="30"/>
          <w:lang w:val="en-US" w:eastAsia="zh-CN"/>
        </w:rPr>
        <w:t>相关部门开展教育、科技、文化、体育等国际友好交流</w:t>
      </w:r>
      <w:r>
        <w:rPr>
          <w:rFonts w:hint="eastAsia" w:ascii="仿宋" w:hAnsi="仿宋" w:eastAsia="仿宋"/>
          <w:sz w:val="30"/>
          <w:szCs w:val="30"/>
          <w:lang w:eastAsia="zh-CN"/>
        </w:rPr>
        <w:t>。</w:t>
      </w:r>
      <w:r>
        <w:rPr>
          <w:rFonts w:hint="eastAsia" w:ascii="仿宋" w:hAnsi="仿宋" w:eastAsia="仿宋"/>
          <w:sz w:val="30"/>
          <w:szCs w:val="30"/>
          <w:lang w:val="en-US" w:eastAsia="zh-CN"/>
        </w:rPr>
        <w:t>六是</w:t>
      </w:r>
      <w:r>
        <w:rPr>
          <w:rFonts w:hint="eastAsia" w:ascii="仿宋" w:hAnsi="仿宋" w:eastAsia="仿宋"/>
          <w:sz w:val="30"/>
          <w:szCs w:val="30"/>
        </w:rPr>
        <w:t>大力推动我市企业“走出去”，结合“放管服”改革，简化流程，压缩时间，竭力帮助景德镇陶瓷文化旅游集团、景德镇黑猫集团有限责任公司、长虹华意压缩机有限公司等单位办理出国审批、签证手续，确保团组顺利出访。</w:t>
      </w:r>
      <w:r>
        <w:rPr>
          <w:rFonts w:hint="eastAsia" w:ascii="仿宋" w:hAnsi="仿宋" w:eastAsia="仿宋"/>
          <w:sz w:val="30"/>
          <w:szCs w:val="30"/>
          <w:lang w:val="en-US" w:eastAsia="zh-CN"/>
        </w:rPr>
        <w:t>七是</w:t>
      </w:r>
      <w:r>
        <w:rPr>
          <w:rFonts w:hint="eastAsia" w:ascii="仿宋" w:hAnsi="仿宋" w:eastAsia="仿宋"/>
          <w:sz w:val="30"/>
          <w:szCs w:val="30"/>
        </w:rPr>
        <w:t>主动服务企业，做好邀请外国人来赣审核、审批工作</w:t>
      </w:r>
      <w:r>
        <w:rPr>
          <w:rFonts w:hint="eastAsia" w:ascii="仿宋" w:hAnsi="仿宋" w:eastAsia="仿宋"/>
          <w:sz w:val="30"/>
          <w:szCs w:val="30"/>
          <w:lang w:eastAsia="zh-CN"/>
        </w:rPr>
        <w:t>，</w:t>
      </w:r>
      <w:r>
        <w:rPr>
          <w:rFonts w:hint="eastAsia" w:ascii="仿宋" w:hAnsi="仿宋" w:eastAsia="仿宋"/>
          <w:sz w:val="30"/>
          <w:szCs w:val="30"/>
          <w:lang w:val="en-US" w:eastAsia="zh-CN"/>
        </w:rPr>
        <w:t>全</w:t>
      </w:r>
      <w:r>
        <w:rPr>
          <w:rFonts w:hint="eastAsia" w:ascii="仿宋" w:hAnsi="仿宋" w:eastAsia="仿宋"/>
          <w:sz w:val="30"/>
          <w:szCs w:val="30"/>
        </w:rPr>
        <w:t>年</w:t>
      </w:r>
      <w:r>
        <w:rPr>
          <w:rFonts w:hint="eastAsia" w:ascii="仿宋" w:hAnsi="仿宋" w:eastAsia="仿宋"/>
          <w:sz w:val="30"/>
          <w:szCs w:val="30"/>
          <w:lang w:val="en-US" w:eastAsia="zh-CN"/>
        </w:rPr>
        <w:t>为瓷博会、茶博会及企业技术合作等</w:t>
      </w:r>
      <w:r>
        <w:rPr>
          <w:rFonts w:hint="eastAsia" w:ascii="仿宋" w:hAnsi="仿宋" w:eastAsia="仿宋"/>
          <w:sz w:val="30"/>
          <w:szCs w:val="30"/>
        </w:rPr>
        <w:t>共办理邀请5批106人。</w:t>
      </w:r>
    </w:p>
    <w:p w14:paraId="32C4A78F">
      <w:pPr>
        <w:spacing w:line="360" w:lineRule="auto"/>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发现的问题及原因：对外交流工作受国际形势等多种不确定因素影响，支出进度难以准确预计和把握。下一步改进措施：更科学化、精细化编制预算，抓好预算绩效管理工作，加强执行力度的监管，提高资金使用率。</w:t>
      </w:r>
    </w:p>
    <w:p w14:paraId="5056276A">
      <w:pPr>
        <w:spacing w:line="360" w:lineRule="auto"/>
        <w:rPr>
          <w:sz w:val="24"/>
          <w:szCs w:val="24"/>
        </w:rPr>
      </w:pPr>
    </w:p>
    <w:p w14:paraId="20B8B094">
      <w:pPr>
        <w:spacing w:line="360" w:lineRule="auto"/>
        <w:rPr>
          <w:sz w:val="24"/>
          <w:szCs w:val="24"/>
        </w:rPr>
      </w:pPr>
    </w:p>
    <w:p w14:paraId="16DD31C3">
      <w:pPr>
        <w:widowControl/>
        <w:spacing w:line="360" w:lineRule="auto"/>
        <w:ind w:firstLine="640"/>
        <w:jc w:val="center"/>
        <w:rPr>
          <w:rFonts w:hint="eastAsia" w:ascii="宋体" w:hAnsi="宋体"/>
          <w:b/>
          <w:sz w:val="32"/>
          <w:szCs w:val="32"/>
        </w:rPr>
      </w:pPr>
      <w:r>
        <w:rPr>
          <w:rFonts w:hint="eastAsia" w:ascii="宋体" w:hAnsi="宋体"/>
          <w:b/>
          <w:sz w:val="32"/>
          <w:szCs w:val="32"/>
        </w:rPr>
        <w:t>第四部分  名词解释</w:t>
      </w:r>
    </w:p>
    <w:p w14:paraId="78E3E7B5">
      <w:pPr>
        <w:pStyle w:val="9"/>
        <w:spacing w:line="360" w:lineRule="auto"/>
        <w:ind w:firstLine="600"/>
        <w:rPr>
          <w:rFonts w:hint="eastAsia" w:ascii="仿宋" w:hAnsi="仿宋" w:eastAsia="仿宋"/>
          <w:sz w:val="30"/>
          <w:szCs w:val="30"/>
        </w:rPr>
      </w:pPr>
    </w:p>
    <w:p w14:paraId="72492710">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一、收入科目</w:t>
      </w:r>
    </w:p>
    <w:p w14:paraId="56A0EA4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财政拨款：</w:t>
      </w:r>
      <w:r>
        <w:rPr>
          <w:rFonts w:hint="eastAsia" w:ascii="仿宋_GB2312" w:hAnsi="仿宋_GB2312" w:eastAsia="仿宋_GB2312" w:cs="仿宋_GB2312"/>
          <w:kern w:val="0"/>
          <w:sz w:val="32"/>
          <w:szCs w:val="32"/>
        </w:rPr>
        <w:t>指财政批复的当年财政拨款预算。</w:t>
      </w:r>
    </w:p>
    <w:p w14:paraId="70F96134">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其他收入：</w:t>
      </w:r>
      <w:r>
        <w:rPr>
          <w:rFonts w:hint="eastAsia" w:ascii="仿宋_GB2312" w:hAnsi="仿宋_GB2312" w:eastAsia="仿宋_GB2312" w:cs="仿宋_GB2312"/>
          <w:kern w:val="0"/>
          <w:sz w:val="32"/>
          <w:szCs w:val="32"/>
        </w:rPr>
        <w:t>指上级补助收入。</w:t>
      </w:r>
    </w:p>
    <w:p w14:paraId="10BD5073">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上年结转：</w:t>
      </w:r>
      <w:r>
        <w:rPr>
          <w:rFonts w:hint="eastAsia" w:ascii="仿宋_GB2312" w:hAnsi="仿宋_GB2312" w:eastAsia="仿宋_GB2312" w:cs="仿宋_GB2312"/>
          <w:kern w:val="0"/>
          <w:sz w:val="32"/>
          <w:szCs w:val="32"/>
        </w:rPr>
        <w:t>指以前年度尚未完成，结转到本年仍按原规定用途继续使用的资金。</w:t>
      </w:r>
    </w:p>
    <w:p w14:paraId="716E398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二、支出科目</w:t>
      </w:r>
    </w:p>
    <w:p w14:paraId="2B5C1830">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val="0"/>
          <w:bCs w:val="0"/>
          <w:kern w:val="0"/>
          <w:sz w:val="32"/>
          <w:szCs w:val="32"/>
        </w:rPr>
        <w:t>（一）一般公共服务（类201）</w:t>
      </w:r>
      <w:r>
        <w:rPr>
          <w:rFonts w:hint="eastAsia" w:ascii="楷体_GB2312" w:hAnsi="楷体_GB2312" w:eastAsia="楷体_GB2312" w:cs="楷体_GB2312"/>
          <w:b w:val="0"/>
          <w:bCs w:val="0"/>
          <w:kern w:val="0"/>
          <w:sz w:val="32"/>
          <w:szCs w:val="32"/>
          <w:lang w:eastAsia="zh-CN"/>
        </w:rPr>
        <w:t>：</w:t>
      </w:r>
      <w:r>
        <w:rPr>
          <w:rFonts w:hint="eastAsia" w:ascii="仿宋_GB2312" w:hAnsi="仿宋_GB2312" w:eastAsia="仿宋_GB2312" w:cs="仿宋_GB2312"/>
          <w:kern w:val="0"/>
          <w:sz w:val="32"/>
          <w:szCs w:val="32"/>
          <w:lang w:val="en-US" w:eastAsia="zh-CN"/>
        </w:rPr>
        <w:t>反映政府提供一般公共服务的支出。</w:t>
      </w:r>
    </w:p>
    <w:p w14:paraId="30EA361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pacing w:val="0"/>
          <w:sz w:val="32"/>
          <w:szCs w:val="21"/>
        </w:rPr>
      </w:pPr>
      <w:r>
        <w:rPr>
          <w:rFonts w:hint="eastAsia" w:ascii="仿宋_GB2312" w:hAnsi="仿宋_GB2312" w:eastAsia="仿宋_GB2312" w:cs="仿宋_GB2312"/>
          <w:b/>
          <w:bCs/>
          <w:kern w:val="0"/>
          <w:sz w:val="32"/>
          <w:szCs w:val="32"/>
          <w:lang w:val="en-US" w:eastAsia="zh-CN" w:bidi="ar-SA"/>
        </w:rPr>
        <w:t>港澳台侨事务（款20125）</w:t>
      </w:r>
      <w:r>
        <w:rPr>
          <w:rFonts w:hint="eastAsia" w:ascii="仿宋_GB2312" w:hAnsi="仿宋_GB2312" w:eastAsia="仿宋_GB2312" w:cs="仿宋_GB2312"/>
          <w:b w:val="0"/>
          <w:bCs w:val="0"/>
          <w:kern w:val="0"/>
          <w:sz w:val="32"/>
          <w:szCs w:val="32"/>
          <w:lang w:val="en-US" w:eastAsia="zh-CN" w:bidi="ar-SA"/>
        </w:rPr>
        <w:t>：</w:t>
      </w:r>
      <w:r>
        <w:rPr>
          <w:rFonts w:hint="eastAsia" w:ascii="仿宋_GB2312" w:hAnsi="仿宋_GB2312" w:eastAsia="仿宋_GB2312" w:cs="仿宋_GB2312"/>
          <w:spacing w:val="0"/>
          <w:sz w:val="32"/>
          <w:szCs w:val="21"/>
        </w:rPr>
        <w:t>反映</w:t>
      </w:r>
      <w:r>
        <w:rPr>
          <w:rFonts w:hint="eastAsia" w:ascii="仿宋_GB2312" w:hAnsi="仿宋_GB2312" w:eastAsia="仿宋_GB2312" w:cs="仿宋_GB2312"/>
          <w:spacing w:val="0"/>
          <w:sz w:val="32"/>
          <w:szCs w:val="21"/>
          <w:lang w:eastAsia="zh-CN"/>
        </w:rPr>
        <w:t>用于港澳台事务</w:t>
      </w:r>
      <w:r>
        <w:rPr>
          <w:rFonts w:hint="eastAsia" w:ascii="仿宋_GB2312" w:hAnsi="仿宋_GB2312" w:eastAsia="仿宋_GB2312" w:cs="仿宋_GB2312"/>
          <w:spacing w:val="0"/>
          <w:sz w:val="32"/>
          <w:szCs w:val="21"/>
        </w:rPr>
        <w:t>方面的支出。</w:t>
      </w:r>
    </w:p>
    <w:p w14:paraId="43C1E0DD">
      <w:pPr>
        <w:pStyle w:val="9"/>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行政运行（项2012501）：反映行政单位（包括实行公务员管理的事业单位）的基本支出。</w:t>
      </w:r>
    </w:p>
    <w:p w14:paraId="6A1A95BA">
      <w:pPr>
        <w:pStyle w:val="9"/>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一般行政管理事务（项2012502）：反映行政单位（包括实行公务员管理的事业单位）未单独设置项级科目的其他项目支出。</w:t>
      </w:r>
    </w:p>
    <w:p w14:paraId="32CE87A4">
      <w:pPr>
        <w:pStyle w:val="9"/>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事业运行（项2012550）：反映事业单位的基本支出，不包括行政单位（包括实行公务员管理的事业单位）后勤服务中心、医务室等附属事业单位。</w:t>
      </w:r>
    </w:p>
    <w:p w14:paraId="3AB6500B">
      <w:pPr>
        <w:pStyle w:val="9"/>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其他港澳台事务支出（项2012599）:反映其他用于港澳台事务方面的支出。</w:t>
      </w:r>
    </w:p>
    <w:p w14:paraId="42F1B6B0">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（二）社会保障和就业支出（类208）：</w:t>
      </w:r>
      <w:r>
        <w:rPr>
          <w:rFonts w:hint="eastAsia" w:ascii="楷体_GB2312" w:hAnsi="楷体_GB2312" w:eastAsia="楷体_GB2312" w:cs="楷体_GB2312"/>
          <w:b w:val="0"/>
          <w:bCs w:val="0"/>
          <w:kern w:val="0"/>
          <w:sz w:val="32"/>
          <w:szCs w:val="32"/>
          <w:lang w:eastAsia="zh-CN"/>
        </w:rPr>
        <w:t>反映政府在</w:t>
      </w:r>
      <w:r>
        <w:rPr>
          <w:rFonts w:hint="eastAsia" w:ascii="仿宋_GB2312" w:hAnsi="仿宋_GB2312" w:eastAsia="仿宋_GB2312" w:cs="仿宋_GB2312"/>
          <w:kern w:val="0"/>
          <w:sz w:val="32"/>
          <w:szCs w:val="32"/>
          <w:lang w:eastAsia="zh-CN"/>
        </w:rPr>
        <w:t>社会保障与就业方面的</w:t>
      </w:r>
      <w:r>
        <w:rPr>
          <w:rFonts w:hint="eastAsia" w:ascii="仿宋_GB2312" w:hAnsi="仿宋_GB2312" w:eastAsia="仿宋_GB2312" w:cs="仿宋_GB2312"/>
          <w:kern w:val="0"/>
          <w:sz w:val="32"/>
          <w:szCs w:val="32"/>
        </w:rPr>
        <w:t>支出。</w:t>
      </w:r>
    </w:p>
    <w:p w14:paraId="74DDE1B3">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行政事业单位离退休（款20805）</w:t>
      </w:r>
      <w:r>
        <w:rPr>
          <w:rFonts w:hint="eastAsia" w:ascii="仿宋_GB2312" w:hAnsi="仿宋_GB2312" w:eastAsia="仿宋_GB2312" w:cs="仿宋_GB2312"/>
          <w:kern w:val="0"/>
          <w:sz w:val="32"/>
          <w:szCs w:val="32"/>
          <w:lang w:val="en-US" w:eastAsia="zh-CN"/>
        </w:rPr>
        <w:t>：反映用于行政事业单位养老方面的支出。</w:t>
      </w:r>
    </w:p>
    <w:p w14:paraId="32DE5EAA">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未归口管理的行政单位离退休（项2080504）：反映未实行归口管理的行政单位（包括实行公务员管理的事业单位）开支的离退休支出。</w:t>
      </w:r>
    </w:p>
    <w:p w14:paraId="7C498FF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机关事业单位基本养老保险缴费支出（项2080505）：反映机关事业单位实施养老保险制度由单位缴纳的基本养老保险费的支出。</w:t>
      </w:r>
    </w:p>
    <w:p w14:paraId="2DF1BD8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（三）</w:t>
      </w:r>
      <w:r>
        <w:rPr>
          <w:rFonts w:hint="eastAsia" w:ascii="楷体_GB2312" w:hAnsi="楷体_GB2312" w:eastAsia="楷体_GB2312" w:cs="楷体_GB2312"/>
          <w:b w:val="0"/>
          <w:bCs w:val="0"/>
          <w:kern w:val="0"/>
          <w:sz w:val="32"/>
          <w:szCs w:val="32"/>
          <w:lang w:val="en-US" w:eastAsia="zh-CN"/>
        </w:rPr>
        <w:t>卫生健康</w:t>
      </w:r>
      <w:r>
        <w:rPr>
          <w:rFonts w:hint="eastAsia" w:ascii="楷体_GB2312" w:hAnsi="楷体_GB2312" w:eastAsia="楷体_GB2312" w:cs="楷体_GB2312"/>
          <w:b w:val="0"/>
          <w:bCs w:val="0"/>
          <w:kern w:val="0"/>
          <w:sz w:val="32"/>
          <w:szCs w:val="32"/>
        </w:rPr>
        <w:t>支出（类</w:t>
      </w:r>
      <w:r>
        <w:rPr>
          <w:rFonts w:hint="eastAsia" w:ascii="楷体_GB2312" w:hAnsi="楷体_GB2312" w:eastAsia="楷体_GB2312" w:cs="楷体_GB2312"/>
          <w:b w:val="0"/>
          <w:bCs w:val="0"/>
          <w:kern w:val="0"/>
          <w:sz w:val="32"/>
          <w:szCs w:val="32"/>
          <w:lang w:val="en-US" w:eastAsia="zh-CN"/>
        </w:rPr>
        <w:t>210</w:t>
      </w:r>
      <w:r>
        <w:rPr>
          <w:rFonts w:hint="eastAsia" w:ascii="楷体_GB2312" w:hAnsi="楷体_GB2312" w:eastAsia="楷体_GB2312" w:cs="楷体_GB2312"/>
          <w:b w:val="0"/>
          <w:bCs w:val="0"/>
          <w:kern w:val="0"/>
          <w:sz w:val="32"/>
          <w:szCs w:val="32"/>
        </w:rPr>
        <w:t>）：</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rPr>
        <w:t>按照国家政策规定用于住房改革方面的支出。</w:t>
      </w:r>
    </w:p>
    <w:p w14:paraId="4F003FB9">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行政事业单位医疗（款21011）</w:t>
      </w:r>
      <w:r>
        <w:rPr>
          <w:rFonts w:hint="eastAsia" w:ascii="仿宋_GB2312" w:hAnsi="仿宋_GB2312" w:eastAsia="仿宋_GB2312" w:cs="仿宋_GB2312"/>
          <w:kern w:val="0"/>
          <w:sz w:val="32"/>
          <w:szCs w:val="32"/>
          <w:lang w:val="en-US" w:eastAsia="zh-CN"/>
        </w:rPr>
        <w:t>：反映行政事业单位医疗方面的支出。</w:t>
      </w:r>
    </w:p>
    <w:p w14:paraId="17F50AD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行政单位医疗</w:t>
      </w:r>
      <w:r>
        <w:rPr>
          <w:rFonts w:hint="eastAsia" w:ascii="仿宋_GB2312" w:hAnsi="仿宋_GB2312" w:eastAsia="仿宋_GB2312" w:cs="仿宋_GB2312"/>
          <w:kern w:val="0"/>
          <w:sz w:val="32"/>
          <w:szCs w:val="32"/>
        </w:rPr>
        <w:t>（项2</w:t>
      </w:r>
      <w:r>
        <w:rPr>
          <w:rFonts w:hint="eastAsia" w:ascii="仿宋_GB2312" w:hAnsi="仿宋_GB2312" w:eastAsia="仿宋_GB2312" w:cs="仿宋_GB2312"/>
          <w:kern w:val="0"/>
          <w:sz w:val="32"/>
          <w:szCs w:val="32"/>
          <w:lang w:val="en-US" w:eastAsia="zh-CN"/>
        </w:rPr>
        <w:t>101101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p>
    <w:p w14:paraId="0A3CBBE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事业单位医疗</w:t>
      </w:r>
      <w:r>
        <w:rPr>
          <w:rFonts w:hint="eastAsia" w:ascii="仿宋_GB2312" w:hAnsi="仿宋_GB2312" w:eastAsia="仿宋_GB2312" w:cs="仿宋_GB2312"/>
          <w:kern w:val="0"/>
          <w:sz w:val="32"/>
          <w:szCs w:val="32"/>
        </w:rPr>
        <w:t>（项2</w:t>
      </w:r>
      <w:r>
        <w:rPr>
          <w:rFonts w:hint="eastAsia" w:ascii="仿宋_GB2312" w:hAnsi="仿宋_GB2312" w:eastAsia="仿宋_GB2312" w:cs="仿宋_GB2312"/>
          <w:kern w:val="0"/>
          <w:sz w:val="32"/>
          <w:szCs w:val="32"/>
          <w:lang w:val="en-US" w:eastAsia="zh-CN"/>
        </w:rPr>
        <w:t>101102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lang w:val="en-US" w:eastAsia="zh-CN"/>
        </w:rPr>
        <w:t>财政部门安排的事业单位基本医疗保险缴费经费，未参加医疗保险的事业单位的公费医疗经费，按国家规定享受离休人员待遇的医疗经费。</w:t>
      </w:r>
    </w:p>
    <w:p w14:paraId="209225E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公务员医疗补助</w:t>
      </w:r>
      <w:r>
        <w:rPr>
          <w:rFonts w:hint="eastAsia" w:ascii="仿宋_GB2312" w:hAnsi="仿宋_GB2312" w:eastAsia="仿宋_GB2312" w:cs="仿宋_GB2312"/>
          <w:kern w:val="0"/>
          <w:sz w:val="32"/>
          <w:szCs w:val="32"/>
        </w:rPr>
        <w:t>（项2</w:t>
      </w:r>
      <w:r>
        <w:rPr>
          <w:rFonts w:hint="eastAsia" w:ascii="仿宋_GB2312" w:hAnsi="仿宋_GB2312" w:eastAsia="仿宋_GB2312" w:cs="仿宋_GB2312"/>
          <w:kern w:val="0"/>
          <w:sz w:val="32"/>
          <w:szCs w:val="32"/>
          <w:lang w:val="en-US" w:eastAsia="zh-CN"/>
        </w:rPr>
        <w:t>101103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lang w:val="en-US" w:eastAsia="zh-CN"/>
        </w:rPr>
        <w:t>财政部门安排的公务员补助经费。</w:t>
      </w:r>
    </w:p>
    <w:p w14:paraId="160B0801">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其他行政事业单位医疗支出</w:t>
      </w:r>
      <w:r>
        <w:rPr>
          <w:rFonts w:hint="eastAsia" w:ascii="仿宋_GB2312" w:hAnsi="仿宋_GB2312" w:eastAsia="仿宋_GB2312" w:cs="仿宋_GB2312"/>
          <w:kern w:val="0"/>
          <w:sz w:val="32"/>
          <w:szCs w:val="32"/>
        </w:rPr>
        <w:t>（项2</w:t>
      </w:r>
      <w:r>
        <w:rPr>
          <w:rFonts w:hint="eastAsia" w:ascii="仿宋_GB2312" w:hAnsi="仿宋_GB2312" w:eastAsia="仿宋_GB2312" w:cs="仿宋_GB2312"/>
          <w:kern w:val="0"/>
          <w:sz w:val="32"/>
          <w:szCs w:val="32"/>
          <w:lang w:val="en-US" w:eastAsia="zh-CN"/>
        </w:rPr>
        <w:t>101199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lang w:val="en-US" w:eastAsia="zh-CN"/>
        </w:rPr>
        <w:t>上述项目以外的其他用于行政事业单位医疗方面的支出。</w:t>
      </w:r>
    </w:p>
    <w:p w14:paraId="121BC14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b w:val="0"/>
          <w:bCs w:val="0"/>
          <w:kern w:val="0"/>
          <w:sz w:val="32"/>
          <w:szCs w:val="32"/>
        </w:rPr>
        <w:t>（</w:t>
      </w:r>
      <w:r>
        <w:rPr>
          <w:rFonts w:hint="eastAsia" w:ascii="楷体_GB2312" w:hAnsi="楷体_GB2312" w:eastAsia="楷体_GB2312" w:cs="楷体_GB2312"/>
          <w:b w:val="0"/>
          <w:bCs w:val="0"/>
          <w:kern w:val="0"/>
          <w:sz w:val="32"/>
          <w:szCs w:val="32"/>
          <w:lang w:val="en-US" w:eastAsia="zh-CN"/>
        </w:rPr>
        <w:t>四</w:t>
      </w:r>
      <w:r>
        <w:rPr>
          <w:rFonts w:hint="eastAsia" w:ascii="楷体_GB2312" w:hAnsi="楷体_GB2312" w:eastAsia="楷体_GB2312" w:cs="楷体_GB2312"/>
          <w:b w:val="0"/>
          <w:bCs w:val="0"/>
          <w:kern w:val="0"/>
          <w:sz w:val="32"/>
          <w:szCs w:val="32"/>
        </w:rPr>
        <w:t>）住房保障支出（类221）：</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rPr>
        <w:t>按照国家政策规定用于住房改革方面的支出。</w:t>
      </w:r>
    </w:p>
    <w:p w14:paraId="7567275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住房公积金</w:t>
      </w:r>
      <w:r>
        <w:rPr>
          <w:rFonts w:hint="eastAsia" w:ascii="仿宋_GB2312" w:hAnsi="仿宋_GB2312" w:eastAsia="仿宋_GB2312" w:cs="仿宋_GB2312"/>
          <w:kern w:val="0"/>
          <w:sz w:val="32"/>
          <w:szCs w:val="32"/>
        </w:rPr>
        <w:t>（项221020</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反映行政事业单位为职工缴纳的住房公积金。</w:t>
      </w:r>
    </w:p>
    <w:p w14:paraId="18F0961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五</w:t>
      </w:r>
      <w:r>
        <w:rPr>
          <w:rFonts w:hint="eastAsia" w:ascii="楷体_GB2312" w:hAnsi="楷体_GB2312" w:eastAsia="楷体_GB2312" w:cs="楷体_GB2312"/>
          <w:kern w:val="0"/>
          <w:sz w:val="32"/>
          <w:szCs w:val="32"/>
        </w:rPr>
        <w:t>）年末结转和结余：</w:t>
      </w:r>
      <w:r>
        <w:rPr>
          <w:rFonts w:hint="eastAsia" w:ascii="仿宋_GB2312" w:hAnsi="仿宋_GB2312" w:eastAsia="仿宋_GB2312" w:cs="仿宋_GB2312"/>
          <w:kern w:val="0"/>
          <w:sz w:val="32"/>
          <w:szCs w:val="32"/>
        </w:rPr>
        <w:t>是单位按有关规定结转到下年或以后年度继续使用的资金。</w:t>
      </w:r>
    </w:p>
    <w:p w14:paraId="28D67A31">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六</w:t>
      </w:r>
      <w:r>
        <w:rPr>
          <w:rFonts w:hint="eastAsia" w:ascii="楷体_GB2312" w:hAnsi="楷体_GB2312" w:eastAsia="楷体_GB2312" w:cs="楷体_GB2312"/>
          <w:kern w:val="0"/>
          <w:sz w:val="32"/>
          <w:szCs w:val="32"/>
        </w:rPr>
        <w:t>）基本支出：</w:t>
      </w:r>
      <w:r>
        <w:rPr>
          <w:rFonts w:hint="eastAsia" w:ascii="仿宋_GB2312" w:hAnsi="仿宋_GB2312" w:eastAsia="仿宋_GB2312" w:cs="仿宋_GB2312"/>
          <w:kern w:val="0"/>
          <w:sz w:val="32"/>
          <w:szCs w:val="32"/>
        </w:rPr>
        <w:t>指为保障机构正常运转，完成日常工作任务而发生的人员支出和公用支出。</w:t>
      </w:r>
    </w:p>
    <w:p w14:paraId="38A4F8B0">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七</w:t>
      </w:r>
      <w:r>
        <w:rPr>
          <w:rFonts w:hint="eastAsia" w:ascii="楷体_GB2312" w:hAnsi="楷体_GB2312" w:eastAsia="楷体_GB2312" w:cs="楷体_GB2312"/>
          <w:kern w:val="0"/>
          <w:sz w:val="32"/>
          <w:szCs w:val="32"/>
        </w:rPr>
        <w:t>）“三公”经费支出：</w:t>
      </w:r>
      <w:r>
        <w:rPr>
          <w:rFonts w:hint="eastAsia" w:ascii="仿宋_GB2312" w:hAnsi="仿宋_GB2312" w:eastAsia="仿宋_GB2312" w:cs="仿宋_GB2312"/>
          <w:kern w:val="0"/>
          <w:sz w:val="32"/>
          <w:szCs w:val="32"/>
        </w:rPr>
        <w:t>纳入财政预决算管理的“三公”经费，是指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等费用支出；公务接待费反映单位按规定开支的各类公务接待（含外宾接待）支出。</w:t>
      </w:r>
    </w:p>
    <w:p w14:paraId="7BC906F4">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0000FF"/>
          <w:sz w:val="32"/>
          <w:szCs w:val="32"/>
          <w:lang w:val="en-US" w:eastAsia="zh-CN"/>
        </w:rPr>
      </w:pPr>
      <w:r>
        <w:rPr>
          <w:rFonts w:hint="eastAsia" w:ascii="楷体_GB2312" w:hAnsi="楷体_GB2312" w:eastAsia="楷体_GB2312" w:cs="楷体_GB2312"/>
          <w:kern w:val="0"/>
          <w:sz w:val="32"/>
          <w:szCs w:val="32"/>
        </w:rPr>
        <w:t>（</w:t>
      </w:r>
      <w:r>
        <w:rPr>
          <w:rFonts w:hint="eastAsia" w:ascii="楷体_GB2312" w:hAnsi="楷体_GB2312" w:eastAsia="楷体_GB2312" w:cs="楷体_GB2312"/>
          <w:kern w:val="0"/>
          <w:sz w:val="32"/>
          <w:szCs w:val="32"/>
          <w:lang w:val="en-US" w:eastAsia="zh-CN"/>
        </w:rPr>
        <w:t>八</w:t>
      </w:r>
      <w:r>
        <w:rPr>
          <w:rFonts w:hint="eastAsia" w:ascii="楷体_GB2312" w:hAnsi="楷体_GB2312" w:eastAsia="楷体_GB2312" w:cs="楷体_GB2312"/>
          <w:kern w:val="0"/>
          <w:sz w:val="32"/>
          <w:szCs w:val="32"/>
        </w:rPr>
        <w:t>）机关运行经费：</w:t>
      </w:r>
      <w:r>
        <w:rPr>
          <w:rFonts w:hint="eastAsia" w:ascii="仿宋_GB2312" w:hAnsi="仿宋_GB2312" w:eastAsia="仿宋_GB2312" w:cs="仿宋_GB2312"/>
          <w:kern w:val="0"/>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51E8250">
      <w:pPr>
        <w:spacing w:line="360" w:lineRule="auto"/>
        <w:rPr>
          <w:rFonts w:hint="eastAsia"/>
        </w:rPr>
      </w:pPr>
    </w:p>
    <w:sectPr>
      <w:pgSz w:w="11906" w:h="16838"/>
      <w:pgMar w:top="1701" w:right="1701" w:bottom="147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00E31"/>
    <w:rsid w:val="04D81262"/>
    <w:rsid w:val="05A83187"/>
    <w:rsid w:val="07B439B8"/>
    <w:rsid w:val="0BFB31C2"/>
    <w:rsid w:val="0F285DD7"/>
    <w:rsid w:val="16D25F00"/>
    <w:rsid w:val="18285749"/>
    <w:rsid w:val="25632564"/>
    <w:rsid w:val="2A051433"/>
    <w:rsid w:val="2FFD604F"/>
    <w:rsid w:val="31FA2897"/>
    <w:rsid w:val="352A495A"/>
    <w:rsid w:val="35B00E31"/>
    <w:rsid w:val="39CD501D"/>
    <w:rsid w:val="43FF36EF"/>
    <w:rsid w:val="531E1BF6"/>
    <w:rsid w:val="55EB05A0"/>
    <w:rsid w:val="5BF109C1"/>
    <w:rsid w:val="60F049CE"/>
    <w:rsid w:val="68445E2F"/>
    <w:rsid w:val="686B4990"/>
    <w:rsid w:val="6ACE0DD3"/>
    <w:rsid w:val="6D815778"/>
    <w:rsid w:val="6DE96796"/>
    <w:rsid w:val="70EE5FFA"/>
    <w:rsid w:val="7851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rFonts w:ascii="Times New Roman" w:hAnsi="Times New Roman" w:eastAsia="宋体" w:cs="Times New Roman"/>
      <w:color w:val="333333"/>
      <w:u w:val="none"/>
    </w:rPr>
  </w:style>
  <w:style w:type="character" w:styleId="7">
    <w:name w:val="Hyperlink"/>
    <w:basedOn w:val="5"/>
    <w:uiPriority w:val="0"/>
    <w:rPr>
      <w:rFonts w:ascii="Times New Roman" w:hAnsi="Times New Roman" w:eastAsia="宋体" w:cs="Times New Roman"/>
      <w:color w:val="333333"/>
      <w:u w:val="none"/>
    </w:rPr>
  </w:style>
  <w:style w:type="character" w:styleId="8">
    <w:name w:val="HTML Code"/>
    <w:basedOn w:val="5"/>
    <w:qFormat/>
    <w:uiPriority w:val="0"/>
    <w:rPr>
      <w:rFonts w:ascii="Courier New" w:hAnsi="Courier New" w:eastAsia="宋体" w:cs="Times New Roman"/>
      <w:sz w:val="20"/>
    </w:rPr>
  </w:style>
  <w:style w:type="paragraph" w:customStyle="1" w:styleId="9">
    <w:name w:val="p0"/>
    <w:basedOn w:val="1"/>
    <w:qFormat/>
    <w:uiPriority w:val="0"/>
    <w:pPr>
      <w:widowControl/>
    </w:pPr>
    <w:rPr>
      <w:kern w:val="0"/>
      <w:szCs w:val="21"/>
    </w:rPr>
  </w:style>
  <w:style w:type="character" w:customStyle="1" w:styleId="10">
    <w:name w:val="input"/>
    <w:basedOn w:val="5"/>
    <w:uiPriority w:val="0"/>
    <w:rPr>
      <w:rFonts w:ascii="Times New Roman" w:hAnsi="Times New Roman" w:eastAsia="宋体" w:cs="Times New Roman"/>
    </w:rPr>
  </w:style>
  <w:style w:type="character" w:customStyle="1" w:styleId="11">
    <w:name w:val="dropdown"/>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4534</Words>
  <Characters>5007</Characters>
  <Lines>0</Lines>
  <Paragraphs>0</Paragraphs>
  <TotalTime>1</TotalTime>
  <ScaleCrop>false</ScaleCrop>
  <LinksUpToDate>false</LinksUpToDate>
  <CharactersWithSpaces>5087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cp:lastPrinted>2020-10-14T08:33:00Z</cp:lastPrinted>
  <dcterms:modified xsi:type="dcterms:W3CDTF">2026-07-20T08:57:28Z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D49A21CCA4DE490DAB7E815741E3E0ED_12</vt:lpwstr>
  </property>
</Properties>
</file>