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44"/>
          <w:szCs w:val="36"/>
        </w:rPr>
      </w:pPr>
      <w:r>
        <w:rPr>
          <w:rFonts w:hint="eastAsia" w:ascii="黑体" w:hAnsi="黑体" w:eastAsia="黑体"/>
          <w:sz w:val="44"/>
          <w:szCs w:val="36"/>
          <w:lang w:val="en-US" w:eastAsia="zh-CN"/>
        </w:rPr>
        <w:t>景德镇市</w:t>
      </w:r>
      <w:r>
        <w:rPr>
          <w:rFonts w:hint="eastAsia" w:ascii="黑体" w:hAnsi="黑体" w:eastAsia="黑体"/>
          <w:sz w:val="44"/>
          <w:szCs w:val="36"/>
          <w:lang w:eastAsia="zh-CN"/>
        </w:rPr>
        <w:t>生态环境</w:t>
      </w:r>
      <w:r>
        <w:rPr>
          <w:rFonts w:hint="eastAsia" w:ascii="黑体" w:hAnsi="黑体" w:eastAsia="黑体"/>
          <w:sz w:val="44"/>
          <w:szCs w:val="36"/>
          <w:lang w:val="en-US" w:eastAsia="zh-CN"/>
        </w:rPr>
        <w:t>局</w:t>
      </w: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b/>
          <w:sz w:val="32"/>
          <w:szCs w:val="32"/>
          <w:lang w:val="en-US" w:eastAsia="zh-CN"/>
        </w:rPr>
        <w:t>景德镇市</w:t>
      </w:r>
      <w:r>
        <w:rPr>
          <w:rFonts w:hint="eastAsia" w:ascii="黑体" w:hAnsi="黑体" w:eastAsia="黑体"/>
          <w:sz w:val="32"/>
          <w:szCs w:val="32"/>
          <w:lang w:eastAsia="zh-CN"/>
        </w:rPr>
        <w:t>生态环境</w:t>
      </w:r>
      <w:r>
        <w:rPr>
          <w:rFonts w:hint="eastAsia" w:ascii="黑体" w:hAnsi="黑体" w:eastAsia="黑体"/>
          <w:sz w:val="32"/>
          <w:szCs w:val="32"/>
          <w:lang w:val="en-US" w:eastAsia="zh-CN"/>
        </w:rPr>
        <w:t>局</w:t>
      </w:r>
      <w:bookmarkStart w:id="0" w:name="_GoBack"/>
      <w:bookmarkEnd w:id="0"/>
      <w:r>
        <w:rPr>
          <w:rFonts w:hint="eastAsia" w:ascii="黑体" w:hAnsi="黑体" w:eastAsia="黑体"/>
          <w:sz w:val="32"/>
          <w:szCs w:val="32"/>
        </w:rPr>
        <w:t>部门</w:t>
      </w:r>
      <w:r>
        <w:rPr>
          <w:rFonts w:hint="eastAsia" w:ascii="黑体" w:hAnsi="黑体" w:eastAsia="黑体"/>
          <w:b/>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2"/>
          <w:lang w:eastAsia="zh-CN"/>
        </w:rPr>
        <w:t>生态环境</w:t>
      </w:r>
      <w:r>
        <w:rPr>
          <w:rFonts w:hint="eastAsia" w:ascii="宋体" w:hAnsi="宋体"/>
          <w:b/>
          <w:sz w:val="32"/>
          <w:szCs w:val="32"/>
        </w:rPr>
        <w:t>部门</w:t>
      </w:r>
      <w:r>
        <w:rPr>
          <w:rFonts w:hint="eastAsia" w:ascii="宋体" w:hAnsi="宋体"/>
          <w:b/>
          <w:sz w:val="32"/>
          <w:szCs w:val="30"/>
        </w:rPr>
        <w:t>概况</w:t>
      </w:r>
    </w:p>
    <w:p>
      <w:pPr>
        <w:ind w:firstLine="630"/>
        <w:jc w:val="center"/>
        <w:rPr>
          <w:rFonts w:hint="eastAsia"/>
          <w:sz w:val="32"/>
          <w:szCs w:val="32"/>
        </w:rPr>
      </w:pPr>
    </w:p>
    <w:p>
      <w:pPr>
        <w:numPr>
          <w:ilvl w:val="0"/>
          <w:numId w:val="1"/>
        </w:numPr>
        <w:ind w:firstLine="630"/>
        <w:jc w:val="left"/>
        <w:rPr>
          <w:rFonts w:hint="eastAsia" w:ascii="黑体" w:hAnsi="黑体" w:eastAsia="黑体"/>
          <w:sz w:val="30"/>
          <w:szCs w:val="30"/>
        </w:rPr>
      </w:pPr>
      <w:r>
        <w:rPr>
          <w:rFonts w:hint="eastAsia" w:ascii="黑体" w:hAnsi="黑体" w:eastAsia="黑体"/>
          <w:sz w:val="30"/>
          <w:szCs w:val="30"/>
        </w:rPr>
        <w:t>部门主要职能</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一、部门主要职责</w:t>
      </w:r>
    </w:p>
    <w:p>
      <w:pPr>
        <w:overflowPunct w:val="0"/>
        <w:adjustRightInd w:val="0"/>
        <w:snapToGrid w:val="0"/>
        <w:spacing w:line="520" w:lineRule="exact"/>
        <w:ind w:firstLine="640" w:firstLineChars="200"/>
        <w:rPr>
          <w:rFonts w:hint="eastAsia" w:ascii="仿宋" w:hAnsi="仿宋" w:eastAsia="仿宋" w:cs="Times New Roman"/>
          <w:sz w:val="32"/>
          <w:szCs w:val="30"/>
        </w:rPr>
      </w:pPr>
      <w:r>
        <w:rPr>
          <w:rFonts w:hint="eastAsia" w:ascii="仿宋" w:hAnsi="仿宋" w:eastAsia="仿宋" w:cs="Times New Roman"/>
          <w:sz w:val="32"/>
          <w:szCs w:val="30"/>
          <w:lang w:eastAsia="zh-CN"/>
        </w:rPr>
        <w:t>景德镇生态环境</w:t>
      </w:r>
      <w:r>
        <w:rPr>
          <w:rFonts w:hint="eastAsia" w:ascii="仿宋" w:hAnsi="仿宋" w:eastAsia="仿宋" w:cs="Times New Roman"/>
          <w:sz w:val="32"/>
          <w:szCs w:val="30"/>
        </w:rPr>
        <w:t>局是市政府</w:t>
      </w:r>
      <w:r>
        <w:rPr>
          <w:rFonts w:hint="eastAsia" w:ascii="仿宋" w:hAnsi="仿宋" w:eastAsia="仿宋" w:cs="Times New Roman"/>
          <w:sz w:val="32"/>
          <w:szCs w:val="30"/>
          <w:lang w:eastAsia="zh-CN"/>
        </w:rPr>
        <w:t>工作</w:t>
      </w:r>
      <w:r>
        <w:rPr>
          <w:rFonts w:hint="eastAsia" w:ascii="仿宋" w:hAnsi="仿宋" w:eastAsia="仿宋" w:cs="Times New Roman"/>
          <w:sz w:val="32"/>
          <w:szCs w:val="30"/>
        </w:rPr>
        <w:t>部门，主要职责是：</w:t>
      </w:r>
    </w:p>
    <w:p>
      <w:pPr>
        <w:overflowPunct w:val="0"/>
        <w:adjustRightInd w:val="0"/>
        <w:snapToGrid w:val="0"/>
        <w:spacing w:line="520" w:lineRule="exact"/>
        <w:ind w:firstLine="602" w:firstLineChars="200"/>
        <w:rPr>
          <w:rFonts w:hint="eastAsia" w:ascii="仿宋_GB2312" w:hAnsi="仿宋_GB2312" w:eastAsia="仿宋_GB2312" w:cs="方正仿宋_GBK"/>
          <w:kern w:val="21"/>
          <w:sz w:val="30"/>
          <w:szCs w:val="30"/>
        </w:rPr>
      </w:pPr>
      <w:r>
        <w:rPr>
          <w:rFonts w:hint="eastAsia" w:ascii="楷体" w:hAnsi="楷体" w:eastAsia="楷体" w:cs="方正仿宋_GBK"/>
          <w:b/>
          <w:kern w:val="21"/>
          <w:sz w:val="30"/>
          <w:szCs w:val="30"/>
        </w:rPr>
        <w:t>（一）负责建立健全生态环境有关制度。</w:t>
      </w:r>
      <w:r>
        <w:rPr>
          <w:rFonts w:hint="eastAsia" w:ascii="仿宋_GB2312" w:hAnsi="仿宋_GB2312" w:eastAsia="仿宋_GB2312" w:cs="方正仿宋_GBK"/>
          <w:kern w:val="21"/>
          <w:sz w:val="30"/>
          <w:szCs w:val="30"/>
        </w:rPr>
        <w:t>贯彻执行国家、省生态环境法律法规和基本制度，会同有关部门拟订全市生态环境政策、规划并组织实施，负责拟订市生态环境相关规范性文件草案。会同有关部门编制并监督实施重点区域、流域、饮用水水源地生态环境规划和水功能区划。</w:t>
      </w:r>
    </w:p>
    <w:p>
      <w:pPr>
        <w:overflowPunct w:val="0"/>
        <w:adjustRightInd w:val="0"/>
        <w:snapToGrid w:val="0"/>
        <w:spacing w:line="520" w:lineRule="exact"/>
        <w:ind w:firstLine="602" w:firstLineChars="200"/>
        <w:rPr>
          <w:rFonts w:hint="eastAsia" w:ascii="仿宋_GB2312" w:hAnsi="仿宋_GB2312" w:eastAsia="仿宋_GB2312" w:cs="方正仿宋_GBK"/>
          <w:kern w:val="21"/>
          <w:sz w:val="30"/>
          <w:szCs w:val="30"/>
        </w:rPr>
      </w:pPr>
      <w:r>
        <w:rPr>
          <w:rFonts w:hint="eastAsia" w:ascii="楷体" w:hAnsi="楷体" w:eastAsia="楷体" w:cs="方正仿宋_GBK"/>
          <w:b/>
          <w:kern w:val="21"/>
          <w:sz w:val="30"/>
          <w:szCs w:val="30"/>
        </w:rPr>
        <w:t>（二）负责全市生态环境问题的统筹协调和监督管理。</w:t>
      </w:r>
      <w:r>
        <w:rPr>
          <w:rFonts w:hint="eastAsia" w:ascii="仿宋_GB2312" w:hAnsi="仿宋_GB2312" w:eastAsia="仿宋_GB2312" w:cs="方正仿宋_GBK"/>
          <w:kern w:val="21"/>
          <w:sz w:val="30"/>
          <w:szCs w:val="30"/>
        </w:rPr>
        <w:t>牵头协调环境污染事故和生态破坏事件的调查处理，指导协调地方政府对突发生态环境事件的应急、预警工作，牵头指导实施生态环境损害赔偿制度，协调解决有关跨区域环境污染纠纷，统筹协调重点区域、流域生态环境保护工作。</w:t>
      </w:r>
    </w:p>
    <w:p>
      <w:pPr>
        <w:overflowPunct w:val="0"/>
        <w:adjustRightInd w:val="0"/>
        <w:snapToGrid w:val="0"/>
        <w:spacing w:line="520" w:lineRule="exact"/>
        <w:ind w:firstLine="602" w:firstLineChars="200"/>
        <w:rPr>
          <w:rFonts w:hint="eastAsia" w:ascii="仿宋_GB2312" w:hAnsi="仿宋_GB2312" w:eastAsia="仿宋_GB2312" w:cs="方正仿宋_GBK"/>
          <w:kern w:val="21"/>
          <w:sz w:val="30"/>
          <w:szCs w:val="30"/>
        </w:rPr>
      </w:pPr>
      <w:r>
        <w:rPr>
          <w:rFonts w:hint="eastAsia" w:ascii="楷体" w:hAnsi="楷体" w:eastAsia="楷体" w:cs="方正仿宋_GBK"/>
          <w:b/>
          <w:kern w:val="21"/>
          <w:sz w:val="30"/>
          <w:szCs w:val="30"/>
        </w:rPr>
        <w:t>（三）负责监督管理减排目标的落实。</w:t>
      </w:r>
      <w:r>
        <w:rPr>
          <w:rFonts w:hint="eastAsia" w:ascii="仿宋_GB2312" w:hAnsi="仿宋_GB2312" w:eastAsia="仿宋_GB2312" w:cs="方正仿宋_GBK"/>
          <w:kern w:val="21"/>
          <w:sz w:val="30"/>
          <w:szCs w:val="30"/>
        </w:rPr>
        <w:t>组织拟订并监督实施各类污染物排放总量控制制度，监督实施排污许可证制度，落实国家下达的污染物总量控制指标，监督检查污染物减排任务完成情况，实施生态环境保护目标责任制。</w:t>
      </w:r>
    </w:p>
    <w:p>
      <w:pPr>
        <w:overflowPunct w:val="0"/>
        <w:adjustRightInd w:val="0"/>
        <w:snapToGrid w:val="0"/>
        <w:spacing w:line="520" w:lineRule="exact"/>
        <w:ind w:firstLine="600" w:firstLineChars="200"/>
        <w:rPr>
          <w:rFonts w:hint="eastAsia" w:ascii="仿宋_GB2312" w:hAnsi="仿宋_GB2312" w:eastAsia="仿宋_GB2312" w:cs="方正仿宋_GBK"/>
          <w:kern w:val="21"/>
          <w:sz w:val="30"/>
          <w:szCs w:val="30"/>
        </w:rPr>
      </w:pPr>
      <w:r>
        <w:rPr>
          <w:rFonts w:hint="eastAsia" w:ascii="仿宋_GB2312" w:hAnsi="仿宋_GB2312" w:eastAsia="仿宋_GB2312" w:cs="方正仿宋_GBK"/>
          <w:kern w:val="21"/>
          <w:sz w:val="30"/>
          <w:szCs w:val="30"/>
        </w:rPr>
        <w:t>（</w:t>
      </w:r>
      <w:r>
        <w:rPr>
          <w:rFonts w:hint="eastAsia" w:ascii="楷体" w:hAnsi="楷体" w:eastAsia="楷体" w:cs="方正仿宋_GBK"/>
          <w:b/>
          <w:kern w:val="21"/>
          <w:sz w:val="30"/>
          <w:szCs w:val="30"/>
        </w:rPr>
        <w:t>四）负责提出全市生态环境领域固定资产投资规模和方向、市级财政性资金安排的意见，配合有关部门做好组织实施和监督工作。</w:t>
      </w:r>
      <w:r>
        <w:rPr>
          <w:rFonts w:hint="eastAsia" w:ascii="仿宋_GB2312" w:hAnsi="仿宋_GB2312" w:eastAsia="仿宋_GB2312" w:cs="方正仿宋_GBK"/>
          <w:kern w:val="21"/>
          <w:sz w:val="30"/>
          <w:szCs w:val="30"/>
        </w:rPr>
        <w:t>参与指导推动循环经济和生态环保产业发展。</w:t>
      </w:r>
    </w:p>
    <w:p>
      <w:pPr>
        <w:overflowPunct w:val="0"/>
        <w:adjustRightInd w:val="0"/>
        <w:snapToGrid w:val="0"/>
        <w:spacing w:line="520" w:lineRule="exact"/>
        <w:ind w:firstLine="602" w:firstLineChars="200"/>
        <w:rPr>
          <w:rFonts w:hint="eastAsia" w:ascii="仿宋_GB2312" w:hAnsi="仿宋_GB2312" w:eastAsia="仿宋_GB2312" w:cs="方正仿宋_GBK"/>
          <w:kern w:val="21"/>
          <w:sz w:val="30"/>
          <w:szCs w:val="30"/>
        </w:rPr>
      </w:pPr>
      <w:r>
        <w:rPr>
          <w:rFonts w:hint="eastAsia" w:ascii="楷体" w:hAnsi="楷体" w:eastAsia="楷体" w:cs="方正仿宋_GBK"/>
          <w:b/>
          <w:kern w:val="21"/>
          <w:sz w:val="30"/>
          <w:szCs w:val="30"/>
        </w:rPr>
        <w:t>（五）负责环境污染防治的监督管理。</w:t>
      </w:r>
      <w:r>
        <w:rPr>
          <w:rFonts w:hint="eastAsia" w:ascii="仿宋_GB2312" w:hAnsi="仿宋_GB2312" w:eastAsia="仿宋_GB2312" w:cs="方正仿宋_GBK"/>
          <w:kern w:val="21"/>
          <w:sz w:val="30"/>
          <w:szCs w:val="30"/>
        </w:rPr>
        <w:t>拟订大气、水、土壤、噪声、光、恶臭、固体废物、化学品、机动车等的污染防治管理制度并监督实施。会同有关部门监督管理饮用水水源地生态环境保护工作，组织指导城乡生态环境综合整治工作，监督指导农业面源污染治理工作。</w:t>
      </w:r>
    </w:p>
    <w:p>
      <w:pPr>
        <w:overflowPunct w:val="0"/>
        <w:adjustRightInd w:val="0"/>
        <w:snapToGrid w:val="0"/>
        <w:spacing w:line="520" w:lineRule="exact"/>
        <w:ind w:firstLine="602" w:firstLineChars="200"/>
        <w:rPr>
          <w:rFonts w:hint="eastAsia" w:ascii="仿宋_GB2312" w:hAnsi="仿宋_GB2312" w:eastAsia="仿宋_GB2312" w:cs="方正仿宋_GBK"/>
          <w:kern w:val="21"/>
          <w:sz w:val="30"/>
          <w:szCs w:val="30"/>
        </w:rPr>
      </w:pPr>
      <w:r>
        <w:rPr>
          <w:rFonts w:hint="eastAsia" w:ascii="楷体" w:hAnsi="楷体" w:eastAsia="楷体" w:cs="方正仿宋_GBK"/>
          <w:b/>
          <w:kern w:val="21"/>
          <w:sz w:val="30"/>
          <w:szCs w:val="30"/>
        </w:rPr>
        <w:t>（六）指导协调和监督生态保护修复工作。</w:t>
      </w:r>
      <w:r>
        <w:rPr>
          <w:rFonts w:hint="eastAsia" w:ascii="仿宋_GB2312" w:hAnsi="仿宋_GB2312" w:eastAsia="仿宋_GB2312" w:cs="方正仿宋_GBK"/>
          <w:kern w:val="21"/>
          <w:sz w:val="30"/>
          <w:szCs w:val="30"/>
        </w:rPr>
        <w:t>组织编制生态保护规划，监督对生态环境有影响的自然资源开发利用活动、重要生态环境建设和生态破坏恢复工作。组织制定全市各类自然保护地生态环境监管制度并监督执法。监督野生动植物保护、湿地生态环境保护、荒漠化防治等工作。指导协调和监督农村生态环境保护，监督生物技术环境安全，牵头生物物种（含遗传资源）工作，组织协调生物多样性保护，参与生态保护补偿工作。</w:t>
      </w:r>
    </w:p>
    <w:p>
      <w:pPr>
        <w:overflowPunct w:val="0"/>
        <w:adjustRightInd w:val="0"/>
        <w:snapToGrid w:val="0"/>
        <w:spacing w:line="520" w:lineRule="exact"/>
        <w:ind w:firstLine="602" w:firstLineChars="200"/>
        <w:rPr>
          <w:rFonts w:hint="eastAsia" w:ascii="仿宋_GB2312" w:hAnsi="仿宋_GB2312" w:eastAsia="仿宋_GB2312" w:cs="方正仿宋_GBK"/>
          <w:kern w:val="21"/>
          <w:sz w:val="30"/>
          <w:szCs w:val="30"/>
        </w:rPr>
      </w:pPr>
      <w:r>
        <w:rPr>
          <w:rFonts w:hint="eastAsia" w:ascii="楷体" w:hAnsi="楷体" w:eastAsia="楷体" w:cs="方正仿宋_GBK"/>
          <w:b/>
          <w:kern w:val="21"/>
          <w:sz w:val="30"/>
          <w:szCs w:val="30"/>
        </w:rPr>
        <w:t>（七）负责核与辐射安全的监督管理。</w:t>
      </w:r>
      <w:r>
        <w:rPr>
          <w:rFonts w:hint="eastAsia" w:ascii="仿宋_GB2312" w:hAnsi="仿宋_GB2312" w:eastAsia="仿宋_GB2312" w:cs="方正仿宋_GBK"/>
          <w:kern w:val="21"/>
          <w:sz w:val="30"/>
          <w:szCs w:val="30"/>
        </w:rPr>
        <w:t>参与核事故应急处理，负责辐射环境事故应急处理工作，监督管理核设施安全、放射源安全，监督管理核设施、核技术应用、电磁辐射、伴有放射性矿产资源开发利用中的污染防治。</w:t>
      </w:r>
    </w:p>
    <w:p>
      <w:pPr>
        <w:overflowPunct w:val="0"/>
        <w:adjustRightInd w:val="0"/>
        <w:snapToGrid w:val="0"/>
        <w:spacing w:line="520" w:lineRule="exact"/>
        <w:ind w:firstLine="602" w:firstLineChars="200"/>
        <w:rPr>
          <w:rFonts w:hint="eastAsia" w:ascii="仿宋_GB2312" w:hAnsi="仿宋_GB2312" w:eastAsia="仿宋_GB2312" w:cs="方正仿宋_GBK"/>
          <w:kern w:val="21"/>
          <w:sz w:val="30"/>
          <w:szCs w:val="30"/>
        </w:rPr>
      </w:pPr>
      <w:r>
        <w:rPr>
          <w:rFonts w:hint="eastAsia" w:ascii="楷体" w:hAnsi="楷体" w:eastAsia="楷体" w:cs="方正仿宋_GBK"/>
          <w:b/>
          <w:kern w:val="21"/>
          <w:sz w:val="30"/>
          <w:szCs w:val="30"/>
        </w:rPr>
        <w:t>（八）负责生态环境准入的监督管理。</w:t>
      </w:r>
      <w:r>
        <w:rPr>
          <w:rFonts w:hint="eastAsia" w:ascii="仿宋_GB2312" w:hAnsi="仿宋_GB2312" w:eastAsia="仿宋_GB2312" w:cs="方正仿宋_GBK"/>
          <w:kern w:val="21"/>
          <w:sz w:val="30"/>
          <w:szCs w:val="30"/>
        </w:rPr>
        <w:t>按国家和省、市规定审批或审查重大开发建设区域、规划、项目环境影响评价文件。拟订并组织实施全市生态环境准入清单。</w:t>
      </w:r>
    </w:p>
    <w:p>
      <w:pPr>
        <w:overflowPunct w:val="0"/>
        <w:adjustRightInd w:val="0"/>
        <w:snapToGrid w:val="0"/>
        <w:spacing w:line="520" w:lineRule="exact"/>
        <w:ind w:firstLine="602" w:firstLineChars="200"/>
        <w:rPr>
          <w:rFonts w:hint="eastAsia" w:ascii="仿宋_GB2312" w:hAnsi="仿宋_GB2312" w:eastAsia="仿宋_GB2312" w:cs="方正仿宋_GBK"/>
          <w:kern w:val="21"/>
          <w:sz w:val="30"/>
          <w:szCs w:val="30"/>
        </w:rPr>
      </w:pPr>
      <w:r>
        <w:rPr>
          <w:rFonts w:hint="eastAsia" w:ascii="楷体" w:hAnsi="楷体" w:eastAsia="楷体" w:cs="方正仿宋_GBK"/>
          <w:b/>
          <w:kern w:val="21"/>
          <w:sz w:val="30"/>
          <w:szCs w:val="30"/>
        </w:rPr>
        <w:t>（九）负责生态环境监测工作。</w:t>
      </w:r>
      <w:r>
        <w:rPr>
          <w:rFonts w:hint="eastAsia" w:ascii="仿宋_GB2312" w:hAnsi="仿宋_GB2312" w:eastAsia="仿宋_GB2312" w:cs="方正仿宋_GBK"/>
          <w:kern w:val="21"/>
          <w:sz w:val="30"/>
          <w:szCs w:val="30"/>
        </w:rPr>
        <w:t>监督实施生态环境监测制度、相关标准和规范，组织实施污染源监督性监测、应急监测、执法监测，按要求做好生态环境质量监测相关工作。建立和实行生态环境质量公告制度，统一发布全市生态环境综合性报告和重大生态环境信息。</w:t>
      </w:r>
    </w:p>
    <w:p>
      <w:pPr>
        <w:overflowPunct w:val="0"/>
        <w:adjustRightInd w:val="0"/>
        <w:snapToGrid w:val="0"/>
        <w:spacing w:line="520" w:lineRule="exact"/>
        <w:ind w:firstLine="602" w:firstLineChars="200"/>
        <w:rPr>
          <w:rFonts w:hint="eastAsia" w:ascii="仿宋_GB2312" w:hAnsi="仿宋_GB2312" w:eastAsia="仿宋_GB2312" w:cs="方正仿宋_GBK"/>
          <w:kern w:val="21"/>
          <w:sz w:val="30"/>
          <w:szCs w:val="30"/>
        </w:rPr>
      </w:pPr>
      <w:r>
        <w:rPr>
          <w:rFonts w:hint="eastAsia" w:ascii="楷体" w:hAnsi="楷体" w:eastAsia="楷体" w:cs="方正仿宋_GBK"/>
          <w:b/>
          <w:kern w:val="21"/>
          <w:sz w:val="30"/>
          <w:szCs w:val="30"/>
        </w:rPr>
        <w:t>（十）负责应对气候变化工作。</w:t>
      </w:r>
      <w:r>
        <w:rPr>
          <w:rFonts w:hint="eastAsia" w:ascii="仿宋_GB2312" w:hAnsi="仿宋_GB2312" w:eastAsia="仿宋_GB2312" w:cs="方正仿宋_GBK"/>
          <w:kern w:val="21"/>
          <w:sz w:val="30"/>
          <w:szCs w:val="30"/>
        </w:rPr>
        <w:t>综合分析气候变化对全市经济社会发展的影响，组织拟订并协调实施全市应对气候变化及温室气体减排规划和政策。</w:t>
      </w:r>
    </w:p>
    <w:p>
      <w:pPr>
        <w:overflowPunct w:val="0"/>
        <w:adjustRightInd w:val="0"/>
        <w:snapToGrid w:val="0"/>
        <w:spacing w:line="520" w:lineRule="exact"/>
        <w:ind w:firstLine="602" w:firstLineChars="200"/>
        <w:rPr>
          <w:rFonts w:hint="eastAsia" w:ascii="仿宋_GB2312" w:hAnsi="仿宋_GB2312" w:eastAsia="仿宋_GB2312" w:cs="方正仿宋_GBK"/>
          <w:kern w:val="21"/>
          <w:sz w:val="30"/>
          <w:szCs w:val="30"/>
        </w:rPr>
      </w:pPr>
      <w:r>
        <w:rPr>
          <w:rFonts w:hint="eastAsia" w:ascii="楷体" w:hAnsi="楷体" w:eastAsia="楷体" w:cs="方正仿宋_GBK"/>
          <w:b/>
          <w:kern w:val="21"/>
          <w:sz w:val="30"/>
          <w:szCs w:val="30"/>
        </w:rPr>
        <w:t>（十一）督促和协调生态环境保护督察整改工作。</w:t>
      </w:r>
      <w:r>
        <w:rPr>
          <w:rFonts w:hint="eastAsia" w:ascii="仿宋_GB2312" w:hAnsi="仿宋_GB2312" w:eastAsia="仿宋_GB2312" w:cs="方正仿宋_GBK"/>
          <w:kern w:val="21"/>
          <w:sz w:val="30"/>
          <w:szCs w:val="30"/>
        </w:rPr>
        <w:t>配合中央、省开展生态环境保护督察工作，监督落实生态环境保护督察问题整改，监督生态环境保护党政同责、“一岗双责”落实情况。承担市生态环境保护督察整改工作领导小组办公室日常工作。</w:t>
      </w:r>
    </w:p>
    <w:p>
      <w:pPr>
        <w:overflowPunct w:val="0"/>
        <w:adjustRightInd w:val="0"/>
        <w:snapToGrid w:val="0"/>
        <w:spacing w:line="520" w:lineRule="exact"/>
        <w:ind w:firstLine="602" w:firstLineChars="200"/>
        <w:rPr>
          <w:rFonts w:hint="eastAsia" w:ascii="仿宋_GB2312" w:hAnsi="仿宋_GB2312" w:eastAsia="仿宋_GB2312" w:cs="方正仿宋_GBK"/>
          <w:kern w:val="21"/>
          <w:sz w:val="30"/>
          <w:szCs w:val="30"/>
        </w:rPr>
      </w:pPr>
      <w:r>
        <w:rPr>
          <w:rFonts w:hint="eastAsia" w:ascii="楷体" w:hAnsi="楷体" w:eastAsia="楷体" w:cs="方正仿宋_GBK"/>
          <w:b/>
          <w:kern w:val="21"/>
          <w:sz w:val="30"/>
          <w:szCs w:val="30"/>
        </w:rPr>
        <w:t>（十二）统一负责生态环境监督执法。</w:t>
      </w:r>
      <w:r>
        <w:rPr>
          <w:rFonts w:hint="eastAsia" w:ascii="仿宋_GB2312" w:hAnsi="仿宋_GB2312" w:eastAsia="仿宋_GB2312" w:cs="方正仿宋_GBK"/>
          <w:kern w:val="21"/>
          <w:sz w:val="30"/>
          <w:szCs w:val="30"/>
        </w:rPr>
        <w:t>组织开展全市生态环境保护执法检查活动，查处生态环境违法问题。指导全市生态环境保护综合执法队伍建设和业务工作。</w:t>
      </w:r>
    </w:p>
    <w:p>
      <w:pPr>
        <w:overflowPunct w:val="0"/>
        <w:adjustRightInd w:val="0"/>
        <w:snapToGrid w:val="0"/>
        <w:spacing w:line="520" w:lineRule="exact"/>
        <w:ind w:firstLine="602" w:firstLineChars="200"/>
        <w:rPr>
          <w:rFonts w:hint="eastAsia" w:ascii="仿宋_GB2312" w:hAnsi="仿宋_GB2312" w:eastAsia="仿宋_GB2312" w:cs="方正仿宋_GBK"/>
          <w:kern w:val="21"/>
          <w:sz w:val="30"/>
          <w:szCs w:val="30"/>
        </w:rPr>
      </w:pPr>
      <w:r>
        <w:rPr>
          <w:rFonts w:hint="eastAsia" w:ascii="楷体" w:hAnsi="楷体" w:eastAsia="楷体" w:cs="方正仿宋_GBK"/>
          <w:b/>
          <w:kern w:val="21"/>
          <w:sz w:val="30"/>
          <w:szCs w:val="30"/>
        </w:rPr>
        <w:t>（十三）开展生态环境保护科技工作，组织生态环境科学研究和技术工程示范，推动生态环境技术管理体系建设。</w:t>
      </w:r>
      <w:r>
        <w:rPr>
          <w:rFonts w:hint="eastAsia" w:ascii="仿宋_GB2312" w:hAnsi="仿宋_GB2312" w:eastAsia="仿宋_GB2312" w:cs="方正仿宋_GBK"/>
          <w:kern w:val="21"/>
          <w:sz w:val="30"/>
          <w:szCs w:val="30"/>
        </w:rPr>
        <w:t>开展生态环境合作交流。</w:t>
      </w:r>
    </w:p>
    <w:p>
      <w:pPr>
        <w:overflowPunct w:val="0"/>
        <w:adjustRightInd w:val="0"/>
        <w:snapToGrid w:val="0"/>
        <w:spacing w:line="520" w:lineRule="exact"/>
        <w:ind w:firstLine="602" w:firstLineChars="200"/>
        <w:rPr>
          <w:rFonts w:hint="eastAsia" w:ascii="楷体" w:hAnsi="楷体" w:eastAsia="楷体" w:cs="方正仿宋_GBK"/>
          <w:b/>
          <w:kern w:val="21"/>
          <w:sz w:val="30"/>
          <w:szCs w:val="30"/>
        </w:rPr>
      </w:pPr>
      <w:r>
        <w:rPr>
          <w:rFonts w:hint="eastAsia" w:ascii="楷体" w:hAnsi="楷体" w:eastAsia="楷体" w:cs="方正仿宋_GBK"/>
          <w:b/>
          <w:kern w:val="21"/>
          <w:sz w:val="30"/>
          <w:szCs w:val="30"/>
        </w:rPr>
        <w:t>（十四）组织指导和协调生态环境宣传教育工作，拟订并组织实施生态环境保护宣传教育规划，推动社会组织和公众参与生态环境保护。</w:t>
      </w:r>
    </w:p>
    <w:p>
      <w:pPr>
        <w:overflowPunct w:val="0"/>
        <w:adjustRightInd w:val="0"/>
        <w:snapToGrid w:val="0"/>
        <w:spacing w:line="520" w:lineRule="exact"/>
        <w:ind w:firstLine="602" w:firstLineChars="200"/>
        <w:rPr>
          <w:rFonts w:hint="eastAsia" w:ascii="楷体" w:hAnsi="楷体" w:eastAsia="楷体" w:cs="方正仿宋_GBK"/>
          <w:b/>
          <w:kern w:val="21"/>
          <w:sz w:val="30"/>
          <w:szCs w:val="30"/>
        </w:rPr>
      </w:pPr>
      <w:r>
        <w:rPr>
          <w:rFonts w:hint="eastAsia" w:ascii="楷体" w:hAnsi="楷体" w:eastAsia="楷体" w:cs="方正仿宋_GBK"/>
          <w:b/>
          <w:kern w:val="21"/>
          <w:sz w:val="30"/>
          <w:szCs w:val="30"/>
        </w:rPr>
        <w:t>（十五）完成市委、市政府交办的其他任务。</w:t>
      </w:r>
    </w:p>
    <w:p>
      <w:pPr>
        <w:overflowPunct w:val="0"/>
        <w:adjustRightInd w:val="0"/>
        <w:snapToGrid w:val="0"/>
        <w:spacing w:line="520" w:lineRule="exact"/>
        <w:ind w:firstLine="602" w:firstLineChars="200"/>
        <w:rPr>
          <w:rFonts w:hint="eastAsia" w:ascii="仿宋_GB2312" w:hAnsi="仿宋_GB2312" w:eastAsia="仿宋_GB2312" w:cs="方正仿宋_GBK"/>
          <w:kern w:val="21"/>
          <w:sz w:val="30"/>
          <w:szCs w:val="30"/>
        </w:rPr>
      </w:pPr>
      <w:r>
        <w:rPr>
          <w:rFonts w:hint="eastAsia" w:ascii="楷体" w:hAnsi="楷体" w:eastAsia="楷体" w:cs="方正仿宋_GBK"/>
          <w:b/>
          <w:kern w:val="21"/>
          <w:sz w:val="30"/>
          <w:szCs w:val="30"/>
        </w:rPr>
        <w:t>（十六）职能转变。</w:t>
      </w:r>
      <w:r>
        <w:rPr>
          <w:rFonts w:hint="eastAsia" w:ascii="仿宋_GB2312" w:hAnsi="仿宋_GB2312" w:eastAsia="仿宋_GB2312" w:cs="方正仿宋_GBK"/>
          <w:kern w:val="21"/>
          <w:sz w:val="30"/>
          <w:szCs w:val="30"/>
        </w:rPr>
        <w:t>市生态环境局要统一行使生态和城乡各类污染排放监管与行政执法职责，切实履行监管责任，全面落实大气、水、土壤污染防治行动计划。构建政府为主导、企业为主体、社会组织和公众共同参与的生态环境治理体系，实行最严格的生态环境保护制度，严守生态保护红线和环境质量底线，坚决打好污染防治攻坚战，保障全市生态安全，建设美丽瓷都。</w:t>
      </w:r>
    </w:p>
    <w:p>
      <w:pPr>
        <w:overflowPunct w:val="0"/>
        <w:adjustRightInd w:val="0"/>
        <w:snapToGrid w:val="0"/>
        <w:spacing w:line="520" w:lineRule="exact"/>
        <w:ind w:firstLine="602" w:firstLineChars="200"/>
        <w:rPr>
          <w:rFonts w:hint="eastAsia" w:ascii="楷体" w:hAnsi="楷体" w:eastAsia="楷体" w:cs="方正仿宋_GBK"/>
          <w:b/>
          <w:kern w:val="21"/>
          <w:sz w:val="30"/>
          <w:szCs w:val="30"/>
        </w:rPr>
      </w:pPr>
      <w:r>
        <w:rPr>
          <w:rFonts w:hint="eastAsia" w:ascii="楷体" w:hAnsi="楷体" w:eastAsia="楷体" w:cs="方正仿宋_GBK"/>
          <w:b/>
          <w:kern w:val="21"/>
          <w:sz w:val="30"/>
          <w:szCs w:val="30"/>
        </w:rPr>
        <w:t>（十七）有关职责分工和工作机制。</w:t>
      </w:r>
    </w:p>
    <w:p>
      <w:pPr>
        <w:overflowPunct w:val="0"/>
        <w:adjustRightInd w:val="0"/>
        <w:snapToGrid w:val="0"/>
        <w:spacing w:line="520" w:lineRule="exact"/>
        <w:ind w:firstLine="602" w:firstLineChars="200"/>
        <w:rPr>
          <w:rFonts w:hint="eastAsia" w:ascii="仿宋_GB2312" w:hAnsi="仿宋_GB2312" w:eastAsia="仿宋_GB2312" w:cs="方正仿宋_GBK"/>
          <w:kern w:val="21"/>
          <w:sz w:val="30"/>
          <w:szCs w:val="30"/>
        </w:rPr>
      </w:pPr>
      <w:r>
        <w:rPr>
          <w:rFonts w:hint="eastAsia" w:ascii="楷体" w:hAnsi="楷体" w:eastAsia="楷体" w:cs="方正仿宋_GBK"/>
          <w:b/>
          <w:kern w:val="21"/>
          <w:sz w:val="30"/>
          <w:szCs w:val="30"/>
        </w:rPr>
        <w:t>1、与市发展和改革委员会的有关职责分工。</w:t>
      </w:r>
      <w:r>
        <w:rPr>
          <w:rFonts w:hint="eastAsia" w:ascii="仿宋_GB2312" w:hAnsi="仿宋_GB2312" w:eastAsia="仿宋_GB2312" w:cs="方正仿宋_GBK"/>
          <w:kern w:val="21"/>
          <w:sz w:val="30"/>
          <w:szCs w:val="30"/>
        </w:rPr>
        <w:t>市生态环境局负责市应对气候变化及节能减排工作领导小组应对气候变化与减排有关工作。市发展和改革委员会负责市应对气候变化及节能减排工作领导小组节能有关工作。</w:t>
      </w:r>
    </w:p>
    <w:p>
      <w:pPr>
        <w:overflowPunct w:val="0"/>
        <w:adjustRightInd w:val="0"/>
        <w:snapToGrid w:val="0"/>
        <w:spacing w:line="520" w:lineRule="exact"/>
        <w:ind w:firstLine="602" w:firstLineChars="200"/>
        <w:rPr>
          <w:rFonts w:hint="eastAsia" w:ascii="仿宋_GB2312" w:hAnsi="仿宋_GB2312" w:eastAsia="仿宋_GB2312" w:cs="方正仿宋_GBK"/>
          <w:kern w:val="21"/>
          <w:sz w:val="30"/>
          <w:szCs w:val="30"/>
        </w:rPr>
      </w:pPr>
      <w:r>
        <w:rPr>
          <w:rFonts w:hint="eastAsia" w:ascii="楷体" w:hAnsi="楷体" w:eastAsia="楷体" w:cs="方正仿宋_GBK"/>
          <w:b/>
          <w:kern w:val="21"/>
          <w:sz w:val="30"/>
          <w:szCs w:val="30"/>
        </w:rPr>
        <w:t>2、与市工业和信息化局的有关职责分工。</w:t>
      </w:r>
      <w:r>
        <w:rPr>
          <w:rFonts w:hint="eastAsia" w:ascii="仿宋_GB2312" w:hAnsi="仿宋_GB2312" w:eastAsia="仿宋_GB2312" w:cs="方正仿宋_GBK"/>
          <w:kern w:val="21"/>
          <w:sz w:val="30"/>
          <w:szCs w:val="30"/>
        </w:rPr>
        <w:t>市生态环境局对工业领域生态环境保护工作实施统一监督管理，统一行使工业领域污染排放监管与行政执法职责。市工业和信息化局负责工业领域生态环境保护和节能工作，督促指导有关单位落实生态环境保护责任制。</w:t>
      </w:r>
    </w:p>
    <w:p>
      <w:pPr>
        <w:overflowPunct w:val="0"/>
        <w:adjustRightInd w:val="0"/>
        <w:snapToGrid w:val="0"/>
        <w:spacing w:line="520" w:lineRule="exact"/>
        <w:ind w:firstLine="602" w:firstLineChars="200"/>
        <w:rPr>
          <w:rFonts w:hint="eastAsia" w:ascii="仿宋_GB2312" w:hAnsi="仿宋_GB2312" w:eastAsia="仿宋_GB2312" w:cs="方正仿宋_GBK"/>
          <w:kern w:val="21"/>
          <w:sz w:val="30"/>
          <w:szCs w:val="30"/>
        </w:rPr>
      </w:pPr>
      <w:r>
        <w:rPr>
          <w:rFonts w:hint="eastAsia" w:ascii="楷体" w:hAnsi="楷体" w:eastAsia="楷体" w:cs="方正仿宋_GBK"/>
          <w:b/>
          <w:kern w:val="21"/>
          <w:sz w:val="30"/>
          <w:szCs w:val="30"/>
        </w:rPr>
        <w:t>3、与市自然资源和规划局的有关职责分工。</w:t>
      </w:r>
      <w:r>
        <w:rPr>
          <w:rFonts w:hint="eastAsia" w:ascii="仿宋_GB2312" w:hAnsi="仿宋_GB2312" w:eastAsia="仿宋_GB2312" w:cs="方正仿宋_GBK"/>
          <w:kern w:val="21"/>
          <w:sz w:val="30"/>
          <w:szCs w:val="30"/>
        </w:rPr>
        <w:t>市生态环境局统一行使自然资源开发利用领域各类污染排放监管与行政执法职责；监督对生态环境有影响的自然资源开发利用活动、重要生态环境建设和生态破坏恢复工作。市自然资源和规划局负责全市生态保护红线的划定工作，提出调整生态保护红线的审批建议，拟订和组织实施全市生态保护红线的法规、规章、政策；负责国土空间综合整治、土地整理复垦、矿山地质环境恢复治理相关生态修复工作；负责自然资源开发利用领域生态环境保护。</w:t>
      </w:r>
    </w:p>
    <w:p>
      <w:pPr>
        <w:overflowPunct w:val="0"/>
        <w:adjustRightInd w:val="0"/>
        <w:snapToGrid w:val="0"/>
        <w:spacing w:line="520" w:lineRule="exact"/>
        <w:ind w:firstLine="602" w:firstLineChars="200"/>
        <w:rPr>
          <w:rFonts w:hint="eastAsia" w:ascii="仿宋_GB2312" w:hAnsi="仿宋_GB2312" w:eastAsia="仿宋_GB2312" w:cs="方正仿宋_GBK"/>
          <w:kern w:val="21"/>
          <w:sz w:val="30"/>
          <w:szCs w:val="30"/>
        </w:rPr>
      </w:pPr>
      <w:r>
        <w:rPr>
          <w:rFonts w:hint="eastAsia" w:ascii="楷体" w:hAnsi="楷体" w:eastAsia="楷体" w:cs="方正仿宋_GBK"/>
          <w:b/>
          <w:kern w:val="21"/>
          <w:sz w:val="30"/>
          <w:szCs w:val="30"/>
        </w:rPr>
        <w:t>4、与市住房和城乡建设局的有关职责分工。</w:t>
      </w:r>
      <w:r>
        <w:rPr>
          <w:rFonts w:hint="eastAsia" w:ascii="仿宋_GB2312" w:hAnsi="仿宋_GB2312" w:eastAsia="仿宋_GB2312" w:cs="方正仿宋_GBK"/>
          <w:kern w:val="21"/>
          <w:sz w:val="30"/>
          <w:szCs w:val="30"/>
        </w:rPr>
        <w:t>市生态环境局负责对住房和城乡建设领域生态环境保护工作实施统一监督管理。市住房和城乡建设局负责落实住房和城乡建设领域生态环境保护和节能减排工作，督促指导相关单位落实生态环境保护责任制，负责城镇污水集中处理设施及配套管网建设，并加强对城镇污水集中处理设施运营的监督管理。</w:t>
      </w:r>
    </w:p>
    <w:p>
      <w:pPr>
        <w:overflowPunct w:val="0"/>
        <w:adjustRightInd w:val="0"/>
        <w:snapToGrid w:val="0"/>
        <w:spacing w:line="520" w:lineRule="exact"/>
        <w:ind w:firstLine="602" w:firstLineChars="200"/>
        <w:rPr>
          <w:rFonts w:hint="eastAsia" w:ascii="仿宋_GB2312" w:hAnsi="仿宋_GB2312" w:eastAsia="仿宋_GB2312" w:cs="方正仿宋_GBK"/>
          <w:kern w:val="21"/>
          <w:sz w:val="30"/>
          <w:szCs w:val="30"/>
        </w:rPr>
      </w:pPr>
      <w:r>
        <w:rPr>
          <w:rFonts w:hint="eastAsia" w:ascii="楷体" w:hAnsi="楷体" w:eastAsia="楷体" w:cs="方正仿宋_GBK"/>
          <w:b/>
          <w:kern w:val="21"/>
          <w:sz w:val="30"/>
          <w:szCs w:val="30"/>
        </w:rPr>
        <w:t>5、与市交通运输局的有关职责分工。</w:t>
      </w:r>
      <w:r>
        <w:rPr>
          <w:rFonts w:hint="eastAsia" w:ascii="仿宋_GB2312" w:hAnsi="仿宋_GB2312" w:eastAsia="仿宋_GB2312" w:cs="方正仿宋_GBK"/>
          <w:kern w:val="21"/>
          <w:sz w:val="30"/>
          <w:szCs w:val="30"/>
        </w:rPr>
        <w:t>市生态环境局对公路、水路运输行业生态环境保护工作实施统一监督管理，负责公路、水路运输行业各类污染排放监管与行政执法工作。市交通运输局负责公路、水路运输行业生态环境保护和节能减排工作，负责防治船舶及其作业活动污染源内河水域环境的监督管理工作（军事船舶、渔业船舶除外）。</w:t>
      </w:r>
    </w:p>
    <w:p>
      <w:pPr>
        <w:overflowPunct w:val="0"/>
        <w:adjustRightInd w:val="0"/>
        <w:snapToGrid w:val="0"/>
        <w:spacing w:line="520" w:lineRule="exact"/>
        <w:ind w:firstLine="602" w:firstLineChars="200"/>
        <w:rPr>
          <w:rFonts w:hint="eastAsia" w:ascii="仿宋_GB2312" w:hAnsi="仿宋_GB2312" w:eastAsia="仿宋_GB2312" w:cs="方正仿宋_GBK"/>
          <w:kern w:val="21"/>
          <w:sz w:val="30"/>
          <w:szCs w:val="30"/>
        </w:rPr>
      </w:pPr>
      <w:r>
        <w:rPr>
          <w:rFonts w:hint="eastAsia" w:ascii="楷体" w:hAnsi="楷体" w:eastAsia="楷体" w:cs="方正仿宋_GBK"/>
          <w:b/>
          <w:kern w:val="21"/>
          <w:sz w:val="30"/>
          <w:szCs w:val="30"/>
        </w:rPr>
        <w:t>6、与市水利局的有关职责分工。</w:t>
      </w:r>
      <w:r>
        <w:rPr>
          <w:rFonts w:hint="eastAsia" w:ascii="仿宋_GB2312" w:hAnsi="仿宋_GB2312" w:eastAsia="仿宋_GB2312" w:cs="方正仿宋_GBK"/>
          <w:kern w:val="21"/>
          <w:sz w:val="30"/>
          <w:szCs w:val="30"/>
        </w:rPr>
        <w:t>市生态环境局负责编制水功能区划、排污口设置管理工作，牵头组织饮用水水源地生态环境保护工作，监督河湖水生态环境保护与修复工作。市水利局按规定指导饮用水水源保护、地下水资源管理保护有关工作，指导河湖水生态保护与修复工作，参与编制水功能区划和指导入河排污口设置管理工作。</w:t>
      </w:r>
    </w:p>
    <w:p>
      <w:pPr>
        <w:overflowPunct w:val="0"/>
        <w:adjustRightInd w:val="0"/>
        <w:snapToGrid w:val="0"/>
        <w:spacing w:line="520" w:lineRule="exact"/>
        <w:ind w:firstLine="602" w:firstLineChars="200"/>
        <w:rPr>
          <w:rFonts w:hint="eastAsia" w:ascii="仿宋_GB2312" w:hAnsi="仿宋_GB2312" w:eastAsia="仿宋_GB2312" w:cs="方正仿宋_GBK"/>
          <w:kern w:val="21"/>
          <w:sz w:val="30"/>
          <w:szCs w:val="30"/>
        </w:rPr>
      </w:pPr>
      <w:r>
        <w:rPr>
          <w:rFonts w:hint="eastAsia" w:ascii="楷体" w:hAnsi="楷体" w:eastAsia="楷体" w:cs="方正仿宋_GBK"/>
          <w:b/>
          <w:kern w:val="21"/>
          <w:sz w:val="30"/>
          <w:szCs w:val="30"/>
        </w:rPr>
        <w:t>7、与市农业农村局的有关职责分工。</w:t>
      </w:r>
      <w:r>
        <w:rPr>
          <w:rFonts w:hint="eastAsia" w:ascii="仿宋_GB2312" w:hAnsi="仿宋_GB2312" w:eastAsia="仿宋_GB2312" w:cs="方正仿宋_GBK"/>
          <w:kern w:val="21"/>
          <w:sz w:val="30"/>
          <w:szCs w:val="30"/>
        </w:rPr>
        <w:t>市生态环境局统一行使农业农村领域各类污染排放监管与行政执法职责。市农业农村局牵头负责改善农村人居环境、农业污染源头减量和废弃物资源化利用。</w:t>
      </w:r>
    </w:p>
    <w:p>
      <w:pPr>
        <w:overflowPunct w:val="0"/>
        <w:adjustRightInd w:val="0"/>
        <w:snapToGrid w:val="0"/>
        <w:spacing w:line="520" w:lineRule="exact"/>
        <w:ind w:firstLine="602" w:firstLineChars="200"/>
        <w:rPr>
          <w:rFonts w:hint="eastAsia" w:ascii="仿宋_GB2312" w:hAnsi="仿宋_GB2312" w:eastAsia="仿宋_GB2312" w:cs="方正仿宋_GBK"/>
          <w:kern w:val="21"/>
          <w:sz w:val="30"/>
          <w:szCs w:val="30"/>
        </w:rPr>
      </w:pPr>
      <w:r>
        <w:rPr>
          <w:rFonts w:hint="eastAsia" w:ascii="楷体" w:hAnsi="楷体" w:eastAsia="楷体" w:cs="方正仿宋_GBK"/>
          <w:b/>
          <w:kern w:val="21"/>
          <w:sz w:val="30"/>
          <w:szCs w:val="30"/>
        </w:rPr>
        <w:t>8、与市卫生健康委员会的有关职责分工。</w:t>
      </w:r>
      <w:r>
        <w:rPr>
          <w:rFonts w:hint="eastAsia" w:ascii="仿宋_GB2312" w:hAnsi="仿宋_GB2312" w:eastAsia="仿宋_GB2312" w:cs="方正仿宋_GBK"/>
          <w:kern w:val="21"/>
          <w:sz w:val="30"/>
          <w:szCs w:val="30"/>
        </w:rPr>
        <w:t>市生态环境局负责对医疗废物收集、运送、贮存、处置活动中的环境污染防治工作实施统一监督管理，对放射性同位素、射线装置的安全和防护实施统一监督管理。市卫生健康委员会负责对医疗废物收集、运送、贮存、处置活动中的疾病防治工作实施统一监督管理，负责放射源的职业病危害评价管理，放射源诊疗技术和医用辐射机构的准入管理，负责用人单位工作场所职业病危害因素的监督管理。</w:t>
      </w:r>
    </w:p>
    <w:p>
      <w:pPr>
        <w:overflowPunct w:val="0"/>
        <w:adjustRightInd w:val="0"/>
        <w:snapToGrid w:val="0"/>
        <w:spacing w:line="520" w:lineRule="exact"/>
        <w:ind w:firstLine="602" w:firstLineChars="200"/>
        <w:rPr>
          <w:rFonts w:hint="eastAsia" w:ascii="仿宋_GB2312" w:hAnsi="仿宋_GB2312" w:eastAsia="仿宋_GB2312" w:cs="方正仿宋_GBK"/>
          <w:kern w:val="21"/>
          <w:sz w:val="30"/>
          <w:szCs w:val="30"/>
        </w:rPr>
      </w:pPr>
      <w:r>
        <w:rPr>
          <w:rFonts w:hint="eastAsia" w:ascii="楷体" w:hAnsi="楷体" w:eastAsia="楷体" w:cs="方正仿宋_GBK"/>
          <w:b/>
          <w:kern w:val="21"/>
          <w:sz w:val="30"/>
          <w:szCs w:val="30"/>
        </w:rPr>
        <w:t>9、与市林业局的有关职责分工。</w:t>
      </w:r>
      <w:r>
        <w:rPr>
          <w:rFonts w:hint="eastAsia" w:ascii="仿宋_GB2312" w:hAnsi="仿宋_GB2312" w:eastAsia="仿宋_GB2312" w:cs="方正仿宋_GBK"/>
          <w:kern w:val="21"/>
          <w:sz w:val="30"/>
          <w:szCs w:val="30"/>
        </w:rPr>
        <w:t>市生态环境局负责组织制定各类自然保护地生态环境监管制度并监督执法，监督野生动植物保护、湿地生态环境保护工作。市林业局负责各类自然保护地、陆生野生动植物资源、湿地资源的监督管理，负责森林、湿地、草地开发利用领域生态环境保护和节能减排工作。</w:t>
      </w:r>
    </w:p>
    <w:p>
      <w:pPr>
        <w:overflowPunct w:val="0"/>
        <w:adjustRightInd w:val="0"/>
        <w:snapToGrid w:val="0"/>
        <w:spacing w:line="520" w:lineRule="exact"/>
        <w:ind w:firstLine="602" w:firstLineChars="200"/>
        <w:rPr>
          <w:rFonts w:hint="eastAsia" w:ascii="仿宋_GB2312" w:hAnsi="仿宋_GB2312" w:eastAsia="仿宋_GB2312" w:cs="方正仿宋_GBK"/>
          <w:kern w:val="21"/>
          <w:sz w:val="30"/>
          <w:szCs w:val="30"/>
        </w:rPr>
      </w:pPr>
      <w:r>
        <w:rPr>
          <w:rFonts w:hint="eastAsia" w:ascii="楷体" w:hAnsi="楷体" w:eastAsia="楷体" w:cs="方正仿宋_GBK"/>
          <w:b/>
          <w:kern w:val="21"/>
          <w:sz w:val="30"/>
          <w:szCs w:val="30"/>
        </w:rPr>
        <w:t>10、与市城市管理局的有关职责分工。</w:t>
      </w:r>
      <w:r>
        <w:rPr>
          <w:rFonts w:hint="eastAsia" w:ascii="仿宋_GB2312" w:hAnsi="仿宋_GB2312" w:eastAsia="仿宋_GB2312" w:cs="方正仿宋_GBK"/>
          <w:kern w:val="21"/>
          <w:sz w:val="30"/>
          <w:szCs w:val="30"/>
        </w:rPr>
        <w:t>市生态环境局负责对城市管理领域生态环境保护工作实施统一监督管理。市城市管理局负责城市管理领域生态环境保护工作，督促有关单位落实生态环境保护责任制，负责市区内环境保护管理方面建筑噪声污染、渣土运输车辆及道路扬尘污染、餐饮服务业油烟污染、露天烧烤污染、城市焚烧沥青、塑料、垃圾、杂草等烟尘和恶臭污染、露天焚烧落叶等烟尘污染的监督执法与管理。</w:t>
      </w:r>
    </w:p>
    <w:p>
      <w:pPr>
        <w:numPr>
          <w:ilvl w:val="0"/>
          <w:numId w:val="0"/>
        </w:numPr>
        <w:jc w:val="left"/>
        <w:rPr>
          <w:rFonts w:hint="eastAsia" w:ascii="黑体" w:hAnsi="黑体" w:eastAsia="黑体"/>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hint="eastAsia" w:ascii="仿宋" w:hAnsi="仿宋" w:eastAsia="仿宋"/>
          <w:sz w:val="30"/>
          <w:szCs w:val="30"/>
        </w:rPr>
      </w:pPr>
      <w:r>
        <w:rPr>
          <w:rFonts w:hint="eastAsia" w:ascii="仿宋" w:hAnsi="仿宋" w:eastAsia="仿宋"/>
          <w:sz w:val="30"/>
          <w:szCs w:val="30"/>
        </w:rPr>
        <w:t>纳入本套部门决算汇编范围的单位共</w:t>
      </w:r>
      <w:r>
        <w:rPr>
          <w:rFonts w:hint="eastAsia" w:ascii="仿宋" w:hAnsi="仿宋" w:eastAsia="仿宋"/>
          <w:sz w:val="30"/>
          <w:szCs w:val="30"/>
          <w:lang w:val="en-US" w:eastAsia="zh-CN"/>
        </w:rPr>
        <w:t>8</w:t>
      </w:r>
      <w:r>
        <w:rPr>
          <w:rFonts w:hint="eastAsia" w:ascii="仿宋" w:hAnsi="仿宋" w:eastAsia="仿宋"/>
          <w:sz w:val="30"/>
          <w:szCs w:val="30"/>
        </w:rPr>
        <w:t>个，</w:t>
      </w:r>
      <w:r>
        <w:rPr>
          <w:rFonts w:hint="eastAsia" w:ascii="仿宋_GB2312" w:hAnsi="仿宋_GB2312" w:eastAsia="仿宋_GB2312" w:cs="仿宋_GB2312"/>
          <w:sz w:val="28"/>
          <w:szCs w:val="28"/>
        </w:rPr>
        <w:t>即部门本级</w:t>
      </w:r>
      <w:r>
        <w:rPr>
          <w:rFonts w:hint="eastAsia" w:ascii="仿宋" w:hAnsi="仿宋" w:eastAsia="仿宋"/>
          <w:sz w:val="30"/>
          <w:szCs w:val="30"/>
          <w:lang w:eastAsia="zh-CN"/>
        </w:rPr>
        <w:t>景德镇市生态环境局，</w:t>
      </w:r>
      <w:r>
        <w:rPr>
          <w:rFonts w:hint="eastAsia" w:ascii="仿宋_GB2312" w:hAnsi="仿宋_GB2312" w:eastAsia="仿宋_GB2312" w:cs="仿宋_GB2312"/>
          <w:sz w:val="28"/>
          <w:szCs w:val="28"/>
        </w:rPr>
        <w:t>和</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个二级单位</w:t>
      </w:r>
      <w:r>
        <w:rPr>
          <w:rFonts w:hint="eastAsia" w:ascii="仿宋_GB2312" w:hAnsi="仿宋_GB2312" w:eastAsia="仿宋_GB2312" w:cs="仿宋_GB2312"/>
          <w:sz w:val="28"/>
          <w:szCs w:val="28"/>
          <w:lang w:eastAsia="zh-CN"/>
        </w:rPr>
        <w:t>：</w:t>
      </w:r>
      <w:r>
        <w:rPr>
          <w:rFonts w:hint="eastAsia" w:ascii="仿宋" w:hAnsi="仿宋" w:eastAsia="仿宋"/>
          <w:sz w:val="30"/>
          <w:szCs w:val="30"/>
          <w:lang w:eastAsia="zh-CN"/>
        </w:rPr>
        <w:t>景德镇市环境监察支队、景德镇市环境监测站、景德镇市环境科学研究所、景德镇市主要污染物总量控制中心、景德镇市环境宣传教育中心、景德镇市环境工程评估中心、景德镇市辐射环境监测站</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年年末实有人数</w:t>
      </w:r>
      <w:r>
        <w:rPr>
          <w:rFonts w:hint="eastAsia" w:ascii="仿宋" w:hAnsi="仿宋" w:eastAsia="仿宋"/>
          <w:sz w:val="30"/>
          <w:szCs w:val="30"/>
          <w:lang w:val="en-US" w:eastAsia="zh-CN"/>
        </w:rPr>
        <w:t>121</w:t>
      </w:r>
      <w:r>
        <w:rPr>
          <w:rFonts w:hint="eastAsia" w:ascii="仿宋" w:hAnsi="仿宋" w:eastAsia="仿宋"/>
          <w:sz w:val="30"/>
          <w:szCs w:val="30"/>
        </w:rPr>
        <w:t>人，其中在职人员</w:t>
      </w:r>
      <w:r>
        <w:rPr>
          <w:rFonts w:hint="eastAsia" w:ascii="仿宋" w:hAnsi="仿宋" w:eastAsia="仿宋"/>
          <w:sz w:val="30"/>
          <w:szCs w:val="30"/>
          <w:lang w:val="en-US" w:eastAsia="zh-CN"/>
        </w:rPr>
        <w:t>118</w:t>
      </w:r>
      <w:r>
        <w:rPr>
          <w:rFonts w:hint="eastAsia" w:ascii="仿宋" w:hAnsi="仿宋" w:eastAsia="仿宋"/>
          <w:sz w:val="30"/>
          <w:szCs w:val="30"/>
        </w:rPr>
        <w:t>人，离休人员</w:t>
      </w:r>
      <w:r>
        <w:rPr>
          <w:rFonts w:hint="eastAsia" w:ascii="仿宋" w:hAnsi="仿宋" w:eastAsia="仿宋"/>
          <w:sz w:val="30"/>
          <w:szCs w:val="30"/>
          <w:lang w:val="en-US" w:eastAsia="zh-CN"/>
        </w:rPr>
        <w:t>2</w:t>
      </w:r>
      <w:r>
        <w:rPr>
          <w:rFonts w:hint="eastAsia" w:ascii="仿宋" w:hAnsi="仿宋" w:eastAsia="仿宋"/>
          <w:sz w:val="30"/>
          <w:szCs w:val="30"/>
        </w:rPr>
        <w:t>人，退休人员</w:t>
      </w:r>
      <w:r>
        <w:rPr>
          <w:rFonts w:hint="eastAsia" w:ascii="仿宋" w:hAnsi="仿宋" w:eastAsia="仿宋"/>
          <w:sz w:val="30"/>
          <w:szCs w:val="30"/>
          <w:lang w:val="en-US" w:eastAsia="zh-CN"/>
        </w:rPr>
        <w:t>1</w:t>
      </w:r>
      <w:r>
        <w:rPr>
          <w:rFonts w:hint="eastAsia" w:ascii="仿宋" w:hAnsi="仿宋" w:eastAsia="仿宋"/>
          <w:sz w:val="30"/>
          <w:szCs w:val="30"/>
        </w:rPr>
        <w:t>人；</w:t>
      </w:r>
      <w:r>
        <w:rPr>
          <w:rFonts w:hint="eastAsia" w:ascii="仿宋" w:hAnsi="仿宋" w:eastAsia="仿宋"/>
          <w:sz w:val="30"/>
          <w:szCs w:val="30"/>
          <w:lang w:val="en-US" w:eastAsia="zh-CN"/>
        </w:rPr>
        <w:t>年末其他人员0人；</w:t>
      </w:r>
      <w:r>
        <w:rPr>
          <w:rFonts w:hint="eastAsia" w:ascii="仿宋" w:hAnsi="仿宋" w:eastAsia="仿宋"/>
          <w:sz w:val="30"/>
          <w:szCs w:val="30"/>
        </w:rPr>
        <w:t>年末学生人数</w:t>
      </w:r>
      <w:r>
        <w:rPr>
          <w:rFonts w:hint="eastAsia" w:ascii="仿宋" w:hAnsi="仿宋" w:eastAsia="仿宋"/>
          <w:sz w:val="30"/>
          <w:szCs w:val="30"/>
          <w:lang w:val="en-US" w:eastAsia="zh-CN"/>
        </w:rPr>
        <w:t>0</w:t>
      </w:r>
      <w:r>
        <w:rPr>
          <w:rFonts w:hint="eastAsia" w:ascii="仿宋" w:hAnsi="仿宋" w:eastAsia="仿宋"/>
          <w:sz w:val="30"/>
          <w:szCs w:val="30"/>
        </w:rPr>
        <w:t>人。</w:t>
      </w: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szCs w:val="30"/>
        </w:rPr>
      </w:pPr>
      <w:r>
        <w:drawing>
          <wp:inline distT="0" distB="0" distL="114300" distR="114300">
            <wp:extent cx="5268595" cy="4878705"/>
            <wp:effectExtent l="0" t="0" r="8255" b="1714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4"/>
                    <a:stretch>
                      <a:fillRect/>
                    </a:stretch>
                  </pic:blipFill>
                  <pic:spPr>
                    <a:xfrm>
                      <a:off x="0" y="0"/>
                      <a:ext cx="5268595" cy="4878705"/>
                    </a:xfrm>
                    <a:prstGeom prst="rect">
                      <a:avLst/>
                    </a:prstGeom>
                    <a:noFill/>
                    <a:ln>
                      <a:noFill/>
                    </a:ln>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pPr>
      <w:r>
        <w:rPr>
          <w:rFonts w:hint="eastAsia" w:ascii="仿宋" w:hAnsi="仿宋" w:eastAsia="仿宋" w:cs="仿宋_GB2312"/>
          <w:kern w:val="0"/>
          <w:sz w:val="30"/>
          <w:szCs w:val="30"/>
        </w:rPr>
        <w:t xml:space="preserve"> </w:t>
      </w:r>
      <w:r>
        <w:drawing>
          <wp:inline distT="0" distB="0" distL="114300" distR="114300">
            <wp:extent cx="5271135" cy="3662045"/>
            <wp:effectExtent l="0" t="0" r="5715" b="1460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5"/>
                    <a:stretch>
                      <a:fillRect/>
                    </a:stretch>
                  </pic:blipFill>
                  <pic:spPr>
                    <a:xfrm>
                      <a:off x="0" y="0"/>
                      <a:ext cx="5271135" cy="3662045"/>
                    </a:xfrm>
                    <a:prstGeom prst="rect">
                      <a:avLst/>
                    </a:prstGeom>
                    <a:noFill/>
                    <a:ln>
                      <a:noFill/>
                    </a:ln>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270500" cy="4800600"/>
            <wp:effectExtent l="0" t="0" r="6350"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6"/>
                    <a:stretch>
                      <a:fillRect/>
                    </a:stretch>
                  </pic:blipFill>
                  <pic:spPr>
                    <a:xfrm>
                      <a:off x="0" y="0"/>
                      <a:ext cx="5270500" cy="4800600"/>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269865" cy="4213860"/>
            <wp:effectExtent l="0" t="0" r="6985" b="1524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7"/>
                    <a:stretch>
                      <a:fillRect/>
                    </a:stretch>
                  </pic:blipFill>
                  <pic:spPr>
                    <a:xfrm>
                      <a:off x="0" y="0"/>
                      <a:ext cx="5269865" cy="4213860"/>
                    </a:xfrm>
                    <a:prstGeom prst="rect">
                      <a:avLst/>
                    </a:prstGeom>
                    <a:noFill/>
                    <a:ln>
                      <a:noFill/>
                    </a:ln>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270500" cy="7119620"/>
            <wp:effectExtent l="0" t="0" r="6350" b="508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8"/>
                    <a:stretch>
                      <a:fillRect/>
                    </a:stretch>
                  </pic:blipFill>
                  <pic:spPr>
                    <a:xfrm>
                      <a:off x="0" y="0"/>
                      <a:ext cx="5270500" cy="7119620"/>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266690" cy="9105265"/>
            <wp:effectExtent l="0" t="0" r="10160" b="635"/>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pic:cNvPicPr>
                  </pic:nvPicPr>
                  <pic:blipFill>
                    <a:blip r:embed="rId9"/>
                    <a:stretch>
                      <a:fillRect/>
                    </a:stretch>
                  </pic:blipFill>
                  <pic:spPr>
                    <a:xfrm>
                      <a:off x="0" y="0"/>
                      <a:ext cx="5266690" cy="9105265"/>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219700" cy="5381625"/>
            <wp:effectExtent l="0" t="0" r="0" b="9525"/>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10"/>
                    <a:stretch>
                      <a:fillRect/>
                    </a:stretch>
                  </pic:blipFill>
                  <pic:spPr>
                    <a:xfrm>
                      <a:off x="0" y="0"/>
                      <a:ext cx="5219700" cy="5381625"/>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267960" cy="2297430"/>
            <wp:effectExtent l="0" t="0" r="8890" b="762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11"/>
                    <a:stretch>
                      <a:fillRect/>
                    </a:stretch>
                  </pic:blipFill>
                  <pic:spPr>
                    <a:xfrm>
                      <a:off x="0" y="0"/>
                      <a:ext cx="5267960" cy="2297430"/>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4791075" cy="2962275"/>
            <wp:effectExtent l="0" t="0" r="9525" b="9525"/>
            <wp:docPr id="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pic:cNvPicPr>
                      <a:picLocks noChangeAspect="1"/>
                    </pic:cNvPicPr>
                  </pic:nvPicPr>
                  <pic:blipFill>
                    <a:blip r:embed="rId12"/>
                    <a:stretch>
                      <a:fillRect/>
                    </a:stretch>
                  </pic:blipFill>
                  <pic:spPr>
                    <a:xfrm>
                      <a:off x="0" y="0"/>
                      <a:ext cx="4791075" cy="2962275"/>
                    </a:xfrm>
                    <a:prstGeom prst="rect">
                      <a:avLst/>
                    </a:prstGeom>
                    <a:noFill/>
                    <a:ln>
                      <a:noFill/>
                    </a:ln>
                  </pic:spPr>
                </pic:pic>
              </a:graphicData>
            </a:graphic>
          </wp:inline>
        </w:drawing>
      </w: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default" w:ascii="仿宋" w:hAnsi="仿宋" w:eastAsia="仿宋"/>
          <w:sz w:val="30"/>
          <w:szCs w:val="30"/>
          <w:lang w:val="en-US" w:eastAsia="zh-CN"/>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4992.36</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1230.48</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57.88</w:t>
      </w:r>
      <w:r>
        <w:rPr>
          <w:rFonts w:hint="eastAsia" w:ascii="仿宋" w:hAnsi="仿宋" w:eastAsia="仿宋"/>
          <w:sz w:val="30"/>
          <w:szCs w:val="30"/>
        </w:rPr>
        <w:t>万元，下降</w:t>
      </w:r>
      <w:r>
        <w:rPr>
          <w:rFonts w:hint="eastAsia" w:ascii="仿宋" w:hAnsi="仿宋" w:eastAsia="仿宋"/>
          <w:sz w:val="30"/>
          <w:szCs w:val="30"/>
          <w:lang w:val="en-US" w:eastAsia="zh-CN"/>
        </w:rPr>
        <w:t>1.14</w:t>
      </w:r>
      <w:r>
        <w:rPr>
          <w:rFonts w:hint="eastAsia" w:ascii="仿宋" w:hAnsi="仿宋" w:eastAsia="仿宋"/>
          <w:sz w:val="30"/>
          <w:szCs w:val="30"/>
        </w:rPr>
        <w:t xml:space="preserve"> %；本年收入合计</w:t>
      </w:r>
      <w:r>
        <w:rPr>
          <w:rFonts w:hint="eastAsia" w:ascii="仿宋" w:hAnsi="仿宋" w:eastAsia="仿宋"/>
          <w:sz w:val="30"/>
          <w:szCs w:val="30"/>
          <w:lang w:val="en-US" w:eastAsia="zh-CN"/>
        </w:rPr>
        <w:t>3761.88</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278.14</w:t>
      </w:r>
      <w:r>
        <w:rPr>
          <w:rFonts w:hint="eastAsia" w:ascii="仿宋" w:hAnsi="仿宋" w:eastAsia="仿宋"/>
          <w:sz w:val="30"/>
          <w:szCs w:val="30"/>
        </w:rPr>
        <w:t>万元，下降</w:t>
      </w:r>
      <w:r>
        <w:rPr>
          <w:rFonts w:hint="eastAsia" w:ascii="仿宋" w:hAnsi="仿宋" w:eastAsia="仿宋"/>
          <w:sz w:val="30"/>
          <w:szCs w:val="30"/>
          <w:lang w:val="en-US" w:eastAsia="zh-CN"/>
        </w:rPr>
        <w:t>6.88</w:t>
      </w:r>
      <w:r>
        <w:rPr>
          <w:rFonts w:hint="eastAsia" w:ascii="仿宋" w:hAnsi="仿宋" w:eastAsia="仿宋"/>
          <w:sz w:val="30"/>
          <w:szCs w:val="30"/>
        </w:rPr>
        <w:t xml:space="preserve"> %，主要原因是：</w:t>
      </w:r>
      <w:r>
        <w:rPr>
          <w:rFonts w:hint="eastAsia" w:ascii="仿宋" w:hAnsi="仿宋" w:eastAsia="仿宋"/>
          <w:sz w:val="30"/>
          <w:szCs w:val="30"/>
          <w:lang w:eastAsia="zh-CN"/>
        </w:rPr>
        <w:t>减少结转和结余。</w:t>
      </w:r>
    </w:p>
    <w:p>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3659.2</w:t>
      </w:r>
      <w:r>
        <w:rPr>
          <w:rFonts w:hint="eastAsia" w:ascii="仿宋" w:hAnsi="仿宋" w:eastAsia="仿宋"/>
          <w:sz w:val="30"/>
          <w:szCs w:val="30"/>
        </w:rPr>
        <w:t>万元，占</w:t>
      </w:r>
      <w:r>
        <w:rPr>
          <w:rFonts w:hint="eastAsia" w:ascii="仿宋" w:hAnsi="仿宋" w:eastAsia="仿宋"/>
          <w:sz w:val="30"/>
          <w:szCs w:val="30"/>
          <w:lang w:val="en-US" w:eastAsia="zh-CN"/>
        </w:rPr>
        <w:t>97.28</w:t>
      </w:r>
      <w:r>
        <w:rPr>
          <w:rFonts w:hint="eastAsia" w:ascii="仿宋" w:hAnsi="仿宋" w:eastAsia="仿宋"/>
          <w:sz w:val="30"/>
          <w:szCs w:val="30"/>
        </w:rPr>
        <w:t xml:space="preserve"> %；事业收入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 xml:space="preserve"> %；经营收入</w:t>
      </w:r>
      <w:r>
        <w:rPr>
          <w:rFonts w:hint="eastAsia" w:ascii="仿宋" w:hAnsi="仿宋" w:eastAsia="仿宋"/>
          <w:sz w:val="30"/>
          <w:szCs w:val="30"/>
          <w:lang w:val="en-US" w:eastAsia="zh-CN"/>
        </w:rPr>
        <w:t>0</w:t>
      </w:r>
      <w:r>
        <w:rPr>
          <w:rFonts w:hint="eastAsia" w:ascii="仿宋" w:hAnsi="仿宋" w:eastAsia="仿宋"/>
          <w:sz w:val="30"/>
          <w:szCs w:val="30"/>
        </w:rPr>
        <w:t xml:space="preserve"> 万元，占</w:t>
      </w:r>
      <w:r>
        <w:rPr>
          <w:rFonts w:hint="eastAsia" w:ascii="仿宋" w:hAnsi="仿宋" w:eastAsia="仿宋"/>
          <w:sz w:val="30"/>
          <w:szCs w:val="30"/>
          <w:lang w:val="en-US" w:eastAsia="zh-CN"/>
        </w:rPr>
        <w:t>0</w:t>
      </w:r>
      <w:r>
        <w:rPr>
          <w:rFonts w:hint="eastAsia" w:ascii="仿宋" w:hAnsi="仿宋" w:eastAsia="仿宋"/>
          <w:sz w:val="30"/>
          <w:szCs w:val="30"/>
        </w:rPr>
        <w:t xml:space="preserve"> %；其他收入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 xml:space="preserve"> %</w:t>
      </w:r>
      <w:r>
        <w:rPr>
          <w:rFonts w:hint="eastAsia" w:ascii="仿宋" w:hAnsi="仿宋" w:eastAsia="仿宋"/>
          <w:sz w:val="30"/>
          <w:szCs w:val="30"/>
          <w:lang w:eastAsia="zh-CN"/>
        </w:rPr>
        <w:t>；上级补助收入</w:t>
      </w:r>
      <w:r>
        <w:rPr>
          <w:rFonts w:hint="eastAsia" w:ascii="仿宋" w:hAnsi="仿宋" w:eastAsia="仿宋"/>
          <w:sz w:val="30"/>
          <w:szCs w:val="30"/>
          <w:lang w:val="en-US" w:eastAsia="zh-CN"/>
        </w:rPr>
        <w:t>101.98万元，占2.72%</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4992.36</w:t>
      </w:r>
      <w:r>
        <w:rPr>
          <w:rFonts w:hint="eastAsia" w:ascii="仿宋" w:hAnsi="仿宋" w:eastAsia="仿宋"/>
          <w:sz w:val="30"/>
          <w:szCs w:val="30"/>
        </w:rPr>
        <w:t xml:space="preserve"> 万元，其中本年支出合计</w:t>
      </w:r>
      <w:r>
        <w:rPr>
          <w:rFonts w:hint="eastAsia" w:ascii="仿宋" w:hAnsi="仿宋" w:eastAsia="仿宋"/>
          <w:sz w:val="30"/>
          <w:szCs w:val="30"/>
          <w:lang w:val="en-US" w:eastAsia="zh-CN"/>
        </w:rPr>
        <w:t>3305.32</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654.76</w:t>
      </w:r>
      <w:r>
        <w:rPr>
          <w:rFonts w:hint="eastAsia" w:ascii="仿宋" w:hAnsi="仿宋" w:eastAsia="仿宋"/>
          <w:sz w:val="30"/>
          <w:szCs w:val="30"/>
        </w:rPr>
        <w:t>万元，下降</w:t>
      </w:r>
      <w:r>
        <w:rPr>
          <w:rFonts w:hint="eastAsia" w:ascii="仿宋" w:hAnsi="仿宋" w:eastAsia="仿宋"/>
          <w:sz w:val="30"/>
          <w:szCs w:val="30"/>
          <w:lang w:val="en-US" w:eastAsia="zh-CN"/>
        </w:rPr>
        <w:t>16.53</w:t>
      </w:r>
      <w:r>
        <w:rPr>
          <w:rFonts w:hint="eastAsia" w:ascii="仿宋" w:hAnsi="仿宋" w:eastAsia="仿宋"/>
          <w:sz w:val="30"/>
          <w:szCs w:val="30"/>
        </w:rPr>
        <w:t xml:space="preserve"> %，主要原因是：</w:t>
      </w:r>
      <w:r>
        <w:rPr>
          <w:rFonts w:hint="eastAsia" w:ascii="仿宋" w:hAnsi="仿宋" w:eastAsia="仿宋"/>
          <w:sz w:val="30"/>
          <w:szCs w:val="30"/>
          <w:lang w:eastAsia="zh-CN"/>
        </w:rPr>
        <w:t>节约开支</w:t>
      </w:r>
      <w:r>
        <w:rPr>
          <w:rFonts w:hint="eastAsia" w:ascii="仿宋" w:hAnsi="仿宋" w:eastAsia="仿宋"/>
          <w:sz w:val="30"/>
          <w:szCs w:val="30"/>
        </w:rPr>
        <w:t>；年末结转和结余</w:t>
      </w:r>
      <w:r>
        <w:rPr>
          <w:rFonts w:hint="eastAsia" w:ascii="仿宋" w:hAnsi="仿宋" w:eastAsia="仿宋"/>
          <w:sz w:val="30"/>
          <w:szCs w:val="30"/>
          <w:lang w:val="en-US" w:eastAsia="zh-CN"/>
        </w:rPr>
        <w:t>1687.05</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597.1</w:t>
      </w:r>
      <w:r>
        <w:rPr>
          <w:rFonts w:hint="eastAsia" w:ascii="仿宋" w:hAnsi="仿宋" w:eastAsia="仿宋"/>
          <w:sz w:val="30"/>
          <w:szCs w:val="30"/>
        </w:rPr>
        <w:t>万元，增长</w:t>
      </w:r>
      <w:r>
        <w:rPr>
          <w:rFonts w:hint="eastAsia" w:ascii="仿宋" w:hAnsi="仿宋" w:eastAsia="仿宋"/>
          <w:sz w:val="30"/>
          <w:szCs w:val="30"/>
          <w:lang w:val="en-US" w:eastAsia="zh-CN"/>
        </w:rPr>
        <w:t>54.78</w:t>
      </w:r>
      <w:r>
        <w:rPr>
          <w:rFonts w:hint="eastAsia" w:ascii="仿宋" w:hAnsi="仿宋" w:eastAsia="仿宋"/>
          <w:sz w:val="30"/>
          <w:szCs w:val="30"/>
        </w:rPr>
        <w:t xml:space="preserve"> %，主要原因是：</w:t>
      </w:r>
      <w:r>
        <w:rPr>
          <w:rFonts w:hint="eastAsia" w:ascii="仿宋" w:hAnsi="仿宋" w:eastAsia="仿宋"/>
          <w:sz w:val="30"/>
          <w:szCs w:val="30"/>
          <w:lang w:eastAsia="zh-CN"/>
        </w:rPr>
        <w:t>有部分项目未完成</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2244.45</w:t>
      </w:r>
      <w:r>
        <w:rPr>
          <w:rFonts w:hint="eastAsia" w:ascii="仿宋" w:hAnsi="仿宋" w:eastAsia="仿宋"/>
          <w:sz w:val="30"/>
          <w:szCs w:val="30"/>
        </w:rPr>
        <w:t>万元，占</w:t>
      </w:r>
      <w:r>
        <w:rPr>
          <w:rFonts w:hint="eastAsia" w:ascii="仿宋" w:hAnsi="仿宋" w:eastAsia="仿宋"/>
          <w:sz w:val="30"/>
          <w:szCs w:val="30"/>
          <w:lang w:val="en-US" w:eastAsia="zh-CN"/>
        </w:rPr>
        <w:t>67.91</w:t>
      </w:r>
      <w:r>
        <w:rPr>
          <w:rFonts w:hint="eastAsia" w:ascii="仿宋" w:hAnsi="仿宋" w:eastAsia="仿宋"/>
          <w:sz w:val="30"/>
          <w:szCs w:val="30"/>
        </w:rPr>
        <w:t>%；项目支出</w:t>
      </w:r>
      <w:r>
        <w:rPr>
          <w:rFonts w:hint="eastAsia" w:ascii="仿宋" w:hAnsi="仿宋" w:eastAsia="仿宋"/>
          <w:sz w:val="30"/>
          <w:szCs w:val="30"/>
          <w:lang w:val="en-US" w:eastAsia="zh-CN"/>
        </w:rPr>
        <w:t>1060.87</w:t>
      </w:r>
      <w:r>
        <w:rPr>
          <w:rFonts w:hint="eastAsia" w:ascii="仿宋" w:hAnsi="仿宋" w:eastAsia="仿宋"/>
          <w:sz w:val="30"/>
          <w:szCs w:val="30"/>
        </w:rPr>
        <w:t>万元，占</w:t>
      </w:r>
      <w:r>
        <w:rPr>
          <w:rFonts w:hint="eastAsia" w:ascii="仿宋" w:hAnsi="仿宋" w:eastAsia="仿宋"/>
          <w:sz w:val="30"/>
          <w:szCs w:val="30"/>
          <w:lang w:val="en-US" w:eastAsia="zh-CN"/>
        </w:rPr>
        <w:t>32.09</w:t>
      </w:r>
      <w:r>
        <w:rPr>
          <w:rFonts w:hint="eastAsia" w:ascii="仿宋" w:hAnsi="仿宋" w:eastAsia="仿宋"/>
          <w:sz w:val="30"/>
          <w:szCs w:val="30"/>
        </w:rPr>
        <w:t>%；经营支出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%；其他支出（对附属单位补助支出、上缴上级支出）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2907.02</w:t>
      </w:r>
      <w:r>
        <w:rPr>
          <w:rFonts w:hint="eastAsia" w:ascii="仿宋" w:hAnsi="仿宋" w:eastAsia="仿宋"/>
          <w:sz w:val="30"/>
          <w:szCs w:val="30"/>
        </w:rPr>
        <w:t>万元，决算数为</w:t>
      </w:r>
      <w:r>
        <w:rPr>
          <w:rFonts w:hint="eastAsia" w:ascii="仿宋" w:hAnsi="仿宋" w:eastAsia="仿宋"/>
          <w:sz w:val="30"/>
          <w:szCs w:val="30"/>
          <w:lang w:val="en-US" w:eastAsia="zh-CN"/>
        </w:rPr>
        <w:t>4710.35</w:t>
      </w:r>
      <w:r>
        <w:rPr>
          <w:rFonts w:hint="eastAsia" w:ascii="仿宋" w:hAnsi="仿宋" w:eastAsia="仿宋"/>
          <w:sz w:val="30"/>
          <w:szCs w:val="30"/>
        </w:rPr>
        <w:t>万元，完成年初预算的</w:t>
      </w:r>
      <w:r>
        <w:rPr>
          <w:rFonts w:hint="eastAsia" w:ascii="仿宋" w:hAnsi="仿宋" w:eastAsia="仿宋"/>
          <w:sz w:val="30"/>
          <w:szCs w:val="30"/>
          <w:lang w:val="en-US" w:eastAsia="zh-CN"/>
        </w:rPr>
        <w:t>162.03</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（一）一般公共服务支出年初预算数为</w:t>
      </w:r>
      <w:r>
        <w:rPr>
          <w:rFonts w:hint="eastAsia" w:ascii="仿宋" w:hAnsi="仿宋" w:eastAsia="仿宋"/>
          <w:sz w:val="30"/>
          <w:szCs w:val="30"/>
          <w:lang w:val="en-US" w:eastAsia="zh-CN"/>
        </w:rPr>
        <w:t>0</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42.4</w:t>
      </w:r>
      <w:r>
        <w:rPr>
          <w:rFonts w:hint="eastAsia" w:ascii="仿宋" w:hAnsi="仿宋" w:eastAsia="仿宋"/>
          <w:sz w:val="30"/>
          <w:szCs w:val="30"/>
        </w:rPr>
        <w:t>万元，完成年初预算的</w:t>
      </w:r>
      <w:r>
        <w:rPr>
          <w:rFonts w:hint="eastAsia" w:ascii="仿宋" w:hAnsi="仿宋" w:eastAsia="仿宋"/>
          <w:sz w:val="30"/>
          <w:szCs w:val="30"/>
          <w:lang w:val="en-US" w:eastAsia="zh-CN"/>
        </w:rPr>
        <w:t>0</w:t>
      </w:r>
      <w:r>
        <w:rPr>
          <w:rFonts w:hint="eastAsia" w:ascii="仿宋" w:hAnsi="仿宋" w:eastAsia="仿宋"/>
          <w:sz w:val="30"/>
          <w:szCs w:val="30"/>
        </w:rPr>
        <w:t xml:space="preserve"> %，主要原因是：</w:t>
      </w:r>
      <w:r>
        <w:rPr>
          <w:rFonts w:hint="eastAsia" w:ascii="仿宋" w:hAnsi="仿宋" w:eastAsia="仿宋"/>
          <w:sz w:val="30"/>
          <w:szCs w:val="30"/>
          <w:lang w:eastAsia="zh-CN"/>
        </w:rPr>
        <w:t>财政专项拨支出办公场地租用费</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w:t>
      </w:r>
      <w:r>
        <w:rPr>
          <w:rFonts w:hint="eastAsia" w:ascii="仿宋" w:hAnsi="仿宋" w:eastAsia="仿宋"/>
          <w:sz w:val="30"/>
          <w:szCs w:val="30"/>
          <w:lang w:eastAsia="zh-CN"/>
        </w:rPr>
        <w:t>社会保障和就业支出</w:t>
      </w:r>
      <w:r>
        <w:rPr>
          <w:rFonts w:hint="eastAsia" w:ascii="仿宋" w:hAnsi="仿宋" w:eastAsia="仿宋"/>
          <w:sz w:val="30"/>
          <w:szCs w:val="30"/>
        </w:rPr>
        <w:t>年初预算数为</w:t>
      </w:r>
      <w:r>
        <w:rPr>
          <w:rFonts w:hint="eastAsia" w:ascii="仿宋" w:hAnsi="仿宋" w:eastAsia="仿宋"/>
          <w:sz w:val="30"/>
          <w:szCs w:val="30"/>
          <w:lang w:val="en-US" w:eastAsia="zh-CN"/>
        </w:rPr>
        <w:t>114.12</w:t>
      </w:r>
      <w:r>
        <w:rPr>
          <w:rFonts w:hint="eastAsia" w:ascii="仿宋" w:hAnsi="仿宋" w:eastAsia="仿宋"/>
          <w:sz w:val="30"/>
          <w:szCs w:val="30"/>
        </w:rPr>
        <w:t>万元，决算数为</w:t>
      </w:r>
      <w:r>
        <w:rPr>
          <w:rFonts w:hint="eastAsia" w:ascii="仿宋" w:hAnsi="仿宋" w:eastAsia="仿宋"/>
          <w:sz w:val="30"/>
          <w:szCs w:val="30"/>
          <w:lang w:val="en-US" w:eastAsia="zh-CN"/>
        </w:rPr>
        <w:t>132.46</w:t>
      </w:r>
      <w:r>
        <w:rPr>
          <w:rFonts w:hint="eastAsia" w:ascii="仿宋" w:hAnsi="仿宋" w:eastAsia="仿宋"/>
          <w:sz w:val="30"/>
          <w:szCs w:val="30"/>
        </w:rPr>
        <w:t>万元，完成年初预算的</w:t>
      </w:r>
      <w:r>
        <w:rPr>
          <w:rFonts w:hint="eastAsia" w:ascii="仿宋" w:hAnsi="仿宋" w:eastAsia="仿宋"/>
          <w:sz w:val="30"/>
          <w:szCs w:val="30"/>
          <w:lang w:val="en-US" w:eastAsia="zh-CN"/>
        </w:rPr>
        <w:t>116.07</w:t>
      </w:r>
      <w:r>
        <w:rPr>
          <w:rFonts w:hint="eastAsia" w:ascii="仿宋" w:hAnsi="仿宋" w:eastAsia="仿宋"/>
          <w:sz w:val="30"/>
          <w:szCs w:val="30"/>
        </w:rPr>
        <w:t>%，主要原因：</w:t>
      </w:r>
      <w:r>
        <w:rPr>
          <w:rFonts w:hint="eastAsia" w:ascii="仿宋" w:hAnsi="仿宋" w:eastAsia="仿宋"/>
          <w:sz w:val="30"/>
          <w:szCs w:val="30"/>
          <w:lang w:val="en-US" w:eastAsia="zh-CN"/>
        </w:rPr>
        <w:t>2019年新增职业年金支出</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三</w:t>
      </w:r>
      <w:r>
        <w:rPr>
          <w:rFonts w:hint="eastAsia" w:ascii="仿宋" w:hAnsi="仿宋" w:eastAsia="仿宋"/>
          <w:sz w:val="30"/>
          <w:szCs w:val="30"/>
        </w:rPr>
        <w:t>）</w:t>
      </w:r>
      <w:r>
        <w:rPr>
          <w:rFonts w:hint="eastAsia" w:ascii="仿宋" w:hAnsi="仿宋" w:eastAsia="仿宋"/>
          <w:sz w:val="30"/>
          <w:szCs w:val="30"/>
          <w:lang w:eastAsia="zh-CN"/>
        </w:rPr>
        <w:t>卫生健康支出</w:t>
      </w:r>
      <w:r>
        <w:rPr>
          <w:rFonts w:hint="eastAsia" w:ascii="仿宋" w:hAnsi="仿宋" w:eastAsia="仿宋"/>
          <w:sz w:val="30"/>
          <w:szCs w:val="30"/>
        </w:rPr>
        <w:t>年初预算数为</w:t>
      </w:r>
      <w:r>
        <w:rPr>
          <w:rFonts w:hint="eastAsia" w:ascii="仿宋" w:hAnsi="仿宋" w:eastAsia="仿宋"/>
          <w:sz w:val="30"/>
          <w:szCs w:val="30"/>
          <w:lang w:val="en-US" w:eastAsia="zh-CN"/>
        </w:rPr>
        <w:t>83.59</w:t>
      </w:r>
      <w:r>
        <w:rPr>
          <w:rFonts w:hint="eastAsia" w:ascii="仿宋" w:hAnsi="仿宋" w:eastAsia="仿宋"/>
          <w:sz w:val="30"/>
          <w:szCs w:val="30"/>
        </w:rPr>
        <w:t>万元，决算数为</w:t>
      </w:r>
      <w:r>
        <w:rPr>
          <w:rFonts w:hint="eastAsia" w:ascii="仿宋" w:hAnsi="仿宋" w:eastAsia="仿宋"/>
          <w:sz w:val="30"/>
          <w:szCs w:val="30"/>
          <w:lang w:val="en-US" w:eastAsia="zh-CN"/>
        </w:rPr>
        <w:t>68.59</w:t>
      </w:r>
      <w:r>
        <w:rPr>
          <w:rFonts w:hint="eastAsia" w:ascii="仿宋" w:hAnsi="仿宋" w:eastAsia="仿宋"/>
          <w:sz w:val="30"/>
          <w:szCs w:val="30"/>
        </w:rPr>
        <w:t>万元，完成年初预算的</w:t>
      </w:r>
      <w:r>
        <w:rPr>
          <w:rFonts w:hint="eastAsia" w:ascii="仿宋" w:hAnsi="仿宋" w:eastAsia="仿宋"/>
          <w:sz w:val="30"/>
          <w:szCs w:val="30"/>
          <w:lang w:val="en-US" w:eastAsia="zh-CN"/>
        </w:rPr>
        <w:t>82.05</w:t>
      </w:r>
      <w:r>
        <w:rPr>
          <w:rFonts w:hint="eastAsia" w:ascii="仿宋" w:hAnsi="仿宋" w:eastAsia="仿宋"/>
          <w:sz w:val="30"/>
          <w:szCs w:val="30"/>
        </w:rPr>
        <w:t>%，主要原因是：</w:t>
      </w:r>
      <w:r>
        <w:rPr>
          <w:rFonts w:hint="eastAsia" w:ascii="仿宋" w:hAnsi="仿宋" w:eastAsia="仿宋"/>
          <w:sz w:val="30"/>
          <w:szCs w:val="30"/>
          <w:lang w:eastAsia="zh-CN"/>
        </w:rPr>
        <w:t>景德镇市环境科学研究所事业单位医疗保险预算数比决算数减少</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四</w:t>
      </w:r>
      <w:r>
        <w:rPr>
          <w:rFonts w:hint="eastAsia" w:ascii="仿宋" w:hAnsi="仿宋" w:eastAsia="仿宋"/>
          <w:sz w:val="30"/>
          <w:szCs w:val="30"/>
        </w:rPr>
        <w:t>）</w:t>
      </w:r>
      <w:r>
        <w:rPr>
          <w:rFonts w:hint="eastAsia" w:ascii="仿宋" w:hAnsi="仿宋" w:eastAsia="仿宋"/>
          <w:sz w:val="30"/>
          <w:szCs w:val="30"/>
          <w:lang w:eastAsia="zh-CN"/>
        </w:rPr>
        <w:t>节能环保支出</w:t>
      </w:r>
      <w:r>
        <w:rPr>
          <w:rFonts w:hint="eastAsia" w:ascii="仿宋" w:hAnsi="仿宋" w:eastAsia="仿宋"/>
          <w:sz w:val="30"/>
          <w:szCs w:val="30"/>
        </w:rPr>
        <w:t>年初预算数为</w:t>
      </w:r>
      <w:r>
        <w:rPr>
          <w:rFonts w:hint="eastAsia" w:ascii="仿宋" w:hAnsi="仿宋" w:eastAsia="仿宋"/>
          <w:sz w:val="30"/>
          <w:szCs w:val="30"/>
          <w:lang w:val="en-US" w:eastAsia="zh-CN"/>
        </w:rPr>
        <w:t>2642.04</w:t>
      </w:r>
      <w:r>
        <w:rPr>
          <w:rFonts w:hint="eastAsia" w:ascii="仿宋" w:hAnsi="仿宋" w:eastAsia="仿宋"/>
          <w:sz w:val="30"/>
          <w:szCs w:val="30"/>
        </w:rPr>
        <w:t>万元，决算数为</w:t>
      </w:r>
      <w:r>
        <w:rPr>
          <w:rFonts w:hint="eastAsia" w:ascii="仿宋" w:hAnsi="仿宋" w:eastAsia="仿宋"/>
          <w:sz w:val="30"/>
          <w:szCs w:val="30"/>
          <w:lang w:val="en-US" w:eastAsia="zh-CN"/>
        </w:rPr>
        <w:t>2848.85</w:t>
      </w:r>
      <w:r>
        <w:rPr>
          <w:rFonts w:hint="eastAsia" w:ascii="仿宋" w:hAnsi="仿宋" w:eastAsia="仿宋"/>
          <w:sz w:val="30"/>
          <w:szCs w:val="30"/>
        </w:rPr>
        <w:t>万元，完成年初预算的</w:t>
      </w:r>
      <w:r>
        <w:rPr>
          <w:rFonts w:hint="eastAsia" w:ascii="仿宋" w:hAnsi="仿宋" w:eastAsia="仿宋"/>
          <w:sz w:val="30"/>
          <w:szCs w:val="30"/>
          <w:lang w:val="en-US" w:eastAsia="zh-CN"/>
        </w:rPr>
        <w:t>107.83</w:t>
      </w:r>
      <w:r>
        <w:rPr>
          <w:rFonts w:hint="eastAsia" w:ascii="仿宋" w:hAnsi="仿宋" w:eastAsia="仿宋"/>
          <w:sz w:val="30"/>
          <w:szCs w:val="30"/>
        </w:rPr>
        <w:t>%，主要原因是：</w:t>
      </w:r>
      <w:r>
        <w:rPr>
          <w:rFonts w:hint="eastAsia" w:ascii="仿宋" w:hAnsi="仿宋" w:eastAsia="仿宋"/>
          <w:sz w:val="30"/>
          <w:szCs w:val="30"/>
          <w:lang w:eastAsia="zh-CN"/>
        </w:rPr>
        <w:t>新增项目资金</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五</w:t>
      </w:r>
      <w:r>
        <w:rPr>
          <w:rFonts w:hint="eastAsia" w:ascii="仿宋" w:hAnsi="仿宋" w:eastAsia="仿宋"/>
          <w:sz w:val="30"/>
          <w:szCs w:val="30"/>
        </w:rPr>
        <w:t>）</w:t>
      </w:r>
      <w:r>
        <w:rPr>
          <w:rFonts w:hint="eastAsia" w:ascii="仿宋" w:hAnsi="仿宋" w:eastAsia="仿宋"/>
          <w:sz w:val="30"/>
          <w:szCs w:val="30"/>
          <w:lang w:eastAsia="zh-CN"/>
        </w:rPr>
        <w:t>城乡社区支出</w:t>
      </w:r>
      <w:r>
        <w:rPr>
          <w:rFonts w:hint="eastAsia" w:ascii="仿宋" w:hAnsi="仿宋" w:eastAsia="仿宋"/>
          <w:sz w:val="30"/>
          <w:szCs w:val="30"/>
        </w:rPr>
        <w:t>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18.05</w:t>
      </w:r>
      <w:r>
        <w:rPr>
          <w:rFonts w:hint="eastAsia" w:ascii="仿宋" w:hAnsi="仿宋" w:eastAsia="仿宋"/>
          <w:sz w:val="30"/>
          <w:szCs w:val="30"/>
        </w:rPr>
        <w:t>万元，完成年初预算的</w:t>
      </w:r>
      <w:r>
        <w:rPr>
          <w:rFonts w:hint="eastAsia" w:ascii="仿宋" w:hAnsi="仿宋" w:eastAsia="仿宋"/>
          <w:sz w:val="30"/>
          <w:szCs w:val="30"/>
          <w:lang w:val="en-US" w:eastAsia="zh-CN"/>
        </w:rPr>
        <w:t>0</w:t>
      </w:r>
      <w:r>
        <w:rPr>
          <w:rFonts w:hint="eastAsia" w:ascii="仿宋" w:hAnsi="仿宋" w:eastAsia="仿宋"/>
          <w:sz w:val="30"/>
          <w:szCs w:val="30"/>
        </w:rPr>
        <w:t>%，主要原因是：</w:t>
      </w:r>
      <w:r>
        <w:rPr>
          <w:rFonts w:hint="eastAsia" w:ascii="仿宋" w:hAnsi="仿宋" w:eastAsia="仿宋"/>
          <w:sz w:val="30"/>
          <w:szCs w:val="30"/>
          <w:lang w:eastAsia="zh-CN"/>
        </w:rPr>
        <w:t>财政拨款，增人增资</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六</w:t>
      </w:r>
      <w:r>
        <w:rPr>
          <w:rFonts w:hint="eastAsia" w:ascii="仿宋" w:hAnsi="仿宋" w:eastAsia="仿宋"/>
          <w:sz w:val="30"/>
          <w:szCs w:val="30"/>
        </w:rPr>
        <w:t>）</w:t>
      </w:r>
      <w:r>
        <w:rPr>
          <w:rFonts w:hint="eastAsia" w:ascii="仿宋" w:hAnsi="仿宋" w:eastAsia="仿宋"/>
          <w:sz w:val="30"/>
          <w:szCs w:val="30"/>
          <w:lang w:eastAsia="zh-CN"/>
        </w:rPr>
        <w:t>交通运输支出</w:t>
      </w:r>
      <w:r>
        <w:rPr>
          <w:rFonts w:hint="eastAsia" w:ascii="仿宋" w:hAnsi="仿宋" w:eastAsia="仿宋"/>
          <w:sz w:val="30"/>
          <w:szCs w:val="30"/>
        </w:rPr>
        <w:t>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3.64</w:t>
      </w:r>
      <w:r>
        <w:rPr>
          <w:rFonts w:hint="eastAsia" w:ascii="仿宋" w:hAnsi="仿宋" w:eastAsia="仿宋"/>
          <w:sz w:val="30"/>
          <w:szCs w:val="30"/>
        </w:rPr>
        <w:t>万元，完成年初预算的  %，主要原因是：</w:t>
      </w:r>
      <w:r>
        <w:rPr>
          <w:rFonts w:hint="eastAsia" w:ascii="仿宋" w:hAnsi="仿宋" w:eastAsia="仿宋"/>
          <w:sz w:val="30"/>
          <w:szCs w:val="30"/>
          <w:lang w:eastAsia="zh-CN"/>
        </w:rPr>
        <w:t>财政拨款，增人增资</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七</w:t>
      </w:r>
      <w:r>
        <w:rPr>
          <w:rFonts w:hint="eastAsia" w:ascii="仿宋" w:hAnsi="仿宋" w:eastAsia="仿宋"/>
          <w:sz w:val="30"/>
          <w:szCs w:val="30"/>
        </w:rPr>
        <w:t>）</w:t>
      </w:r>
      <w:r>
        <w:rPr>
          <w:rFonts w:hint="eastAsia" w:ascii="仿宋" w:hAnsi="仿宋" w:eastAsia="仿宋"/>
          <w:sz w:val="30"/>
          <w:szCs w:val="30"/>
          <w:lang w:eastAsia="zh-CN"/>
        </w:rPr>
        <w:t>住房保障支出</w:t>
      </w:r>
      <w:r>
        <w:rPr>
          <w:rFonts w:hint="eastAsia" w:ascii="仿宋" w:hAnsi="仿宋" w:eastAsia="仿宋"/>
          <w:sz w:val="30"/>
          <w:szCs w:val="30"/>
        </w:rPr>
        <w:t>年初预算数为</w:t>
      </w:r>
      <w:r>
        <w:rPr>
          <w:rFonts w:hint="eastAsia" w:ascii="仿宋" w:hAnsi="仿宋" w:eastAsia="仿宋"/>
          <w:sz w:val="30"/>
          <w:szCs w:val="30"/>
          <w:lang w:val="en-US" w:eastAsia="zh-CN"/>
        </w:rPr>
        <w:t>67.27</w:t>
      </w:r>
      <w:r>
        <w:rPr>
          <w:rFonts w:hint="eastAsia" w:ascii="仿宋" w:hAnsi="仿宋" w:eastAsia="仿宋"/>
          <w:sz w:val="30"/>
          <w:szCs w:val="30"/>
        </w:rPr>
        <w:t>万元，决算数为</w:t>
      </w:r>
      <w:r>
        <w:rPr>
          <w:rFonts w:hint="eastAsia" w:ascii="仿宋" w:hAnsi="仿宋" w:eastAsia="仿宋"/>
          <w:sz w:val="30"/>
          <w:szCs w:val="30"/>
          <w:lang w:val="en-US" w:eastAsia="zh-CN"/>
        </w:rPr>
        <w:t>67.27</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w:t>
      </w: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2156.52</w:t>
      </w:r>
      <w:r>
        <w:rPr>
          <w:rFonts w:hint="eastAsia" w:ascii="仿宋" w:hAnsi="仿宋" w:eastAsia="仿宋"/>
          <w:sz w:val="30"/>
          <w:szCs w:val="30"/>
        </w:rPr>
        <w:t>万元，其中：</w:t>
      </w:r>
    </w:p>
    <w:p>
      <w:pPr>
        <w:ind w:firstLine="585"/>
        <w:jc w:val="left"/>
        <w:rPr>
          <w:rFonts w:hint="eastAsia" w:ascii="仿宋" w:hAnsi="仿宋" w:eastAsia="仿宋" w:cs="Times New Roman"/>
          <w:sz w:val="30"/>
          <w:szCs w:val="30"/>
        </w:rPr>
      </w:pPr>
      <w:r>
        <w:rPr>
          <w:rFonts w:hint="eastAsia" w:ascii="仿宋" w:hAnsi="仿宋" w:eastAsia="仿宋"/>
          <w:sz w:val="30"/>
          <w:szCs w:val="30"/>
        </w:rPr>
        <w:t>（一）工资福利支出</w:t>
      </w:r>
      <w:r>
        <w:rPr>
          <w:rFonts w:hint="eastAsia" w:ascii="仿宋" w:hAnsi="仿宋" w:eastAsia="仿宋"/>
          <w:sz w:val="30"/>
          <w:szCs w:val="30"/>
          <w:lang w:val="en-US" w:eastAsia="zh-CN"/>
        </w:rPr>
        <w:t>1546.98</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213.24</w:t>
      </w:r>
      <w:r>
        <w:rPr>
          <w:rFonts w:hint="eastAsia" w:ascii="仿宋" w:hAnsi="仿宋" w:eastAsia="仿宋"/>
          <w:sz w:val="30"/>
          <w:szCs w:val="30"/>
        </w:rPr>
        <w:t xml:space="preserve">  万元，增长</w:t>
      </w:r>
      <w:r>
        <w:rPr>
          <w:rFonts w:hint="eastAsia" w:ascii="仿宋" w:hAnsi="仿宋" w:eastAsia="仿宋"/>
          <w:sz w:val="30"/>
          <w:szCs w:val="30"/>
          <w:lang w:val="en-US" w:eastAsia="zh-CN"/>
        </w:rPr>
        <w:t>15.99</w:t>
      </w:r>
      <w:r>
        <w:rPr>
          <w:rFonts w:hint="eastAsia" w:ascii="仿宋" w:hAnsi="仿宋" w:eastAsia="仿宋"/>
          <w:sz w:val="30"/>
          <w:szCs w:val="30"/>
        </w:rPr>
        <w:t xml:space="preserve"> %，主要原因是</w:t>
      </w:r>
      <w:r>
        <w:rPr>
          <w:rFonts w:hint="eastAsia" w:ascii="仿宋" w:hAnsi="仿宋" w:eastAsia="仿宋" w:cs="Times New Roman"/>
          <w:sz w:val="30"/>
          <w:szCs w:val="30"/>
        </w:rPr>
        <w:t>：一是机构改革，单位人员增加；二是职工政府性奖励通过工资福利下设的奖金科目予以反映；</w:t>
      </w:r>
    </w:p>
    <w:p>
      <w:pPr>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40</w:t>
      </w:r>
      <w:r>
        <w:rPr>
          <w:rFonts w:hint="eastAsia" w:ascii="仿宋" w:hAnsi="仿宋" w:eastAsia="仿宋" w:cs="Times New Roman"/>
          <w:sz w:val="30"/>
          <w:szCs w:val="30"/>
          <w:lang w:val="en-US" w:eastAsia="zh-CN"/>
        </w:rPr>
        <w:t>4.6</w:t>
      </w:r>
      <w:r>
        <w:rPr>
          <w:rFonts w:hint="eastAsia" w:ascii="仿宋" w:hAnsi="仿宋" w:eastAsia="仿宋" w:cs="Times New Roman"/>
          <w:sz w:val="30"/>
          <w:szCs w:val="30"/>
        </w:rPr>
        <w:t>万元，较201</w:t>
      </w:r>
      <w:r>
        <w:rPr>
          <w:rFonts w:hint="eastAsia" w:ascii="仿宋" w:hAnsi="仿宋" w:eastAsia="仿宋" w:cs="Times New Roman"/>
          <w:sz w:val="30"/>
          <w:szCs w:val="30"/>
          <w:lang w:val="en-US" w:eastAsia="zh-CN"/>
        </w:rPr>
        <w:t>8</w:t>
      </w:r>
      <w:r>
        <w:rPr>
          <w:rFonts w:hint="eastAsia" w:ascii="仿宋" w:hAnsi="仿宋" w:eastAsia="仿宋" w:cs="Times New Roman"/>
          <w:sz w:val="30"/>
          <w:szCs w:val="30"/>
        </w:rPr>
        <w:t>年增加</w:t>
      </w:r>
      <w:r>
        <w:rPr>
          <w:rFonts w:hint="eastAsia" w:ascii="仿宋" w:hAnsi="仿宋" w:eastAsia="仿宋" w:cs="Times New Roman"/>
          <w:sz w:val="30"/>
          <w:szCs w:val="30"/>
          <w:lang w:val="en-US" w:eastAsia="zh-CN"/>
        </w:rPr>
        <w:t>70.27</w:t>
      </w:r>
      <w:r>
        <w:rPr>
          <w:rFonts w:hint="eastAsia" w:ascii="仿宋" w:hAnsi="仿宋" w:eastAsia="仿宋" w:cs="Times New Roman"/>
          <w:sz w:val="30"/>
          <w:szCs w:val="30"/>
        </w:rPr>
        <w:t>万元，增长</w:t>
      </w:r>
      <w:r>
        <w:rPr>
          <w:rFonts w:hint="eastAsia" w:ascii="仿宋" w:hAnsi="仿宋" w:eastAsia="仿宋" w:cs="Times New Roman"/>
          <w:sz w:val="30"/>
          <w:szCs w:val="30"/>
          <w:lang w:val="en-US" w:eastAsia="zh-CN"/>
        </w:rPr>
        <w:t>21.01</w:t>
      </w:r>
      <w:r>
        <w:rPr>
          <w:rFonts w:hint="eastAsia" w:ascii="仿宋" w:hAnsi="仿宋" w:eastAsia="仿宋" w:cs="Times New Roman"/>
          <w:sz w:val="30"/>
          <w:szCs w:val="30"/>
        </w:rPr>
        <w:t>%，主要原因是：</w:t>
      </w:r>
      <w:r>
        <w:rPr>
          <w:rFonts w:hint="eastAsia" w:ascii="仿宋" w:hAnsi="仿宋" w:eastAsia="仿宋" w:cs="Times New Roman"/>
          <w:sz w:val="30"/>
          <w:szCs w:val="30"/>
          <w:lang w:val="en-US" w:eastAsia="zh-CN"/>
        </w:rPr>
        <w:t>一是因</w:t>
      </w:r>
      <w:r>
        <w:rPr>
          <w:rFonts w:hint="eastAsia" w:ascii="仿宋" w:hAnsi="仿宋" w:eastAsia="仿宋" w:cs="Times New Roman"/>
          <w:sz w:val="30"/>
          <w:szCs w:val="30"/>
        </w:rPr>
        <w:t>机构改革，人员增加</w:t>
      </w:r>
      <w:r>
        <w:rPr>
          <w:rFonts w:hint="eastAsia" w:ascii="仿宋" w:hAnsi="仿宋" w:eastAsia="仿宋" w:cs="Times New Roman"/>
          <w:sz w:val="30"/>
          <w:szCs w:val="30"/>
          <w:lang w:eastAsia="zh-CN"/>
        </w:rPr>
        <w:t>；</w:t>
      </w:r>
      <w:r>
        <w:rPr>
          <w:rFonts w:hint="eastAsia" w:ascii="仿宋" w:hAnsi="仿宋" w:eastAsia="仿宋" w:cs="Times New Roman"/>
          <w:sz w:val="30"/>
          <w:szCs w:val="30"/>
          <w:lang w:val="en-US" w:eastAsia="zh-CN"/>
        </w:rPr>
        <w:t>二是</w:t>
      </w:r>
      <w:r>
        <w:rPr>
          <w:rFonts w:hint="eastAsia" w:ascii="仿宋" w:hAnsi="仿宋" w:eastAsia="仿宋" w:cs="Times New Roman"/>
          <w:sz w:val="30"/>
          <w:szCs w:val="30"/>
        </w:rPr>
        <w:t>工作职责增加，单位运行成本增加。</w:t>
      </w:r>
    </w:p>
    <w:p>
      <w:pPr>
        <w:ind w:firstLine="585"/>
        <w:jc w:val="left"/>
        <w:rPr>
          <w:rFonts w:hint="eastAsia" w:ascii="仿宋" w:hAnsi="仿宋" w:eastAsia="仿宋" w:cs="Times New Roman"/>
          <w:sz w:val="30"/>
          <w:szCs w:val="30"/>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180.94</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268.82</w:t>
      </w:r>
      <w:r>
        <w:rPr>
          <w:rFonts w:hint="eastAsia" w:ascii="仿宋" w:hAnsi="仿宋" w:eastAsia="仿宋"/>
          <w:sz w:val="30"/>
          <w:szCs w:val="30"/>
        </w:rPr>
        <w:t>万元，下降</w:t>
      </w:r>
      <w:r>
        <w:rPr>
          <w:rFonts w:hint="eastAsia" w:ascii="仿宋" w:hAnsi="仿宋" w:eastAsia="仿宋"/>
          <w:sz w:val="30"/>
          <w:szCs w:val="30"/>
          <w:lang w:val="en-US" w:eastAsia="zh-CN"/>
        </w:rPr>
        <w:t>59.77</w:t>
      </w:r>
      <w:r>
        <w:rPr>
          <w:rFonts w:hint="eastAsia" w:ascii="仿宋" w:hAnsi="仿宋" w:eastAsia="仿宋"/>
          <w:sz w:val="30"/>
          <w:szCs w:val="30"/>
        </w:rPr>
        <w:t xml:space="preserve"> %，主</w:t>
      </w:r>
      <w:r>
        <w:rPr>
          <w:rFonts w:hint="eastAsia" w:ascii="仿宋" w:hAnsi="仿宋" w:eastAsia="仿宋" w:cs="Times New Roman"/>
          <w:sz w:val="30"/>
          <w:szCs w:val="30"/>
        </w:rPr>
        <w:t>要原因是：职工政府性奖励部门预算支出经济分类科目调整，不通过对个人和家庭中奖励金科目反映。。</w:t>
      </w:r>
    </w:p>
    <w:p>
      <w:pPr>
        <w:ind w:firstLine="585"/>
        <w:jc w:val="left"/>
        <w:rPr>
          <w:rFonts w:hint="eastAsia" w:ascii="仿宋" w:hAnsi="仿宋" w:eastAsia="仿宋"/>
          <w:sz w:val="30"/>
          <w:szCs w:val="30"/>
        </w:rPr>
      </w:pPr>
      <w:r>
        <w:rPr>
          <w:rFonts w:hint="eastAsia" w:ascii="仿宋" w:hAnsi="仿宋" w:eastAsia="仿宋"/>
          <w:sz w:val="30"/>
          <w:szCs w:val="30"/>
        </w:rPr>
        <w:t>（四）资本性支出</w:t>
      </w:r>
      <w:r>
        <w:rPr>
          <w:rFonts w:hint="eastAsia" w:ascii="仿宋" w:hAnsi="仿宋" w:eastAsia="仿宋"/>
          <w:sz w:val="30"/>
          <w:szCs w:val="30"/>
          <w:lang w:val="en-US" w:eastAsia="zh-CN"/>
        </w:rPr>
        <w:t>24</w:t>
      </w:r>
      <w:r>
        <w:rPr>
          <w:rFonts w:hint="eastAsia" w:ascii="仿宋" w:hAnsi="仿宋" w:eastAsia="仿宋"/>
          <w:sz w:val="30"/>
          <w:szCs w:val="30"/>
        </w:rPr>
        <w:t xml:space="preserve"> 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20.19</w:t>
      </w:r>
      <w:r>
        <w:rPr>
          <w:rFonts w:hint="eastAsia" w:ascii="仿宋" w:hAnsi="仿宋" w:eastAsia="仿宋"/>
          <w:sz w:val="30"/>
          <w:szCs w:val="30"/>
        </w:rPr>
        <w:t>万元，下降</w:t>
      </w:r>
      <w:r>
        <w:rPr>
          <w:rFonts w:hint="eastAsia" w:ascii="仿宋" w:hAnsi="仿宋" w:eastAsia="仿宋"/>
          <w:sz w:val="30"/>
          <w:szCs w:val="30"/>
          <w:lang w:val="en-US" w:eastAsia="zh-CN"/>
        </w:rPr>
        <w:t>45.68</w:t>
      </w:r>
      <w:r>
        <w:rPr>
          <w:rFonts w:hint="eastAsia" w:ascii="仿宋" w:hAnsi="仿宋" w:eastAsia="仿宋"/>
          <w:sz w:val="30"/>
          <w:szCs w:val="30"/>
        </w:rPr>
        <w:t>%，主要原因是：</w:t>
      </w:r>
      <w:r>
        <w:rPr>
          <w:rFonts w:hint="eastAsia" w:ascii="仿宋" w:hAnsi="仿宋" w:eastAsia="仿宋"/>
          <w:sz w:val="30"/>
          <w:szCs w:val="30"/>
          <w:lang w:eastAsia="zh-CN"/>
        </w:rPr>
        <w:t>节约开支</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75.54</w:t>
      </w:r>
      <w:r>
        <w:rPr>
          <w:rFonts w:hint="eastAsia" w:ascii="仿宋" w:hAnsi="仿宋" w:eastAsia="仿宋"/>
          <w:sz w:val="30"/>
          <w:szCs w:val="30"/>
        </w:rPr>
        <w:t>万元，决算数为</w:t>
      </w:r>
      <w:r>
        <w:rPr>
          <w:rFonts w:hint="eastAsia" w:ascii="仿宋" w:hAnsi="仿宋" w:eastAsia="仿宋"/>
          <w:sz w:val="30"/>
          <w:szCs w:val="30"/>
          <w:lang w:val="en-US" w:eastAsia="zh-CN"/>
        </w:rPr>
        <w:t>25.08</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33.2</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8.54</w:t>
      </w:r>
      <w:r>
        <w:rPr>
          <w:rFonts w:hint="eastAsia" w:ascii="仿宋" w:hAnsi="仿宋" w:eastAsia="仿宋"/>
          <w:sz w:val="30"/>
          <w:szCs w:val="30"/>
        </w:rPr>
        <w:t>万元，下降</w:t>
      </w:r>
      <w:r>
        <w:rPr>
          <w:rFonts w:hint="eastAsia" w:ascii="仿宋" w:hAnsi="仿宋" w:eastAsia="仿宋"/>
          <w:sz w:val="30"/>
          <w:szCs w:val="30"/>
          <w:lang w:val="en-US" w:eastAsia="zh-CN"/>
        </w:rPr>
        <w:t>25.4</w:t>
      </w:r>
      <w:r>
        <w:rPr>
          <w:rFonts w:hint="eastAsia" w:ascii="仿宋" w:hAnsi="仿宋" w:eastAsia="仿宋"/>
          <w:sz w:val="30"/>
          <w:szCs w:val="30"/>
        </w:rPr>
        <w:t>%，其中：</w:t>
      </w:r>
    </w:p>
    <w:p>
      <w:pPr>
        <w:numPr>
          <w:ilvl w:val="0"/>
          <w:numId w:val="0"/>
        </w:numPr>
        <w:ind w:firstLine="600" w:firstLineChars="200"/>
        <w:jc w:val="left"/>
        <w:rPr>
          <w:rFonts w:hint="eastAsia" w:ascii="仿宋" w:hAnsi="仿宋" w:eastAsia="仿宋"/>
          <w:sz w:val="30"/>
          <w:szCs w:val="30"/>
        </w:rPr>
      </w:pPr>
      <w:r>
        <w:rPr>
          <w:rFonts w:hint="eastAsia" w:ascii="仿宋" w:hAnsi="仿宋" w:eastAsia="仿宋"/>
          <w:sz w:val="30"/>
          <w:szCs w:val="30"/>
          <w:lang w:eastAsia="zh-CN"/>
        </w:rPr>
        <w:t>（一）</w:t>
      </w:r>
      <w:r>
        <w:rPr>
          <w:rFonts w:hint="eastAsia" w:ascii="仿宋" w:hAnsi="仿宋" w:eastAsia="仿宋"/>
          <w:sz w:val="30"/>
          <w:szCs w:val="30"/>
        </w:rPr>
        <w:t>因公出国（境）支出年初预算数为</w:t>
      </w:r>
      <w:r>
        <w:rPr>
          <w:rFonts w:hint="eastAsia" w:ascii="仿宋" w:hAnsi="仿宋" w:eastAsia="仿宋"/>
          <w:sz w:val="30"/>
          <w:szCs w:val="30"/>
          <w:lang w:val="en-US" w:eastAsia="zh-CN"/>
        </w:rPr>
        <w:t>5</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1.11</w:t>
      </w:r>
      <w:r>
        <w:rPr>
          <w:rFonts w:hint="eastAsia" w:ascii="仿宋" w:hAnsi="仿宋" w:eastAsia="仿宋"/>
          <w:sz w:val="30"/>
          <w:szCs w:val="30"/>
        </w:rPr>
        <w:t>万元，下降</w:t>
      </w:r>
      <w:r>
        <w:rPr>
          <w:rFonts w:hint="eastAsia" w:ascii="仿宋" w:hAnsi="仿宋" w:eastAsia="仿宋"/>
          <w:sz w:val="30"/>
          <w:szCs w:val="30"/>
          <w:lang w:val="en-US" w:eastAsia="zh-CN"/>
        </w:rPr>
        <w:t>100</w:t>
      </w:r>
      <w:r>
        <w:rPr>
          <w:rFonts w:hint="eastAsia" w:ascii="仿宋" w:hAnsi="仿宋" w:eastAsia="仿宋"/>
          <w:sz w:val="30"/>
          <w:szCs w:val="30"/>
        </w:rPr>
        <w:t>%。决算数较年初预算数减少的主要原因是：</w:t>
      </w:r>
      <w:r>
        <w:rPr>
          <w:rFonts w:hint="eastAsia" w:ascii="仿宋" w:hAnsi="仿宋" w:eastAsia="仿宋"/>
          <w:sz w:val="30"/>
          <w:szCs w:val="30"/>
          <w:lang w:eastAsia="zh-CN"/>
        </w:rPr>
        <w:t>本年度未安排因公出国（境）</w:t>
      </w:r>
      <w:r>
        <w:rPr>
          <w:rFonts w:hint="eastAsia" w:ascii="仿宋" w:hAnsi="仿宋" w:eastAsia="仿宋"/>
          <w:sz w:val="30"/>
          <w:szCs w:val="30"/>
        </w:rPr>
        <w:t>。</w:t>
      </w:r>
    </w:p>
    <w:p>
      <w:pPr>
        <w:numPr>
          <w:ilvl w:val="0"/>
          <w:numId w:val="0"/>
        </w:numPr>
        <w:ind w:firstLine="600" w:firstLineChars="200"/>
        <w:jc w:val="left"/>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52.95</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11.73</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22.15</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4.05</w:t>
      </w:r>
      <w:r>
        <w:rPr>
          <w:rFonts w:hint="eastAsia" w:ascii="仿宋" w:hAnsi="仿宋" w:eastAsia="仿宋"/>
          <w:sz w:val="30"/>
          <w:szCs w:val="30"/>
        </w:rPr>
        <w:t>万元，下降</w:t>
      </w:r>
      <w:r>
        <w:rPr>
          <w:rFonts w:hint="eastAsia" w:ascii="仿宋" w:hAnsi="仿宋" w:eastAsia="仿宋"/>
          <w:sz w:val="30"/>
          <w:szCs w:val="30"/>
          <w:lang w:val="en-US" w:eastAsia="zh-CN"/>
        </w:rPr>
        <w:t>25.66</w:t>
      </w:r>
      <w:r>
        <w:rPr>
          <w:rFonts w:hint="eastAsia" w:ascii="仿宋" w:hAnsi="仿宋" w:eastAsia="仿宋"/>
          <w:sz w:val="30"/>
          <w:szCs w:val="30"/>
        </w:rPr>
        <w:t xml:space="preserve"> %。决算数较年初预算数减少的主要原因是：</w:t>
      </w:r>
      <w:r>
        <w:rPr>
          <w:rFonts w:hint="eastAsia" w:ascii="仿宋" w:hAnsi="仿宋" w:eastAsia="仿宋"/>
          <w:sz w:val="30"/>
          <w:szCs w:val="30"/>
          <w:lang w:eastAsia="zh-CN"/>
        </w:rPr>
        <w:t>厉行节约</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（三）公务用车购置及运行维护费支出</w:t>
      </w:r>
      <w:r>
        <w:rPr>
          <w:rFonts w:hint="eastAsia" w:ascii="仿宋" w:hAnsi="仿宋" w:eastAsia="仿宋"/>
          <w:sz w:val="30"/>
          <w:szCs w:val="30"/>
          <w:lang w:val="en-US" w:eastAsia="zh-CN"/>
        </w:rPr>
        <w:t>13.35</w:t>
      </w:r>
      <w:r>
        <w:rPr>
          <w:rFonts w:hint="eastAsia" w:ascii="仿宋" w:hAnsi="仿宋" w:eastAsia="仿宋"/>
          <w:sz w:val="30"/>
          <w:szCs w:val="30"/>
        </w:rPr>
        <w:t>万元，其中公务用车购置年初预算数为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100</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相同</w:t>
      </w:r>
      <w:r>
        <w:rPr>
          <w:rFonts w:hint="eastAsia" w:ascii="仿宋" w:hAnsi="仿宋" w:eastAsia="仿宋"/>
          <w:sz w:val="30"/>
          <w:szCs w:val="30"/>
        </w:rPr>
        <w:t>；公务用车运行维护费支出年初预算数为</w:t>
      </w:r>
      <w:r>
        <w:rPr>
          <w:rFonts w:hint="eastAsia" w:ascii="仿宋" w:hAnsi="仿宋" w:eastAsia="仿宋"/>
          <w:sz w:val="30"/>
          <w:szCs w:val="30"/>
          <w:lang w:val="en-US" w:eastAsia="zh-CN"/>
        </w:rPr>
        <w:t>17.59</w:t>
      </w:r>
      <w:r>
        <w:rPr>
          <w:rFonts w:hint="eastAsia" w:ascii="仿宋" w:hAnsi="仿宋" w:eastAsia="仿宋"/>
          <w:sz w:val="30"/>
          <w:szCs w:val="30"/>
        </w:rPr>
        <w:t>万元，决算数为</w:t>
      </w:r>
      <w:r>
        <w:rPr>
          <w:rFonts w:hint="eastAsia" w:ascii="仿宋" w:hAnsi="仿宋" w:eastAsia="仿宋"/>
          <w:sz w:val="30"/>
          <w:szCs w:val="30"/>
          <w:lang w:val="en-US" w:eastAsia="zh-CN"/>
        </w:rPr>
        <w:t>13.35</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75.89</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3.38</w:t>
      </w:r>
      <w:r>
        <w:rPr>
          <w:rFonts w:hint="eastAsia" w:ascii="仿宋" w:hAnsi="仿宋" w:eastAsia="仿宋"/>
          <w:sz w:val="30"/>
          <w:szCs w:val="30"/>
        </w:rPr>
        <w:t>万元，下降</w:t>
      </w:r>
      <w:r>
        <w:rPr>
          <w:rFonts w:hint="eastAsia" w:ascii="仿宋" w:hAnsi="仿宋" w:eastAsia="仿宋"/>
          <w:sz w:val="30"/>
          <w:szCs w:val="30"/>
          <w:lang w:val="en-US" w:eastAsia="zh-CN"/>
        </w:rPr>
        <w:t>20.20</w:t>
      </w:r>
      <w:r>
        <w:rPr>
          <w:rFonts w:hint="eastAsia" w:ascii="仿宋" w:hAnsi="仿宋" w:eastAsia="仿宋"/>
          <w:sz w:val="30"/>
          <w:szCs w:val="30"/>
        </w:rPr>
        <w:t>%。决算数较年初预算数减少的主要原因是：</w:t>
      </w:r>
      <w:r>
        <w:rPr>
          <w:rFonts w:hint="eastAsia" w:ascii="仿宋" w:hAnsi="仿宋" w:eastAsia="仿宋"/>
          <w:sz w:val="30"/>
          <w:szCs w:val="30"/>
          <w:lang w:eastAsia="zh-CN"/>
        </w:rPr>
        <w:t>节约公车运行费</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ascii="黑体" w:hAnsi="黑体" w:eastAsia="黑体"/>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200.33</w:t>
      </w:r>
      <w:r>
        <w:rPr>
          <w:rFonts w:hint="eastAsia" w:ascii="仿宋" w:hAnsi="仿宋" w:eastAsia="仿宋"/>
          <w:sz w:val="30"/>
          <w:szCs w:val="30"/>
        </w:rPr>
        <w:t>万元，较年初预算数增加</w:t>
      </w:r>
      <w:r>
        <w:rPr>
          <w:rFonts w:hint="eastAsia" w:ascii="仿宋" w:hAnsi="仿宋" w:eastAsia="仿宋"/>
          <w:sz w:val="30"/>
          <w:szCs w:val="30"/>
          <w:lang w:val="en-US" w:eastAsia="zh-CN"/>
        </w:rPr>
        <w:t>118.95</w:t>
      </w:r>
      <w:r>
        <w:rPr>
          <w:rFonts w:hint="eastAsia" w:ascii="仿宋" w:hAnsi="仿宋" w:eastAsia="仿宋"/>
          <w:sz w:val="30"/>
          <w:szCs w:val="30"/>
        </w:rPr>
        <w:t>万元，增长</w:t>
      </w:r>
      <w:r>
        <w:rPr>
          <w:rFonts w:hint="eastAsia" w:ascii="仿宋" w:hAnsi="仿宋" w:eastAsia="仿宋"/>
          <w:sz w:val="30"/>
          <w:szCs w:val="30"/>
          <w:lang w:val="en-US" w:eastAsia="zh-CN"/>
        </w:rPr>
        <w:t>146.16</w:t>
      </w:r>
      <w:r>
        <w:rPr>
          <w:rFonts w:hint="eastAsia" w:ascii="仿宋" w:hAnsi="仿宋" w:eastAsia="仿宋"/>
          <w:sz w:val="30"/>
          <w:szCs w:val="30"/>
        </w:rPr>
        <w:t>%，主要原因是：</w:t>
      </w:r>
      <w:r>
        <w:rPr>
          <w:rFonts w:hint="eastAsia" w:ascii="仿宋" w:hAnsi="仿宋" w:eastAsia="仿宋" w:cs="Times New Roman"/>
          <w:sz w:val="30"/>
          <w:szCs w:val="30"/>
        </w:rPr>
        <w:t>工作职责增加，单位运行成本增加</w:t>
      </w:r>
      <w:r>
        <w:rPr>
          <w:rFonts w:hint="eastAsia" w:ascii="仿宋" w:hAnsi="仿宋" w:eastAsia="仿宋" w:cs="Times New Roman"/>
          <w:sz w:val="30"/>
          <w:szCs w:val="30"/>
          <w:lang w:eastAsia="zh-CN"/>
        </w:rPr>
        <w:t>。</w:t>
      </w:r>
      <w:r>
        <w:rPr>
          <w:rFonts w:hint="eastAsia" w:ascii="仿宋" w:hAnsi="仿宋" w:eastAsia="仿宋" w:cs="Times New Roman"/>
          <w:sz w:val="30"/>
          <w:szCs w:val="30"/>
          <w:lang w:val="en-US" w:eastAsia="zh-CN"/>
        </w:rPr>
        <w:t xml:space="preserve">                                          </w:t>
      </w:r>
      <w:r>
        <w:rPr>
          <w:rFonts w:hint="eastAsia" w:ascii="黑体" w:hAnsi="黑体" w:eastAsia="黑体"/>
          <w:sz w:val="30"/>
          <w:szCs w:val="30"/>
        </w:rPr>
        <w:t>七、政府采购支出情况说明</w:t>
      </w:r>
    </w:p>
    <w:p>
      <w:pPr>
        <w:pStyle w:val="5"/>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w:t>
      </w:r>
      <w:r>
        <w:rPr>
          <w:rFonts w:hint="eastAsia" w:ascii="仿宋" w:hAnsi="仿宋" w:eastAsia="仿宋"/>
          <w:sz w:val="30"/>
          <w:szCs w:val="30"/>
          <w:lang w:val="en-US" w:eastAsia="zh-CN"/>
        </w:rPr>
        <w:t>472.88</w:t>
      </w:r>
      <w:r>
        <w:rPr>
          <w:rFonts w:hint="eastAsia" w:ascii="仿宋" w:hAnsi="仿宋" w:eastAsia="仿宋"/>
          <w:sz w:val="30"/>
          <w:szCs w:val="30"/>
        </w:rPr>
        <w:t>万元，其中：政府采购货物支出</w:t>
      </w:r>
      <w:r>
        <w:rPr>
          <w:rFonts w:hint="eastAsia" w:ascii="仿宋" w:hAnsi="仿宋" w:eastAsia="仿宋"/>
          <w:sz w:val="30"/>
          <w:szCs w:val="30"/>
          <w:lang w:val="en-US" w:eastAsia="zh-CN"/>
        </w:rPr>
        <w:t>141.69</w:t>
      </w:r>
      <w:r>
        <w:rPr>
          <w:rFonts w:hint="eastAsia" w:ascii="仿宋" w:hAnsi="仿宋" w:eastAsia="仿宋"/>
          <w:sz w:val="30"/>
          <w:szCs w:val="30"/>
        </w:rPr>
        <w:t>万元、政府采购工程支出</w:t>
      </w:r>
      <w:r>
        <w:rPr>
          <w:rFonts w:hint="eastAsia" w:ascii="仿宋" w:hAnsi="仿宋" w:eastAsia="仿宋"/>
          <w:sz w:val="30"/>
          <w:szCs w:val="30"/>
          <w:lang w:val="en-US" w:eastAsia="zh-CN"/>
        </w:rPr>
        <w:t>0</w:t>
      </w:r>
      <w:r>
        <w:rPr>
          <w:rFonts w:hint="eastAsia" w:ascii="仿宋" w:hAnsi="仿宋" w:eastAsia="仿宋"/>
          <w:sz w:val="30"/>
          <w:szCs w:val="30"/>
        </w:rPr>
        <w:t>万元、政府采购服务支出</w:t>
      </w:r>
      <w:r>
        <w:rPr>
          <w:rFonts w:hint="eastAsia" w:ascii="仿宋" w:hAnsi="仿宋" w:eastAsia="仿宋"/>
          <w:sz w:val="30"/>
          <w:szCs w:val="30"/>
          <w:lang w:val="en-US" w:eastAsia="zh-CN"/>
        </w:rPr>
        <w:t>331.19</w:t>
      </w:r>
      <w:r>
        <w:rPr>
          <w:rFonts w:hint="eastAsia" w:ascii="仿宋" w:hAnsi="仿宋" w:eastAsia="仿宋"/>
          <w:sz w:val="30"/>
          <w:szCs w:val="30"/>
        </w:rPr>
        <w:t>万元。授予中小企业合同金额</w:t>
      </w:r>
      <w:r>
        <w:rPr>
          <w:rFonts w:hint="eastAsia" w:ascii="仿宋" w:hAnsi="仿宋" w:eastAsia="仿宋"/>
          <w:sz w:val="30"/>
          <w:szCs w:val="30"/>
          <w:lang w:val="en-US" w:eastAsia="zh-CN"/>
        </w:rPr>
        <w:t>472.88</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100</w:t>
      </w:r>
      <w:r>
        <w:rPr>
          <w:rFonts w:hint="eastAsia" w:ascii="仿宋" w:hAnsi="仿宋" w:eastAsia="仿宋"/>
          <w:sz w:val="30"/>
          <w:szCs w:val="30"/>
        </w:rPr>
        <w:t>%，其中：授予小微企业合同金额</w:t>
      </w:r>
      <w:r>
        <w:rPr>
          <w:rFonts w:hint="eastAsia" w:ascii="仿宋" w:hAnsi="仿宋" w:eastAsia="仿宋"/>
          <w:sz w:val="30"/>
          <w:szCs w:val="30"/>
          <w:lang w:val="en-US" w:eastAsia="zh-CN"/>
        </w:rPr>
        <w:t>141.69</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29.96</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国有资产占用情况见公开09表《国有资产占用情况表》。其中车辆中的</w:t>
      </w:r>
      <w:r>
        <w:rPr>
          <w:rFonts w:hint="eastAsia" w:ascii="仿宋" w:hAnsi="仿宋" w:eastAsia="仿宋"/>
          <w:kern w:val="0"/>
          <w:sz w:val="30"/>
          <w:szCs w:val="30"/>
        </w:rPr>
        <w:t>其他用车主要是</w:t>
      </w:r>
      <w:r>
        <w:rPr>
          <w:rFonts w:hint="eastAsia" w:ascii="仿宋" w:hAnsi="仿宋" w:eastAsia="仿宋"/>
          <w:kern w:val="0"/>
          <w:sz w:val="30"/>
          <w:szCs w:val="30"/>
          <w:lang w:eastAsia="zh-CN"/>
        </w:rPr>
        <w:t>：事业单位留有执法用车</w:t>
      </w:r>
      <w:r>
        <w:rPr>
          <w:rFonts w:hint="eastAsia" w:ascii="仿宋" w:hAnsi="仿宋" w:eastAsia="仿宋"/>
          <w:kern w:val="0"/>
          <w:sz w:val="30"/>
          <w:szCs w:val="30"/>
          <w:lang w:val="en-US" w:eastAsia="zh-CN"/>
        </w:rPr>
        <w:t>2辆，其余是因公车改革，车已移交车改办，但账面未核销</w:t>
      </w:r>
      <w:r>
        <w:rPr>
          <w:rFonts w:hint="eastAsia" w:ascii="仿宋" w:hAnsi="仿宋" w:eastAsia="仿宋"/>
          <w:kern w:val="0"/>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autoSpaceDE w:val="0"/>
        <w:autoSpaceDN w:val="0"/>
        <w:adjustRightInd w:val="0"/>
        <w:spacing w:line="360" w:lineRule="auto"/>
        <w:ind w:firstLine="600" w:firstLineChars="200"/>
        <w:jc w:val="left"/>
        <w:rPr>
          <w:rFonts w:ascii="仿宋" w:hAnsi="仿宋" w:eastAsia="仿宋" w:cs="仿宋_GB2312"/>
          <w:kern w:val="0"/>
          <w:sz w:val="30"/>
          <w:szCs w:val="30"/>
        </w:rPr>
      </w:pPr>
      <w:r>
        <w:rPr>
          <w:rFonts w:hint="eastAsia" w:ascii="仿宋" w:hAnsi="仿宋" w:eastAsia="仿宋" w:cs="仿宋_GB2312"/>
          <w:kern w:val="0"/>
          <w:sz w:val="30"/>
          <w:szCs w:val="30"/>
        </w:rPr>
        <w:t>根据预算绩效管理要求，我部门组织</w:t>
      </w:r>
      <w:r>
        <w:rPr>
          <w:rFonts w:ascii="宋体" w:hAnsi="宋体" w:eastAsia="宋体" w:cs="宋体"/>
          <w:sz w:val="32"/>
          <w:szCs w:val="32"/>
        </w:rPr>
        <w:t xml:space="preserve"> </w:t>
      </w:r>
      <w:r>
        <w:rPr>
          <w:rFonts w:hint="eastAsia" w:ascii="仿宋" w:hAnsi="仿宋" w:eastAsia="仿宋" w:cs="仿宋_GB2312"/>
          <w:kern w:val="0"/>
          <w:sz w:val="30"/>
          <w:szCs w:val="30"/>
        </w:rPr>
        <w:t>组织对</w:t>
      </w:r>
      <w:r>
        <w:rPr>
          <w:rFonts w:hint="eastAsia" w:ascii="仿宋" w:hAnsi="仿宋" w:eastAsia="仿宋" w:cs="仿宋_GB2312"/>
          <w:kern w:val="0"/>
          <w:sz w:val="30"/>
          <w:szCs w:val="30"/>
          <w:lang w:eastAsia="zh-CN"/>
        </w:rPr>
        <w:t>景德镇市生态环境</w:t>
      </w:r>
      <w:r>
        <w:rPr>
          <w:rFonts w:hint="eastAsia" w:ascii="仿宋" w:hAnsi="仿宋" w:eastAsia="仿宋" w:cs="仿宋_GB2312"/>
          <w:kern w:val="0"/>
          <w:sz w:val="30"/>
          <w:szCs w:val="30"/>
        </w:rPr>
        <w:t>局开展整体支出绩效评价，涉及一般公 共预算支出</w:t>
      </w:r>
      <w:r>
        <w:rPr>
          <w:rFonts w:hint="eastAsia" w:ascii="仿宋" w:hAnsi="仿宋" w:eastAsia="仿宋" w:cs="仿宋_GB2312"/>
          <w:kern w:val="0"/>
          <w:sz w:val="30"/>
          <w:szCs w:val="30"/>
          <w:lang w:val="en-US" w:eastAsia="zh-CN"/>
        </w:rPr>
        <w:t>5306.58</w:t>
      </w:r>
      <w:r>
        <w:rPr>
          <w:rFonts w:hint="eastAsia" w:ascii="仿宋" w:hAnsi="仿宋" w:eastAsia="仿宋" w:cs="仿宋_GB2312"/>
          <w:kern w:val="0"/>
          <w:sz w:val="30"/>
          <w:szCs w:val="30"/>
        </w:rPr>
        <w:t>万元。从评价情况看，该单位日常管理、财务管 理、资产管理、档案管理和风险控制水平总体提高，项目资金管理 规范，资金的分配、管理、使用、评估有效结合，实现了资金使用全过程监督，提高了资金使用效益，逐步健全、完善了部门绩效管 理制度，推动了绩效管理工作提升</w:t>
      </w:r>
      <w:r>
        <w:rPr>
          <w:rFonts w:hint="eastAsia" w:ascii="仿宋" w:hAnsi="仿宋" w:eastAsia="仿宋" w:cs="仿宋_GB2312"/>
          <w:kern w:val="0"/>
          <w:sz w:val="30"/>
          <w:szCs w:val="30"/>
          <w:lang w:eastAsia="zh-CN"/>
        </w:rPr>
        <w:t>。</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（二）部门决算中项目绩效自评结果。</w:t>
      </w:r>
    </w:p>
    <w:p>
      <w:pPr>
        <w:autoSpaceDE w:val="0"/>
        <w:autoSpaceDN w:val="0"/>
        <w:adjustRightInd w:val="0"/>
        <w:spacing w:line="360" w:lineRule="auto"/>
        <w:ind w:firstLine="600" w:firstLineChars="200"/>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t>绩效自评综述如下：</w:t>
      </w:r>
    </w:p>
    <w:p>
      <w:pPr>
        <w:numPr>
          <w:ilvl w:val="0"/>
          <w:numId w:val="0"/>
        </w:numPr>
        <w:spacing w:line="400" w:lineRule="atLeast"/>
        <w:ind w:leftChars="0" w:firstLine="562" w:firstLineChars="200"/>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lang w:val="en-US" w:eastAsia="zh-CN"/>
        </w:rPr>
        <w:t>1、</w:t>
      </w:r>
      <w:r>
        <w:rPr>
          <w:rFonts w:hint="eastAsia" w:ascii="仿宋" w:hAnsi="仿宋" w:eastAsia="仿宋" w:cs="仿宋"/>
          <w:b/>
          <w:bCs/>
          <w:color w:val="000000"/>
          <w:kern w:val="0"/>
          <w:sz w:val="28"/>
          <w:szCs w:val="28"/>
        </w:rPr>
        <w:t>基础工作管理：共得20分</w:t>
      </w:r>
    </w:p>
    <w:p>
      <w:pPr>
        <w:spacing w:line="400" w:lineRule="atLeast"/>
        <w:ind w:firstLine="700" w:firstLineChars="25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、组织保障：部门成立了预算绩效工作领导小组并指定了专人负责的；建立了内部预算绩效管理制度明确了工作职责和流程的；根据评分标准，该项目得5分。</w:t>
      </w:r>
    </w:p>
    <w:p>
      <w:pPr>
        <w:spacing w:line="400" w:lineRule="atLeast"/>
        <w:ind w:firstLine="700" w:firstLineChars="25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2</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、指标体系：建立了整体支出绩效评价指标体系，达到评分要求，根据评分标准，该项目得10分。</w:t>
      </w:r>
    </w:p>
    <w:p>
      <w:pPr>
        <w:spacing w:line="400" w:lineRule="atLeas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3</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、考核工作：报送考核材料在规定时间内报送；考核材料形式规范、内容完整、目录清晰、佐证材料齐全的，根据评分标准，该项目得3分。</w:t>
      </w:r>
    </w:p>
    <w:p>
      <w:pPr>
        <w:spacing w:line="400" w:lineRule="atLeast"/>
        <w:ind w:firstLine="700" w:firstLineChars="25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4</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、宣传培训：在本局门户网宣传预算绩效管理工作超过2次，举办了本部门（系统）预算绩效管理业务培训班，根据评分标准，该项目得2分。</w:t>
      </w:r>
    </w:p>
    <w:p>
      <w:pPr>
        <w:spacing w:line="400" w:lineRule="atLeast"/>
        <w:ind w:left="62" w:firstLine="478" w:firstLineChars="170"/>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lang w:val="en-US" w:eastAsia="zh-CN"/>
        </w:rPr>
        <w:t>2、</w:t>
      </w:r>
      <w:r>
        <w:rPr>
          <w:rFonts w:hint="eastAsia" w:ascii="仿宋" w:hAnsi="仿宋" w:eastAsia="仿宋" w:cs="仿宋"/>
          <w:b/>
          <w:bCs/>
          <w:color w:val="000000"/>
          <w:kern w:val="0"/>
          <w:sz w:val="28"/>
          <w:szCs w:val="28"/>
        </w:rPr>
        <w:t>绩效项目管理：共得23分</w:t>
      </w:r>
    </w:p>
    <w:p>
      <w:pPr>
        <w:spacing w:line="400" w:lineRule="atLeast"/>
        <w:ind w:firstLine="700" w:firstLineChars="25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、报送要求： 本年度未准时报送预算绩效目标的，根据评分标准，该项目得3分。</w:t>
      </w:r>
    </w:p>
    <w:p>
      <w:pPr>
        <w:spacing w:line="400" w:lineRule="atLeast"/>
        <w:ind w:firstLine="700" w:firstLineChars="25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2</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、质量控制</w:t>
      </w:r>
    </w:p>
    <w:p>
      <w:pPr>
        <w:spacing w:line="400" w:lineRule="atLeast"/>
        <w:ind w:firstLine="840" w:firstLineChars="3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申报的绩效目标符合规定的格式要求且相关内容完整的，根据评分标准，该项目得5分。</w:t>
      </w:r>
    </w:p>
    <w:p>
      <w:pPr>
        <w:spacing w:line="400" w:lineRule="atLeast"/>
        <w:ind w:firstLine="840" w:firstLineChars="3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绩效目标描述明确合理，根据评分标准，该项目得2分。</w:t>
      </w:r>
    </w:p>
    <w:p>
      <w:pPr>
        <w:spacing w:line="400" w:lineRule="atLeast"/>
        <w:ind w:firstLine="854" w:firstLineChars="305"/>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绩效指标值已细化量化、标准明确，根据评分标准，该项目得3分。</w:t>
      </w:r>
    </w:p>
    <w:p>
      <w:pPr>
        <w:spacing w:line="400" w:lineRule="atLeast"/>
        <w:ind w:firstLine="700" w:firstLineChars="25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3</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、范围和模式：部门及其所属单位均按要求申报了绩效目标的，绩效目标填报金额占部门预算总额比例为100%，根据评分标准，该项目得10分。</w:t>
      </w:r>
    </w:p>
    <w:p>
      <w:pPr>
        <w:spacing w:line="400" w:lineRule="atLeast"/>
        <w:ind w:firstLine="360" w:firstLineChars="128"/>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lang w:val="en-US" w:eastAsia="zh-CN"/>
        </w:rPr>
        <w:t>3、</w:t>
      </w:r>
      <w:r>
        <w:rPr>
          <w:rFonts w:hint="eastAsia" w:ascii="仿宋" w:hAnsi="仿宋" w:eastAsia="仿宋" w:cs="仿宋"/>
          <w:b/>
          <w:bCs/>
          <w:color w:val="000000"/>
          <w:kern w:val="0"/>
          <w:sz w:val="28"/>
          <w:szCs w:val="28"/>
        </w:rPr>
        <w:t>绩效监控管理：共得14分</w:t>
      </w:r>
    </w:p>
    <w:p>
      <w:pPr>
        <w:spacing w:line="400" w:lineRule="atLeast"/>
        <w:ind w:firstLine="719" w:firstLineChars="257"/>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、报送要求： 本年度未准时报送绩效监控材料，根据评分标准，该项目得4分。</w:t>
      </w:r>
    </w:p>
    <w:p>
      <w:pPr>
        <w:spacing w:line="400" w:lineRule="atLeast"/>
        <w:ind w:firstLine="700" w:firstLineChars="25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2</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、范围和模式</w:t>
      </w:r>
    </w:p>
    <w:p>
      <w:pPr>
        <w:spacing w:line="400" w:lineRule="atLeast"/>
        <w:ind w:firstLine="840" w:firstLineChars="3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部门及其所属单位按要求开展了绩效运行监控的，定期采集绩效运行的信息并进行了汇总分析，根据评分标准，该项目得3分。</w:t>
      </w:r>
    </w:p>
    <w:p>
      <w:pPr>
        <w:spacing w:line="400" w:lineRule="atLeast"/>
        <w:ind w:firstLine="840" w:firstLineChars="3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为确保绩效目标如期实现，对偏离绩效目标、预期无效项目及时提出纠偏意见的，根据评分标准，该项目得2分。</w:t>
      </w:r>
    </w:p>
    <w:p>
      <w:pPr>
        <w:spacing w:line="400" w:lineRule="atLeast"/>
        <w:ind w:firstLine="700" w:firstLineChars="25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3</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、监控实施</w:t>
      </w:r>
    </w:p>
    <w:p>
      <w:pPr>
        <w:spacing w:line="400" w:lineRule="atLeast"/>
        <w:ind w:firstLine="700" w:firstLineChars="25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主管部门对项目存在问题的单位进行了督促并要求其整改，根据评分标准，该项目得3分。</w:t>
      </w:r>
    </w:p>
    <w:p>
      <w:pPr>
        <w:spacing w:line="400" w:lineRule="atLeast"/>
        <w:ind w:firstLine="700" w:firstLineChars="25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相关项目单位按要求进行了整改，根据评分标准，该项目得2分。</w:t>
      </w:r>
    </w:p>
    <w:p>
      <w:pPr>
        <w:spacing w:line="400" w:lineRule="atLeast"/>
        <w:ind w:left="62" w:firstLine="478" w:firstLineChars="170"/>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lang w:val="en-US" w:eastAsia="zh-CN"/>
        </w:rPr>
        <w:t>4、</w:t>
      </w:r>
      <w:r>
        <w:rPr>
          <w:rFonts w:hint="eastAsia" w:ascii="仿宋" w:hAnsi="仿宋" w:eastAsia="仿宋" w:cs="仿宋"/>
          <w:b/>
          <w:bCs/>
          <w:color w:val="000000"/>
          <w:kern w:val="0"/>
          <w:sz w:val="28"/>
          <w:szCs w:val="28"/>
        </w:rPr>
        <w:t>绩效评价管理：共得23分</w:t>
      </w:r>
    </w:p>
    <w:p>
      <w:pPr>
        <w:spacing w:line="400" w:lineRule="atLeast"/>
        <w:ind w:firstLine="700" w:firstLineChars="25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、报送要求： 本年度未及时提交绩效评价报告，根据评分标准，该项目得3分。</w:t>
      </w:r>
    </w:p>
    <w:p>
      <w:pPr>
        <w:spacing w:line="400" w:lineRule="atLeast"/>
        <w:ind w:firstLine="700" w:firstLineChars="25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2</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、质量控制</w:t>
      </w:r>
    </w:p>
    <w:p>
      <w:pPr>
        <w:spacing w:line="400" w:lineRule="atLeast"/>
        <w:ind w:firstLine="700" w:firstLineChars="25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绩效评价报告基本格式规范且各项内容完整，根据评分标准，该项目得2分。</w:t>
      </w:r>
    </w:p>
    <w:p>
      <w:pPr>
        <w:spacing w:line="400" w:lineRule="atLeast"/>
        <w:ind w:firstLine="700" w:firstLineChars="25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绩效评价报告中各评价指标明确，相关数据齐全、标准明确，评价结论客观合理的，根据评分标准，该项目得6分。</w:t>
      </w:r>
    </w:p>
    <w:p>
      <w:pPr>
        <w:spacing w:line="400" w:lineRule="atLeast"/>
        <w:ind w:firstLine="700" w:firstLineChars="25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绩效评价报告中对问题分析全面深入，所提出建议针对性强，根据评分标准，该项目得4分。</w:t>
      </w:r>
    </w:p>
    <w:p>
      <w:pPr>
        <w:spacing w:line="400" w:lineRule="atLeast"/>
        <w:ind w:firstLine="700" w:firstLineChars="25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3</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、范围和模式：本部门做了部门整体支出绩效评价，绩效自评金额占部门预算资金比例为100%，根据评分标准，该项目得8分。</w:t>
      </w:r>
    </w:p>
    <w:p>
      <w:pPr>
        <w:spacing w:line="400" w:lineRule="atLeast"/>
        <w:ind w:firstLine="492" w:firstLineChars="175"/>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lang w:val="en-US" w:eastAsia="zh-CN"/>
        </w:rPr>
        <w:t>5、</w:t>
      </w:r>
      <w:r>
        <w:rPr>
          <w:rFonts w:hint="eastAsia" w:ascii="仿宋" w:hAnsi="仿宋" w:eastAsia="仿宋" w:cs="仿宋"/>
          <w:b/>
          <w:bCs/>
          <w:color w:val="000000"/>
          <w:kern w:val="0"/>
          <w:sz w:val="28"/>
          <w:szCs w:val="28"/>
        </w:rPr>
        <w:t>结果应用管理：共得15分</w:t>
      </w:r>
    </w:p>
    <w:p>
      <w:pPr>
        <w:spacing w:line="400" w:lineRule="atLeast"/>
        <w:ind w:firstLine="630" w:firstLineChars="225"/>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、反馈整改</w:t>
      </w:r>
    </w:p>
    <w:p>
      <w:pPr>
        <w:spacing w:line="400" w:lineRule="atLeast"/>
        <w:ind w:firstLine="770" w:firstLineChars="275"/>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主管部门将绩效评价结果反馈给了所属被评价单位，根据评分标准，该项目得2分。</w:t>
      </w:r>
    </w:p>
    <w:p>
      <w:pPr>
        <w:spacing w:line="400" w:lineRule="atLeas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部门将绩效自评结果落实了并及时进行了整改，根据评分标准，该项目得3分。</w:t>
      </w:r>
    </w:p>
    <w:p>
      <w:pPr>
        <w:spacing w:line="400" w:lineRule="atLeast"/>
        <w:ind w:firstLine="630" w:firstLineChars="225"/>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w:t>
      </w:r>
      <w:r>
        <w:rPr>
          <w:rFonts w:hint="eastAsia" w:ascii="仿宋" w:hAnsi="仿宋" w:eastAsia="仿宋" w:cs="仿宋"/>
          <w:color w:val="000000"/>
          <w:kern w:val="0"/>
          <w:sz w:val="28"/>
          <w:szCs w:val="28"/>
        </w:rPr>
        <w:t>2</w:t>
      </w:r>
      <w:r>
        <w:rPr>
          <w:rFonts w:hint="eastAsia" w:ascii="仿宋" w:hAnsi="仿宋" w:eastAsia="仿宋" w:cs="仿宋"/>
          <w:color w:val="000000"/>
          <w:kern w:val="0"/>
          <w:sz w:val="28"/>
          <w:szCs w:val="28"/>
          <w:lang w:val="en-US" w:eastAsia="zh-CN"/>
        </w:rPr>
        <w:t>)</w:t>
      </w:r>
      <w:r>
        <w:rPr>
          <w:rFonts w:hint="eastAsia" w:ascii="仿宋" w:hAnsi="仿宋" w:eastAsia="仿宋" w:cs="仿宋"/>
          <w:color w:val="000000"/>
          <w:kern w:val="0"/>
          <w:sz w:val="28"/>
          <w:szCs w:val="28"/>
        </w:rPr>
        <w:t>、应用方式</w:t>
      </w:r>
    </w:p>
    <w:p>
      <w:pPr>
        <w:spacing w:line="400" w:lineRule="atLeast"/>
        <w:ind w:firstLine="700" w:firstLineChars="250"/>
        <w:rPr>
          <w:rFonts w:hint="eastAsia" w:ascii="仿宋" w:hAnsi="仿宋" w:eastAsia="仿宋" w:cs="仿宋"/>
          <w:kern w:val="0"/>
          <w:sz w:val="28"/>
          <w:szCs w:val="28"/>
        </w:rPr>
      </w:pPr>
      <w:r>
        <w:rPr>
          <w:rFonts w:hint="eastAsia" w:ascii="仿宋" w:hAnsi="仿宋" w:eastAsia="仿宋" w:cs="仿宋"/>
          <w:kern w:val="0"/>
          <w:sz w:val="28"/>
          <w:szCs w:val="28"/>
        </w:rPr>
        <w:t>评价结果在局内和门户网上公开了，根据评分标准，该项目得3分。</w:t>
      </w:r>
    </w:p>
    <w:p>
      <w:pPr>
        <w:spacing w:line="400" w:lineRule="atLeast"/>
        <w:ind w:firstLine="700" w:firstLineChars="250"/>
        <w:rPr>
          <w:rFonts w:hint="eastAsia" w:ascii="仿宋" w:hAnsi="仿宋" w:eastAsia="仿宋" w:cs="仿宋"/>
          <w:kern w:val="0"/>
          <w:sz w:val="28"/>
          <w:szCs w:val="28"/>
        </w:rPr>
      </w:pPr>
      <w:r>
        <w:rPr>
          <w:rFonts w:hint="eastAsia" w:ascii="仿宋" w:hAnsi="仿宋" w:eastAsia="仿宋" w:cs="仿宋"/>
          <w:kern w:val="0"/>
          <w:sz w:val="28"/>
          <w:szCs w:val="28"/>
        </w:rPr>
        <w:t>建立了评价结果与预算编制挂钩机制，将预算绩效管理融入预算编制、执行、监督全过程，实现预算与绩效管理一体化的，根据评分标准，该项目得5分。</w:t>
      </w:r>
    </w:p>
    <w:p>
      <w:pPr>
        <w:spacing w:line="400" w:lineRule="atLeast"/>
        <w:ind w:firstLine="700" w:firstLineChars="250"/>
        <w:rPr>
          <w:rFonts w:hint="eastAsia" w:ascii="仿宋" w:hAnsi="仿宋" w:eastAsia="仿宋" w:cs="仿宋"/>
          <w:color w:val="000000"/>
          <w:kern w:val="0"/>
          <w:sz w:val="28"/>
          <w:szCs w:val="28"/>
        </w:rPr>
      </w:pPr>
      <w:r>
        <w:rPr>
          <w:rFonts w:hint="eastAsia" w:ascii="仿宋" w:hAnsi="仿宋" w:eastAsia="仿宋" w:cs="仿宋"/>
          <w:kern w:val="0"/>
          <w:sz w:val="28"/>
          <w:szCs w:val="28"/>
        </w:rPr>
        <w:t>建立了绩效追责问责机制，根据评分标准，</w:t>
      </w:r>
      <w:r>
        <w:rPr>
          <w:rFonts w:hint="eastAsia" w:ascii="仿宋" w:hAnsi="仿宋" w:eastAsia="仿宋" w:cs="仿宋"/>
          <w:color w:val="000000"/>
          <w:kern w:val="0"/>
          <w:sz w:val="28"/>
          <w:szCs w:val="28"/>
        </w:rPr>
        <w:t>该项目得2分。</w:t>
      </w:r>
    </w:p>
    <w:tbl>
      <w:tblPr>
        <w:tblStyle w:val="3"/>
        <w:tblW w:w="8925" w:type="dxa"/>
        <w:tblInd w:w="0" w:type="dxa"/>
        <w:shd w:val="clear" w:color="auto" w:fill="auto"/>
        <w:tblLayout w:type="autofit"/>
        <w:tblCellMar>
          <w:top w:w="0" w:type="dxa"/>
          <w:left w:w="0" w:type="dxa"/>
          <w:bottom w:w="0" w:type="dxa"/>
          <w:right w:w="0" w:type="dxa"/>
        </w:tblCellMar>
      </w:tblPr>
      <w:tblGrid>
        <w:gridCol w:w="1755"/>
        <w:gridCol w:w="690"/>
        <w:gridCol w:w="5085"/>
        <w:gridCol w:w="1395"/>
      </w:tblGrid>
      <w:tr>
        <w:tblPrEx>
          <w:shd w:val="clear" w:color="auto" w:fill="auto"/>
          <w:tblCellMar>
            <w:top w:w="0" w:type="dxa"/>
            <w:left w:w="0" w:type="dxa"/>
            <w:bottom w:w="0" w:type="dxa"/>
            <w:right w:w="0" w:type="dxa"/>
          </w:tblCellMar>
        </w:tblPrEx>
        <w:trPr>
          <w:trHeight w:val="555" w:hRule="atLeast"/>
        </w:trPr>
        <w:tc>
          <w:tcPr>
            <w:tcW w:w="8925" w:type="dxa"/>
            <w:gridSpan w:val="4"/>
            <w:tcBorders>
              <w:top w:val="nil"/>
              <w:left w:val="nil"/>
              <w:bottom w:val="nil"/>
              <w:right w:val="nil"/>
            </w:tcBorders>
            <w:shd w:val="clear" w:color="auto" w:fill="auto"/>
            <w:noWrap/>
            <w:tcMar>
              <w:top w:w="15" w:type="dxa"/>
              <w:left w:w="15" w:type="dxa"/>
              <w:right w:w="15" w:type="dxa"/>
            </w:tcMar>
            <w:vAlign w:val="center"/>
          </w:tcPr>
          <w:p>
            <w:pPr>
              <w:autoSpaceDE w:val="0"/>
              <w:autoSpaceDN w:val="0"/>
              <w:adjustRightInd w:val="0"/>
              <w:spacing w:line="360" w:lineRule="auto"/>
              <w:ind w:firstLine="600"/>
              <w:jc w:val="left"/>
              <w:rPr>
                <w:rFonts w:hint="eastAsia" w:ascii="宋体" w:hAnsi="宋体" w:eastAsia="宋体" w:cs="宋体"/>
                <w:b/>
                <w:i w:val="0"/>
                <w:color w:val="000000"/>
                <w:sz w:val="36"/>
                <w:szCs w:val="36"/>
                <w:u w:val="none"/>
              </w:rPr>
            </w:pPr>
            <w:r>
              <w:rPr>
                <w:rFonts w:hint="eastAsia" w:ascii="仿宋" w:hAnsi="仿宋" w:eastAsia="仿宋" w:cs="仿宋_GB2312"/>
                <w:kern w:val="0"/>
                <w:sz w:val="30"/>
                <w:szCs w:val="30"/>
              </w:rPr>
              <w:t xml:space="preserve">   </w:t>
            </w:r>
            <w:r>
              <w:rPr>
                <w:rFonts w:hint="eastAsia" w:ascii="宋体" w:hAnsi="宋体" w:eastAsia="宋体" w:cs="宋体"/>
                <w:b/>
                <w:i w:val="0"/>
                <w:color w:val="000000"/>
                <w:kern w:val="0"/>
                <w:sz w:val="36"/>
                <w:szCs w:val="36"/>
                <w:u w:val="none"/>
                <w:lang w:val="en-US" w:eastAsia="zh-CN" w:bidi="ar"/>
              </w:rPr>
              <w:t>2019年度市直机关财政预算绩效管理考核评分表</w:t>
            </w:r>
          </w:p>
        </w:tc>
      </w:tr>
      <w:tr>
        <w:tblPrEx>
          <w:shd w:val="clear" w:color="auto" w:fill="auto"/>
          <w:tblCellMar>
            <w:top w:w="0" w:type="dxa"/>
            <w:left w:w="0" w:type="dxa"/>
            <w:bottom w:w="0" w:type="dxa"/>
            <w:right w:w="0" w:type="dxa"/>
          </w:tblCellMar>
        </w:tblPrEx>
        <w:trPr>
          <w:trHeight w:val="675" w:hRule="atLeast"/>
        </w:trPr>
        <w:tc>
          <w:tcPr>
            <w:tcW w:w="0" w:type="auto"/>
            <w:gridSpan w:val="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部门（盖章）: 景德镇市生态环境局                                       </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考核内容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计分标准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自评分数</w:t>
            </w:r>
          </w:p>
        </w:tc>
      </w:tr>
      <w:tr>
        <w:tblPrEx>
          <w:tblCellMar>
            <w:top w:w="0" w:type="dxa"/>
            <w:left w:w="0" w:type="dxa"/>
            <w:bottom w:w="0" w:type="dxa"/>
            <w:right w:w="0" w:type="dxa"/>
          </w:tblCellMar>
        </w:tblPrEx>
        <w:trPr>
          <w:trHeight w:val="6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一、基础工作管理</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(截至2018年底基础工作情况）</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w:t>
            </w:r>
          </w:p>
        </w:tc>
      </w:tr>
      <w:tr>
        <w:tblPrEx>
          <w:shd w:val="clear" w:color="auto" w:fill="auto"/>
          <w:tblCellMar>
            <w:top w:w="0" w:type="dxa"/>
            <w:left w:w="0" w:type="dxa"/>
            <w:bottom w:w="0" w:type="dxa"/>
            <w:right w:w="0" w:type="dxa"/>
          </w:tblCellMar>
        </w:tblPrEx>
        <w:trPr>
          <w:trHeight w:val="1005"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（一）组织保障</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成立了预算绩效管理工作领导小组的或专门机构的并指定专人负责的，得3分。建立内部预算绩效管理制度明确了工作职责和流程的，得2分。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1005"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（二）指标体系</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10</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建立本部门项目支出和整体支出绩效评价个性指标，每个0.5分，本项最多10分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1005"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（三）考核工作</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w:t>
            </w:r>
          </w:p>
        </w:tc>
        <w:tc>
          <w:tcPr>
            <w:tcW w:w="5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报送考核材料及时，在规定时间内报送的，得2分，逾期一个工作日扣0.5分，扣完为止。考核材料形式规范、内容完整、目录清晰、佐证材料齐全的，得1分。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w:t>
            </w:r>
          </w:p>
        </w:tc>
      </w:tr>
      <w:tr>
        <w:tblPrEx>
          <w:shd w:val="clear" w:color="auto" w:fill="auto"/>
          <w:tblCellMar>
            <w:top w:w="0" w:type="dxa"/>
            <w:left w:w="0" w:type="dxa"/>
            <w:bottom w:w="0" w:type="dxa"/>
            <w:right w:w="0" w:type="dxa"/>
          </w:tblCellMar>
        </w:tblPrEx>
        <w:trPr>
          <w:trHeight w:val="1005"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（四）宣传培训</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宣传预算绩效管理工作，每篇0.5分。最多1分；举办了本部门（系统）预算绩效管理业务培训班的，得1分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6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二、绩效目标管理</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25</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(2019年度预算绩效目标管理情况）</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23</w:t>
            </w:r>
          </w:p>
        </w:tc>
      </w:tr>
      <w:tr>
        <w:tblPrEx>
          <w:shd w:val="clear" w:color="auto" w:fill="auto"/>
          <w:tblCellMar>
            <w:top w:w="0" w:type="dxa"/>
            <w:left w:w="0" w:type="dxa"/>
            <w:bottom w:w="0" w:type="dxa"/>
            <w:right w:w="0" w:type="dxa"/>
          </w:tblCellMar>
        </w:tblPrEx>
        <w:trPr>
          <w:trHeight w:val="810" w:hRule="atLeast"/>
        </w:trPr>
        <w:tc>
          <w:tcPr>
            <w:tcW w:w="17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（一）报送要求</w:t>
            </w:r>
          </w:p>
        </w:tc>
        <w:tc>
          <w:tcPr>
            <w:tcW w:w="6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w:t>
            </w:r>
          </w:p>
        </w:tc>
        <w:tc>
          <w:tcPr>
            <w:tcW w:w="5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在规定时间内报送预算绩效目标的，得5分，逾期一天扣0.5分，扣完为止。</w:t>
            </w:r>
          </w:p>
        </w:tc>
        <w:tc>
          <w:tcPr>
            <w:tcW w:w="13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81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（二）质量控制</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w:t>
            </w:r>
          </w:p>
        </w:tc>
        <w:tc>
          <w:tcPr>
            <w:tcW w:w="5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申报的绩效目标符合规定的格式要求，相关内容完整的得5分；否则，酌情扣分。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w:t>
            </w:r>
          </w:p>
        </w:tc>
      </w:tr>
      <w:tr>
        <w:tblPrEx>
          <w:shd w:val="clear" w:color="auto" w:fill="auto"/>
          <w:tblCellMar>
            <w:top w:w="0" w:type="dxa"/>
            <w:left w:w="0" w:type="dxa"/>
            <w:bottom w:w="0" w:type="dxa"/>
            <w:right w:w="0" w:type="dxa"/>
          </w:tblCellMar>
        </w:tblPrEx>
        <w:trPr>
          <w:trHeight w:val="81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w:t>
            </w:r>
          </w:p>
        </w:tc>
        <w:tc>
          <w:tcPr>
            <w:tcW w:w="5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绩效目标描述明确合理的，得2分；否则，酌情扣分。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w:t>
            </w:r>
          </w:p>
        </w:tc>
      </w:tr>
      <w:tr>
        <w:tblPrEx>
          <w:shd w:val="clear" w:color="auto" w:fill="auto"/>
          <w:tblCellMar>
            <w:top w:w="0" w:type="dxa"/>
            <w:left w:w="0" w:type="dxa"/>
            <w:bottom w:w="0" w:type="dxa"/>
            <w:right w:w="0" w:type="dxa"/>
          </w:tblCellMar>
        </w:tblPrEx>
        <w:trPr>
          <w:trHeight w:val="81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绩效指标值细化量化、有明确标准的，得3分；否则，酌情扣</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81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（三）范围和模式</w:t>
            </w:r>
          </w:p>
        </w:tc>
        <w:tc>
          <w:tcPr>
            <w:tcW w:w="6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10</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部门及其所属单位均按要求申报了绩效目标的，按绩效目标填报金额占部门预算总额比例得分。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6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三、绩效监控管理</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(2019年实施当年绩效监控情况）</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14</w:t>
            </w:r>
          </w:p>
        </w:tc>
      </w:tr>
      <w:tr>
        <w:tblPrEx>
          <w:shd w:val="clear" w:color="auto" w:fill="auto"/>
          <w:tblCellMar>
            <w:top w:w="0" w:type="dxa"/>
            <w:left w:w="0" w:type="dxa"/>
            <w:bottom w:w="0" w:type="dxa"/>
            <w:right w:w="0" w:type="dxa"/>
          </w:tblCellMar>
        </w:tblPrEx>
        <w:trPr>
          <w:trHeight w:val="855" w:hRule="atLeast"/>
        </w:trPr>
        <w:tc>
          <w:tcPr>
            <w:tcW w:w="17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（一）报送要求</w:t>
            </w:r>
          </w:p>
        </w:tc>
        <w:tc>
          <w:tcPr>
            <w:tcW w:w="6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w:t>
            </w:r>
          </w:p>
        </w:tc>
        <w:tc>
          <w:tcPr>
            <w:tcW w:w="5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在规定时间内报送的，得5分，逾期一个工作日扣0.5分，扣完为止。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855"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（二）范围和模式</w:t>
            </w:r>
          </w:p>
        </w:tc>
        <w:tc>
          <w:tcPr>
            <w:tcW w:w="6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w:t>
            </w:r>
          </w:p>
        </w:tc>
        <w:tc>
          <w:tcPr>
            <w:tcW w:w="5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部门及其所属单位按要求开展了绩效运行监控的，定期采集绩效运行的信息并进行了汇总分析，得3分。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855"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确保绩效目标如期实现的，或对偏离绩效目标、预期无效项目及时提出纠偏意见的，得2 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w:t>
            </w:r>
          </w:p>
        </w:tc>
      </w:tr>
      <w:tr>
        <w:tblPrEx>
          <w:shd w:val="clear" w:color="auto" w:fill="auto"/>
          <w:tblCellMar>
            <w:top w:w="0" w:type="dxa"/>
            <w:left w:w="0" w:type="dxa"/>
            <w:bottom w:w="0" w:type="dxa"/>
            <w:right w:w="0" w:type="dxa"/>
          </w:tblCellMar>
        </w:tblPrEx>
        <w:trPr>
          <w:trHeight w:val="855"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（三）监控实施</w:t>
            </w:r>
          </w:p>
        </w:tc>
        <w:tc>
          <w:tcPr>
            <w:tcW w:w="6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w:t>
            </w:r>
          </w:p>
        </w:tc>
        <w:tc>
          <w:tcPr>
            <w:tcW w:w="5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主管部门对项目存在问题的单位督促其进行整改的，得3分。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855"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6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相关项目单位按要求进行整改的，得2分。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6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四、绩效评价管理</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25</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(2019年完成2018年度的绩效自评情况）</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23</w:t>
            </w:r>
          </w:p>
        </w:tc>
      </w:tr>
      <w:tr>
        <w:tblPrEx>
          <w:tblCellMar>
            <w:top w:w="0" w:type="dxa"/>
            <w:left w:w="0" w:type="dxa"/>
            <w:bottom w:w="0" w:type="dxa"/>
            <w:right w:w="0" w:type="dxa"/>
          </w:tblCellMar>
        </w:tblPrEx>
        <w:trPr>
          <w:trHeight w:val="81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（一）报送要求</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w:t>
            </w:r>
          </w:p>
        </w:tc>
        <w:tc>
          <w:tcPr>
            <w:tcW w:w="5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在规定时间内完成绩效评价并提交绩效评价报告的，得5分，逾期一个工作日扣0.5分，扣完为止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w:t>
            </w:r>
          </w:p>
        </w:tc>
      </w:tr>
      <w:tr>
        <w:tblPrEx>
          <w:shd w:val="clear" w:color="auto" w:fill="auto"/>
          <w:tblCellMar>
            <w:top w:w="0" w:type="dxa"/>
            <w:left w:w="0" w:type="dxa"/>
            <w:bottom w:w="0" w:type="dxa"/>
            <w:right w:w="0" w:type="dxa"/>
          </w:tblCellMar>
        </w:tblPrEx>
        <w:trPr>
          <w:trHeight w:val="81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（三）质量要求</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绩效评价报告基本格式规范，得1分；各项内容完整的 ，得1分。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w:t>
            </w:r>
          </w:p>
        </w:tc>
      </w:tr>
      <w:tr>
        <w:tblPrEx>
          <w:shd w:val="clear" w:color="auto" w:fill="auto"/>
          <w:tblCellMar>
            <w:top w:w="0" w:type="dxa"/>
            <w:left w:w="0" w:type="dxa"/>
            <w:bottom w:w="0" w:type="dxa"/>
            <w:right w:w="0" w:type="dxa"/>
          </w:tblCellMar>
        </w:tblPrEx>
        <w:trPr>
          <w:trHeight w:val="81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6</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绩效评价报告中各评价指标明确的，得2分；相关数据齐全、标准明确的，得2分；评价结论客观合理的，得2分。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6</w:t>
            </w:r>
          </w:p>
        </w:tc>
      </w:tr>
      <w:tr>
        <w:tblPrEx>
          <w:tblCellMar>
            <w:top w:w="0" w:type="dxa"/>
            <w:left w:w="0" w:type="dxa"/>
            <w:bottom w:w="0" w:type="dxa"/>
            <w:right w:w="0" w:type="dxa"/>
          </w:tblCellMar>
        </w:tblPrEx>
        <w:trPr>
          <w:trHeight w:val="81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4</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绩效评价报告中对问题分析全面深入的，得2分；所提出建议针对性强的，得2分。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4</w:t>
            </w:r>
          </w:p>
        </w:tc>
      </w:tr>
      <w:tr>
        <w:tblPrEx>
          <w:shd w:val="clear" w:color="auto" w:fill="auto"/>
          <w:tblCellMar>
            <w:top w:w="0" w:type="dxa"/>
            <w:left w:w="0" w:type="dxa"/>
            <w:bottom w:w="0" w:type="dxa"/>
            <w:right w:w="0" w:type="dxa"/>
          </w:tblCellMar>
        </w:tblPrEx>
        <w:trPr>
          <w:trHeight w:val="81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（三）范围和模式</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8</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所有预算资金均按要求进行绩效自评的，按绩效自评金额占部门预算资金比例得分。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8</w:t>
            </w:r>
          </w:p>
        </w:tc>
      </w:tr>
      <w:tr>
        <w:tblPrEx>
          <w:shd w:val="clear" w:color="auto" w:fill="auto"/>
          <w:tblCellMar>
            <w:top w:w="0" w:type="dxa"/>
            <w:left w:w="0" w:type="dxa"/>
            <w:bottom w:w="0" w:type="dxa"/>
            <w:right w:w="0" w:type="dxa"/>
          </w:tblCellMar>
        </w:tblPrEx>
        <w:trPr>
          <w:trHeight w:val="882"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五、结果应用管理</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(2019年完成的2018年度的绩效评价结果应用情况）</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960" w:hRule="atLeast"/>
        </w:trPr>
        <w:tc>
          <w:tcPr>
            <w:tcW w:w="175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（一）反馈整改</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主管部门将绩效评价结果反馈到所属被评价单位的，得2分。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960" w:hRule="atLeast"/>
        </w:trPr>
        <w:tc>
          <w:tcPr>
            <w:tcW w:w="17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将绩效自评结果或财政重点评价结果落实整改的，得3分。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w:t>
            </w:r>
          </w:p>
        </w:tc>
      </w:tr>
      <w:tr>
        <w:tblPrEx>
          <w:shd w:val="clear" w:color="auto" w:fill="auto"/>
          <w:tblCellMar>
            <w:top w:w="0" w:type="dxa"/>
            <w:left w:w="0" w:type="dxa"/>
            <w:bottom w:w="0" w:type="dxa"/>
            <w:right w:w="0" w:type="dxa"/>
          </w:tblCellMar>
        </w:tblPrEx>
        <w:trPr>
          <w:trHeight w:val="96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（二）应用方式</w:t>
            </w:r>
          </w:p>
        </w:tc>
        <w:tc>
          <w:tcPr>
            <w:tcW w:w="6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将评价结果在一定范围内或向社会公开的，得3分。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w:t>
            </w:r>
          </w:p>
        </w:tc>
      </w:tr>
      <w:tr>
        <w:tblPrEx>
          <w:shd w:val="clear" w:color="auto" w:fill="auto"/>
          <w:tblCellMar>
            <w:top w:w="0" w:type="dxa"/>
            <w:left w:w="0" w:type="dxa"/>
            <w:bottom w:w="0" w:type="dxa"/>
            <w:right w:w="0" w:type="dxa"/>
          </w:tblCellMar>
        </w:tblPrEx>
        <w:trPr>
          <w:trHeight w:val="96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6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建立评价结果与预算编制挂钩机制，将预算绩效管理融入预算编制、执行、监督全过程，实现预算与绩效管理一体化的，得5分。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96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6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建立绩效追责问责机制，得2分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6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合计</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100</w:t>
            </w:r>
          </w:p>
        </w:tc>
        <w:tc>
          <w:tcPr>
            <w:tcW w:w="5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95</w:t>
            </w:r>
          </w:p>
        </w:tc>
      </w:tr>
    </w:tbl>
    <w:p>
      <w:pPr>
        <w:autoSpaceDE w:val="0"/>
        <w:autoSpaceDN w:val="0"/>
        <w:adjustRightInd w:val="0"/>
        <w:spacing w:line="360" w:lineRule="auto"/>
        <w:ind w:firstLine="600"/>
        <w:jc w:val="left"/>
        <w:rPr>
          <w:rFonts w:hint="eastAsia" w:ascii="仿宋" w:hAnsi="仿宋" w:eastAsia="仿宋" w:cs="仿宋_GB2312"/>
          <w:kern w:val="0"/>
          <w:sz w:val="30"/>
          <w:szCs w:val="30"/>
        </w:rPr>
      </w:pPr>
    </w:p>
    <w:p>
      <w:pPr>
        <w:rPr>
          <w:rFonts w:hint="eastAsia"/>
        </w:rPr>
      </w:pPr>
    </w:p>
    <w:p>
      <w:pPr>
        <w:rPr>
          <w:rFonts w:hint="eastAsia"/>
        </w:rPr>
      </w:pPr>
    </w:p>
    <w:p>
      <w:pPr>
        <w:rPr>
          <w:rFonts w:hint="eastAsia"/>
        </w:rPr>
      </w:pPr>
    </w:p>
    <w:p>
      <w:pPr>
        <w:rPr>
          <w:rFonts w:hint="eastAsia"/>
        </w:rPr>
      </w:pPr>
    </w:p>
    <w:p>
      <w:pPr>
        <w:rPr>
          <w:rFonts w:hint="eastAsia"/>
        </w:rPr>
      </w:pPr>
    </w:p>
    <w:p>
      <w:pPr>
        <w:widowControl/>
        <w:spacing w:line="600" w:lineRule="exact"/>
        <w:ind w:firstLine="640"/>
        <w:jc w:val="center"/>
        <w:rPr>
          <w:rFonts w:hint="eastAsia" w:ascii="宋体" w:hAnsi="宋体" w:cs="Times New Roman"/>
          <w:b/>
          <w:sz w:val="32"/>
          <w:szCs w:val="32"/>
        </w:rPr>
      </w:pPr>
      <w:r>
        <w:rPr>
          <w:rFonts w:hint="eastAsia" w:ascii="宋体" w:hAnsi="宋体" w:cs="Times New Roman"/>
          <w:b/>
          <w:sz w:val="32"/>
          <w:szCs w:val="32"/>
        </w:rPr>
        <w:t>第四部分  名词解释</w:t>
      </w:r>
    </w:p>
    <w:p>
      <w:pPr>
        <w:ind w:firstLine="630"/>
        <w:jc w:val="left"/>
        <w:rPr>
          <w:rFonts w:hint="eastAsia" w:ascii="仿宋_GB2312" w:hAnsi="仿宋_GB2312" w:eastAsia="仿宋_GB2312" w:cs="仿宋_GB2312"/>
          <w:sz w:val="28"/>
          <w:szCs w:val="28"/>
        </w:rPr>
      </w:pPr>
    </w:p>
    <w:p>
      <w:pPr>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一、收入科目</w:t>
      </w:r>
    </w:p>
    <w:p>
      <w:pPr>
        <w:ind w:firstLine="63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一）财政拨款收入：指行政事业单位从同级财政部门取得的 各类财政拨款。 </w:t>
      </w:r>
    </w:p>
    <w:p>
      <w:pPr>
        <w:ind w:firstLine="63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（二）事业收入：指事业单位开展专业业务活动及其辅助活动 取得的现金流入。</w:t>
      </w:r>
    </w:p>
    <w:p>
      <w:pPr>
        <w:ind w:firstLine="63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（三）经营收入：指事业单位在专业业务活动及其辅助活动之 外开展非独立核算经营活动取得的现金流入。</w:t>
      </w:r>
    </w:p>
    <w:p>
      <w:pPr>
        <w:ind w:firstLine="63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（四）附属单位上缴收入：反映事业单位取得附属独立核算单 位根据有关规定上缴的现金流入。</w:t>
      </w:r>
    </w:p>
    <w:p>
      <w:pPr>
        <w:ind w:firstLine="63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（五）上级补助收入：反映事业单位从主管部门和上级单位取 得的非财政补助现金流入。</w:t>
      </w:r>
    </w:p>
    <w:p>
      <w:pPr>
        <w:ind w:firstLine="63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（六）其他预算收入：指除财政拨款预算收入、事业预算收入、 经营预算收入等之外的纳入部门预算管理的现金流入。</w:t>
      </w:r>
    </w:p>
    <w:p>
      <w:pPr>
        <w:ind w:firstLine="63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（七）结转和结余：反映当年结转结余资金和上年滚存结转结 余资金。</w:t>
      </w:r>
    </w:p>
    <w:p>
      <w:pPr>
        <w:ind w:firstLine="63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 xml:space="preserve">二、支出科目 </w:t>
      </w:r>
    </w:p>
    <w:p>
      <w:pPr>
        <w:ind w:firstLine="63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（一）基本支出：指为保障机构正常运转、完成日常工作任务 而发生的人员支出和公用支出。 </w:t>
      </w:r>
    </w:p>
    <w:p>
      <w:pPr>
        <w:ind w:firstLine="63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（二）项目支出：指在基本支出之外为完成特定行政任务和事 业发展目标所发生的支出。</w:t>
      </w:r>
    </w:p>
    <w:p>
      <w:pPr>
        <w:ind w:firstLine="63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（三）经营支出：指事业单位在专业业务活动及其辅助活动之 外开展非独立核算经营活动发生的各项现金流出。</w:t>
      </w:r>
    </w:p>
    <w:p>
      <w:pPr>
        <w:ind w:firstLine="63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（四）对附属单位补助支出：指事业单位用财政拨款预算收入 之外的收入对附属单位补助发生的现金流出。</w:t>
      </w:r>
    </w:p>
    <w:p>
      <w:pPr>
        <w:ind w:firstLine="63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（五）“三公”经费支出：统计单位使用一般公共预算财政拨 款安排的支出。因公出国（境）费反映单位公务出国（境）的国际 旅费、国外城市间交通费、住宿费、伙食费、培训费、公杂费等支 出；公务用车购置及运行费反映单位公务用车车辆购置支出（含车 辆购置税）及按规定保留的公务用车燃料费、维修费、过路过桥费、 保险费、安全奖励费用等支出；公务接待费反映单位按规定开支的 各类公务接待（含外宾接待）费用。</w:t>
      </w:r>
    </w:p>
    <w:p>
      <w:pPr>
        <w:ind w:firstLine="63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（六）机关运行经费支出：统计行政单位和参照公务员法管理 的事业单位使用一般公共预算财政拨款安排的基本支出中的日常公 用经费支出，主要包括办公费、印刷费、邮电费、差旅费、会议费、 福利费、日常维修费、专用材料、办公用房水电费、办公用房物业 管理费、公务用车运行维护费以及其他费用等。</w:t>
      </w:r>
    </w:p>
    <w:p>
      <w:pPr>
        <w:ind w:firstLine="630"/>
        <w:jc w:val="left"/>
        <w:rPr>
          <w:rFonts w:hint="eastAsia" w:ascii="仿宋_GB2312" w:hAnsi="仿宋_GB2312" w:eastAsia="仿宋_GB2312" w:cs="仿宋_GB2312"/>
          <w:sz w:val="28"/>
          <w:szCs w:val="28"/>
          <w:lang w:eastAsia="zh-CN"/>
        </w:rPr>
      </w:pPr>
    </w:p>
    <w:p>
      <w:pPr>
        <w:ind w:firstLine="630"/>
        <w:jc w:val="left"/>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D3E47A"/>
    <w:multiLevelType w:val="singleLevel"/>
    <w:tmpl w:val="C1D3E47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32341"/>
    <w:rsid w:val="076C4FC5"/>
    <w:rsid w:val="08066BF7"/>
    <w:rsid w:val="09892682"/>
    <w:rsid w:val="10B31B32"/>
    <w:rsid w:val="21714C9C"/>
    <w:rsid w:val="248A5B78"/>
    <w:rsid w:val="28FC09BC"/>
    <w:rsid w:val="352A495A"/>
    <w:rsid w:val="3CD40EBC"/>
    <w:rsid w:val="41C023F7"/>
    <w:rsid w:val="593325FE"/>
    <w:rsid w:val="5BD116F9"/>
    <w:rsid w:val="64962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rPr>
  </w:style>
  <w:style w:type="paragraph" w:customStyle="1" w:styleId="5">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emf"/><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DELL</cp:lastModifiedBy>
  <dcterms:modified xsi:type="dcterms:W3CDTF">2020-10-12T06:54:42Z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