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93C1">
      <w:pPr>
        <w:spacing w:line="600" w:lineRule="exact"/>
        <w:jc w:val="center"/>
        <w:rPr>
          <w:rFonts w:hint="eastAsia" w:ascii="黑体" w:eastAsia="黑体"/>
          <w:sz w:val="44"/>
          <w:szCs w:val="36"/>
        </w:rPr>
      </w:pPr>
      <w:r>
        <w:rPr>
          <w:rFonts w:hint="eastAsia" w:ascii="黑体" w:eastAsia="黑体"/>
          <w:sz w:val="44"/>
          <w:szCs w:val="36"/>
          <w:lang w:val="en-US" w:eastAsia="zh-CN"/>
        </w:rPr>
        <w:t>景德镇市林业局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0085AF89">
      <w:pPr>
        <w:spacing w:line="600" w:lineRule="exact"/>
        <w:jc w:val="center"/>
        <w:rPr>
          <w:rFonts w:hint="eastAsia" w:ascii="黑体" w:eastAsia="黑体"/>
          <w:sz w:val="44"/>
          <w:szCs w:val="36"/>
        </w:rPr>
      </w:pPr>
    </w:p>
    <w:p w14:paraId="4854ECA5">
      <w:pPr>
        <w:spacing w:line="600" w:lineRule="exact"/>
        <w:jc w:val="center"/>
        <w:rPr>
          <w:rFonts w:hint="eastAsia" w:ascii="黑体" w:eastAsia="黑体"/>
          <w:sz w:val="40"/>
          <w:szCs w:val="36"/>
        </w:rPr>
      </w:pPr>
      <w:r>
        <w:rPr>
          <w:rFonts w:hint="eastAsia" w:ascii="黑体" w:eastAsia="黑体"/>
          <w:sz w:val="40"/>
          <w:szCs w:val="36"/>
        </w:rPr>
        <w:t>目    录</w:t>
      </w:r>
    </w:p>
    <w:p w14:paraId="1FF639EE">
      <w:pPr>
        <w:widowControl/>
        <w:spacing w:line="600" w:lineRule="exact"/>
        <w:ind w:firstLine="640"/>
        <w:jc w:val="left"/>
        <w:rPr>
          <w:rFonts w:hint="eastAsia" w:ascii="仿宋_GB2312" w:eastAsia="仿宋_GB2312"/>
          <w:sz w:val="32"/>
          <w:szCs w:val="30"/>
        </w:rPr>
      </w:pPr>
    </w:p>
    <w:p w14:paraId="54B574E1">
      <w:pPr>
        <w:widowControl/>
        <w:spacing w:line="600" w:lineRule="exact"/>
        <w:ind w:firstLine="640"/>
        <w:jc w:val="left"/>
        <w:rPr>
          <w:rFonts w:hint="eastAsia" w:ascii="黑体" w:hAnsi="黑体" w:eastAsia="黑体"/>
          <w:b w:val="0"/>
          <w:bCs/>
          <w:sz w:val="32"/>
          <w:szCs w:val="32"/>
        </w:rPr>
      </w:pPr>
      <w:r>
        <w:rPr>
          <w:rFonts w:hint="eastAsia" w:ascii="黑体" w:hAnsi="黑体" w:eastAsia="黑体"/>
          <w:b w:val="0"/>
          <w:bCs/>
          <w:sz w:val="32"/>
          <w:szCs w:val="32"/>
        </w:rPr>
        <w:t xml:space="preserve">第一部分  </w:t>
      </w:r>
      <w:r>
        <w:rPr>
          <w:rFonts w:hint="eastAsia" w:ascii="黑体" w:hAnsi="黑体" w:eastAsia="黑体"/>
          <w:b w:val="0"/>
          <w:bCs/>
          <w:sz w:val="32"/>
          <w:szCs w:val="32"/>
          <w:lang w:val="en-US" w:eastAsia="zh-CN"/>
        </w:rPr>
        <w:t>景德镇市林业局部门</w:t>
      </w:r>
      <w:r>
        <w:rPr>
          <w:rFonts w:hint="eastAsia" w:ascii="黑体" w:hAnsi="黑体" w:eastAsia="黑体"/>
          <w:b w:val="0"/>
          <w:bCs/>
          <w:sz w:val="32"/>
          <w:szCs w:val="32"/>
        </w:rPr>
        <w:t>概况</w:t>
      </w:r>
    </w:p>
    <w:p w14:paraId="5FC5A811">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37EEEAB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34C357F1">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784A9BA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11406D8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526041E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2FC5CC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5848CA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71D2C22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90461D9">
      <w:pPr>
        <w:widowControl/>
        <w:spacing w:line="600" w:lineRule="exact"/>
        <w:ind w:firstLine="640"/>
        <w:jc w:val="left"/>
        <w:rPr>
          <w:rFonts w:hint="eastAsia" w:ascii="仿宋" w:hAnsi="仿宋" w:eastAsia="仿宋" w:cs="宋体"/>
          <w:snapToGrid w:val="0"/>
          <w:spacing w:val="-28"/>
          <w:kern w:val="0"/>
          <w:sz w:val="32"/>
          <w:szCs w:val="32"/>
        </w:rPr>
      </w:pPr>
      <w:r>
        <w:rPr>
          <w:rFonts w:hint="eastAsia" w:ascii="仿宋" w:hAnsi="仿宋" w:eastAsia="仿宋" w:cs="宋体"/>
          <w:kern w:val="0"/>
          <w:sz w:val="32"/>
          <w:szCs w:val="32"/>
        </w:rPr>
        <w:t xml:space="preserve">    七</w:t>
      </w:r>
      <w:r>
        <w:rPr>
          <w:rFonts w:hint="eastAsia" w:ascii="仿宋" w:hAnsi="仿宋" w:eastAsia="仿宋" w:cs="宋体"/>
          <w:spacing w:val="-28"/>
          <w:kern w:val="0"/>
          <w:sz w:val="32"/>
          <w:szCs w:val="32"/>
        </w:rPr>
        <w:t>、一般公</w:t>
      </w:r>
      <w:r>
        <w:rPr>
          <w:rFonts w:hint="eastAsia" w:ascii="仿宋" w:hAnsi="仿宋" w:eastAsia="仿宋" w:cs="宋体"/>
          <w:snapToGrid w:val="0"/>
          <w:spacing w:val="-28"/>
          <w:kern w:val="0"/>
          <w:sz w:val="32"/>
          <w:szCs w:val="32"/>
        </w:rPr>
        <w:t>共预算财政拨款“三公”经费支出决算表</w:t>
      </w:r>
    </w:p>
    <w:p w14:paraId="460956C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1E69FFD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52E2E0D3">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2583085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6DE48C8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E421CF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4D8461B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7CD524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793EB47">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2471B8A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28A49D3D">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631840F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62CDF640">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3F3CB7DC">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7838D19C">
      <w:pPr>
        <w:ind w:firstLine="630"/>
        <w:jc w:val="center"/>
        <w:rPr>
          <w:rFonts w:hint="eastAsia" w:ascii="宋体" w:hAnsi="宋体"/>
          <w:b/>
          <w:sz w:val="36"/>
          <w:szCs w:val="36"/>
        </w:rPr>
      </w:pPr>
    </w:p>
    <w:p w14:paraId="23841047">
      <w:pPr>
        <w:ind w:firstLine="630"/>
        <w:jc w:val="center"/>
        <w:rPr>
          <w:rFonts w:hint="eastAsia" w:ascii="宋体" w:hAnsi="宋体"/>
          <w:b/>
          <w:sz w:val="36"/>
          <w:szCs w:val="36"/>
        </w:rPr>
      </w:pPr>
    </w:p>
    <w:p w14:paraId="6ACCEDDB">
      <w:pPr>
        <w:ind w:firstLine="630"/>
        <w:jc w:val="center"/>
        <w:rPr>
          <w:rFonts w:hint="eastAsia" w:ascii="宋体" w:hAnsi="宋体"/>
          <w:b/>
          <w:sz w:val="36"/>
          <w:szCs w:val="36"/>
        </w:rPr>
      </w:pPr>
    </w:p>
    <w:p w14:paraId="446FA20F">
      <w:pPr>
        <w:ind w:firstLine="630"/>
        <w:jc w:val="center"/>
        <w:rPr>
          <w:rFonts w:hint="eastAsia" w:ascii="宋体" w:hAnsi="宋体"/>
          <w:b/>
          <w:sz w:val="36"/>
          <w:szCs w:val="36"/>
        </w:rPr>
      </w:pPr>
    </w:p>
    <w:p w14:paraId="74254542">
      <w:pPr>
        <w:ind w:firstLine="630"/>
        <w:jc w:val="center"/>
        <w:rPr>
          <w:rFonts w:hint="eastAsia" w:ascii="宋体" w:hAnsi="宋体"/>
          <w:b/>
          <w:sz w:val="36"/>
          <w:szCs w:val="36"/>
        </w:rPr>
      </w:pPr>
    </w:p>
    <w:p w14:paraId="3DC61317">
      <w:pPr>
        <w:ind w:firstLine="630"/>
        <w:jc w:val="center"/>
        <w:rPr>
          <w:rFonts w:hint="eastAsia" w:ascii="宋体" w:hAnsi="宋体"/>
          <w:b/>
          <w:sz w:val="36"/>
          <w:szCs w:val="36"/>
        </w:rPr>
      </w:pPr>
    </w:p>
    <w:p w14:paraId="6D49F6AA">
      <w:pPr>
        <w:ind w:firstLine="630"/>
        <w:jc w:val="center"/>
        <w:rPr>
          <w:rFonts w:hint="eastAsia" w:ascii="宋体" w:hAnsi="宋体"/>
          <w:b/>
          <w:sz w:val="36"/>
          <w:szCs w:val="36"/>
        </w:rPr>
      </w:pPr>
    </w:p>
    <w:p w14:paraId="52069FC2">
      <w:pPr>
        <w:ind w:firstLine="630"/>
        <w:jc w:val="center"/>
        <w:rPr>
          <w:rFonts w:hint="eastAsia" w:ascii="宋体" w:hAnsi="宋体"/>
          <w:b/>
          <w:sz w:val="36"/>
          <w:szCs w:val="36"/>
        </w:rPr>
      </w:pPr>
    </w:p>
    <w:p w14:paraId="57F022D2">
      <w:pPr>
        <w:jc w:val="both"/>
        <w:rPr>
          <w:rFonts w:hint="eastAsia" w:ascii="宋体" w:hAnsi="宋体"/>
          <w:b/>
          <w:sz w:val="36"/>
          <w:szCs w:val="36"/>
        </w:rPr>
      </w:pPr>
    </w:p>
    <w:p w14:paraId="2CDD8690">
      <w:pPr>
        <w:ind w:firstLine="630"/>
        <w:jc w:val="center"/>
        <w:rPr>
          <w:rFonts w:hint="eastAsia" w:ascii="宋体" w:hAnsi="宋体"/>
          <w:b/>
          <w:sz w:val="36"/>
          <w:szCs w:val="36"/>
        </w:rPr>
      </w:pPr>
    </w:p>
    <w:p w14:paraId="553EAF82">
      <w:pPr>
        <w:ind w:firstLine="630"/>
        <w:jc w:val="center"/>
        <w:rPr>
          <w:rFonts w:hint="eastAsia" w:ascii="宋体" w:hAnsi="宋体"/>
          <w:b/>
          <w:sz w:val="36"/>
          <w:szCs w:val="36"/>
        </w:rPr>
      </w:pPr>
    </w:p>
    <w:p w14:paraId="74B8D14F">
      <w:pPr>
        <w:ind w:firstLine="630"/>
        <w:jc w:val="center"/>
        <w:rPr>
          <w:rFonts w:hint="eastAsia" w:ascii="宋体" w:hAnsi="宋体"/>
          <w:b/>
          <w:sz w:val="36"/>
          <w:szCs w:val="36"/>
        </w:rPr>
      </w:pPr>
    </w:p>
    <w:p w14:paraId="5074E5B1">
      <w:pPr>
        <w:ind w:firstLine="630"/>
        <w:jc w:val="center"/>
        <w:rPr>
          <w:rFonts w:hint="eastAsia" w:ascii="宋体" w:hAnsi="宋体"/>
          <w:b/>
          <w:sz w:val="36"/>
          <w:szCs w:val="36"/>
        </w:rPr>
      </w:pPr>
    </w:p>
    <w:p w14:paraId="705BFCF0">
      <w:pPr>
        <w:ind w:firstLine="630"/>
        <w:jc w:val="center"/>
        <w:rPr>
          <w:rFonts w:hint="eastAsia" w:ascii="宋体" w:hAnsi="宋体"/>
          <w:b/>
          <w:sz w:val="36"/>
          <w:szCs w:val="36"/>
        </w:rPr>
      </w:pPr>
    </w:p>
    <w:p w14:paraId="2600E03B">
      <w:pPr>
        <w:ind w:firstLine="630"/>
        <w:jc w:val="center"/>
        <w:rPr>
          <w:rFonts w:hint="eastAsia" w:ascii="宋体" w:hAnsi="宋体"/>
          <w:b/>
          <w:sz w:val="36"/>
          <w:szCs w:val="36"/>
        </w:rPr>
      </w:pPr>
    </w:p>
    <w:p w14:paraId="5ABD9AF0">
      <w:pPr>
        <w:widowControl/>
        <w:spacing w:line="580" w:lineRule="exact"/>
        <w:jc w:val="center"/>
        <w:rPr>
          <w:rFonts w:hint="eastAsia" w:ascii="宋体" w:hAnsi="宋体"/>
          <w:b/>
          <w:sz w:val="32"/>
          <w:szCs w:val="30"/>
        </w:rPr>
      </w:pPr>
    </w:p>
    <w:p w14:paraId="617E4547">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景德镇市林业局</w:t>
      </w:r>
      <w:r>
        <w:rPr>
          <w:rFonts w:hint="eastAsia" w:ascii="宋体" w:hAnsi="宋体"/>
          <w:b/>
          <w:sz w:val="32"/>
          <w:szCs w:val="32"/>
        </w:rPr>
        <w:t>部门</w:t>
      </w:r>
      <w:r>
        <w:rPr>
          <w:rFonts w:hint="eastAsia" w:ascii="宋体" w:hAnsi="宋体"/>
          <w:b/>
          <w:sz w:val="32"/>
          <w:szCs w:val="30"/>
        </w:rPr>
        <w:t>概况</w:t>
      </w:r>
    </w:p>
    <w:p w14:paraId="69044761">
      <w:pPr>
        <w:ind w:firstLine="630"/>
        <w:jc w:val="center"/>
        <w:rPr>
          <w:rFonts w:hint="eastAsia"/>
          <w:sz w:val="32"/>
          <w:szCs w:val="32"/>
        </w:rPr>
      </w:pPr>
    </w:p>
    <w:p w14:paraId="4B007377">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74CFACFC">
      <w:pPr>
        <w:ind w:firstLine="600" w:firstLineChars="200"/>
        <w:rPr>
          <w:rFonts w:ascii="仿宋" w:hAnsi="仿宋" w:eastAsia="仿宋" w:cs="仿宋"/>
          <w:sz w:val="30"/>
          <w:szCs w:val="30"/>
        </w:rPr>
      </w:pPr>
      <w:r>
        <w:rPr>
          <w:rFonts w:hint="eastAsia" w:ascii="仿宋" w:hAnsi="仿宋" w:eastAsia="仿宋" w:cs="仿宋"/>
          <w:sz w:val="30"/>
          <w:szCs w:val="30"/>
        </w:rPr>
        <w:t>(1)负责全市林业和草地及其生态保护修复的监督管理。拟订全市林业和草地及其生态保护修复的地方性政策、规划,并组织实施。组织开展全市森林、湿地、草地、荒漠和陆生野生动植物资源动态监测与评价。</w:t>
      </w:r>
    </w:p>
    <w:p w14:paraId="0D0467CA">
      <w:pPr>
        <w:ind w:firstLine="600" w:firstLineChars="200"/>
        <w:rPr>
          <w:rFonts w:ascii="仿宋" w:hAnsi="仿宋" w:eastAsia="仿宋" w:cs="仿宋"/>
          <w:sz w:val="30"/>
          <w:szCs w:val="30"/>
        </w:rPr>
      </w:pPr>
      <w:r>
        <w:rPr>
          <w:rFonts w:hint="eastAsia" w:ascii="仿宋" w:hAnsi="仿宋" w:eastAsia="仿宋" w:cs="仿宋"/>
          <w:sz w:val="30"/>
          <w:szCs w:val="30"/>
        </w:rPr>
        <w:t>(2)组织全市林业和草地生态保护修复和造林绿化工作。组织实施林业和草地重点生态保护修复工程,指导公益林和商品林的培育,指导、监督全民义务植树、城乡绿化工作。指导植树道林、封山育林和以植树种草等生物措施防治水土流失工作。指导林业有害生物防治、检疫工作。承担林业应对气候变化的相关工作。</w:t>
      </w:r>
    </w:p>
    <w:p w14:paraId="78D8CD76">
      <w:pPr>
        <w:ind w:firstLine="600" w:firstLineChars="200"/>
        <w:rPr>
          <w:rFonts w:ascii="仿宋" w:hAnsi="仿宋" w:eastAsia="仿宋" w:cs="仿宋"/>
          <w:sz w:val="30"/>
          <w:szCs w:val="30"/>
        </w:rPr>
      </w:pPr>
      <w:r>
        <w:rPr>
          <w:rFonts w:hint="eastAsia" w:ascii="仿宋" w:hAnsi="仿宋" w:eastAsia="仿宋" w:cs="仿宋"/>
          <w:sz w:val="30"/>
          <w:szCs w:val="30"/>
        </w:rPr>
        <w:t>(3)负责全市森林、湿地、草地资源的监督管理。组织编制并监督执行全市森林采伐限额。负责林地管理,组织编制全市县级林地保护利用规划并组织实施。组织开展国家、省级和市级公益林划定和管理工作,监督管理国有森林资源。负责草地草畜平衡和草地生态修复治理工作,监督管理草地的开发利用。负责湿地生态保护修复工作,拟订全市湿地保护规划,组织实施建立湿地公园等保护管理工作,监督管理湿地的开发利用。</w:t>
      </w:r>
    </w:p>
    <w:p w14:paraId="25268DA1">
      <w:pPr>
        <w:ind w:firstLine="600" w:firstLineChars="200"/>
        <w:rPr>
          <w:rFonts w:ascii="仿宋" w:hAnsi="仿宋" w:eastAsia="仿宋" w:cs="仿宋"/>
          <w:sz w:val="30"/>
          <w:szCs w:val="30"/>
        </w:rPr>
      </w:pPr>
      <w:r>
        <w:rPr>
          <w:rFonts w:hint="eastAsia" w:ascii="仿宋" w:hAnsi="仿宋" w:eastAsia="仿宋" w:cs="仿宋"/>
          <w:sz w:val="30"/>
          <w:szCs w:val="30"/>
        </w:rPr>
        <w:t>(4)负责监督管理全市防沙治沙工作。组织开展沙化土地调查,组织拟订防沙治汐、沙化土地封禁保护区建设规划,监督管理沙化土地的开发利用。</w:t>
      </w:r>
    </w:p>
    <w:p w14:paraId="4BBECC03">
      <w:pPr>
        <w:ind w:firstLine="600" w:firstLineChars="200"/>
        <w:rPr>
          <w:rFonts w:ascii="仿宋" w:hAnsi="仿宋" w:eastAsia="仿宋" w:cs="仿宋"/>
          <w:sz w:val="30"/>
          <w:szCs w:val="30"/>
        </w:rPr>
      </w:pPr>
      <w:r>
        <w:rPr>
          <w:rFonts w:hint="eastAsia" w:ascii="仿宋" w:hAnsi="仿宋" w:eastAsia="仿宋" w:cs="仿宋"/>
          <w:sz w:val="30"/>
          <w:szCs w:val="30"/>
        </w:rPr>
        <w:t>(5)负责全市陆生野生动植物资源监督管理。指导全市陆生野生动植物资源的保护和合理开发利用。指导陆生野生动植物的救护繁育、栖息地恢复发展、疫源疫病监测,监督管理陆生野生动植物猎捕或采集、驯养繁殖或培植、经营利用。</w:t>
      </w:r>
    </w:p>
    <w:p w14:paraId="5E6BBEC7">
      <w:pPr>
        <w:ind w:firstLine="600" w:firstLineChars="200"/>
        <w:rPr>
          <w:rFonts w:ascii="仿宋" w:hAnsi="仿宋" w:eastAsia="仿宋" w:cs="仿宋"/>
          <w:sz w:val="30"/>
          <w:szCs w:val="30"/>
        </w:rPr>
      </w:pPr>
      <w:r>
        <w:rPr>
          <w:rFonts w:hint="eastAsia" w:ascii="仿宋" w:hAnsi="仿宋" w:eastAsia="仿宋" w:cs="仿宋"/>
          <w:sz w:val="30"/>
          <w:szCs w:val="30"/>
        </w:rPr>
        <w:t>(6)负责监督管理全市各类自然保护地、风景名胜区、自然遗产、地质公园。拟订各类自然保护地、风景名胜区、自然遗产、地质公园的规划。提出新建、调整各类国家级、省级自然保护地、风景名胜区、自然遗产、地质公园等的审核建议并按程序报批,组织审核世界自然遗产的申报,会同有关部门审核世界自然与文化双重遗产的申报。负责生物多样性保护相关工作。</w:t>
      </w:r>
    </w:p>
    <w:p w14:paraId="5F59B8C8">
      <w:pPr>
        <w:ind w:firstLine="600" w:firstLineChars="200"/>
        <w:rPr>
          <w:rFonts w:ascii="仿宋" w:hAnsi="仿宋" w:eastAsia="仿宋" w:cs="仿宋"/>
          <w:sz w:val="30"/>
          <w:szCs w:val="30"/>
        </w:rPr>
      </w:pPr>
      <w:r>
        <w:rPr>
          <w:rFonts w:hint="eastAsia" w:ascii="仿宋" w:hAnsi="仿宋" w:eastAsia="仿宋" w:cs="仿宋"/>
          <w:sz w:val="30"/>
          <w:szCs w:val="30"/>
        </w:rPr>
        <w:t>(7)负责推进全市林业和草地改革相关工作。拟订全市集体林权制度、国有林场等重大林业改革实施意见并监督实施。监督指导农村林业发展、维护林业经营者合法权益,指导农村林地承包经营工作。开展退耕还林,负责天然林保护工作。</w:t>
      </w:r>
    </w:p>
    <w:p w14:paraId="71141A97">
      <w:pPr>
        <w:ind w:firstLine="600" w:firstLineChars="200"/>
        <w:rPr>
          <w:rFonts w:ascii="仿宋" w:hAnsi="仿宋" w:eastAsia="仿宋" w:cs="仿宋"/>
          <w:sz w:val="30"/>
          <w:szCs w:val="30"/>
        </w:rPr>
      </w:pPr>
      <w:r>
        <w:rPr>
          <w:rFonts w:hint="eastAsia" w:ascii="仿宋" w:hAnsi="仿宋" w:eastAsia="仿宋" w:cs="仿宋"/>
          <w:sz w:val="30"/>
          <w:szCs w:val="30"/>
        </w:rPr>
        <w:t>(8)拟订全市林业产业发展规划和产业政策,指导和推动林业产业高质量发展。依法负责对全市林区林业专用公路的管理。制定林业和草地资源优化配置及木材利用措施,指导、协调林产品质量监督。指导生态扶贫相关工作。</w:t>
      </w:r>
    </w:p>
    <w:p w14:paraId="375DD62D">
      <w:pPr>
        <w:ind w:firstLine="600" w:firstLineChars="200"/>
        <w:rPr>
          <w:rFonts w:ascii="仿宋" w:hAnsi="仿宋" w:eastAsia="仿宋" w:cs="仿宋"/>
          <w:sz w:val="30"/>
          <w:szCs w:val="30"/>
        </w:rPr>
      </w:pPr>
      <w:r>
        <w:rPr>
          <w:rFonts w:hint="eastAsia" w:ascii="仿宋" w:hAnsi="仿宋" w:eastAsia="仿宋" w:cs="仿宋"/>
          <w:sz w:val="30"/>
          <w:szCs w:val="30"/>
        </w:rPr>
        <w:t>(9)指导全市国有林场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14:paraId="38CFF3F3">
      <w:pPr>
        <w:ind w:firstLine="600" w:firstLineChars="200"/>
        <w:rPr>
          <w:rFonts w:ascii="仿宋" w:hAnsi="仿宋" w:eastAsia="仿宋" w:cs="仿宋"/>
          <w:sz w:val="30"/>
          <w:szCs w:val="30"/>
        </w:rPr>
      </w:pPr>
      <w:r>
        <w:rPr>
          <w:rFonts w:hint="eastAsia" w:ascii="仿宋" w:hAnsi="仿宋" w:eastAsia="仿宋" w:cs="仿宋"/>
          <w:sz w:val="30"/>
          <w:szCs w:val="30"/>
        </w:rPr>
        <w:t>(10)负责落实综合防灾减灾规划相关要求,组织编制森林和草地火灾防治规划和防护标准并指导实施,指导开展森林防火巡护、火源管理、防火设施建设等工作。组织指导国有林场开展宣传教育、监测预警、督促检查等防火工作。必要时,可以提请市应急管理局,以市应急指挥机构名义,部署相关防治工作。</w:t>
      </w:r>
    </w:p>
    <w:p w14:paraId="366D4CA4">
      <w:pPr>
        <w:ind w:firstLine="600" w:firstLineChars="200"/>
        <w:rPr>
          <w:rFonts w:ascii="仿宋" w:hAnsi="仿宋" w:eastAsia="仿宋" w:cs="仿宋"/>
          <w:sz w:val="30"/>
          <w:szCs w:val="30"/>
        </w:rPr>
      </w:pPr>
      <w:r>
        <w:rPr>
          <w:rFonts w:hint="eastAsia" w:ascii="仿宋" w:hAnsi="仿宋" w:eastAsia="仿宋" w:cs="仿宋"/>
          <w:sz w:val="30"/>
          <w:szCs w:val="30"/>
        </w:rPr>
        <w:t>(11)承担林业安全生产监督管理职责。指导、协调林业企事业单位的森林采伐和林产品加工生产经营中的安全监督管理工作,负责所属企事业单位的安全生产管理。</w:t>
      </w:r>
    </w:p>
    <w:p w14:paraId="438514D2">
      <w:pPr>
        <w:ind w:firstLine="600" w:firstLineChars="200"/>
        <w:rPr>
          <w:rFonts w:ascii="仿宋" w:hAnsi="仿宋" w:eastAsia="仿宋" w:cs="仿宋"/>
          <w:sz w:val="30"/>
          <w:szCs w:val="30"/>
        </w:rPr>
      </w:pPr>
      <w:r>
        <w:rPr>
          <w:rFonts w:hint="eastAsia" w:ascii="仿宋" w:hAnsi="仿宋" w:eastAsia="仿宋" w:cs="仿宋"/>
          <w:sz w:val="30"/>
          <w:szCs w:val="30"/>
        </w:rPr>
        <w:t>(12)负责林业行业生态环境保护和节能减排主作,督促指导相关单位落实生态环境保护责任制。</w:t>
      </w:r>
    </w:p>
    <w:p w14:paraId="5BE1C051">
      <w:pPr>
        <w:ind w:firstLine="600" w:firstLineChars="200"/>
        <w:rPr>
          <w:rFonts w:hint="eastAsia" w:ascii="仿宋" w:hAnsi="仿宋" w:eastAsia="仿宋" w:cs="仿宋"/>
          <w:sz w:val="30"/>
          <w:szCs w:val="30"/>
        </w:rPr>
      </w:pPr>
      <w:r>
        <w:rPr>
          <w:rFonts w:hint="eastAsia" w:ascii="仿宋" w:hAnsi="仿宋" w:eastAsia="仿宋" w:cs="仿宋"/>
          <w:sz w:val="30"/>
          <w:szCs w:val="30"/>
        </w:rPr>
        <w:t>(13)监督管理林业和草地项目资金和国有资产,提出林业和草地预算内投资、市级财政性资金安排建议。指导全市林业基本建设工作,组织申报重点林业建设项目。参与拟订林业和经济调节政策,组织实施林业和草地生态补偿工作。</w:t>
      </w:r>
    </w:p>
    <w:p w14:paraId="001974C2">
      <w:pPr>
        <w:ind w:firstLine="600" w:firstLineChars="200"/>
        <w:rPr>
          <w:rFonts w:hint="eastAsia" w:ascii="仿宋" w:hAnsi="仿宋" w:eastAsia="仿宋" w:cs="仿宋"/>
          <w:sz w:val="30"/>
          <w:szCs w:val="30"/>
        </w:rPr>
      </w:pPr>
      <w:r>
        <w:rPr>
          <w:rFonts w:hint="eastAsia" w:ascii="仿宋" w:hAnsi="仿宋" w:eastAsia="仿宋" w:cs="仿宋"/>
          <w:sz w:val="30"/>
          <w:szCs w:val="30"/>
        </w:rPr>
        <w:t>（14）负责全市林业系统科技、教育工作,指导全市林业系统人才队伍建设,组织实施林业国际交流与合作事务,承担湿地、防治荒漠化、濒危野生动植物等国际公约景德镇履约工作。</w:t>
      </w:r>
    </w:p>
    <w:p w14:paraId="4209A8D3">
      <w:pPr>
        <w:ind w:firstLine="600" w:firstLineChars="200"/>
        <w:rPr>
          <w:rFonts w:hint="eastAsia" w:ascii="仿宋" w:hAnsi="仿宋" w:eastAsia="仿宋" w:cs="仿宋"/>
          <w:sz w:val="30"/>
          <w:szCs w:val="30"/>
        </w:rPr>
      </w:pPr>
      <w:r>
        <w:rPr>
          <w:rFonts w:hint="eastAsia" w:ascii="仿宋" w:hAnsi="仿宋" w:eastAsia="仿宋" w:cs="仿宋"/>
          <w:sz w:val="30"/>
          <w:szCs w:val="30"/>
        </w:rPr>
        <w:t>（15）完成市委、市政府交办的共他任务。</w:t>
      </w:r>
    </w:p>
    <w:p w14:paraId="52395ACC">
      <w:pPr>
        <w:ind w:firstLine="600" w:firstLineChars="200"/>
        <w:rPr>
          <w:rFonts w:hint="eastAsia" w:ascii="仿宋" w:hAnsi="仿宋" w:eastAsia="仿宋" w:cs="仿宋"/>
          <w:sz w:val="32"/>
          <w:szCs w:val="32"/>
        </w:rPr>
      </w:pPr>
      <w:r>
        <w:rPr>
          <w:rFonts w:hint="eastAsia" w:ascii="仿宋" w:hAnsi="仿宋" w:eastAsia="仿宋" w:cs="仿宋"/>
          <w:sz w:val="30"/>
          <w:szCs w:val="30"/>
        </w:rPr>
        <w:t>（16）职能转变。市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市各类自然保护地、风景名胜区、地质公园的清理规范和归并整合,构建统一规范高效、具有景德镇特色的国家公园体制。</w:t>
      </w:r>
    </w:p>
    <w:p w14:paraId="4D0B9652">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0117E6FC">
      <w:pPr>
        <w:ind w:firstLine="600" w:firstLineChars="200"/>
        <w:rPr>
          <w:rFonts w:hint="eastAsia" w:ascii="仿宋" w:hAnsi="仿宋" w:eastAsia="仿宋" w:cs="仿宋"/>
          <w:sz w:val="30"/>
          <w:szCs w:val="30"/>
        </w:rPr>
      </w:pPr>
      <w:r>
        <w:rPr>
          <w:rFonts w:hint="eastAsia" w:ascii="仿宋" w:hAnsi="仿宋" w:eastAsia="仿宋" w:cs="仿宋"/>
          <w:sz w:val="30"/>
          <w:szCs w:val="30"/>
        </w:rPr>
        <w:t>纳入本套部门决算汇编范围的单位共</w:t>
      </w:r>
      <w:r>
        <w:rPr>
          <w:rFonts w:hint="eastAsia" w:ascii="仿宋" w:hAnsi="仿宋" w:eastAsia="仿宋" w:cs="仿宋"/>
          <w:sz w:val="30"/>
          <w:szCs w:val="30"/>
          <w:lang w:val="en-US" w:eastAsia="zh-CN"/>
        </w:rPr>
        <w:t>10</w:t>
      </w:r>
      <w:r>
        <w:rPr>
          <w:rFonts w:hint="eastAsia" w:ascii="仿宋" w:hAnsi="仿宋" w:eastAsia="仿宋" w:cs="仿宋"/>
          <w:sz w:val="30"/>
          <w:szCs w:val="30"/>
        </w:rPr>
        <w:t>个，包括：10个，即局本级（市林业工作站及林木种苗站挂靠市林业局，未单独核算）和9个二级单位，包括市野生动植物保护管理局、市林业有害生物防治检疫局、市木材流通监督管理局三个参公单位，市森林资源监测中心、市林业产业发展管理局、市林业综合执法支队、市林业科学研究所（含市林业技术推广站）、市枫树山林场五个全额拨款事业单位，市苗圃一个差额拨款事业单位，与上年相比无增减。</w:t>
      </w:r>
    </w:p>
    <w:p w14:paraId="6093FFBB">
      <w:pPr>
        <w:ind w:firstLine="600" w:firstLineChars="200"/>
        <w:rPr>
          <w:rFonts w:hint="default" w:ascii="仿宋" w:hAnsi="仿宋" w:eastAsia="仿宋" w:cs="仿宋"/>
          <w:sz w:val="30"/>
          <w:szCs w:val="30"/>
          <w:lang w:val="en-US"/>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年年末实有人数</w:t>
      </w:r>
      <w:r>
        <w:rPr>
          <w:rFonts w:hint="eastAsia" w:ascii="仿宋" w:hAnsi="仿宋" w:eastAsia="仿宋" w:cs="仿宋"/>
          <w:sz w:val="30"/>
          <w:szCs w:val="30"/>
          <w:lang w:val="en-US" w:eastAsia="zh-CN"/>
        </w:rPr>
        <w:t>546</w:t>
      </w:r>
      <w:r>
        <w:rPr>
          <w:rFonts w:hint="eastAsia" w:ascii="仿宋" w:hAnsi="仿宋" w:eastAsia="仿宋" w:cs="仿宋"/>
          <w:sz w:val="30"/>
          <w:szCs w:val="30"/>
        </w:rPr>
        <w:t>人，其中在职人员</w:t>
      </w:r>
      <w:r>
        <w:rPr>
          <w:rFonts w:hint="eastAsia" w:ascii="仿宋" w:hAnsi="仿宋" w:eastAsia="仿宋" w:cs="仿宋"/>
          <w:sz w:val="30"/>
          <w:szCs w:val="30"/>
          <w:lang w:val="en-US" w:eastAsia="zh-CN"/>
        </w:rPr>
        <w:t>442</w:t>
      </w:r>
      <w:r>
        <w:rPr>
          <w:rFonts w:hint="eastAsia" w:ascii="仿宋" w:hAnsi="仿宋" w:eastAsia="仿宋" w:cs="仿宋"/>
          <w:sz w:val="30"/>
          <w:szCs w:val="30"/>
        </w:rPr>
        <w:t>人，离休人员</w:t>
      </w:r>
      <w:r>
        <w:rPr>
          <w:rFonts w:hint="eastAsia" w:ascii="仿宋" w:hAnsi="仿宋" w:eastAsia="仿宋" w:cs="仿宋"/>
          <w:sz w:val="30"/>
          <w:szCs w:val="30"/>
          <w:lang w:val="en-US" w:eastAsia="zh-CN"/>
        </w:rPr>
        <w:t>1</w:t>
      </w:r>
      <w:r>
        <w:rPr>
          <w:rFonts w:hint="eastAsia" w:ascii="仿宋" w:hAnsi="仿宋" w:eastAsia="仿宋" w:cs="仿宋"/>
          <w:sz w:val="30"/>
          <w:szCs w:val="30"/>
        </w:rPr>
        <w:t>人，退休人员</w:t>
      </w:r>
      <w:r>
        <w:rPr>
          <w:rFonts w:hint="eastAsia" w:ascii="仿宋" w:hAnsi="仿宋" w:eastAsia="仿宋" w:cs="仿宋"/>
          <w:sz w:val="30"/>
          <w:szCs w:val="30"/>
          <w:lang w:val="en-US" w:eastAsia="zh-CN"/>
        </w:rPr>
        <w:t>103</w:t>
      </w:r>
      <w:r>
        <w:rPr>
          <w:rFonts w:hint="eastAsia" w:ascii="仿宋" w:hAnsi="仿宋" w:eastAsia="仿宋" w:cs="仿宋"/>
          <w:sz w:val="30"/>
          <w:szCs w:val="30"/>
        </w:rPr>
        <w:t>人；</w:t>
      </w:r>
      <w:r>
        <w:rPr>
          <w:rFonts w:hint="eastAsia" w:ascii="仿宋" w:hAnsi="仿宋" w:eastAsia="仿宋" w:cs="仿宋"/>
          <w:sz w:val="30"/>
          <w:szCs w:val="30"/>
          <w:lang w:val="en-US" w:eastAsia="zh-CN"/>
        </w:rPr>
        <w:t>年末其他人员0人；</w:t>
      </w:r>
      <w:r>
        <w:rPr>
          <w:rFonts w:hint="eastAsia" w:ascii="仿宋" w:hAnsi="仿宋" w:eastAsia="仿宋" w:cs="仿宋"/>
          <w:sz w:val="30"/>
          <w:szCs w:val="30"/>
        </w:rPr>
        <w:t>年末学生人数</w:t>
      </w:r>
      <w:r>
        <w:rPr>
          <w:rFonts w:hint="eastAsia" w:ascii="仿宋" w:hAnsi="仿宋" w:eastAsia="仿宋" w:cs="仿宋"/>
          <w:sz w:val="30"/>
          <w:szCs w:val="30"/>
          <w:lang w:val="en-US" w:eastAsia="zh-CN"/>
        </w:rPr>
        <w:t>0</w:t>
      </w:r>
      <w:r>
        <w:rPr>
          <w:rFonts w:hint="eastAsia" w:ascii="仿宋" w:hAnsi="仿宋" w:eastAsia="仿宋" w:cs="仿宋"/>
          <w:sz w:val="30"/>
          <w:szCs w:val="30"/>
        </w:rPr>
        <w:t>人。</w:t>
      </w:r>
      <w:r>
        <w:rPr>
          <w:rFonts w:hint="eastAsia" w:ascii="仿宋" w:hAnsi="仿宋" w:eastAsia="仿宋" w:cs="仿宋"/>
          <w:sz w:val="30"/>
          <w:szCs w:val="30"/>
          <w:lang w:val="en-US" w:eastAsia="zh-CN"/>
        </w:rPr>
        <w:t>另未含枫树山林场1394人进入社保。</w:t>
      </w:r>
    </w:p>
    <w:p w14:paraId="43C5C5E5">
      <w:pPr>
        <w:ind w:firstLine="600" w:firstLineChars="200"/>
        <w:rPr>
          <w:rFonts w:hint="eastAsia" w:ascii="仿宋" w:hAnsi="仿宋" w:eastAsia="仿宋" w:cs="仿宋"/>
          <w:sz w:val="30"/>
          <w:szCs w:val="30"/>
        </w:rPr>
      </w:pPr>
    </w:p>
    <w:p w14:paraId="0F746AE9">
      <w:pPr>
        <w:ind w:firstLine="630"/>
        <w:jc w:val="left"/>
        <w:rPr>
          <w:rFonts w:hint="eastAsia" w:ascii="仿宋" w:hAnsi="仿宋" w:eastAsia="仿宋"/>
          <w:sz w:val="30"/>
          <w:szCs w:val="30"/>
        </w:rPr>
      </w:pPr>
    </w:p>
    <w:p w14:paraId="0E9382EF">
      <w:pPr>
        <w:widowControl/>
        <w:spacing w:line="600" w:lineRule="exact"/>
        <w:ind w:firstLine="640"/>
        <w:jc w:val="center"/>
        <w:rPr>
          <w:rFonts w:hint="eastAsia" w:ascii="宋体" w:hAnsi="宋体"/>
          <w:b/>
          <w:sz w:val="32"/>
          <w:szCs w:val="32"/>
        </w:rPr>
      </w:pPr>
    </w:p>
    <w:p w14:paraId="6A34ECED">
      <w:pPr>
        <w:widowControl/>
        <w:spacing w:line="600" w:lineRule="exact"/>
        <w:ind w:firstLine="640"/>
        <w:jc w:val="center"/>
        <w:rPr>
          <w:rFonts w:hint="eastAsia" w:ascii="宋体" w:hAnsi="宋体"/>
          <w:b/>
          <w:sz w:val="32"/>
          <w:szCs w:val="32"/>
        </w:rPr>
      </w:pPr>
    </w:p>
    <w:p w14:paraId="62416F7E">
      <w:pPr>
        <w:widowControl/>
        <w:spacing w:line="600" w:lineRule="exact"/>
        <w:ind w:firstLine="640"/>
        <w:jc w:val="center"/>
        <w:rPr>
          <w:rFonts w:hint="eastAsia" w:ascii="宋体" w:hAnsi="宋体"/>
          <w:b/>
          <w:sz w:val="32"/>
          <w:szCs w:val="32"/>
        </w:rPr>
      </w:pPr>
    </w:p>
    <w:p w14:paraId="0A7A7272">
      <w:pPr>
        <w:widowControl/>
        <w:spacing w:line="600" w:lineRule="exact"/>
        <w:jc w:val="both"/>
        <w:rPr>
          <w:rFonts w:hint="eastAsia" w:ascii="宋体" w:hAnsi="宋体"/>
          <w:b/>
          <w:sz w:val="32"/>
          <w:szCs w:val="32"/>
        </w:rPr>
      </w:pPr>
    </w:p>
    <w:p w14:paraId="5AC93F08">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36A5130B">
      <w:pPr>
        <w:autoSpaceDE w:val="0"/>
        <w:autoSpaceDN w:val="0"/>
        <w:adjustRightInd w:val="0"/>
        <w:spacing w:line="360" w:lineRule="auto"/>
        <w:jc w:val="left"/>
        <w:rPr>
          <w:rFonts w:hint="eastAsia"/>
          <w:szCs w:val="30"/>
        </w:rPr>
      </w:pPr>
    </w:p>
    <w:p w14:paraId="3697E19E">
      <w:pPr>
        <w:autoSpaceDE w:val="0"/>
        <w:autoSpaceDN w:val="0"/>
        <w:adjustRightInd w:val="0"/>
        <w:spacing w:line="360" w:lineRule="auto"/>
        <w:jc w:val="left"/>
        <w:rPr>
          <w:rFonts w:hint="eastAsia"/>
          <w:szCs w:val="30"/>
        </w:rPr>
      </w:pPr>
      <w:r>
        <w:drawing>
          <wp:inline distT="0" distB="0" distL="114300" distR="114300">
            <wp:extent cx="5268595" cy="7526020"/>
            <wp:effectExtent l="0" t="0" r="8255" b="1778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5268595" cy="7526020"/>
                    </a:xfrm>
                    <a:prstGeom prst="rect">
                      <a:avLst/>
                    </a:prstGeom>
                    <a:noFill/>
                    <a:ln>
                      <a:noFill/>
                    </a:ln>
                  </pic:spPr>
                </pic:pic>
              </a:graphicData>
            </a:graphic>
          </wp:inline>
        </w:drawing>
      </w:r>
    </w:p>
    <w:p w14:paraId="75CA148A">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1135" cy="8460740"/>
            <wp:effectExtent l="0" t="0" r="5715" b="1651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6">
                      <a:lum bright="-18000" contrast="18000"/>
                    </a:blip>
                    <a:stretch>
                      <a:fillRect/>
                    </a:stretch>
                  </pic:blipFill>
                  <pic:spPr>
                    <a:xfrm>
                      <a:off x="0" y="0"/>
                      <a:ext cx="5271135" cy="8460740"/>
                    </a:xfrm>
                    <a:prstGeom prst="rect">
                      <a:avLst/>
                    </a:prstGeom>
                    <a:noFill/>
                    <a:ln>
                      <a:noFill/>
                    </a:ln>
                  </pic:spPr>
                </pic:pic>
              </a:graphicData>
            </a:graphic>
          </wp:inline>
        </w:drawing>
      </w:r>
    </w:p>
    <w:p w14:paraId="01C51834">
      <w:pPr>
        <w:autoSpaceDE w:val="0"/>
        <w:autoSpaceDN w:val="0"/>
        <w:adjustRightInd w:val="0"/>
        <w:spacing w:line="360" w:lineRule="auto"/>
        <w:jc w:val="left"/>
        <w:rPr>
          <w:rFonts w:hint="eastAsia" w:ascii="仿宋" w:hAnsi="仿宋" w:eastAsia="仿宋" w:cs="仿宋_GB2312"/>
          <w:kern w:val="0"/>
          <w:sz w:val="30"/>
          <w:szCs w:val="30"/>
        </w:rPr>
      </w:pPr>
    </w:p>
    <w:p w14:paraId="7848CB0F">
      <w:pPr>
        <w:autoSpaceDE w:val="0"/>
        <w:autoSpaceDN w:val="0"/>
        <w:adjustRightInd w:val="0"/>
        <w:spacing w:line="360" w:lineRule="auto"/>
        <w:jc w:val="left"/>
        <w:rPr>
          <w:rFonts w:hint="eastAsia"/>
          <w:szCs w:val="30"/>
        </w:rPr>
      </w:pPr>
      <w:r>
        <w:drawing>
          <wp:inline distT="0" distB="0" distL="114300" distR="114300">
            <wp:extent cx="5270500" cy="8662035"/>
            <wp:effectExtent l="0" t="0" r="6350" b="571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7">
                      <a:lum bright="-12000" contrast="18000"/>
                    </a:blip>
                    <a:stretch>
                      <a:fillRect/>
                    </a:stretch>
                  </pic:blipFill>
                  <pic:spPr>
                    <a:xfrm>
                      <a:off x="0" y="0"/>
                      <a:ext cx="5270500" cy="8662035"/>
                    </a:xfrm>
                    <a:prstGeom prst="rect">
                      <a:avLst/>
                    </a:prstGeom>
                    <a:noFill/>
                    <a:ln>
                      <a:noFill/>
                    </a:ln>
                  </pic:spPr>
                </pic:pic>
              </a:graphicData>
            </a:graphic>
          </wp:inline>
        </w:drawing>
      </w:r>
    </w:p>
    <w:p w14:paraId="7EC65D33">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69865" cy="8622030"/>
            <wp:effectExtent l="0" t="0" r="6985" b="762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lum bright="-6000" contrast="6000"/>
                    </a:blip>
                    <a:stretch>
                      <a:fillRect/>
                    </a:stretch>
                  </pic:blipFill>
                  <pic:spPr>
                    <a:xfrm>
                      <a:off x="0" y="0"/>
                      <a:ext cx="5269865" cy="8622030"/>
                    </a:xfrm>
                    <a:prstGeom prst="rect">
                      <a:avLst/>
                    </a:prstGeom>
                    <a:noFill/>
                    <a:ln>
                      <a:noFill/>
                    </a:ln>
                  </pic:spPr>
                </pic:pic>
              </a:graphicData>
            </a:graphic>
          </wp:inline>
        </w:drawing>
      </w:r>
    </w:p>
    <w:p w14:paraId="3627D20F">
      <w:pPr>
        <w:autoSpaceDE w:val="0"/>
        <w:autoSpaceDN w:val="0"/>
        <w:adjustRightInd w:val="0"/>
        <w:spacing w:line="360" w:lineRule="auto"/>
        <w:jc w:val="left"/>
        <w:rPr>
          <w:rFonts w:hint="eastAsia"/>
          <w:szCs w:val="30"/>
        </w:rPr>
      </w:pPr>
      <w:r>
        <w:drawing>
          <wp:inline distT="0" distB="0" distL="114300" distR="114300">
            <wp:extent cx="5270500" cy="8572500"/>
            <wp:effectExtent l="0" t="0" r="635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5270500" cy="8572500"/>
                    </a:xfrm>
                    <a:prstGeom prst="rect">
                      <a:avLst/>
                    </a:prstGeom>
                    <a:noFill/>
                    <a:ln>
                      <a:noFill/>
                    </a:ln>
                  </pic:spPr>
                </pic:pic>
              </a:graphicData>
            </a:graphic>
          </wp:inline>
        </w:drawing>
      </w:r>
    </w:p>
    <w:p w14:paraId="09A97BB4">
      <w:pPr>
        <w:autoSpaceDE w:val="0"/>
        <w:autoSpaceDN w:val="0"/>
        <w:adjustRightInd w:val="0"/>
        <w:spacing w:line="360" w:lineRule="auto"/>
        <w:jc w:val="left"/>
        <w:rPr>
          <w:rFonts w:hint="eastAsia"/>
          <w:szCs w:val="30"/>
        </w:rPr>
      </w:pPr>
      <w:r>
        <w:drawing>
          <wp:inline distT="0" distB="0" distL="114300" distR="114300">
            <wp:extent cx="5266690" cy="8761095"/>
            <wp:effectExtent l="0" t="0" r="10160" b="190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0">
                      <a:lum bright="-6000"/>
                    </a:blip>
                    <a:stretch>
                      <a:fillRect/>
                    </a:stretch>
                  </pic:blipFill>
                  <pic:spPr>
                    <a:xfrm>
                      <a:off x="0" y="0"/>
                      <a:ext cx="5266690" cy="8761095"/>
                    </a:xfrm>
                    <a:prstGeom prst="rect">
                      <a:avLst/>
                    </a:prstGeom>
                    <a:noFill/>
                    <a:ln>
                      <a:noFill/>
                    </a:ln>
                  </pic:spPr>
                </pic:pic>
              </a:graphicData>
            </a:graphic>
          </wp:inline>
        </w:drawing>
      </w:r>
    </w:p>
    <w:p w14:paraId="45735BBC">
      <w:pPr>
        <w:autoSpaceDE w:val="0"/>
        <w:autoSpaceDN w:val="0"/>
        <w:adjustRightInd w:val="0"/>
        <w:spacing w:line="360" w:lineRule="auto"/>
        <w:jc w:val="left"/>
      </w:pPr>
    </w:p>
    <w:p w14:paraId="79D608C9">
      <w:pPr>
        <w:autoSpaceDE w:val="0"/>
        <w:autoSpaceDN w:val="0"/>
        <w:adjustRightInd w:val="0"/>
        <w:spacing w:line="360" w:lineRule="auto"/>
        <w:jc w:val="left"/>
        <w:rPr>
          <w:rFonts w:hint="eastAsia"/>
          <w:szCs w:val="30"/>
        </w:rPr>
      </w:pPr>
      <w:r>
        <w:drawing>
          <wp:inline distT="0" distB="0" distL="114300" distR="114300">
            <wp:extent cx="5219700" cy="8276590"/>
            <wp:effectExtent l="0" t="0" r="0" b="1016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1"/>
                    <a:stretch>
                      <a:fillRect/>
                    </a:stretch>
                  </pic:blipFill>
                  <pic:spPr>
                    <a:xfrm>
                      <a:off x="0" y="0"/>
                      <a:ext cx="5219700" cy="8276590"/>
                    </a:xfrm>
                    <a:prstGeom prst="rect">
                      <a:avLst/>
                    </a:prstGeom>
                    <a:noFill/>
                    <a:ln>
                      <a:noFill/>
                    </a:ln>
                  </pic:spPr>
                </pic:pic>
              </a:graphicData>
            </a:graphic>
          </wp:inline>
        </w:drawing>
      </w:r>
    </w:p>
    <w:p w14:paraId="2D69A3C3">
      <w:pPr>
        <w:autoSpaceDE w:val="0"/>
        <w:autoSpaceDN w:val="0"/>
        <w:adjustRightInd w:val="0"/>
        <w:spacing w:line="360" w:lineRule="auto"/>
        <w:jc w:val="left"/>
        <w:rPr>
          <w:rFonts w:hint="eastAsia"/>
          <w:szCs w:val="30"/>
        </w:rPr>
      </w:pPr>
    </w:p>
    <w:p w14:paraId="281EB0C4">
      <w:pPr>
        <w:autoSpaceDE w:val="0"/>
        <w:autoSpaceDN w:val="0"/>
        <w:adjustRightInd w:val="0"/>
        <w:spacing w:line="360" w:lineRule="auto"/>
        <w:jc w:val="left"/>
        <w:rPr>
          <w:rFonts w:hint="eastAsia"/>
          <w:szCs w:val="30"/>
        </w:rPr>
      </w:pPr>
    </w:p>
    <w:p w14:paraId="614CD675">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525770" cy="3226435"/>
            <wp:effectExtent l="0" t="0" r="17780" b="1206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2">
                      <a:lum bright="-6000"/>
                    </a:blip>
                    <a:stretch>
                      <a:fillRect/>
                    </a:stretch>
                  </pic:blipFill>
                  <pic:spPr>
                    <a:xfrm>
                      <a:off x="0" y="0"/>
                      <a:ext cx="5525770" cy="3226435"/>
                    </a:xfrm>
                    <a:prstGeom prst="rect">
                      <a:avLst/>
                    </a:prstGeom>
                    <a:noFill/>
                    <a:ln>
                      <a:noFill/>
                    </a:ln>
                  </pic:spPr>
                </pic:pic>
              </a:graphicData>
            </a:graphic>
          </wp:inline>
        </w:drawing>
      </w:r>
    </w:p>
    <w:p w14:paraId="2D809E9D">
      <w:pPr>
        <w:autoSpaceDE w:val="0"/>
        <w:autoSpaceDN w:val="0"/>
        <w:adjustRightInd w:val="0"/>
        <w:spacing w:line="360" w:lineRule="auto"/>
        <w:jc w:val="left"/>
        <w:rPr>
          <w:rFonts w:hint="eastAsia" w:ascii="仿宋" w:hAnsi="仿宋" w:eastAsia="仿宋" w:cs="仿宋_GB2312"/>
          <w:kern w:val="0"/>
          <w:sz w:val="30"/>
          <w:szCs w:val="30"/>
        </w:rPr>
      </w:pPr>
    </w:p>
    <w:p w14:paraId="76E49EF5">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552440" cy="3124200"/>
            <wp:effectExtent l="0" t="0" r="10160" b="0"/>
            <wp:docPr id="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4"/>
                    <pic:cNvPicPr>
                      <a:picLocks noChangeAspect="1"/>
                    </pic:cNvPicPr>
                  </pic:nvPicPr>
                  <pic:blipFill>
                    <a:blip r:embed="rId13"/>
                    <a:stretch>
                      <a:fillRect/>
                    </a:stretch>
                  </pic:blipFill>
                  <pic:spPr>
                    <a:xfrm>
                      <a:off x="0" y="0"/>
                      <a:ext cx="5552440" cy="3124200"/>
                    </a:xfrm>
                    <a:prstGeom prst="rect">
                      <a:avLst/>
                    </a:prstGeom>
                    <a:noFill/>
                    <a:ln>
                      <a:noFill/>
                    </a:ln>
                  </pic:spPr>
                </pic:pic>
              </a:graphicData>
            </a:graphic>
          </wp:inline>
        </w:drawing>
      </w:r>
    </w:p>
    <w:p w14:paraId="570B1017">
      <w:pPr>
        <w:autoSpaceDE w:val="0"/>
        <w:autoSpaceDN w:val="0"/>
        <w:adjustRightInd w:val="0"/>
        <w:spacing w:line="360" w:lineRule="auto"/>
        <w:jc w:val="left"/>
        <w:rPr>
          <w:rFonts w:hint="eastAsia" w:ascii="仿宋" w:hAnsi="仿宋" w:eastAsia="仿宋" w:cs="仿宋_GB2312"/>
          <w:kern w:val="0"/>
          <w:sz w:val="30"/>
          <w:szCs w:val="30"/>
        </w:rPr>
      </w:pPr>
    </w:p>
    <w:p w14:paraId="20648812">
      <w:pPr>
        <w:autoSpaceDE w:val="0"/>
        <w:autoSpaceDN w:val="0"/>
        <w:adjustRightInd w:val="0"/>
        <w:spacing w:line="360" w:lineRule="auto"/>
        <w:jc w:val="left"/>
        <w:rPr>
          <w:rFonts w:hint="eastAsia" w:ascii="仿宋" w:hAnsi="仿宋" w:eastAsia="仿宋" w:cs="仿宋_GB2312"/>
          <w:kern w:val="0"/>
          <w:sz w:val="30"/>
          <w:szCs w:val="30"/>
        </w:rPr>
      </w:pPr>
    </w:p>
    <w:p w14:paraId="3C6D354F">
      <w:pPr>
        <w:autoSpaceDE w:val="0"/>
        <w:autoSpaceDN w:val="0"/>
        <w:adjustRightInd w:val="0"/>
        <w:spacing w:line="360" w:lineRule="auto"/>
        <w:jc w:val="left"/>
        <w:rPr>
          <w:rFonts w:hint="eastAsia" w:ascii="仿宋" w:hAnsi="仿宋" w:eastAsia="仿宋" w:cs="仿宋_GB2312"/>
          <w:kern w:val="0"/>
          <w:sz w:val="30"/>
          <w:szCs w:val="30"/>
        </w:rPr>
      </w:pPr>
    </w:p>
    <w:p w14:paraId="0D9C3981">
      <w:pPr>
        <w:widowControl/>
        <w:spacing w:line="600" w:lineRule="exact"/>
        <w:jc w:val="both"/>
        <w:rPr>
          <w:rFonts w:hint="eastAsia" w:ascii="宋体" w:hAnsi="宋体"/>
          <w:b/>
          <w:sz w:val="32"/>
          <w:szCs w:val="32"/>
        </w:rPr>
      </w:pPr>
    </w:p>
    <w:p w14:paraId="3EAFD2AD">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083541B">
      <w:pPr>
        <w:ind w:firstLine="630"/>
        <w:jc w:val="left"/>
        <w:rPr>
          <w:rFonts w:hint="eastAsia" w:ascii="仿宋" w:hAnsi="仿宋" w:eastAsia="仿宋"/>
          <w:sz w:val="30"/>
          <w:szCs w:val="30"/>
        </w:rPr>
      </w:pPr>
    </w:p>
    <w:p w14:paraId="0A3F3350">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63C38482">
      <w:pPr>
        <w:autoSpaceDE w:val="0"/>
        <w:autoSpaceDN w:val="0"/>
        <w:adjustRightInd w:val="0"/>
        <w:spacing w:line="360" w:lineRule="auto"/>
        <w:ind w:firstLine="600" w:firstLineChars="200"/>
        <w:jc w:val="left"/>
        <w:rPr>
          <w:rFonts w:hint="default" w:ascii="仿宋" w:hAnsi="仿宋" w:eastAsia="仿宋" w:cs="仿宋_GB2312"/>
          <w:snapToGrid w:val="0"/>
          <w:spacing w:val="23"/>
          <w:kern w:val="0"/>
          <w:sz w:val="30"/>
          <w:szCs w:val="30"/>
          <w:lang w:val="en-US" w:eastAsia="zh-CN"/>
        </w:rPr>
      </w:pPr>
      <w:r>
        <w:rPr>
          <w:rFonts w:hint="eastAsia" w:ascii="仿宋" w:hAnsi="仿宋" w:eastAsia="仿宋" w:cs="仿宋_GB2312"/>
          <w:kern w:val="0"/>
          <w:sz w:val="30"/>
          <w:szCs w:val="30"/>
          <w:lang w:val="en-US" w:eastAsia="zh-CN"/>
        </w:rPr>
        <w:t>本部门2019年度收入总计13008.35万元，其中年初结转和结余2208.02万元，较2018年增加5823.6万元，增长81.06%；本年收入合计10800.33万元，较2018年增加4367.07万元，</w:t>
      </w:r>
      <w:r>
        <w:rPr>
          <w:rFonts w:hint="eastAsia" w:ascii="仿宋" w:hAnsi="仿宋" w:eastAsia="仿宋" w:cs="仿宋_GB2312"/>
          <w:spacing w:val="-20"/>
          <w:kern w:val="0"/>
          <w:sz w:val="30"/>
          <w:szCs w:val="30"/>
          <w:lang w:val="en-US" w:eastAsia="zh-CN"/>
        </w:rPr>
        <w:t>增长67.88%，</w:t>
      </w:r>
      <w:r>
        <w:rPr>
          <w:rFonts w:hint="eastAsia" w:ascii="仿宋" w:hAnsi="仿宋" w:eastAsia="仿宋" w:cs="仿宋_GB2312"/>
          <w:kern w:val="0"/>
          <w:sz w:val="30"/>
          <w:szCs w:val="30"/>
          <w:lang w:val="en-US" w:eastAsia="zh-CN"/>
        </w:rPr>
        <w:t>主要原因是：由于追加了工资普调、抚恤金、森林植被恢复费返还，财政转拨道路绿化提升改造工程款，房屋租赁费及省级追加林业专项资金；</w:t>
      </w:r>
      <w:r>
        <w:rPr>
          <w:rFonts w:hint="eastAsia" w:ascii="仿宋_GB2312" w:hAnsi="仿宋" w:eastAsia="仿宋_GB2312"/>
          <w:color w:val="auto"/>
          <w:sz w:val="30"/>
          <w:szCs w:val="30"/>
          <w:lang w:val="en-US" w:eastAsia="zh-CN"/>
        </w:rPr>
        <w:t>市枫树山林场其他收入林地</w:t>
      </w:r>
      <w:r>
        <w:rPr>
          <w:rFonts w:hint="eastAsia" w:ascii="仿宋_GB2312" w:hAnsi="仿宋" w:eastAsia="仿宋_GB2312"/>
          <w:color w:val="auto"/>
          <w:spacing w:val="23"/>
          <w:sz w:val="30"/>
          <w:szCs w:val="30"/>
          <w:lang w:val="en-US" w:eastAsia="zh-CN"/>
        </w:rPr>
        <w:t>青苗补偿</w:t>
      </w:r>
      <w:r>
        <w:rPr>
          <w:rFonts w:hint="eastAsia" w:ascii="仿宋_GB2312" w:hAnsi="仿宋" w:eastAsia="仿宋_GB2312"/>
          <w:snapToGrid w:val="0"/>
          <w:color w:val="auto"/>
          <w:spacing w:val="23"/>
          <w:sz w:val="30"/>
          <w:szCs w:val="30"/>
          <w:lang w:val="en-US" w:eastAsia="zh-CN"/>
        </w:rPr>
        <w:t>3716.75万元。</w:t>
      </w:r>
    </w:p>
    <w:p w14:paraId="386FD81F">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本年收入的具体构成为：财政拨款收入7067.49万元，占65.44%；事业收入0万元，占0%；经营收入0万元，占0%；其他收入3732.84万元，占34.56%。  </w:t>
      </w:r>
    </w:p>
    <w:p w14:paraId="1DCCCC29">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6D2D5D75">
      <w:pPr>
        <w:ind w:firstLine="600" w:firstLineChars="200"/>
        <w:rPr>
          <w:rFonts w:hint="eastAsia" w:ascii="仿宋_GB2312" w:hAnsi="仿宋" w:eastAsia="仿宋_GB2312"/>
          <w:color w:val="auto"/>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13008.35</w:t>
      </w:r>
      <w:r>
        <w:rPr>
          <w:rFonts w:hint="eastAsia" w:ascii="仿宋" w:hAnsi="仿宋" w:eastAsia="仿宋"/>
          <w:sz w:val="30"/>
          <w:szCs w:val="30"/>
        </w:rPr>
        <w:t>万元，其中本年支出合计</w:t>
      </w:r>
      <w:r>
        <w:rPr>
          <w:rFonts w:hint="eastAsia" w:ascii="仿宋" w:hAnsi="仿宋" w:eastAsia="仿宋"/>
          <w:sz w:val="30"/>
          <w:szCs w:val="30"/>
          <w:lang w:val="en-US" w:eastAsia="zh-CN"/>
        </w:rPr>
        <w:t>10698.47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3513.72</w:t>
      </w:r>
      <w:r>
        <w:rPr>
          <w:rFonts w:hint="eastAsia" w:ascii="仿宋" w:hAnsi="仿宋" w:eastAsia="仿宋"/>
          <w:sz w:val="30"/>
          <w:szCs w:val="30"/>
        </w:rPr>
        <w:t>万元，增长</w:t>
      </w:r>
      <w:r>
        <w:rPr>
          <w:rFonts w:hint="eastAsia" w:ascii="仿宋" w:hAnsi="仿宋" w:eastAsia="仿宋"/>
          <w:sz w:val="30"/>
          <w:szCs w:val="30"/>
          <w:lang w:val="en-US" w:eastAsia="zh-CN"/>
        </w:rPr>
        <w:t>48.91</w:t>
      </w:r>
      <w:r>
        <w:rPr>
          <w:rFonts w:hint="eastAsia" w:ascii="仿宋" w:hAnsi="仿宋" w:eastAsia="仿宋"/>
          <w:sz w:val="30"/>
          <w:szCs w:val="30"/>
        </w:rPr>
        <w:t>%，主要原因是：</w:t>
      </w:r>
      <w:r>
        <w:rPr>
          <w:rFonts w:hint="eastAsia" w:ascii="仿宋_GB2312" w:hAnsi="仿宋" w:eastAsia="仿宋_GB2312"/>
          <w:color w:val="auto"/>
          <w:sz w:val="30"/>
          <w:szCs w:val="30"/>
        </w:rPr>
        <w:t>本年度新增房屋租赁费用、委托业务费用（转拨财政道路绿化提升改造工程款）等，转付下属单位省级专项资金。</w:t>
      </w:r>
    </w:p>
    <w:p w14:paraId="3393A016">
      <w:pPr>
        <w:ind w:firstLine="630"/>
        <w:jc w:val="left"/>
        <w:rPr>
          <w:rFonts w:hint="eastAsia" w:ascii="仿宋" w:hAnsi="仿宋" w:eastAsia="仿宋"/>
          <w:sz w:val="30"/>
          <w:szCs w:val="30"/>
        </w:rPr>
      </w:pPr>
      <w:r>
        <w:rPr>
          <w:rFonts w:hint="eastAsia" w:ascii="仿宋" w:hAnsi="仿宋" w:eastAsia="仿宋"/>
          <w:sz w:val="30"/>
          <w:szCs w:val="30"/>
        </w:rPr>
        <w:t>年末结转和结余</w:t>
      </w:r>
      <w:r>
        <w:rPr>
          <w:rFonts w:hint="eastAsia" w:ascii="仿宋" w:hAnsi="仿宋" w:eastAsia="仿宋"/>
          <w:sz w:val="30"/>
          <w:szCs w:val="30"/>
          <w:lang w:val="en-US" w:eastAsia="zh-CN"/>
        </w:rPr>
        <w:t>2309.89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1582.27</w:t>
      </w:r>
      <w:r>
        <w:rPr>
          <w:rFonts w:hint="eastAsia" w:ascii="仿宋" w:hAnsi="仿宋" w:eastAsia="仿宋"/>
          <w:sz w:val="30"/>
          <w:szCs w:val="30"/>
        </w:rPr>
        <w:t>万元，增长</w:t>
      </w:r>
      <w:r>
        <w:rPr>
          <w:rFonts w:hint="eastAsia" w:ascii="仿宋" w:hAnsi="仿宋" w:eastAsia="仿宋"/>
          <w:sz w:val="30"/>
          <w:szCs w:val="30"/>
          <w:lang w:val="en-US" w:eastAsia="zh-CN"/>
        </w:rPr>
        <w:t>217.46</w:t>
      </w:r>
      <w:r>
        <w:rPr>
          <w:rFonts w:hint="eastAsia" w:ascii="仿宋" w:hAnsi="仿宋" w:eastAsia="仿宋"/>
          <w:sz w:val="30"/>
          <w:szCs w:val="30"/>
        </w:rPr>
        <w:t>%，主要原因是：</w:t>
      </w:r>
      <w:r>
        <w:rPr>
          <w:rFonts w:hint="eastAsia" w:ascii="仿宋" w:hAnsi="仿宋" w:eastAsia="仿宋"/>
          <w:sz w:val="30"/>
          <w:szCs w:val="30"/>
          <w:lang w:val="en-US" w:eastAsia="zh-CN"/>
        </w:rPr>
        <w:t>局下属单位市苗圃以前年度青苗补偿款及</w:t>
      </w:r>
      <w:r>
        <w:rPr>
          <w:rFonts w:hint="eastAsia" w:ascii="仿宋" w:hAnsi="仿宋" w:eastAsia="仿宋"/>
          <w:sz w:val="30"/>
          <w:szCs w:val="30"/>
        </w:rPr>
        <w:t>局本级的本年</w:t>
      </w:r>
      <w:r>
        <w:rPr>
          <w:rFonts w:hint="eastAsia" w:ascii="仿宋" w:hAnsi="仿宋" w:eastAsia="仿宋"/>
          <w:sz w:val="30"/>
          <w:szCs w:val="30"/>
          <w:lang w:val="en-US" w:eastAsia="zh-CN"/>
        </w:rPr>
        <w:t>收入</w:t>
      </w:r>
      <w:r>
        <w:rPr>
          <w:rFonts w:hint="eastAsia" w:ascii="仿宋" w:hAnsi="仿宋" w:eastAsia="仿宋"/>
          <w:sz w:val="30"/>
          <w:szCs w:val="30"/>
        </w:rPr>
        <w:t>大于本年</w:t>
      </w:r>
      <w:r>
        <w:rPr>
          <w:rFonts w:hint="eastAsia" w:ascii="仿宋" w:hAnsi="仿宋" w:eastAsia="仿宋"/>
          <w:sz w:val="30"/>
          <w:szCs w:val="30"/>
          <w:lang w:val="en-US" w:eastAsia="zh-CN"/>
        </w:rPr>
        <w:t>支出</w:t>
      </w:r>
      <w:r>
        <w:rPr>
          <w:rFonts w:hint="eastAsia" w:ascii="仿宋" w:hAnsi="仿宋" w:eastAsia="仿宋"/>
          <w:sz w:val="30"/>
          <w:szCs w:val="30"/>
        </w:rPr>
        <w:t>。</w:t>
      </w:r>
    </w:p>
    <w:p w14:paraId="3517DBF0">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8364.07</w:t>
      </w:r>
      <w:r>
        <w:rPr>
          <w:rFonts w:hint="eastAsia" w:ascii="仿宋" w:hAnsi="仿宋" w:eastAsia="仿宋"/>
          <w:sz w:val="30"/>
          <w:szCs w:val="30"/>
        </w:rPr>
        <w:t>万元，占</w:t>
      </w:r>
      <w:r>
        <w:rPr>
          <w:rFonts w:hint="eastAsia" w:ascii="仿宋" w:hAnsi="仿宋" w:eastAsia="仿宋"/>
          <w:sz w:val="30"/>
          <w:szCs w:val="30"/>
          <w:lang w:val="en-US" w:eastAsia="zh-CN"/>
        </w:rPr>
        <w:t>78.18</w:t>
      </w:r>
      <w:r>
        <w:rPr>
          <w:rFonts w:hint="eastAsia" w:ascii="仿宋" w:hAnsi="仿宋" w:eastAsia="仿宋"/>
          <w:sz w:val="30"/>
          <w:szCs w:val="30"/>
        </w:rPr>
        <w:t>%；项目支出</w:t>
      </w:r>
      <w:r>
        <w:rPr>
          <w:rFonts w:hint="eastAsia" w:ascii="仿宋" w:hAnsi="仿宋" w:eastAsia="仿宋"/>
          <w:sz w:val="30"/>
          <w:szCs w:val="30"/>
          <w:lang w:val="en-US" w:eastAsia="zh-CN"/>
        </w:rPr>
        <w:t>2334.4</w:t>
      </w:r>
      <w:r>
        <w:rPr>
          <w:rFonts w:hint="eastAsia" w:ascii="仿宋" w:hAnsi="仿宋" w:eastAsia="仿宋"/>
          <w:sz w:val="30"/>
          <w:szCs w:val="30"/>
        </w:rPr>
        <w:t>万元，占</w:t>
      </w:r>
      <w:r>
        <w:rPr>
          <w:rFonts w:hint="eastAsia" w:ascii="仿宋" w:hAnsi="仿宋" w:eastAsia="仿宋"/>
          <w:sz w:val="30"/>
          <w:szCs w:val="30"/>
          <w:lang w:val="en-US" w:eastAsia="zh-CN"/>
        </w:rPr>
        <w:t>21。82</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0693FBD6">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43717ED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9178.27</w:t>
      </w:r>
      <w:r>
        <w:rPr>
          <w:rFonts w:hint="eastAsia" w:ascii="仿宋" w:hAnsi="仿宋" w:eastAsia="仿宋"/>
          <w:sz w:val="30"/>
          <w:szCs w:val="30"/>
        </w:rPr>
        <w:t>万元，决算数为</w:t>
      </w:r>
      <w:r>
        <w:rPr>
          <w:rFonts w:hint="eastAsia" w:ascii="仿宋" w:hAnsi="仿宋" w:eastAsia="仿宋"/>
          <w:sz w:val="30"/>
          <w:szCs w:val="30"/>
          <w:lang w:val="en-US" w:eastAsia="zh-CN"/>
        </w:rPr>
        <w:t>10698.47</w:t>
      </w:r>
      <w:r>
        <w:rPr>
          <w:rFonts w:hint="eastAsia" w:ascii="仿宋" w:hAnsi="仿宋" w:eastAsia="仿宋"/>
          <w:sz w:val="30"/>
          <w:szCs w:val="30"/>
        </w:rPr>
        <w:t>万元，完成年初预算的</w:t>
      </w:r>
      <w:r>
        <w:rPr>
          <w:rFonts w:hint="eastAsia" w:ascii="仿宋" w:hAnsi="仿宋" w:eastAsia="仿宋"/>
          <w:sz w:val="30"/>
          <w:szCs w:val="30"/>
          <w:lang w:val="en-US" w:eastAsia="zh-CN"/>
        </w:rPr>
        <w:t>116.56</w:t>
      </w:r>
      <w:r>
        <w:rPr>
          <w:rFonts w:hint="eastAsia" w:ascii="仿宋" w:hAnsi="仿宋" w:eastAsia="仿宋"/>
          <w:sz w:val="30"/>
          <w:szCs w:val="30"/>
        </w:rPr>
        <w:t>%。其中：</w:t>
      </w:r>
    </w:p>
    <w:p w14:paraId="35765C5E">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106.5</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_GB2312" w:hAnsi="仿宋" w:eastAsia="仿宋_GB2312"/>
          <w:color w:val="auto"/>
          <w:sz w:val="30"/>
          <w:szCs w:val="30"/>
        </w:rPr>
        <w:t>本年度新增房屋租赁费用</w:t>
      </w:r>
      <w:r>
        <w:rPr>
          <w:rFonts w:hint="eastAsia" w:ascii="仿宋" w:hAnsi="仿宋" w:eastAsia="仿宋"/>
          <w:sz w:val="30"/>
          <w:szCs w:val="30"/>
        </w:rPr>
        <w:t>。</w:t>
      </w:r>
    </w:p>
    <w:p w14:paraId="4F18F088">
      <w:pPr>
        <w:ind w:firstLine="630"/>
        <w:jc w:val="left"/>
        <w:rPr>
          <w:rFonts w:hint="default" w:ascii="仿宋" w:hAnsi="仿宋" w:eastAsia="仿宋"/>
          <w:sz w:val="30"/>
          <w:szCs w:val="30"/>
          <w:lang w:val="en-US" w:eastAsia="zh-CN"/>
        </w:rPr>
      </w:pPr>
      <w:r>
        <w:rPr>
          <w:rFonts w:hint="eastAsia" w:ascii="仿宋" w:hAnsi="仿宋" w:eastAsia="仿宋"/>
          <w:sz w:val="30"/>
          <w:szCs w:val="30"/>
        </w:rPr>
        <w:t>（</w:t>
      </w:r>
      <w:r>
        <w:rPr>
          <w:rFonts w:hint="eastAsia" w:ascii="仿宋" w:hAnsi="仿宋" w:eastAsia="仿宋"/>
          <w:sz w:val="30"/>
          <w:szCs w:val="30"/>
          <w:lang w:val="en-US" w:eastAsia="zh-CN"/>
        </w:rPr>
        <w:t>二</w:t>
      </w:r>
      <w:r>
        <w:rPr>
          <w:rFonts w:hint="eastAsia" w:ascii="仿宋" w:hAnsi="仿宋" w:eastAsia="仿宋"/>
          <w:sz w:val="30"/>
          <w:szCs w:val="30"/>
        </w:rPr>
        <w:t>）社会保障和就业支出年初预算数为</w:t>
      </w:r>
      <w:r>
        <w:rPr>
          <w:rFonts w:hint="eastAsia" w:ascii="仿宋" w:hAnsi="仿宋" w:eastAsia="仿宋"/>
          <w:sz w:val="30"/>
          <w:szCs w:val="30"/>
          <w:lang w:val="en-US" w:eastAsia="zh-CN"/>
        </w:rPr>
        <w:t>169.53</w:t>
      </w:r>
      <w:r>
        <w:rPr>
          <w:rFonts w:hint="eastAsia" w:ascii="仿宋" w:hAnsi="仿宋" w:eastAsia="仿宋"/>
          <w:sz w:val="30"/>
          <w:szCs w:val="30"/>
        </w:rPr>
        <w:t>万元，决算数为</w:t>
      </w:r>
      <w:r>
        <w:rPr>
          <w:rFonts w:hint="eastAsia" w:ascii="仿宋" w:hAnsi="仿宋" w:eastAsia="仿宋"/>
          <w:sz w:val="30"/>
          <w:szCs w:val="30"/>
          <w:lang w:val="en-US" w:eastAsia="zh-CN"/>
        </w:rPr>
        <w:t>208.09</w:t>
      </w:r>
      <w:r>
        <w:rPr>
          <w:rFonts w:hint="eastAsia" w:ascii="仿宋" w:hAnsi="仿宋" w:eastAsia="仿宋"/>
          <w:sz w:val="30"/>
          <w:szCs w:val="30"/>
        </w:rPr>
        <w:t>万元，完成年初预算的</w:t>
      </w:r>
      <w:r>
        <w:rPr>
          <w:rFonts w:hint="eastAsia" w:ascii="仿宋" w:hAnsi="仿宋" w:eastAsia="仿宋"/>
          <w:sz w:val="30"/>
          <w:szCs w:val="30"/>
          <w:lang w:val="en-US" w:eastAsia="zh-CN"/>
        </w:rPr>
        <w:t>122.75</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年中追加了抚恤金等资金。</w:t>
      </w:r>
    </w:p>
    <w:p w14:paraId="0FD28A6E">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w:t>
      </w:r>
      <w:r>
        <w:rPr>
          <w:rFonts w:hint="eastAsia" w:ascii="仿宋" w:hAnsi="仿宋" w:eastAsia="仿宋"/>
          <w:sz w:val="30"/>
          <w:szCs w:val="30"/>
          <w:lang w:val="en-US"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136.63</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136.63</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76F8ECB6">
      <w:pPr>
        <w:ind w:firstLine="630"/>
        <w:jc w:val="left"/>
        <w:rPr>
          <w:rFonts w:hint="eastAsia" w:ascii="仿宋" w:hAnsi="仿宋" w:eastAsia="仿宋"/>
          <w:sz w:val="30"/>
          <w:szCs w:val="30"/>
          <w:lang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四</w:t>
      </w:r>
      <w:r>
        <w:rPr>
          <w:rFonts w:hint="eastAsia" w:ascii="仿宋" w:hAnsi="仿宋" w:eastAsia="仿宋"/>
          <w:sz w:val="30"/>
          <w:szCs w:val="30"/>
          <w:lang w:eastAsia="zh-CN"/>
        </w:rPr>
        <w:t>）</w:t>
      </w:r>
      <w:r>
        <w:rPr>
          <w:rFonts w:hint="eastAsia" w:ascii="仿宋" w:hAnsi="仿宋" w:eastAsia="仿宋"/>
          <w:sz w:val="30"/>
          <w:szCs w:val="30"/>
          <w:lang w:val="en-US" w:eastAsia="zh-CN"/>
        </w:rPr>
        <w:t>节能环保支出</w:t>
      </w:r>
      <w:r>
        <w:rPr>
          <w:rFonts w:hint="eastAsia" w:ascii="仿宋" w:hAnsi="仿宋" w:eastAsia="仿宋"/>
          <w:sz w:val="30"/>
          <w:szCs w:val="30"/>
        </w:rPr>
        <w:t>年初预算数为</w:t>
      </w:r>
      <w:r>
        <w:rPr>
          <w:rFonts w:hint="eastAsia" w:ascii="仿宋" w:hAnsi="仿宋" w:eastAsia="仿宋"/>
          <w:sz w:val="30"/>
          <w:szCs w:val="30"/>
          <w:lang w:val="en-US" w:eastAsia="zh-CN"/>
        </w:rPr>
        <w:t>18.56</w:t>
      </w:r>
      <w:r>
        <w:rPr>
          <w:rFonts w:hint="eastAsia" w:ascii="仿宋" w:hAnsi="仿宋" w:eastAsia="仿宋"/>
          <w:sz w:val="30"/>
          <w:szCs w:val="30"/>
        </w:rPr>
        <w:t>万元，决算数为</w:t>
      </w:r>
      <w:r>
        <w:rPr>
          <w:rFonts w:hint="eastAsia" w:ascii="仿宋" w:hAnsi="仿宋" w:eastAsia="仿宋"/>
          <w:sz w:val="30"/>
          <w:szCs w:val="30"/>
          <w:lang w:val="en-US" w:eastAsia="zh-CN"/>
        </w:rPr>
        <w:t>33.01</w:t>
      </w:r>
      <w:r>
        <w:rPr>
          <w:rFonts w:hint="eastAsia" w:ascii="仿宋" w:hAnsi="仿宋" w:eastAsia="仿宋"/>
          <w:sz w:val="30"/>
          <w:szCs w:val="30"/>
        </w:rPr>
        <w:t>万元，完成年初预算的</w:t>
      </w:r>
      <w:r>
        <w:rPr>
          <w:rFonts w:hint="eastAsia" w:ascii="仿宋" w:hAnsi="仿宋" w:eastAsia="仿宋"/>
          <w:sz w:val="30"/>
          <w:szCs w:val="30"/>
          <w:lang w:val="en-US" w:eastAsia="zh-CN"/>
        </w:rPr>
        <w:t>177.86</w:t>
      </w:r>
      <w:r>
        <w:rPr>
          <w:rFonts w:hint="eastAsia" w:ascii="仿宋" w:hAnsi="仿宋" w:eastAsia="仿宋"/>
          <w:sz w:val="30"/>
          <w:szCs w:val="30"/>
        </w:rPr>
        <w:t>%主要原因是：年中追加了中央及省级林业专项补助资金</w:t>
      </w:r>
      <w:r>
        <w:rPr>
          <w:rFonts w:hint="eastAsia" w:ascii="仿宋" w:hAnsi="仿宋" w:eastAsia="仿宋"/>
          <w:sz w:val="30"/>
          <w:szCs w:val="30"/>
          <w:lang w:eastAsia="zh-CN"/>
        </w:rPr>
        <w:t>。</w:t>
      </w:r>
    </w:p>
    <w:p w14:paraId="55BDCCBD">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五</w:t>
      </w:r>
      <w:r>
        <w:rPr>
          <w:rFonts w:hint="eastAsia" w:ascii="仿宋" w:hAnsi="仿宋" w:eastAsia="仿宋"/>
          <w:sz w:val="30"/>
          <w:szCs w:val="30"/>
        </w:rPr>
        <w:t>）农林水支出年初预算数为</w:t>
      </w:r>
      <w:r>
        <w:rPr>
          <w:rFonts w:hint="eastAsia" w:ascii="仿宋" w:hAnsi="仿宋" w:eastAsia="仿宋"/>
          <w:sz w:val="30"/>
          <w:szCs w:val="30"/>
          <w:lang w:val="en-US" w:eastAsia="zh-CN"/>
        </w:rPr>
        <w:t>8755.51</w:t>
      </w:r>
      <w:r>
        <w:rPr>
          <w:rFonts w:hint="eastAsia" w:ascii="仿宋" w:hAnsi="仿宋" w:eastAsia="仿宋"/>
          <w:sz w:val="30"/>
          <w:szCs w:val="30"/>
        </w:rPr>
        <w:t>万元，决算数为</w:t>
      </w:r>
      <w:r>
        <w:rPr>
          <w:rFonts w:hint="eastAsia" w:ascii="仿宋" w:hAnsi="仿宋" w:eastAsia="仿宋"/>
          <w:sz w:val="30"/>
          <w:szCs w:val="30"/>
          <w:lang w:val="en-US" w:eastAsia="zh-CN"/>
        </w:rPr>
        <w:t>10116.2</w:t>
      </w:r>
      <w:r>
        <w:rPr>
          <w:rFonts w:hint="eastAsia" w:ascii="仿宋" w:hAnsi="仿宋" w:eastAsia="仿宋"/>
          <w:sz w:val="30"/>
          <w:szCs w:val="30"/>
        </w:rPr>
        <w:t>万元，完成年初预算的</w:t>
      </w:r>
      <w:r>
        <w:rPr>
          <w:rFonts w:hint="eastAsia" w:ascii="仿宋" w:hAnsi="仿宋" w:eastAsia="仿宋"/>
          <w:sz w:val="30"/>
          <w:szCs w:val="30"/>
          <w:lang w:val="en-US" w:eastAsia="zh-CN"/>
        </w:rPr>
        <w:t>115.54</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rPr>
        <w:t>年中追加了中央及省级林业专项补助资金。</w:t>
      </w:r>
    </w:p>
    <w:p w14:paraId="54D84151">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六</w:t>
      </w:r>
      <w:r>
        <w:rPr>
          <w:rFonts w:hint="eastAsia" w:ascii="仿宋" w:hAnsi="仿宋" w:eastAsia="仿宋"/>
          <w:sz w:val="30"/>
          <w:szCs w:val="30"/>
        </w:rPr>
        <w:t>）住房保障支出年初预算数为</w:t>
      </w:r>
      <w:r>
        <w:rPr>
          <w:rFonts w:hint="eastAsia" w:ascii="仿宋" w:hAnsi="仿宋" w:eastAsia="仿宋"/>
          <w:sz w:val="30"/>
          <w:szCs w:val="30"/>
          <w:lang w:val="en-US" w:eastAsia="zh-CN"/>
        </w:rPr>
        <w:t>98.04</w:t>
      </w:r>
      <w:r>
        <w:rPr>
          <w:rFonts w:hint="eastAsia" w:ascii="仿宋" w:hAnsi="仿宋" w:eastAsia="仿宋"/>
          <w:sz w:val="30"/>
          <w:szCs w:val="30"/>
        </w:rPr>
        <w:t>万元，决算数为</w:t>
      </w:r>
      <w:r>
        <w:rPr>
          <w:rFonts w:hint="eastAsia" w:ascii="仿宋" w:hAnsi="仿宋" w:eastAsia="仿宋"/>
          <w:sz w:val="30"/>
          <w:szCs w:val="30"/>
          <w:lang w:val="en-US" w:eastAsia="zh-CN"/>
        </w:rPr>
        <w:t>98.04</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43F27997">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397223E6">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4455.71</w:t>
      </w:r>
      <w:r>
        <w:rPr>
          <w:rFonts w:hint="eastAsia" w:ascii="仿宋" w:hAnsi="仿宋" w:eastAsia="仿宋"/>
          <w:sz w:val="30"/>
          <w:szCs w:val="30"/>
        </w:rPr>
        <w:t>万元，其中：</w:t>
      </w:r>
    </w:p>
    <w:p w14:paraId="2D190BF7">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3292.35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236.2</w:t>
      </w:r>
      <w:r>
        <w:rPr>
          <w:rFonts w:hint="eastAsia" w:ascii="仿宋" w:hAnsi="仿宋" w:eastAsia="仿宋"/>
          <w:sz w:val="30"/>
          <w:szCs w:val="30"/>
        </w:rPr>
        <w:t>万元，增长</w:t>
      </w:r>
      <w:r>
        <w:rPr>
          <w:rFonts w:hint="eastAsia" w:ascii="仿宋" w:hAnsi="仿宋" w:eastAsia="仿宋"/>
          <w:sz w:val="30"/>
          <w:szCs w:val="30"/>
          <w:lang w:val="en-US" w:eastAsia="zh-CN"/>
        </w:rPr>
        <w:t>7.73</w:t>
      </w:r>
      <w:r>
        <w:rPr>
          <w:rFonts w:hint="eastAsia" w:ascii="仿宋" w:hAnsi="仿宋" w:eastAsia="仿宋"/>
          <w:sz w:val="30"/>
          <w:szCs w:val="30"/>
        </w:rPr>
        <w:t>%，主要原因是：</w:t>
      </w:r>
      <w:r>
        <w:rPr>
          <w:rFonts w:hint="eastAsia" w:ascii="仿宋" w:hAnsi="仿宋" w:eastAsia="仿宋"/>
          <w:sz w:val="30"/>
          <w:szCs w:val="30"/>
          <w:lang w:val="en-US" w:eastAsia="zh-CN"/>
        </w:rPr>
        <w:t>人均普调工资</w:t>
      </w:r>
      <w:r>
        <w:rPr>
          <w:rFonts w:hint="eastAsia" w:ascii="仿宋" w:hAnsi="仿宋" w:eastAsia="仿宋"/>
          <w:sz w:val="30"/>
          <w:szCs w:val="30"/>
        </w:rPr>
        <w:t>。</w:t>
      </w:r>
    </w:p>
    <w:p w14:paraId="4E80D3F5">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420.79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165.75</w:t>
      </w:r>
      <w:r>
        <w:rPr>
          <w:rFonts w:hint="eastAsia" w:ascii="仿宋" w:hAnsi="仿宋" w:eastAsia="仿宋"/>
          <w:sz w:val="30"/>
          <w:szCs w:val="30"/>
        </w:rPr>
        <w:t>万元，下降</w:t>
      </w:r>
      <w:r>
        <w:rPr>
          <w:rFonts w:hint="eastAsia" w:ascii="仿宋" w:hAnsi="仿宋" w:eastAsia="仿宋"/>
          <w:sz w:val="30"/>
          <w:szCs w:val="30"/>
          <w:lang w:val="en-US" w:eastAsia="zh-CN"/>
        </w:rPr>
        <w:t>28.26</w:t>
      </w:r>
      <w:r>
        <w:rPr>
          <w:rFonts w:hint="eastAsia" w:ascii="仿宋" w:hAnsi="仿宋" w:eastAsia="仿宋"/>
          <w:sz w:val="30"/>
          <w:szCs w:val="30"/>
        </w:rPr>
        <w:t>%，主要原因是：厉行节约，</w:t>
      </w:r>
      <w:r>
        <w:rPr>
          <w:rFonts w:hint="eastAsia" w:ascii="仿宋" w:hAnsi="仿宋" w:eastAsia="仿宋"/>
          <w:sz w:val="30"/>
          <w:szCs w:val="30"/>
          <w:lang w:val="en-US" w:eastAsia="zh-CN"/>
        </w:rPr>
        <w:t>压缩开支</w:t>
      </w:r>
      <w:r>
        <w:rPr>
          <w:rFonts w:hint="eastAsia" w:ascii="仿宋" w:hAnsi="仿宋" w:eastAsia="仿宋"/>
          <w:sz w:val="30"/>
          <w:szCs w:val="30"/>
        </w:rPr>
        <w:t>。</w:t>
      </w:r>
    </w:p>
    <w:p w14:paraId="4B66185B">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726.2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310.35</w:t>
      </w:r>
      <w:r>
        <w:rPr>
          <w:rFonts w:hint="eastAsia" w:ascii="仿宋" w:hAnsi="仿宋" w:eastAsia="仿宋"/>
          <w:sz w:val="30"/>
          <w:szCs w:val="30"/>
        </w:rPr>
        <w:t>万元，增长</w:t>
      </w:r>
      <w:r>
        <w:rPr>
          <w:rFonts w:hint="eastAsia" w:ascii="仿宋" w:hAnsi="仿宋" w:eastAsia="仿宋"/>
          <w:sz w:val="30"/>
          <w:szCs w:val="30"/>
          <w:lang w:val="en-US" w:eastAsia="zh-CN"/>
        </w:rPr>
        <w:t>74.63</w:t>
      </w:r>
      <w:r>
        <w:rPr>
          <w:rFonts w:hint="eastAsia" w:ascii="仿宋" w:hAnsi="仿宋" w:eastAsia="仿宋"/>
          <w:sz w:val="30"/>
          <w:szCs w:val="30"/>
        </w:rPr>
        <w:t>%，主要原因是：</w:t>
      </w:r>
      <w:r>
        <w:rPr>
          <w:rFonts w:hint="eastAsia" w:ascii="仿宋" w:hAnsi="仿宋" w:eastAsia="仿宋"/>
          <w:sz w:val="30"/>
          <w:szCs w:val="30"/>
          <w:lang w:val="en-US" w:eastAsia="zh-CN"/>
        </w:rPr>
        <w:t>有的单位奖励金支出有所增加</w:t>
      </w:r>
      <w:r>
        <w:rPr>
          <w:rFonts w:hint="eastAsia" w:ascii="仿宋" w:hAnsi="仿宋" w:eastAsia="仿宋"/>
          <w:sz w:val="30"/>
          <w:szCs w:val="30"/>
        </w:rPr>
        <w:t>。</w:t>
      </w:r>
    </w:p>
    <w:p w14:paraId="3296446F">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16.37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9.02</w:t>
      </w:r>
      <w:r>
        <w:rPr>
          <w:rFonts w:hint="eastAsia" w:ascii="仿宋" w:hAnsi="仿宋" w:eastAsia="仿宋"/>
          <w:sz w:val="30"/>
          <w:szCs w:val="30"/>
        </w:rPr>
        <w:t>万元，增长</w:t>
      </w:r>
      <w:r>
        <w:rPr>
          <w:rFonts w:hint="eastAsia" w:ascii="仿宋" w:hAnsi="仿宋" w:eastAsia="仿宋"/>
          <w:sz w:val="30"/>
          <w:szCs w:val="30"/>
          <w:lang w:val="en-US" w:eastAsia="zh-CN"/>
        </w:rPr>
        <w:t>122.72</w:t>
      </w:r>
      <w:r>
        <w:rPr>
          <w:rFonts w:hint="eastAsia" w:ascii="仿宋" w:hAnsi="仿宋" w:eastAsia="仿宋"/>
          <w:sz w:val="30"/>
          <w:szCs w:val="30"/>
        </w:rPr>
        <w:t>%，主要原因是：原有的办公设备使用年限较久，购置了新的办公设备。</w:t>
      </w:r>
    </w:p>
    <w:p w14:paraId="349D5DDB">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13AA777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79.69</w:t>
      </w:r>
      <w:r>
        <w:rPr>
          <w:rFonts w:hint="eastAsia" w:ascii="仿宋" w:hAnsi="仿宋" w:eastAsia="仿宋"/>
          <w:sz w:val="30"/>
          <w:szCs w:val="30"/>
        </w:rPr>
        <w:t>万元，决算数为</w:t>
      </w:r>
      <w:r>
        <w:rPr>
          <w:rFonts w:hint="eastAsia" w:ascii="仿宋" w:hAnsi="仿宋" w:eastAsia="仿宋"/>
          <w:sz w:val="30"/>
          <w:szCs w:val="30"/>
          <w:lang w:val="en-US" w:eastAsia="zh-CN"/>
        </w:rPr>
        <w:t>39.73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49.86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4.74</w:t>
      </w:r>
      <w:r>
        <w:rPr>
          <w:rFonts w:hint="eastAsia" w:ascii="仿宋" w:hAnsi="仿宋" w:eastAsia="仿宋"/>
          <w:sz w:val="30"/>
          <w:szCs w:val="30"/>
        </w:rPr>
        <w:t>万元，下降</w:t>
      </w:r>
      <w:r>
        <w:rPr>
          <w:rFonts w:hint="eastAsia" w:ascii="仿宋" w:hAnsi="仿宋" w:eastAsia="仿宋"/>
          <w:sz w:val="30"/>
          <w:szCs w:val="30"/>
          <w:lang w:val="en-US" w:eastAsia="zh-CN"/>
        </w:rPr>
        <w:t>10.66</w:t>
      </w:r>
      <w:r>
        <w:rPr>
          <w:rFonts w:hint="eastAsia" w:ascii="仿宋" w:hAnsi="仿宋" w:eastAsia="仿宋"/>
          <w:sz w:val="30"/>
          <w:szCs w:val="30"/>
        </w:rPr>
        <w:t>%，其中：</w:t>
      </w:r>
    </w:p>
    <w:p w14:paraId="48B44336">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6</w:t>
      </w:r>
      <w:r>
        <w:rPr>
          <w:rFonts w:hint="eastAsia" w:ascii="仿宋" w:hAnsi="仿宋" w:eastAsia="仿宋"/>
          <w:sz w:val="30"/>
          <w:szCs w:val="30"/>
        </w:rPr>
        <w:t>万元，决算数为</w:t>
      </w:r>
      <w:r>
        <w:rPr>
          <w:rFonts w:hint="eastAsia" w:ascii="仿宋" w:hAnsi="仿宋" w:eastAsia="仿宋"/>
          <w:sz w:val="30"/>
          <w:szCs w:val="30"/>
          <w:lang w:val="en-US" w:eastAsia="zh-CN"/>
        </w:rPr>
        <w:t>1.77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29.5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4.85</w:t>
      </w:r>
      <w:r>
        <w:rPr>
          <w:rFonts w:hint="eastAsia" w:ascii="仿宋" w:hAnsi="仿宋" w:eastAsia="仿宋"/>
          <w:sz w:val="30"/>
          <w:szCs w:val="30"/>
        </w:rPr>
        <w:t>万元，下降</w:t>
      </w:r>
      <w:r>
        <w:rPr>
          <w:rFonts w:hint="eastAsia" w:ascii="仿宋" w:hAnsi="仿宋" w:eastAsia="仿宋"/>
          <w:sz w:val="30"/>
          <w:szCs w:val="30"/>
          <w:lang w:val="en-US" w:eastAsia="zh-CN"/>
        </w:rPr>
        <w:t>73.26</w:t>
      </w:r>
      <w:r>
        <w:rPr>
          <w:rFonts w:hint="eastAsia" w:ascii="仿宋" w:hAnsi="仿宋" w:eastAsia="仿宋"/>
          <w:sz w:val="30"/>
          <w:szCs w:val="30"/>
        </w:rPr>
        <w:t>%。决算数较年初预算数减少的主要原因是：本年度安排的参加因公出国（境）团组</w:t>
      </w:r>
      <w:r>
        <w:rPr>
          <w:rFonts w:hint="eastAsia" w:ascii="仿宋" w:hAnsi="仿宋" w:eastAsia="仿宋"/>
          <w:sz w:val="30"/>
          <w:szCs w:val="30"/>
          <w:lang w:val="en-US" w:eastAsia="zh-CN"/>
        </w:rPr>
        <w:t>1</w:t>
      </w:r>
      <w:r>
        <w:rPr>
          <w:rFonts w:hint="eastAsia" w:ascii="仿宋" w:hAnsi="仿宋" w:eastAsia="仿宋"/>
          <w:sz w:val="30"/>
          <w:szCs w:val="30"/>
        </w:rPr>
        <w:t>个，因公出国（境）人数累计</w:t>
      </w:r>
      <w:r>
        <w:rPr>
          <w:rFonts w:hint="eastAsia" w:ascii="仿宋" w:hAnsi="仿宋" w:eastAsia="仿宋"/>
          <w:sz w:val="30"/>
          <w:szCs w:val="30"/>
          <w:lang w:val="en-US" w:eastAsia="zh-CN"/>
        </w:rPr>
        <w:t>1</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 w:hAnsi="仿宋" w:eastAsia="仿宋"/>
          <w:sz w:val="30"/>
          <w:szCs w:val="30"/>
          <w:lang w:val="en-US" w:eastAsia="zh-CN"/>
        </w:rPr>
        <w:t>较上年有所减少</w:t>
      </w:r>
      <w:r>
        <w:rPr>
          <w:rFonts w:hint="eastAsia" w:ascii="仿宋" w:hAnsi="仿宋" w:eastAsia="仿宋"/>
          <w:sz w:val="30"/>
          <w:szCs w:val="30"/>
        </w:rPr>
        <w:t>。</w:t>
      </w:r>
    </w:p>
    <w:p w14:paraId="3687F795">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19.15</w:t>
      </w:r>
      <w:r>
        <w:rPr>
          <w:rFonts w:hint="eastAsia" w:ascii="仿宋" w:hAnsi="仿宋" w:eastAsia="仿宋"/>
          <w:sz w:val="30"/>
          <w:szCs w:val="30"/>
        </w:rPr>
        <w:t>万元，决算数为</w:t>
      </w:r>
      <w:r>
        <w:rPr>
          <w:rFonts w:hint="eastAsia" w:ascii="仿宋" w:hAnsi="仿宋" w:eastAsia="仿宋"/>
          <w:sz w:val="30"/>
          <w:szCs w:val="30"/>
          <w:lang w:val="en-US" w:eastAsia="zh-CN"/>
        </w:rPr>
        <w:t>14.99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78.28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3.1</w:t>
      </w:r>
      <w:r>
        <w:rPr>
          <w:rFonts w:hint="eastAsia" w:ascii="仿宋" w:hAnsi="仿宋" w:eastAsia="仿宋"/>
          <w:sz w:val="30"/>
          <w:szCs w:val="30"/>
        </w:rPr>
        <w:t>万元，增长</w:t>
      </w:r>
      <w:r>
        <w:rPr>
          <w:rFonts w:hint="eastAsia" w:ascii="仿宋" w:hAnsi="仿宋" w:eastAsia="仿宋"/>
          <w:sz w:val="30"/>
          <w:szCs w:val="30"/>
          <w:lang w:val="en-US" w:eastAsia="zh-CN"/>
        </w:rPr>
        <w:t>26.07</w:t>
      </w:r>
      <w:r>
        <w:rPr>
          <w:rFonts w:hint="eastAsia" w:ascii="仿宋" w:hAnsi="仿宋" w:eastAsia="仿宋"/>
          <w:sz w:val="30"/>
          <w:szCs w:val="30"/>
        </w:rPr>
        <w:t>%。决算数较年初预算数增加的主要原因是：</w:t>
      </w:r>
      <w:r>
        <w:rPr>
          <w:rFonts w:hint="eastAsia" w:ascii="仿宋_GB2312" w:hAnsi="仿宋" w:eastAsia="仿宋_GB2312"/>
          <w:sz w:val="30"/>
          <w:szCs w:val="30"/>
          <w:highlight w:val="none"/>
        </w:rPr>
        <w:t>我市林长制工作突出，接待外地考察人次有所增加，</w:t>
      </w:r>
      <w:r>
        <w:rPr>
          <w:rFonts w:hint="eastAsia" w:ascii="仿宋_GB2312" w:hAnsi="仿宋" w:eastAsia="仿宋_GB2312"/>
          <w:sz w:val="30"/>
          <w:szCs w:val="30"/>
          <w:highlight w:val="none"/>
          <w:lang w:eastAsia="zh-CN"/>
        </w:rPr>
        <w:t>市枫树山林场</w:t>
      </w:r>
      <w:r>
        <w:rPr>
          <w:rFonts w:hint="eastAsia" w:ascii="仿宋_GB2312" w:hAnsi="仿宋" w:eastAsia="仿宋_GB2312"/>
          <w:sz w:val="30"/>
          <w:szCs w:val="30"/>
          <w:highlight w:val="none"/>
          <w:lang w:val="en-US" w:eastAsia="zh-CN"/>
        </w:rPr>
        <w:t>2019年3月接待赣州林校实习生28人，共计30天，</w:t>
      </w:r>
      <w:r>
        <w:rPr>
          <w:rFonts w:hint="eastAsia" w:ascii="仿宋_GB2312" w:hAnsi="仿宋" w:eastAsia="仿宋_GB2312"/>
          <w:sz w:val="30"/>
          <w:szCs w:val="30"/>
          <w:highlight w:val="none"/>
        </w:rPr>
        <w:t>同时</w:t>
      </w:r>
      <w:r>
        <w:rPr>
          <w:rFonts w:hint="eastAsia" w:ascii="仿宋_GB2312" w:hAnsi="仿宋" w:eastAsia="仿宋_GB2312"/>
          <w:sz w:val="30"/>
          <w:szCs w:val="30"/>
          <w:highlight w:val="none"/>
          <w:lang w:eastAsia="zh-CN"/>
        </w:rPr>
        <w:t>在接待中</w:t>
      </w:r>
      <w:r>
        <w:rPr>
          <w:rFonts w:hint="eastAsia" w:ascii="仿宋_GB2312" w:hAnsi="仿宋" w:eastAsia="仿宋_GB2312"/>
          <w:sz w:val="30"/>
          <w:szCs w:val="30"/>
          <w:highlight w:val="none"/>
        </w:rPr>
        <w:t>严格执行中央八项规定，压缩公务接待标准</w:t>
      </w:r>
      <w:r>
        <w:rPr>
          <w:rFonts w:hint="eastAsia" w:ascii="仿宋" w:hAnsi="仿宋" w:eastAsia="仿宋"/>
          <w:sz w:val="30"/>
          <w:szCs w:val="30"/>
        </w:rPr>
        <w:t>。</w:t>
      </w:r>
    </w:p>
    <w:p w14:paraId="7059F1E8">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22.97</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20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年持平</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val="en-US" w:eastAsia="zh-CN"/>
        </w:rPr>
        <w:t>本年度</w:t>
      </w:r>
      <w:r>
        <w:rPr>
          <w:rFonts w:hint="eastAsia" w:ascii="仿宋" w:hAnsi="仿宋" w:eastAsia="仿宋"/>
          <w:sz w:val="30"/>
          <w:szCs w:val="30"/>
        </w:rPr>
        <w:t>无公务用车购置数；公务用车运行维护费支出年初预算数为</w:t>
      </w:r>
      <w:r>
        <w:rPr>
          <w:rFonts w:hint="eastAsia" w:ascii="仿宋" w:hAnsi="仿宋" w:eastAsia="仿宋"/>
          <w:sz w:val="30"/>
          <w:szCs w:val="30"/>
          <w:lang w:val="en-US" w:eastAsia="zh-CN"/>
        </w:rPr>
        <w:t>34.54</w:t>
      </w:r>
      <w:r>
        <w:rPr>
          <w:rFonts w:hint="eastAsia" w:ascii="仿宋" w:hAnsi="仿宋" w:eastAsia="仿宋"/>
          <w:sz w:val="30"/>
          <w:szCs w:val="30"/>
        </w:rPr>
        <w:t>万元，决算数为</w:t>
      </w:r>
      <w:r>
        <w:rPr>
          <w:rFonts w:hint="eastAsia" w:ascii="仿宋" w:hAnsi="仿宋" w:eastAsia="仿宋"/>
          <w:sz w:val="30"/>
          <w:szCs w:val="30"/>
          <w:lang w:val="en-US" w:eastAsia="zh-CN"/>
        </w:rPr>
        <w:t>22.97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66.5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2.99</w:t>
      </w:r>
      <w:r>
        <w:rPr>
          <w:rFonts w:hint="eastAsia" w:ascii="仿宋" w:hAnsi="仿宋" w:eastAsia="仿宋"/>
          <w:sz w:val="30"/>
          <w:szCs w:val="30"/>
        </w:rPr>
        <w:t>万元，下降</w:t>
      </w:r>
      <w:r>
        <w:rPr>
          <w:rFonts w:hint="eastAsia" w:ascii="仿宋" w:hAnsi="仿宋" w:eastAsia="仿宋"/>
          <w:sz w:val="30"/>
          <w:szCs w:val="30"/>
          <w:lang w:val="en-US" w:eastAsia="zh-CN"/>
        </w:rPr>
        <w:t>11.52</w:t>
      </w:r>
      <w:r>
        <w:rPr>
          <w:rFonts w:hint="eastAsia" w:ascii="仿宋" w:hAnsi="仿宋" w:eastAsia="仿宋"/>
          <w:sz w:val="30"/>
          <w:szCs w:val="30"/>
        </w:rPr>
        <w:t xml:space="preserve"> %。决算数较年初预算数减少的主要原因是：行政机关和参公单位公务用车改革减少车辆运行费用，同时厉行节约，压缩三公经费。</w:t>
      </w:r>
    </w:p>
    <w:p w14:paraId="58B43A15">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41BB9F1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436.17</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92.27</w:t>
      </w:r>
      <w:r>
        <w:rPr>
          <w:rFonts w:hint="eastAsia" w:ascii="仿宋" w:hAnsi="仿宋" w:eastAsia="仿宋"/>
          <w:sz w:val="30"/>
          <w:szCs w:val="30"/>
        </w:rPr>
        <w:t>万元，增长</w:t>
      </w:r>
      <w:r>
        <w:rPr>
          <w:rFonts w:hint="eastAsia" w:ascii="仿宋" w:hAnsi="仿宋" w:eastAsia="仿宋"/>
          <w:sz w:val="30"/>
          <w:szCs w:val="30"/>
          <w:lang w:val="en-US" w:eastAsia="zh-CN"/>
        </w:rPr>
        <w:t>26.83</w:t>
      </w:r>
      <w:r>
        <w:rPr>
          <w:rFonts w:hint="eastAsia" w:ascii="仿宋" w:hAnsi="仿宋" w:eastAsia="仿宋"/>
          <w:sz w:val="30"/>
          <w:szCs w:val="30"/>
        </w:rPr>
        <w:t>%，主要原因是：</w:t>
      </w:r>
      <w:r>
        <w:rPr>
          <w:rFonts w:hint="eastAsia" w:ascii="仿宋" w:hAnsi="仿宋" w:eastAsia="仿宋"/>
          <w:sz w:val="30"/>
          <w:szCs w:val="30"/>
          <w:lang w:val="en-US" w:eastAsia="zh-CN"/>
        </w:rPr>
        <w:t>本年新增房屋租赁费用</w:t>
      </w:r>
      <w:r>
        <w:rPr>
          <w:rFonts w:hint="eastAsia" w:ascii="仿宋" w:hAnsi="仿宋" w:eastAsia="仿宋"/>
          <w:sz w:val="30"/>
          <w:szCs w:val="30"/>
        </w:rPr>
        <w:t xml:space="preserve">。 </w:t>
      </w:r>
    </w:p>
    <w:p w14:paraId="70345321">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76063FA">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16.37</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16.37</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7D480CB8">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010F8F88">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r>
        <w:rPr>
          <w:rFonts w:hint="eastAsia" w:ascii="仿宋" w:hAnsi="仿宋" w:eastAsia="仿宋"/>
          <w:kern w:val="0"/>
          <w:sz w:val="30"/>
          <w:szCs w:val="30"/>
        </w:rPr>
        <w:t xml:space="preserve">本部门共有车辆 </w:t>
      </w:r>
      <w:r>
        <w:rPr>
          <w:rFonts w:hint="eastAsia" w:ascii="仿宋" w:hAnsi="仿宋" w:eastAsia="仿宋"/>
          <w:kern w:val="0"/>
          <w:sz w:val="30"/>
          <w:szCs w:val="30"/>
          <w:lang w:val="en-US" w:eastAsia="zh-CN"/>
        </w:rPr>
        <w:t>4</w:t>
      </w:r>
      <w:r>
        <w:rPr>
          <w:rFonts w:hint="eastAsia" w:ascii="仿宋" w:hAnsi="仿宋" w:eastAsia="仿宋"/>
          <w:kern w:val="0"/>
          <w:sz w:val="30"/>
          <w:szCs w:val="30"/>
        </w:rPr>
        <w:t>3 辆，其中，副部（省）级及以上领导用车 0 辆、主要领导干部用车 0 辆、机要通信用车 0 辆、应急保障用车 0 辆、执法执勤用车</w:t>
      </w:r>
      <w:r>
        <w:rPr>
          <w:rFonts w:hint="eastAsia" w:ascii="仿宋" w:hAnsi="仿宋" w:eastAsia="仿宋"/>
          <w:kern w:val="0"/>
          <w:sz w:val="30"/>
          <w:szCs w:val="30"/>
          <w:lang w:val="en-US" w:eastAsia="zh-CN"/>
        </w:rPr>
        <w:t>7</w:t>
      </w:r>
      <w:r>
        <w:rPr>
          <w:rFonts w:hint="eastAsia" w:ascii="仿宋" w:hAnsi="仿宋" w:eastAsia="仿宋"/>
          <w:kern w:val="0"/>
          <w:sz w:val="30"/>
          <w:szCs w:val="30"/>
        </w:rPr>
        <w:t>辆、特种专业技术用车 0 辆、</w:t>
      </w:r>
      <w:r>
        <w:rPr>
          <w:rFonts w:hint="eastAsia" w:ascii="仿宋" w:hAnsi="仿宋" w:eastAsia="仿宋"/>
          <w:kern w:val="0"/>
          <w:sz w:val="30"/>
          <w:szCs w:val="30"/>
          <w:lang w:val="en-US" w:eastAsia="zh-CN"/>
        </w:rPr>
        <w:t>离休干部用车0辆、</w:t>
      </w:r>
      <w:r>
        <w:rPr>
          <w:rFonts w:hint="eastAsia" w:ascii="仿宋" w:hAnsi="仿宋" w:eastAsia="仿宋"/>
          <w:kern w:val="0"/>
          <w:sz w:val="30"/>
          <w:szCs w:val="30"/>
        </w:rPr>
        <w:t>其他用车</w:t>
      </w:r>
      <w:r>
        <w:rPr>
          <w:rFonts w:hint="eastAsia" w:ascii="仿宋" w:hAnsi="仿宋" w:eastAsia="仿宋"/>
          <w:kern w:val="0"/>
          <w:sz w:val="30"/>
          <w:szCs w:val="30"/>
          <w:lang w:val="en-US" w:eastAsia="zh-CN"/>
        </w:rPr>
        <w:t>36</w:t>
      </w:r>
      <w:r>
        <w:rPr>
          <w:rFonts w:hint="eastAsia" w:ascii="仿宋" w:hAnsi="仿宋" w:eastAsia="仿宋"/>
          <w:kern w:val="0"/>
          <w:sz w:val="30"/>
          <w:szCs w:val="30"/>
        </w:rPr>
        <w:t>辆；</w:t>
      </w:r>
    </w:p>
    <w:p w14:paraId="5D265898">
      <w:pPr>
        <w:jc w:val="left"/>
        <w:rPr>
          <w:rFonts w:hint="eastAsia" w:ascii="仿宋" w:hAnsi="仿宋" w:eastAsia="仿宋"/>
          <w:kern w:val="0"/>
          <w:sz w:val="30"/>
          <w:szCs w:val="30"/>
        </w:rPr>
      </w:pPr>
      <w:r>
        <w:rPr>
          <w:rFonts w:hint="eastAsia" w:ascii="仿宋" w:hAnsi="仿宋" w:eastAsia="仿宋"/>
          <w:kern w:val="0"/>
          <w:sz w:val="30"/>
          <w:szCs w:val="30"/>
          <w:lang w:val="en-US" w:eastAsia="zh-CN"/>
        </w:rPr>
        <w:t>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val="en-US" w:eastAsia="zh-CN"/>
        </w:rPr>
        <w:t>市枫树山林场工作用车</w:t>
      </w:r>
      <w:r>
        <w:rPr>
          <w:rFonts w:hint="eastAsia" w:ascii="仿宋" w:hAnsi="仿宋" w:eastAsia="仿宋"/>
          <w:kern w:val="0"/>
          <w:sz w:val="30"/>
          <w:szCs w:val="30"/>
        </w:rPr>
        <w:t>。</w:t>
      </w:r>
    </w:p>
    <w:p w14:paraId="3AEB7986">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6CC99C5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39BF2102">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个，二级项目</w:t>
      </w:r>
    </w:p>
    <w:p w14:paraId="7DC1A4BE">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2</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480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37.17</w:t>
      </w:r>
      <w:r>
        <w:rPr>
          <w:rFonts w:hint="eastAsia" w:ascii="仿宋" w:hAnsi="仿宋" w:eastAsia="仿宋" w:cs="仿宋_GB2312"/>
          <w:kern w:val="0"/>
          <w:sz w:val="30"/>
          <w:szCs w:val="30"/>
        </w:rPr>
        <w:t>%。</w:t>
      </w:r>
    </w:p>
    <w:p w14:paraId="5EA12FB9">
      <w:pPr>
        <w:spacing w:line="240" w:lineRule="auto"/>
        <w:ind w:firstLine="600"/>
        <w:rPr>
          <w:rFonts w:ascii="仿宋" w:hAnsi="仿宋" w:eastAsia="仿宋" w:cs="仿宋_GB2312"/>
          <w:kern w:val="0"/>
          <w:sz w:val="30"/>
          <w:szCs w:val="30"/>
        </w:rPr>
      </w:pPr>
      <w:r>
        <w:rPr>
          <w:rFonts w:hint="eastAsia" w:ascii="仿宋" w:hAnsi="仿宋" w:eastAsia="仿宋" w:cs="仿宋_GB2312"/>
          <w:kern w:val="0"/>
          <w:sz w:val="30"/>
          <w:szCs w:val="30"/>
        </w:rPr>
        <w:t xml:space="preserve">共组织对“市级生态公益林补偿资金”、“森林防火经费”等 2个项目进行了重点绩效评价，涉及一般公共预算支出 </w:t>
      </w:r>
      <w:r>
        <w:rPr>
          <w:rFonts w:hint="eastAsia" w:ascii="仿宋" w:hAnsi="仿宋" w:eastAsia="仿宋" w:cs="仿宋_GB2312"/>
          <w:kern w:val="0"/>
          <w:sz w:val="30"/>
          <w:szCs w:val="30"/>
          <w:lang w:val="en-US" w:eastAsia="zh-CN"/>
        </w:rPr>
        <w:t>480</w:t>
      </w:r>
      <w:r>
        <w:rPr>
          <w:rFonts w:hint="eastAsia" w:ascii="仿宋" w:hAnsi="仿宋" w:eastAsia="仿宋" w:cs="仿宋_GB2312"/>
          <w:kern w:val="0"/>
          <w:sz w:val="30"/>
          <w:szCs w:val="30"/>
        </w:rPr>
        <w:t>万元。</w:t>
      </w:r>
      <w:r>
        <w:rPr>
          <w:rFonts w:hint="eastAsia" w:ascii="仿宋" w:hAnsi="仿宋" w:eastAsia="仿宋" w:cs="仿宋"/>
          <w:sz w:val="30"/>
        </w:rPr>
        <w:t>根据景德镇市林业局201</w:t>
      </w:r>
      <w:r>
        <w:rPr>
          <w:rFonts w:hint="eastAsia" w:ascii="仿宋" w:hAnsi="仿宋" w:eastAsia="仿宋" w:cs="仿宋"/>
          <w:sz w:val="30"/>
          <w:lang w:val="en-US" w:eastAsia="zh-CN"/>
        </w:rPr>
        <w:t>9</w:t>
      </w:r>
      <w:r>
        <w:rPr>
          <w:rFonts w:hint="eastAsia" w:ascii="仿宋" w:hAnsi="仿宋" w:eastAsia="仿宋" w:cs="仿宋"/>
          <w:sz w:val="30"/>
        </w:rPr>
        <w:t>年度生态效益林专项经费项目绩效自评价指标体系及评分标准，通过资料收集、现场勘验和问卷调查等方式，对市林业局“201</w:t>
      </w:r>
      <w:r>
        <w:rPr>
          <w:rFonts w:hint="eastAsia" w:ascii="仿宋" w:hAnsi="仿宋" w:eastAsia="仿宋" w:cs="仿宋"/>
          <w:sz w:val="30"/>
          <w:lang w:val="en-US" w:eastAsia="zh-CN"/>
        </w:rPr>
        <w:t>9</w:t>
      </w:r>
      <w:r>
        <w:rPr>
          <w:rFonts w:hint="eastAsia" w:ascii="仿宋" w:hAnsi="仿宋" w:eastAsia="仿宋" w:cs="仿宋"/>
          <w:sz w:val="30"/>
        </w:rPr>
        <w:t>年度生态效益林专项经费项目”进行了客观地绩效评价，综合自评得分为9</w:t>
      </w:r>
      <w:r>
        <w:rPr>
          <w:rFonts w:hint="eastAsia" w:ascii="仿宋" w:hAnsi="仿宋" w:eastAsia="仿宋" w:cs="仿宋"/>
          <w:sz w:val="30"/>
          <w:lang w:val="en-US" w:eastAsia="zh-CN"/>
        </w:rPr>
        <w:t>8</w:t>
      </w:r>
      <w:r>
        <w:rPr>
          <w:rFonts w:hint="eastAsia" w:ascii="仿宋" w:hAnsi="仿宋" w:eastAsia="仿宋" w:cs="仿宋"/>
          <w:sz w:val="30"/>
        </w:rPr>
        <w:t>分，绩效等级为“优秀”。</w:t>
      </w:r>
      <w:r>
        <w:rPr>
          <w:rFonts w:hint="eastAsia" w:ascii="仿宋" w:hAnsi="仿宋" w:eastAsia="仿宋" w:cs="仿宋_GB2312"/>
          <w:kern w:val="0"/>
          <w:sz w:val="30"/>
          <w:szCs w:val="30"/>
        </w:rPr>
        <w:t>根据景德镇市林业局201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年度林业</w:t>
      </w:r>
      <w:r>
        <w:rPr>
          <w:rFonts w:hint="eastAsia" w:ascii="仿宋" w:hAnsi="仿宋" w:eastAsia="仿宋" w:cs="仿宋_GB2312"/>
          <w:kern w:val="0"/>
          <w:sz w:val="30"/>
          <w:szCs w:val="30"/>
          <w:lang w:val="en-US" w:eastAsia="zh-CN"/>
        </w:rPr>
        <w:t>防火</w:t>
      </w:r>
      <w:r>
        <w:rPr>
          <w:rFonts w:hint="eastAsia" w:ascii="仿宋" w:hAnsi="仿宋" w:eastAsia="仿宋" w:cs="仿宋_GB2312"/>
          <w:kern w:val="0"/>
          <w:sz w:val="30"/>
          <w:szCs w:val="30"/>
        </w:rPr>
        <w:t>项目的绩效自评价指标体系及评分标准，通过收集资料、现场勘验和问卷调查等方式，进行了客观绩效评价，综合自评得分为9</w:t>
      </w:r>
      <w:r>
        <w:rPr>
          <w:rFonts w:hint="eastAsia" w:ascii="仿宋" w:hAnsi="仿宋" w:eastAsia="仿宋" w:cs="仿宋_GB2312"/>
          <w:kern w:val="0"/>
          <w:sz w:val="30"/>
          <w:szCs w:val="30"/>
          <w:lang w:val="en-US" w:eastAsia="zh-CN"/>
        </w:rPr>
        <w:t>7</w:t>
      </w:r>
      <w:r>
        <w:rPr>
          <w:rFonts w:hint="eastAsia" w:ascii="仿宋" w:hAnsi="仿宋" w:eastAsia="仿宋" w:cs="仿宋_GB2312"/>
          <w:kern w:val="0"/>
          <w:sz w:val="30"/>
          <w:szCs w:val="30"/>
        </w:rPr>
        <w:t>分，绩效等级为“优秀”。</w:t>
      </w:r>
    </w:p>
    <w:p w14:paraId="31924BD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4D1FEA2F">
      <w:pPr>
        <w:keepNext w:val="0"/>
        <w:keepLines w:val="0"/>
        <w:pageBreakBefore w:val="0"/>
        <w:widowControl w:val="0"/>
        <w:kinsoku/>
        <w:wordWrap/>
        <w:overflowPunct/>
        <w:topLinePunct w:val="0"/>
        <w:autoSpaceDE w:val="0"/>
        <w:autoSpaceDN w:val="0"/>
        <w:bidi w:val="0"/>
        <w:adjustRightInd w:val="0"/>
        <w:snapToGrid/>
        <w:spacing w:line="560" w:lineRule="exact"/>
        <w:ind w:firstLine="735" w:firstLineChars="245"/>
        <w:jc w:val="left"/>
        <w:textAlignment w:val="auto"/>
        <w:rPr>
          <w:rFonts w:ascii="仿宋" w:hAnsi="仿宋" w:eastAsia="仿宋" w:cs="仿宋_GB2312"/>
          <w:kern w:val="0"/>
          <w:sz w:val="30"/>
          <w:szCs w:val="30"/>
        </w:rPr>
      </w:pPr>
      <w:r>
        <w:rPr>
          <w:rFonts w:hint="eastAsia" w:ascii="仿宋" w:hAnsi="仿宋" w:eastAsia="仿宋" w:cs="仿宋_GB2312"/>
          <w:kern w:val="0"/>
          <w:sz w:val="30"/>
          <w:szCs w:val="30"/>
        </w:rPr>
        <w:t>我部门今年在市市级部门决算中反映市级生态公益林补偿资金项目绩效自评结果。</w:t>
      </w:r>
    </w:p>
    <w:p w14:paraId="251CC08E">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市级生态公益林补偿资金项目绩效自评综述：根据年初设定的绩效目标，市级生态公益林补偿资金项目绩效自评得分为98 分。项目全年预算数为420 万元，执行数为 420万元，完成预算的 100 %。主要产出和效果：一是实施公益林项目以来，森林得到了有效保护，林分质量得到了提高，森林蓄积逐年增长，给广大林农带来巨大的林木储备收益，增强了林农培育与管护公益林的信心；二是随着国家和省级公益林补偿标准的逐年提高，管护时间的延长，林农从公益林管护中得到的实惠会更多，受益的群体会更广泛。</w:t>
      </w:r>
    </w:p>
    <w:p w14:paraId="7905820E">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发现的问题及原因：一是公益林宣传告示牌内容不完善、格式不规范；二是资金补偿标准偏低，管护任务繁重；三是管理程序复杂，工作经费不足。</w:t>
      </w:r>
    </w:p>
    <w:p w14:paraId="3EB7451D">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left"/>
        <w:textAlignment w:val="auto"/>
        <w:rPr>
          <w:rFonts w:hint="eastAsia"/>
        </w:rPr>
      </w:pPr>
      <w:r>
        <w:rPr>
          <w:rFonts w:hint="eastAsia" w:ascii="仿宋" w:hAnsi="仿宋" w:eastAsia="仿宋" w:cs="仿宋_GB2312"/>
          <w:kern w:val="0"/>
          <w:sz w:val="30"/>
          <w:szCs w:val="30"/>
        </w:rPr>
        <w:t>下一步改进措施：一是逐年提高补偿标准；二是拓宽补偿资金使用范围；三是落实项目管理工作经费。</w:t>
      </w:r>
    </w:p>
    <w:p w14:paraId="54D21414">
      <w:pPr>
        <w:widowControl/>
        <w:spacing w:line="600" w:lineRule="exact"/>
        <w:jc w:val="both"/>
        <w:rPr>
          <w:rFonts w:hint="eastAsia" w:ascii="宋体" w:hAnsi="宋体"/>
          <w:b/>
          <w:sz w:val="32"/>
          <w:szCs w:val="32"/>
        </w:rPr>
      </w:pPr>
    </w:p>
    <w:tbl>
      <w:tblPr>
        <w:tblStyle w:val="4"/>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316"/>
        <w:gridCol w:w="535"/>
        <w:gridCol w:w="708"/>
      </w:tblGrid>
      <w:tr w14:paraId="166613C5">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14:paraId="7B01D1F4">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435368C8">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14:paraId="55DB6B1D">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14:paraId="696756C7">
        <w:tblPrEx>
          <w:tblCellMar>
            <w:top w:w="0" w:type="dxa"/>
            <w:left w:w="108" w:type="dxa"/>
            <w:bottom w:w="0" w:type="dxa"/>
            <w:right w:w="108" w:type="dxa"/>
          </w:tblCellMar>
        </w:tblPrEx>
        <w:trPr>
          <w:trHeight w:val="31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67F9C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14:paraId="57BAB4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2019年度</w:t>
            </w:r>
            <w:r>
              <w:rPr>
                <w:rFonts w:hint="eastAsia" w:ascii="宋体" w:hAnsi="宋体" w:eastAsia="宋体" w:cs="宋体"/>
                <w:kern w:val="0"/>
                <w:sz w:val="18"/>
                <w:szCs w:val="18"/>
                <w:lang w:val="en-US" w:eastAsia="zh-CN"/>
              </w:rPr>
              <w:t>市级生态公益林补助</w:t>
            </w:r>
            <w:r>
              <w:rPr>
                <w:rFonts w:hint="eastAsia" w:ascii="宋体" w:hAnsi="宋体" w:eastAsia="宋体" w:cs="宋体"/>
                <w:kern w:val="0"/>
                <w:sz w:val="18"/>
                <w:szCs w:val="18"/>
              </w:rPr>
              <w:t>项目</w:t>
            </w:r>
          </w:p>
        </w:tc>
      </w:tr>
      <w:tr w14:paraId="5029D9CB">
        <w:tblPrEx>
          <w:tblCellMar>
            <w:top w:w="0" w:type="dxa"/>
            <w:left w:w="108" w:type="dxa"/>
            <w:bottom w:w="0" w:type="dxa"/>
            <w:right w:w="108" w:type="dxa"/>
          </w:tblCellMar>
        </w:tblPrEx>
        <w:trPr>
          <w:trHeight w:val="245"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CF772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4B311D6F">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景德镇市林业局</w:t>
            </w:r>
          </w:p>
        </w:tc>
        <w:tc>
          <w:tcPr>
            <w:tcW w:w="1134" w:type="dxa"/>
            <w:gridSpan w:val="2"/>
            <w:tcBorders>
              <w:top w:val="nil"/>
              <w:left w:val="nil"/>
              <w:bottom w:val="single" w:color="auto" w:sz="4" w:space="0"/>
              <w:right w:val="single" w:color="auto" w:sz="4" w:space="0"/>
            </w:tcBorders>
            <w:noWrap w:val="0"/>
            <w:vAlign w:val="center"/>
          </w:tcPr>
          <w:p w14:paraId="64ACB2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4650AA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景德镇市林业局</w:t>
            </w:r>
          </w:p>
        </w:tc>
      </w:tr>
      <w:tr w14:paraId="1165C660">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548BA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642CCAC0">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3358E8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0A34F6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4BBD5E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6E9030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0B2A497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15F1D4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7530537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9A21F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97EBDD2">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5E7586E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440</w:t>
            </w:r>
          </w:p>
        </w:tc>
        <w:tc>
          <w:tcPr>
            <w:tcW w:w="1134" w:type="dxa"/>
            <w:gridSpan w:val="2"/>
            <w:tcBorders>
              <w:top w:val="nil"/>
              <w:left w:val="nil"/>
              <w:bottom w:val="single" w:color="auto" w:sz="4" w:space="0"/>
              <w:right w:val="single" w:color="auto" w:sz="4" w:space="0"/>
            </w:tcBorders>
            <w:noWrap w:val="0"/>
            <w:vAlign w:val="center"/>
          </w:tcPr>
          <w:p w14:paraId="2323301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440</w:t>
            </w:r>
          </w:p>
        </w:tc>
        <w:tc>
          <w:tcPr>
            <w:tcW w:w="1134" w:type="dxa"/>
            <w:gridSpan w:val="2"/>
            <w:tcBorders>
              <w:top w:val="nil"/>
              <w:left w:val="nil"/>
              <w:bottom w:val="single" w:color="auto" w:sz="4" w:space="0"/>
              <w:right w:val="single" w:color="auto" w:sz="4" w:space="0"/>
            </w:tcBorders>
            <w:noWrap w:val="0"/>
            <w:vAlign w:val="center"/>
          </w:tcPr>
          <w:p w14:paraId="533B8BE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440</w:t>
            </w:r>
          </w:p>
        </w:tc>
        <w:tc>
          <w:tcPr>
            <w:tcW w:w="709" w:type="dxa"/>
            <w:gridSpan w:val="2"/>
            <w:tcBorders>
              <w:top w:val="nil"/>
              <w:left w:val="nil"/>
              <w:bottom w:val="single" w:color="auto" w:sz="4" w:space="0"/>
              <w:right w:val="single" w:color="auto" w:sz="4" w:space="0"/>
            </w:tcBorders>
            <w:noWrap w:val="0"/>
            <w:vAlign w:val="center"/>
          </w:tcPr>
          <w:p w14:paraId="5F77193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6582147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4B18C52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39665B7E">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9950B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94049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0800300D">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B38DD15">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0E84CF42">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3230615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D3F5507">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629479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5580D2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DB3225">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680FF8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221E2594">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EB0BD59">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3598FDD">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0950BC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E9A8B5B">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1AEB11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7E7BA03">
        <w:tblPrEx>
          <w:tblCellMar>
            <w:top w:w="0" w:type="dxa"/>
            <w:left w:w="108" w:type="dxa"/>
            <w:bottom w:w="0" w:type="dxa"/>
            <w:right w:w="108" w:type="dxa"/>
          </w:tblCellMar>
        </w:tblPrEx>
        <w:trPr>
          <w:trHeight w:val="27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7C348F">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8897E7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5E48DD7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289469E3">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C86F415">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499AAA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2C598AAF">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2C9381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F1CFBDF">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7D50523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2B66E9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40668F2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4C2C519">
        <w:tblPrEx>
          <w:tblCellMar>
            <w:top w:w="0" w:type="dxa"/>
            <w:left w:w="108" w:type="dxa"/>
            <w:bottom w:w="0" w:type="dxa"/>
            <w:right w:w="108" w:type="dxa"/>
          </w:tblCellMar>
        </w:tblPrEx>
        <w:trPr>
          <w:trHeight w:val="232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3716EFB1">
            <w:pPr>
              <w:widowControl/>
              <w:spacing w:line="240" w:lineRule="exact"/>
              <w:jc w:val="center"/>
              <w:rPr>
                <w:rFonts w:hint="eastAsia"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16BCA20A">
            <w:pPr>
              <w:widowControl/>
              <w:spacing w:line="240" w:lineRule="exact"/>
              <w:jc w:val="left"/>
              <w:rPr>
                <w:rFonts w:hint="eastAsia" w:ascii="宋体" w:hAnsi="宋体" w:eastAsia="宋体" w:cs="宋体"/>
                <w:kern w:val="0"/>
                <w:sz w:val="18"/>
                <w:szCs w:val="18"/>
                <w:lang w:val="en-US" w:eastAsia="zh-CN"/>
              </w:rPr>
            </w:pPr>
            <w:r>
              <w:rPr>
                <w:rFonts w:hint="eastAsia" w:ascii="宋体" w:hAnsi="宋体" w:eastAsia="宋体" w:cs="宋体"/>
                <w:b/>
                <w:bCs/>
                <w:kern w:val="0"/>
                <w:sz w:val="18"/>
                <w:szCs w:val="18"/>
                <w:lang w:val="en-US" w:eastAsia="zh-CN"/>
              </w:rPr>
              <w:t xml:space="preserve"> 目标1：</w:t>
            </w:r>
            <w:r>
              <w:rPr>
                <w:rFonts w:hint="eastAsia" w:ascii="宋体" w:hAnsi="宋体" w:eastAsia="宋体" w:cs="宋体"/>
                <w:kern w:val="0"/>
                <w:sz w:val="18"/>
                <w:szCs w:val="18"/>
                <w:lang w:val="en-US" w:eastAsia="zh-CN"/>
              </w:rPr>
              <w:t>保持市级生态公益林面积稳定在20万亩；</w:t>
            </w:r>
            <w:r>
              <w:rPr>
                <w:rFonts w:hint="eastAsia" w:ascii="宋体" w:hAnsi="宋体" w:eastAsia="宋体" w:cs="宋体"/>
                <w:kern w:val="0"/>
                <w:sz w:val="18"/>
                <w:szCs w:val="18"/>
              </w:rPr>
              <w:t xml:space="preserve">  </w:t>
            </w:r>
            <w:r>
              <w:rPr>
                <w:rFonts w:hint="eastAsia" w:ascii="宋体" w:hAnsi="宋体" w:eastAsia="宋体" w:cs="宋体"/>
                <w:kern w:val="0"/>
                <w:sz w:val="18"/>
                <w:szCs w:val="18"/>
                <w:lang w:val="en-US" w:eastAsia="zh-CN"/>
              </w:rPr>
              <w:t xml:space="preserve">     </w:t>
            </w:r>
          </w:p>
          <w:p w14:paraId="1EC20D8E">
            <w:pPr>
              <w:widowControl/>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w:t>
            </w:r>
            <w:r>
              <w:rPr>
                <w:rFonts w:hint="eastAsia" w:ascii="宋体" w:hAnsi="宋体" w:eastAsia="宋体" w:cs="宋体"/>
                <w:b/>
                <w:bCs/>
                <w:kern w:val="0"/>
                <w:sz w:val="18"/>
                <w:szCs w:val="18"/>
                <w:lang w:val="en-US" w:eastAsia="zh-CN"/>
              </w:rPr>
              <w:t>目标2：</w:t>
            </w:r>
            <w:r>
              <w:rPr>
                <w:rFonts w:hint="eastAsia" w:ascii="宋体" w:hAnsi="宋体" w:eastAsia="宋体" w:cs="宋体"/>
                <w:sz w:val="18"/>
                <w:szCs w:val="18"/>
              </w:rPr>
              <w:t>保持水土、涵养水源、调节气候</w:t>
            </w:r>
            <w:r>
              <w:rPr>
                <w:rFonts w:hint="eastAsia" w:ascii="宋体" w:hAnsi="宋体" w:eastAsia="宋体" w:cs="宋体"/>
                <w:sz w:val="18"/>
                <w:szCs w:val="18"/>
                <w:lang w:eastAsia="zh-CN"/>
              </w:rPr>
              <w:t>，</w:t>
            </w:r>
            <w:r>
              <w:rPr>
                <w:rFonts w:hint="eastAsia" w:ascii="宋体" w:hAnsi="宋体" w:eastAsia="宋体" w:cs="宋体"/>
                <w:kern w:val="0"/>
                <w:sz w:val="18"/>
                <w:szCs w:val="18"/>
              </w:rPr>
              <w:t xml:space="preserve"> </w:t>
            </w:r>
            <w:r>
              <w:rPr>
                <w:rFonts w:hint="eastAsia" w:ascii="宋体" w:hAnsi="宋体" w:eastAsia="宋体" w:cs="宋体"/>
                <w:kern w:val="0"/>
                <w:sz w:val="18"/>
                <w:szCs w:val="18"/>
                <w:lang w:val="en-US" w:eastAsia="zh-CN"/>
              </w:rPr>
              <w:t>改善境内生态环境。</w:t>
            </w:r>
            <w:r>
              <w:rPr>
                <w:rFonts w:hint="eastAsia" w:ascii="宋体" w:hAnsi="宋体" w:eastAsia="宋体" w:cs="宋体"/>
                <w:kern w:val="0"/>
                <w:sz w:val="18"/>
                <w:szCs w:val="18"/>
              </w:rPr>
              <w:t xml:space="preserve">                                                                                                                     </w:t>
            </w:r>
          </w:p>
        </w:tc>
        <w:tc>
          <w:tcPr>
            <w:tcW w:w="3402" w:type="dxa"/>
            <w:gridSpan w:val="7"/>
            <w:tcBorders>
              <w:top w:val="single" w:color="auto" w:sz="4" w:space="0"/>
              <w:left w:val="nil"/>
              <w:bottom w:val="single" w:color="auto" w:sz="4" w:space="0"/>
              <w:right w:val="single" w:color="auto" w:sz="4" w:space="0"/>
            </w:tcBorders>
            <w:noWrap w:val="0"/>
            <w:vAlign w:val="center"/>
          </w:tcPr>
          <w:p w14:paraId="4216D304">
            <w:pPr>
              <w:widowControl/>
              <w:spacing w:line="240" w:lineRule="exact"/>
              <w:jc w:val="left"/>
              <w:rPr>
                <w:rFonts w:hint="eastAsia" w:ascii="宋体" w:hAnsi="宋体" w:eastAsia="宋体" w:cs="宋体"/>
                <w:kern w:val="0"/>
                <w:sz w:val="18"/>
                <w:szCs w:val="18"/>
                <w:lang w:eastAsia="zh-CN"/>
              </w:rPr>
            </w:pPr>
            <w:r>
              <w:rPr>
                <w:rFonts w:hint="eastAsia" w:ascii="宋体" w:hAnsi="宋体" w:eastAsia="宋体" w:cs="宋体"/>
                <w:sz w:val="18"/>
                <w:szCs w:val="18"/>
              </w:rPr>
              <w:t>按照生态公益林规范要求进行管理,将</w:t>
            </w:r>
            <w:r>
              <w:rPr>
                <w:rFonts w:hint="eastAsia" w:ascii="宋体" w:hAnsi="宋体" w:eastAsia="宋体" w:cs="宋体"/>
                <w:sz w:val="18"/>
                <w:szCs w:val="18"/>
                <w:lang w:val="en-US" w:eastAsia="zh-CN"/>
              </w:rPr>
              <w:t>20万亩市级</w:t>
            </w:r>
            <w:r>
              <w:rPr>
                <w:rFonts w:hint="eastAsia" w:ascii="宋体" w:hAnsi="宋体" w:eastAsia="宋体" w:cs="宋体"/>
                <w:sz w:val="18"/>
                <w:szCs w:val="18"/>
              </w:rPr>
              <w:t>公益林落实到山头地块，树立公益林公示或标志牌，明确了管理责任制，全面落实公益林补偿资金政策。</w:t>
            </w:r>
            <w:r>
              <w:rPr>
                <w:rFonts w:hint="eastAsia" w:ascii="宋体" w:hAnsi="宋体" w:eastAsia="宋体" w:cs="宋体"/>
                <w:sz w:val="18"/>
                <w:szCs w:val="18"/>
                <w:lang w:val="en-US" w:eastAsia="zh-CN"/>
              </w:rPr>
              <w:t>境内</w:t>
            </w:r>
            <w:r>
              <w:rPr>
                <w:rFonts w:hint="eastAsia" w:ascii="宋体" w:hAnsi="宋体" w:eastAsia="宋体" w:cs="宋体"/>
                <w:sz w:val="18"/>
                <w:szCs w:val="18"/>
              </w:rPr>
              <w:t>生态环境得到明显改善。</w:t>
            </w:r>
          </w:p>
        </w:tc>
      </w:tr>
      <w:tr w14:paraId="166945AF">
        <w:tblPrEx>
          <w:tblCellMar>
            <w:top w:w="0" w:type="dxa"/>
            <w:left w:w="108" w:type="dxa"/>
            <w:bottom w:w="0" w:type="dxa"/>
            <w:right w:w="108" w:type="dxa"/>
          </w:tblCellMar>
        </w:tblPrEx>
        <w:trPr>
          <w:trHeight w:val="848" w:hRule="exact"/>
          <w:jc w:val="center"/>
        </w:trPr>
        <w:tc>
          <w:tcPr>
            <w:tcW w:w="588" w:type="dxa"/>
            <w:vMerge w:val="restart"/>
            <w:tcBorders>
              <w:top w:val="nil"/>
              <w:left w:val="single" w:color="auto" w:sz="4" w:space="0"/>
              <w:right w:val="single" w:color="auto" w:sz="4" w:space="0"/>
            </w:tcBorders>
            <w:noWrap w:val="0"/>
            <w:vAlign w:val="center"/>
          </w:tcPr>
          <w:p w14:paraId="64DB41D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44B34FE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719B9C5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07CCF7E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5425605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w:t>
            </w:r>
          </w:p>
          <w:p w14:paraId="2E89015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23FB233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w:t>
            </w:r>
          </w:p>
          <w:p w14:paraId="0C2EB47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07B481F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741" w:type="dxa"/>
            <w:gridSpan w:val="2"/>
            <w:tcBorders>
              <w:top w:val="nil"/>
              <w:left w:val="nil"/>
              <w:bottom w:val="single" w:color="auto" w:sz="4" w:space="0"/>
              <w:right w:val="single" w:color="auto" w:sz="4" w:space="0"/>
            </w:tcBorders>
            <w:noWrap w:val="0"/>
            <w:vAlign w:val="center"/>
          </w:tcPr>
          <w:p w14:paraId="2C9E32E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c>
          <w:tcPr>
            <w:tcW w:w="1243" w:type="dxa"/>
            <w:gridSpan w:val="2"/>
            <w:tcBorders>
              <w:top w:val="single" w:color="auto" w:sz="4" w:space="0"/>
              <w:left w:val="nil"/>
              <w:bottom w:val="single" w:color="auto" w:sz="4" w:space="0"/>
              <w:right w:val="single" w:color="auto" w:sz="4" w:space="0"/>
            </w:tcBorders>
            <w:noWrap w:val="0"/>
            <w:vAlign w:val="center"/>
          </w:tcPr>
          <w:p w14:paraId="3A021B1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6EE56CD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DB5098C">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730C1A9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产出指标</w:t>
            </w:r>
            <w:r>
              <w:rPr>
                <w:rFonts w:hint="eastAsia" w:ascii="宋体" w:hAnsi="宋体" w:eastAsia="宋体" w:cs="宋体"/>
                <w:kern w:val="0"/>
                <w:sz w:val="18"/>
                <w:szCs w:val="18"/>
                <w:lang w:val="en-US" w:eastAsia="zh-CN"/>
              </w:rPr>
              <w:t>50</w:t>
            </w:r>
          </w:p>
        </w:tc>
        <w:tc>
          <w:tcPr>
            <w:tcW w:w="1112" w:type="dxa"/>
            <w:vMerge w:val="restart"/>
            <w:tcBorders>
              <w:top w:val="nil"/>
              <w:left w:val="single" w:color="auto" w:sz="4" w:space="0"/>
              <w:bottom w:val="single" w:color="auto" w:sz="4" w:space="0"/>
              <w:right w:val="single" w:color="auto" w:sz="4" w:space="0"/>
            </w:tcBorders>
            <w:noWrap w:val="0"/>
            <w:vAlign w:val="center"/>
          </w:tcPr>
          <w:p w14:paraId="3920CA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00AB9BEB">
            <w:pPr>
              <w:widowControl/>
              <w:spacing w:line="240" w:lineRule="exact"/>
              <w:jc w:val="left"/>
              <w:rPr>
                <w:rFonts w:hint="default" w:ascii="宋体" w:hAnsi="宋体" w:eastAsia="宋体" w:cs="宋体"/>
                <w:color w:val="000000"/>
                <w:kern w:val="0"/>
                <w:sz w:val="18"/>
                <w:szCs w:val="18"/>
                <w:lang w:val="en-US"/>
              </w:rPr>
            </w:pPr>
            <w:r>
              <w:rPr>
                <w:rFonts w:hint="eastAsia" w:ascii="宋体" w:hAnsi="宋体" w:eastAsia="宋体" w:cs="宋体"/>
                <w:kern w:val="0"/>
                <w:sz w:val="18"/>
                <w:szCs w:val="18"/>
                <w:lang w:val="en-US" w:eastAsia="zh-CN"/>
              </w:rPr>
              <w:t>公益林管护面积（万亩）</w:t>
            </w:r>
          </w:p>
        </w:tc>
        <w:tc>
          <w:tcPr>
            <w:tcW w:w="850" w:type="dxa"/>
            <w:tcBorders>
              <w:top w:val="nil"/>
              <w:left w:val="nil"/>
              <w:bottom w:val="single" w:color="auto" w:sz="4" w:space="0"/>
              <w:right w:val="single" w:color="auto" w:sz="4" w:space="0"/>
            </w:tcBorders>
            <w:noWrap w:val="0"/>
            <w:vAlign w:val="center"/>
          </w:tcPr>
          <w:p w14:paraId="1962E19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851" w:type="dxa"/>
            <w:tcBorders>
              <w:top w:val="nil"/>
              <w:left w:val="nil"/>
              <w:bottom w:val="single" w:color="auto" w:sz="4" w:space="0"/>
              <w:right w:val="single" w:color="auto" w:sz="4" w:space="0"/>
            </w:tcBorders>
            <w:noWrap w:val="0"/>
            <w:vAlign w:val="center"/>
          </w:tcPr>
          <w:p w14:paraId="479FAD9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2DA2C14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741" w:type="dxa"/>
            <w:gridSpan w:val="2"/>
            <w:tcBorders>
              <w:top w:val="nil"/>
              <w:left w:val="nil"/>
              <w:bottom w:val="single" w:color="auto" w:sz="4" w:space="0"/>
              <w:right w:val="single" w:color="auto" w:sz="4" w:space="0"/>
            </w:tcBorders>
            <w:noWrap w:val="0"/>
            <w:vAlign w:val="center"/>
          </w:tcPr>
          <w:p w14:paraId="75B6D2C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243" w:type="dxa"/>
            <w:gridSpan w:val="2"/>
            <w:tcBorders>
              <w:top w:val="single" w:color="auto" w:sz="4" w:space="0"/>
              <w:left w:val="nil"/>
              <w:bottom w:val="single" w:color="auto" w:sz="4" w:space="0"/>
              <w:right w:val="single" w:color="auto" w:sz="4" w:space="0"/>
            </w:tcBorders>
            <w:noWrap w:val="0"/>
            <w:vAlign w:val="center"/>
          </w:tcPr>
          <w:p w14:paraId="4CFDE7E7">
            <w:pPr>
              <w:widowControl/>
              <w:spacing w:line="240" w:lineRule="exact"/>
              <w:jc w:val="center"/>
              <w:rPr>
                <w:rFonts w:ascii="宋体" w:hAnsi="宋体" w:eastAsia="宋体" w:cs="宋体"/>
                <w:kern w:val="0"/>
                <w:sz w:val="18"/>
                <w:szCs w:val="18"/>
              </w:rPr>
            </w:pPr>
          </w:p>
        </w:tc>
      </w:tr>
      <w:tr w14:paraId="1CA2D40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9C563A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4AD6C8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B1A5AE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565EF72">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562AC275">
            <w:pPr>
              <w:widowControl/>
              <w:spacing w:line="240" w:lineRule="exact"/>
              <w:jc w:val="center"/>
              <w:rPr>
                <w:rFonts w:hint="eastAsia" w:ascii="宋体" w:hAnsi="宋体" w:eastAsia="宋体" w:cs="宋体"/>
                <w:kern w:val="0"/>
                <w:sz w:val="18"/>
                <w:szCs w:val="18"/>
                <w:lang w:val="en-US" w:eastAsia="zh-CN"/>
              </w:rPr>
            </w:pPr>
          </w:p>
        </w:tc>
        <w:tc>
          <w:tcPr>
            <w:tcW w:w="851" w:type="dxa"/>
            <w:tcBorders>
              <w:top w:val="nil"/>
              <w:left w:val="nil"/>
              <w:bottom w:val="single" w:color="auto" w:sz="4" w:space="0"/>
              <w:right w:val="single" w:color="auto" w:sz="4" w:space="0"/>
            </w:tcBorders>
            <w:noWrap w:val="0"/>
            <w:vAlign w:val="center"/>
          </w:tcPr>
          <w:p w14:paraId="33D72C42">
            <w:pPr>
              <w:widowControl/>
              <w:spacing w:line="240" w:lineRule="exact"/>
              <w:jc w:val="center"/>
              <w:rPr>
                <w:rFonts w:hint="eastAsia" w:ascii="宋体" w:hAnsi="宋体" w:eastAsia="宋体" w:cs="宋体"/>
                <w:kern w:val="0"/>
                <w:sz w:val="18"/>
                <w:szCs w:val="18"/>
                <w:lang w:val="en-US" w:eastAsia="zh-CN"/>
              </w:rPr>
            </w:pPr>
          </w:p>
        </w:tc>
        <w:tc>
          <w:tcPr>
            <w:tcW w:w="567" w:type="dxa"/>
            <w:gridSpan w:val="2"/>
            <w:tcBorders>
              <w:top w:val="nil"/>
              <w:left w:val="nil"/>
              <w:bottom w:val="single" w:color="auto" w:sz="4" w:space="0"/>
              <w:right w:val="single" w:color="auto" w:sz="4" w:space="0"/>
            </w:tcBorders>
            <w:noWrap w:val="0"/>
            <w:vAlign w:val="center"/>
          </w:tcPr>
          <w:p w14:paraId="36A475C3">
            <w:pPr>
              <w:widowControl/>
              <w:spacing w:line="240" w:lineRule="exact"/>
              <w:jc w:val="center"/>
              <w:rPr>
                <w:rFonts w:hint="eastAsia" w:ascii="宋体" w:hAnsi="宋体" w:eastAsia="宋体" w:cs="宋体"/>
                <w:kern w:val="0"/>
                <w:sz w:val="18"/>
                <w:szCs w:val="18"/>
                <w:lang w:val="en-US" w:eastAsia="zh-CN"/>
              </w:rPr>
            </w:pPr>
          </w:p>
        </w:tc>
        <w:tc>
          <w:tcPr>
            <w:tcW w:w="741" w:type="dxa"/>
            <w:gridSpan w:val="2"/>
            <w:tcBorders>
              <w:top w:val="nil"/>
              <w:left w:val="nil"/>
              <w:bottom w:val="single" w:color="auto" w:sz="4" w:space="0"/>
              <w:right w:val="single" w:color="auto" w:sz="4" w:space="0"/>
            </w:tcBorders>
            <w:noWrap w:val="0"/>
            <w:vAlign w:val="center"/>
          </w:tcPr>
          <w:p w14:paraId="4455014B">
            <w:pPr>
              <w:widowControl/>
              <w:spacing w:line="240" w:lineRule="exact"/>
              <w:jc w:val="center"/>
              <w:rPr>
                <w:rFonts w:hint="eastAsia" w:ascii="宋体" w:hAnsi="宋体" w:eastAsia="宋体" w:cs="宋体"/>
                <w:kern w:val="0"/>
                <w:sz w:val="18"/>
                <w:szCs w:val="18"/>
                <w:lang w:val="en-US" w:eastAsia="zh-CN"/>
              </w:rPr>
            </w:pPr>
          </w:p>
        </w:tc>
        <w:tc>
          <w:tcPr>
            <w:tcW w:w="1243" w:type="dxa"/>
            <w:gridSpan w:val="2"/>
            <w:tcBorders>
              <w:top w:val="single" w:color="auto" w:sz="4" w:space="0"/>
              <w:left w:val="nil"/>
              <w:bottom w:val="single" w:color="auto" w:sz="4" w:space="0"/>
              <w:right w:val="single" w:color="auto" w:sz="4" w:space="0"/>
            </w:tcBorders>
            <w:noWrap w:val="0"/>
            <w:vAlign w:val="center"/>
          </w:tcPr>
          <w:p w14:paraId="5238162F">
            <w:pPr>
              <w:widowControl/>
              <w:spacing w:line="240" w:lineRule="exact"/>
              <w:jc w:val="center"/>
              <w:rPr>
                <w:rFonts w:ascii="宋体" w:hAnsi="宋体" w:eastAsia="宋体" w:cs="宋体"/>
                <w:kern w:val="0"/>
                <w:sz w:val="18"/>
                <w:szCs w:val="18"/>
              </w:rPr>
            </w:pPr>
          </w:p>
        </w:tc>
      </w:tr>
      <w:tr w14:paraId="7326F5F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689308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A4C907C">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334619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0901A4B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公益林管护率</w:t>
            </w:r>
          </w:p>
        </w:tc>
        <w:tc>
          <w:tcPr>
            <w:tcW w:w="850" w:type="dxa"/>
            <w:tcBorders>
              <w:top w:val="nil"/>
              <w:left w:val="nil"/>
              <w:bottom w:val="single" w:color="auto" w:sz="4" w:space="0"/>
              <w:right w:val="single" w:color="auto" w:sz="4" w:space="0"/>
            </w:tcBorders>
            <w:noWrap w:val="0"/>
            <w:vAlign w:val="center"/>
          </w:tcPr>
          <w:p w14:paraId="204E5522">
            <w:pPr>
              <w:widowControl/>
              <w:spacing w:line="2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100%</w:t>
            </w:r>
          </w:p>
        </w:tc>
        <w:tc>
          <w:tcPr>
            <w:tcW w:w="851" w:type="dxa"/>
            <w:tcBorders>
              <w:top w:val="nil"/>
              <w:left w:val="nil"/>
              <w:bottom w:val="single" w:color="auto" w:sz="4" w:space="0"/>
              <w:right w:val="single" w:color="auto" w:sz="4" w:space="0"/>
            </w:tcBorders>
            <w:noWrap w:val="0"/>
            <w:vAlign w:val="center"/>
          </w:tcPr>
          <w:p w14:paraId="332B50AB">
            <w:pPr>
              <w:widowControl/>
              <w:spacing w:line="240" w:lineRule="exact"/>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57DEC0B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13</w:t>
            </w:r>
          </w:p>
        </w:tc>
        <w:tc>
          <w:tcPr>
            <w:tcW w:w="741" w:type="dxa"/>
            <w:gridSpan w:val="2"/>
            <w:tcBorders>
              <w:top w:val="nil"/>
              <w:left w:val="nil"/>
              <w:bottom w:val="single" w:color="auto" w:sz="4" w:space="0"/>
              <w:right w:val="single" w:color="auto" w:sz="4" w:space="0"/>
            </w:tcBorders>
            <w:noWrap w:val="0"/>
            <w:vAlign w:val="center"/>
          </w:tcPr>
          <w:p w14:paraId="468F533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243" w:type="dxa"/>
            <w:gridSpan w:val="2"/>
            <w:tcBorders>
              <w:top w:val="single" w:color="auto" w:sz="4" w:space="0"/>
              <w:left w:val="nil"/>
              <w:bottom w:val="single" w:color="auto" w:sz="4" w:space="0"/>
              <w:right w:val="single" w:color="auto" w:sz="4" w:space="0"/>
            </w:tcBorders>
            <w:noWrap w:val="0"/>
            <w:vAlign w:val="center"/>
          </w:tcPr>
          <w:p w14:paraId="12A0A4EB">
            <w:pPr>
              <w:widowControl/>
              <w:spacing w:line="240" w:lineRule="exact"/>
              <w:jc w:val="center"/>
              <w:rPr>
                <w:rFonts w:ascii="宋体" w:hAnsi="宋体" w:eastAsia="宋体" w:cs="宋体"/>
                <w:kern w:val="0"/>
                <w:sz w:val="18"/>
                <w:szCs w:val="18"/>
              </w:rPr>
            </w:pPr>
          </w:p>
        </w:tc>
      </w:tr>
      <w:tr w14:paraId="60BD6A4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326DFB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7BD8BA7">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6C76F1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319CFB4">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2286E81A">
            <w:pPr>
              <w:widowControl/>
              <w:spacing w:line="240" w:lineRule="exact"/>
              <w:jc w:val="center"/>
              <w:rPr>
                <w:rFonts w:hint="default" w:ascii="宋体" w:hAnsi="宋体" w:eastAsia="宋体" w:cs="宋体"/>
                <w:kern w:val="0"/>
                <w:sz w:val="18"/>
                <w:szCs w:val="18"/>
                <w:lang w:val="en-US" w:eastAsia="zh-CN"/>
              </w:rPr>
            </w:pPr>
          </w:p>
        </w:tc>
        <w:tc>
          <w:tcPr>
            <w:tcW w:w="851" w:type="dxa"/>
            <w:tcBorders>
              <w:top w:val="nil"/>
              <w:left w:val="nil"/>
              <w:bottom w:val="single" w:color="auto" w:sz="4" w:space="0"/>
              <w:right w:val="single" w:color="auto" w:sz="4" w:space="0"/>
            </w:tcBorders>
            <w:noWrap w:val="0"/>
            <w:vAlign w:val="center"/>
          </w:tcPr>
          <w:p w14:paraId="02F36CA8">
            <w:pPr>
              <w:widowControl/>
              <w:spacing w:line="240" w:lineRule="exact"/>
              <w:jc w:val="center"/>
              <w:rPr>
                <w:rFonts w:hint="default" w:ascii="宋体" w:hAnsi="宋体" w:eastAsia="宋体" w:cs="宋体"/>
                <w:kern w:val="0"/>
                <w:sz w:val="18"/>
                <w:szCs w:val="18"/>
                <w:lang w:val="en-US" w:eastAsia="zh-CN"/>
              </w:rPr>
            </w:pPr>
          </w:p>
        </w:tc>
        <w:tc>
          <w:tcPr>
            <w:tcW w:w="567" w:type="dxa"/>
            <w:gridSpan w:val="2"/>
            <w:tcBorders>
              <w:top w:val="nil"/>
              <w:left w:val="nil"/>
              <w:bottom w:val="single" w:color="auto" w:sz="4" w:space="0"/>
              <w:right w:val="single" w:color="auto" w:sz="4" w:space="0"/>
            </w:tcBorders>
            <w:noWrap w:val="0"/>
            <w:vAlign w:val="center"/>
          </w:tcPr>
          <w:p w14:paraId="544AB55F">
            <w:pPr>
              <w:widowControl/>
              <w:spacing w:line="240" w:lineRule="exact"/>
              <w:jc w:val="center"/>
              <w:rPr>
                <w:rFonts w:hint="eastAsia" w:ascii="宋体" w:hAnsi="宋体" w:eastAsia="宋体" w:cs="宋体"/>
                <w:kern w:val="0"/>
                <w:sz w:val="18"/>
                <w:szCs w:val="18"/>
                <w:lang w:val="en-US" w:eastAsia="zh-CN"/>
              </w:rPr>
            </w:pPr>
          </w:p>
        </w:tc>
        <w:tc>
          <w:tcPr>
            <w:tcW w:w="741" w:type="dxa"/>
            <w:gridSpan w:val="2"/>
            <w:tcBorders>
              <w:top w:val="nil"/>
              <w:left w:val="nil"/>
              <w:bottom w:val="single" w:color="auto" w:sz="4" w:space="0"/>
              <w:right w:val="single" w:color="auto" w:sz="4" w:space="0"/>
            </w:tcBorders>
            <w:noWrap w:val="0"/>
            <w:vAlign w:val="center"/>
          </w:tcPr>
          <w:p w14:paraId="65B38F47">
            <w:pPr>
              <w:widowControl/>
              <w:spacing w:line="240" w:lineRule="exact"/>
              <w:jc w:val="center"/>
              <w:rPr>
                <w:rFonts w:hint="default" w:ascii="宋体" w:hAnsi="宋体" w:eastAsia="宋体" w:cs="宋体"/>
                <w:kern w:val="0"/>
                <w:sz w:val="18"/>
                <w:szCs w:val="18"/>
                <w:lang w:val="en-US" w:eastAsia="zh-CN"/>
              </w:rPr>
            </w:pPr>
          </w:p>
        </w:tc>
        <w:tc>
          <w:tcPr>
            <w:tcW w:w="1243" w:type="dxa"/>
            <w:gridSpan w:val="2"/>
            <w:tcBorders>
              <w:top w:val="single" w:color="auto" w:sz="4" w:space="0"/>
              <w:left w:val="nil"/>
              <w:bottom w:val="single" w:color="auto" w:sz="4" w:space="0"/>
              <w:right w:val="single" w:color="auto" w:sz="4" w:space="0"/>
            </w:tcBorders>
            <w:noWrap w:val="0"/>
            <w:vAlign w:val="center"/>
          </w:tcPr>
          <w:p w14:paraId="74311DC1">
            <w:pPr>
              <w:widowControl/>
              <w:spacing w:line="240" w:lineRule="exact"/>
              <w:jc w:val="center"/>
              <w:rPr>
                <w:rFonts w:hint="default" w:ascii="宋体" w:hAnsi="宋体" w:eastAsia="宋体" w:cs="宋体"/>
                <w:kern w:val="0"/>
                <w:sz w:val="18"/>
                <w:szCs w:val="18"/>
                <w:lang w:val="en-US"/>
              </w:rPr>
            </w:pPr>
          </w:p>
        </w:tc>
      </w:tr>
      <w:tr w14:paraId="1A74E41E">
        <w:tblPrEx>
          <w:tblCellMar>
            <w:top w:w="0" w:type="dxa"/>
            <w:left w:w="108" w:type="dxa"/>
            <w:bottom w:w="0" w:type="dxa"/>
            <w:right w:w="108" w:type="dxa"/>
          </w:tblCellMar>
        </w:tblPrEx>
        <w:trPr>
          <w:trHeight w:val="630" w:hRule="exact"/>
          <w:jc w:val="center"/>
        </w:trPr>
        <w:tc>
          <w:tcPr>
            <w:tcW w:w="588" w:type="dxa"/>
            <w:vMerge w:val="continue"/>
            <w:tcBorders>
              <w:left w:val="single" w:color="auto" w:sz="4" w:space="0"/>
              <w:right w:val="single" w:color="auto" w:sz="4" w:space="0"/>
            </w:tcBorders>
            <w:noWrap w:val="0"/>
            <w:vAlign w:val="center"/>
          </w:tcPr>
          <w:p w14:paraId="6C68127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899897E">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5AE3EA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663E636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公益林补贴发放及时率</w:t>
            </w:r>
          </w:p>
        </w:tc>
        <w:tc>
          <w:tcPr>
            <w:tcW w:w="850" w:type="dxa"/>
            <w:tcBorders>
              <w:top w:val="nil"/>
              <w:left w:val="nil"/>
              <w:bottom w:val="single" w:color="auto" w:sz="4" w:space="0"/>
              <w:right w:val="single" w:color="auto" w:sz="4" w:space="0"/>
            </w:tcBorders>
            <w:noWrap w:val="0"/>
            <w:vAlign w:val="center"/>
          </w:tcPr>
          <w:p w14:paraId="00F8A52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2967ACE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2701F34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741" w:type="dxa"/>
            <w:gridSpan w:val="2"/>
            <w:tcBorders>
              <w:top w:val="nil"/>
              <w:left w:val="nil"/>
              <w:bottom w:val="single" w:color="auto" w:sz="4" w:space="0"/>
              <w:right w:val="single" w:color="auto" w:sz="4" w:space="0"/>
            </w:tcBorders>
            <w:noWrap w:val="0"/>
            <w:vAlign w:val="center"/>
          </w:tcPr>
          <w:p w14:paraId="1249E63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243" w:type="dxa"/>
            <w:gridSpan w:val="2"/>
            <w:tcBorders>
              <w:top w:val="single" w:color="auto" w:sz="4" w:space="0"/>
              <w:left w:val="nil"/>
              <w:bottom w:val="single" w:color="auto" w:sz="4" w:space="0"/>
              <w:right w:val="single" w:color="auto" w:sz="4" w:space="0"/>
            </w:tcBorders>
            <w:noWrap w:val="0"/>
            <w:vAlign w:val="center"/>
          </w:tcPr>
          <w:p w14:paraId="35F577AE">
            <w:pPr>
              <w:widowControl/>
              <w:spacing w:line="240" w:lineRule="exact"/>
              <w:jc w:val="center"/>
              <w:rPr>
                <w:rFonts w:hint="default" w:ascii="宋体" w:hAnsi="宋体" w:eastAsia="宋体" w:cs="宋体"/>
                <w:kern w:val="0"/>
                <w:sz w:val="18"/>
                <w:szCs w:val="18"/>
                <w:lang w:val="en-US"/>
              </w:rPr>
            </w:pPr>
          </w:p>
        </w:tc>
      </w:tr>
      <w:tr w14:paraId="2532C8D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779AC0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7B4165B">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0F2CBF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2F1F587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成本节约率</w:t>
            </w:r>
          </w:p>
        </w:tc>
        <w:tc>
          <w:tcPr>
            <w:tcW w:w="850" w:type="dxa"/>
            <w:tcBorders>
              <w:top w:val="nil"/>
              <w:left w:val="nil"/>
              <w:bottom w:val="single" w:color="auto" w:sz="4" w:space="0"/>
              <w:right w:val="single" w:color="auto" w:sz="4" w:space="0"/>
            </w:tcBorders>
            <w:noWrap w:val="0"/>
            <w:vAlign w:val="center"/>
          </w:tcPr>
          <w:p w14:paraId="0DA7A07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851" w:type="dxa"/>
            <w:tcBorders>
              <w:top w:val="nil"/>
              <w:left w:val="nil"/>
              <w:bottom w:val="single" w:color="auto" w:sz="4" w:space="0"/>
              <w:right w:val="single" w:color="auto" w:sz="4" w:space="0"/>
            </w:tcBorders>
            <w:noWrap w:val="0"/>
            <w:vAlign w:val="center"/>
          </w:tcPr>
          <w:p w14:paraId="162D049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567" w:type="dxa"/>
            <w:gridSpan w:val="2"/>
            <w:tcBorders>
              <w:top w:val="nil"/>
              <w:left w:val="nil"/>
              <w:bottom w:val="single" w:color="auto" w:sz="4" w:space="0"/>
              <w:right w:val="single" w:color="auto" w:sz="4" w:space="0"/>
            </w:tcBorders>
            <w:noWrap w:val="0"/>
            <w:vAlign w:val="center"/>
          </w:tcPr>
          <w:p w14:paraId="0C1AF65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41" w:type="dxa"/>
            <w:gridSpan w:val="2"/>
            <w:tcBorders>
              <w:top w:val="nil"/>
              <w:left w:val="nil"/>
              <w:bottom w:val="single" w:color="auto" w:sz="4" w:space="0"/>
              <w:right w:val="single" w:color="auto" w:sz="4" w:space="0"/>
            </w:tcBorders>
            <w:noWrap w:val="0"/>
            <w:vAlign w:val="center"/>
          </w:tcPr>
          <w:p w14:paraId="63A91BC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243" w:type="dxa"/>
            <w:gridSpan w:val="2"/>
            <w:tcBorders>
              <w:top w:val="single" w:color="auto" w:sz="4" w:space="0"/>
              <w:left w:val="nil"/>
              <w:bottom w:val="single" w:color="auto" w:sz="4" w:space="0"/>
              <w:right w:val="single" w:color="auto" w:sz="4" w:space="0"/>
            </w:tcBorders>
            <w:noWrap w:val="0"/>
            <w:vAlign w:val="center"/>
          </w:tcPr>
          <w:p w14:paraId="09F1961A">
            <w:pPr>
              <w:widowControl/>
              <w:spacing w:line="240" w:lineRule="exact"/>
              <w:jc w:val="center"/>
              <w:rPr>
                <w:rFonts w:ascii="宋体" w:hAnsi="宋体" w:eastAsia="宋体" w:cs="宋体"/>
                <w:kern w:val="0"/>
                <w:sz w:val="18"/>
                <w:szCs w:val="18"/>
              </w:rPr>
            </w:pPr>
          </w:p>
        </w:tc>
      </w:tr>
      <w:tr w14:paraId="2E4BF2D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FA599A3">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75A9470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效益指标</w:t>
            </w:r>
            <w:r>
              <w:rPr>
                <w:rFonts w:hint="eastAsia" w:ascii="宋体" w:hAnsi="宋体" w:eastAsia="宋体" w:cs="宋体"/>
                <w:kern w:val="0"/>
                <w:sz w:val="18"/>
                <w:szCs w:val="18"/>
                <w:lang w:val="en-US" w:eastAsia="zh-CN"/>
              </w:rPr>
              <w:t>30</w:t>
            </w:r>
          </w:p>
        </w:tc>
        <w:tc>
          <w:tcPr>
            <w:tcW w:w="1112" w:type="dxa"/>
            <w:tcBorders>
              <w:top w:val="nil"/>
              <w:left w:val="single" w:color="auto" w:sz="4" w:space="0"/>
              <w:bottom w:val="single" w:color="auto" w:sz="4" w:space="0"/>
              <w:right w:val="single" w:color="auto" w:sz="4" w:space="0"/>
            </w:tcBorders>
            <w:noWrap w:val="0"/>
            <w:vAlign w:val="center"/>
          </w:tcPr>
          <w:p w14:paraId="08A73E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97130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1F52459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3E3F500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2A9DEE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F8942B4">
            <w:pPr>
              <w:widowControl/>
              <w:spacing w:line="240" w:lineRule="exact"/>
              <w:jc w:val="center"/>
              <w:rPr>
                <w:rFonts w:ascii="宋体" w:hAnsi="宋体" w:eastAsia="宋体" w:cs="宋体"/>
                <w:kern w:val="0"/>
                <w:sz w:val="18"/>
                <w:szCs w:val="18"/>
              </w:rPr>
            </w:pPr>
          </w:p>
        </w:tc>
        <w:tc>
          <w:tcPr>
            <w:tcW w:w="741" w:type="dxa"/>
            <w:gridSpan w:val="2"/>
            <w:tcBorders>
              <w:top w:val="nil"/>
              <w:left w:val="nil"/>
              <w:bottom w:val="single" w:color="auto" w:sz="4" w:space="0"/>
              <w:right w:val="single" w:color="auto" w:sz="4" w:space="0"/>
            </w:tcBorders>
            <w:noWrap w:val="0"/>
            <w:vAlign w:val="center"/>
          </w:tcPr>
          <w:p w14:paraId="12653127">
            <w:pPr>
              <w:widowControl/>
              <w:spacing w:line="240" w:lineRule="exact"/>
              <w:jc w:val="center"/>
              <w:rPr>
                <w:rFonts w:ascii="宋体" w:hAnsi="宋体" w:eastAsia="宋体" w:cs="宋体"/>
                <w:kern w:val="0"/>
                <w:sz w:val="18"/>
                <w:szCs w:val="18"/>
              </w:rPr>
            </w:pPr>
          </w:p>
        </w:tc>
        <w:tc>
          <w:tcPr>
            <w:tcW w:w="1243" w:type="dxa"/>
            <w:gridSpan w:val="2"/>
            <w:tcBorders>
              <w:top w:val="single" w:color="auto" w:sz="4" w:space="0"/>
              <w:left w:val="nil"/>
              <w:bottom w:val="single" w:color="auto" w:sz="4" w:space="0"/>
              <w:right w:val="single" w:color="auto" w:sz="4" w:space="0"/>
            </w:tcBorders>
            <w:noWrap w:val="0"/>
            <w:vAlign w:val="center"/>
          </w:tcPr>
          <w:p w14:paraId="133D1BD4">
            <w:pPr>
              <w:widowControl/>
              <w:spacing w:line="240" w:lineRule="exact"/>
              <w:jc w:val="center"/>
              <w:rPr>
                <w:rFonts w:ascii="宋体" w:hAnsi="宋体" w:eastAsia="宋体" w:cs="宋体"/>
                <w:kern w:val="0"/>
                <w:sz w:val="18"/>
                <w:szCs w:val="18"/>
              </w:rPr>
            </w:pPr>
          </w:p>
        </w:tc>
      </w:tr>
      <w:tr w14:paraId="4DAC825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D1D682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98B415F">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2B2148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419C8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6F463338">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增加就业岗位</w:t>
            </w:r>
          </w:p>
        </w:tc>
        <w:tc>
          <w:tcPr>
            <w:tcW w:w="850" w:type="dxa"/>
            <w:tcBorders>
              <w:top w:val="nil"/>
              <w:left w:val="nil"/>
              <w:bottom w:val="single" w:color="auto" w:sz="4" w:space="0"/>
              <w:right w:val="single" w:color="auto" w:sz="4" w:space="0"/>
            </w:tcBorders>
            <w:noWrap w:val="0"/>
            <w:vAlign w:val="center"/>
          </w:tcPr>
          <w:p w14:paraId="5EB4355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增加</w:t>
            </w:r>
          </w:p>
        </w:tc>
        <w:tc>
          <w:tcPr>
            <w:tcW w:w="851" w:type="dxa"/>
            <w:tcBorders>
              <w:top w:val="nil"/>
              <w:left w:val="nil"/>
              <w:bottom w:val="single" w:color="auto" w:sz="4" w:space="0"/>
              <w:right w:val="single" w:color="auto" w:sz="4" w:space="0"/>
            </w:tcBorders>
            <w:noWrap w:val="0"/>
            <w:vAlign w:val="center"/>
          </w:tcPr>
          <w:p w14:paraId="359251D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增加</w:t>
            </w:r>
          </w:p>
        </w:tc>
        <w:tc>
          <w:tcPr>
            <w:tcW w:w="567" w:type="dxa"/>
            <w:gridSpan w:val="2"/>
            <w:tcBorders>
              <w:top w:val="nil"/>
              <w:left w:val="nil"/>
              <w:bottom w:val="single" w:color="auto" w:sz="4" w:space="0"/>
              <w:right w:val="single" w:color="auto" w:sz="4" w:space="0"/>
            </w:tcBorders>
            <w:noWrap w:val="0"/>
            <w:vAlign w:val="center"/>
          </w:tcPr>
          <w:p w14:paraId="7F1EC30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741" w:type="dxa"/>
            <w:gridSpan w:val="2"/>
            <w:tcBorders>
              <w:top w:val="nil"/>
              <w:left w:val="nil"/>
              <w:bottom w:val="single" w:color="auto" w:sz="4" w:space="0"/>
              <w:right w:val="single" w:color="auto" w:sz="4" w:space="0"/>
            </w:tcBorders>
            <w:noWrap w:val="0"/>
            <w:vAlign w:val="center"/>
          </w:tcPr>
          <w:p w14:paraId="060113A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243" w:type="dxa"/>
            <w:gridSpan w:val="2"/>
            <w:tcBorders>
              <w:top w:val="single" w:color="auto" w:sz="4" w:space="0"/>
              <w:left w:val="nil"/>
              <w:bottom w:val="single" w:color="auto" w:sz="4" w:space="0"/>
              <w:right w:val="single" w:color="auto" w:sz="4" w:space="0"/>
            </w:tcBorders>
            <w:noWrap w:val="0"/>
            <w:vAlign w:val="center"/>
          </w:tcPr>
          <w:p w14:paraId="609158FD">
            <w:pPr>
              <w:widowControl/>
              <w:spacing w:line="240" w:lineRule="exact"/>
              <w:jc w:val="center"/>
              <w:rPr>
                <w:rFonts w:ascii="宋体" w:hAnsi="宋体" w:eastAsia="宋体" w:cs="宋体"/>
                <w:kern w:val="0"/>
                <w:sz w:val="18"/>
                <w:szCs w:val="18"/>
              </w:rPr>
            </w:pPr>
          </w:p>
        </w:tc>
      </w:tr>
      <w:tr w14:paraId="4210207C">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13CCD6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C464B7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5EB79C6">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577DB72">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20E5524B">
            <w:pPr>
              <w:widowControl/>
              <w:spacing w:line="240" w:lineRule="exact"/>
              <w:jc w:val="center"/>
              <w:rPr>
                <w:rFonts w:hint="eastAsia" w:ascii="宋体" w:hAnsi="宋体" w:eastAsia="宋体" w:cs="宋体"/>
                <w:kern w:val="0"/>
                <w:sz w:val="18"/>
                <w:szCs w:val="18"/>
                <w:lang w:eastAsia="zh-CN"/>
              </w:rPr>
            </w:pPr>
          </w:p>
        </w:tc>
        <w:tc>
          <w:tcPr>
            <w:tcW w:w="851" w:type="dxa"/>
            <w:tcBorders>
              <w:top w:val="nil"/>
              <w:left w:val="nil"/>
              <w:bottom w:val="single" w:color="auto" w:sz="4" w:space="0"/>
              <w:right w:val="single" w:color="auto" w:sz="4" w:space="0"/>
            </w:tcBorders>
            <w:noWrap w:val="0"/>
            <w:vAlign w:val="center"/>
          </w:tcPr>
          <w:p w14:paraId="66B9D232">
            <w:pPr>
              <w:widowControl/>
              <w:spacing w:line="240" w:lineRule="exact"/>
              <w:jc w:val="center"/>
              <w:rPr>
                <w:rFonts w:hint="eastAsia" w:ascii="宋体" w:hAnsi="宋体" w:eastAsia="宋体" w:cs="宋体"/>
                <w:kern w:val="0"/>
                <w:sz w:val="18"/>
                <w:szCs w:val="18"/>
                <w:lang w:eastAsia="zh-CN"/>
              </w:rPr>
            </w:pPr>
          </w:p>
        </w:tc>
        <w:tc>
          <w:tcPr>
            <w:tcW w:w="567" w:type="dxa"/>
            <w:gridSpan w:val="2"/>
            <w:tcBorders>
              <w:top w:val="nil"/>
              <w:left w:val="nil"/>
              <w:bottom w:val="single" w:color="auto" w:sz="4" w:space="0"/>
              <w:right w:val="single" w:color="auto" w:sz="4" w:space="0"/>
            </w:tcBorders>
            <w:noWrap w:val="0"/>
            <w:vAlign w:val="center"/>
          </w:tcPr>
          <w:p w14:paraId="2D32CBBA">
            <w:pPr>
              <w:widowControl/>
              <w:spacing w:line="240" w:lineRule="exact"/>
              <w:jc w:val="center"/>
              <w:rPr>
                <w:rFonts w:hint="eastAsia" w:ascii="宋体" w:hAnsi="宋体" w:eastAsia="宋体" w:cs="宋体"/>
                <w:kern w:val="0"/>
                <w:sz w:val="18"/>
                <w:szCs w:val="18"/>
                <w:lang w:val="en-US" w:eastAsia="zh-CN"/>
              </w:rPr>
            </w:pPr>
          </w:p>
        </w:tc>
        <w:tc>
          <w:tcPr>
            <w:tcW w:w="741" w:type="dxa"/>
            <w:gridSpan w:val="2"/>
            <w:tcBorders>
              <w:top w:val="nil"/>
              <w:left w:val="nil"/>
              <w:bottom w:val="single" w:color="auto" w:sz="4" w:space="0"/>
              <w:right w:val="single" w:color="auto" w:sz="4" w:space="0"/>
            </w:tcBorders>
            <w:noWrap w:val="0"/>
            <w:vAlign w:val="center"/>
          </w:tcPr>
          <w:p w14:paraId="0D6A05B6">
            <w:pPr>
              <w:widowControl/>
              <w:spacing w:line="240" w:lineRule="exact"/>
              <w:jc w:val="center"/>
              <w:rPr>
                <w:rFonts w:hint="eastAsia" w:ascii="宋体" w:hAnsi="宋体" w:eastAsia="宋体" w:cs="宋体"/>
                <w:kern w:val="0"/>
                <w:sz w:val="18"/>
                <w:szCs w:val="18"/>
                <w:lang w:val="en-US" w:eastAsia="zh-CN"/>
              </w:rPr>
            </w:pPr>
          </w:p>
        </w:tc>
        <w:tc>
          <w:tcPr>
            <w:tcW w:w="1243" w:type="dxa"/>
            <w:gridSpan w:val="2"/>
            <w:tcBorders>
              <w:top w:val="single" w:color="auto" w:sz="4" w:space="0"/>
              <w:left w:val="nil"/>
              <w:bottom w:val="single" w:color="auto" w:sz="4" w:space="0"/>
              <w:right w:val="single" w:color="auto" w:sz="4" w:space="0"/>
            </w:tcBorders>
            <w:noWrap w:val="0"/>
            <w:vAlign w:val="center"/>
          </w:tcPr>
          <w:p w14:paraId="7749DD5D">
            <w:pPr>
              <w:widowControl/>
              <w:spacing w:line="240" w:lineRule="exact"/>
              <w:jc w:val="center"/>
              <w:rPr>
                <w:rFonts w:ascii="宋体" w:hAnsi="宋体" w:eastAsia="宋体" w:cs="宋体"/>
                <w:kern w:val="0"/>
                <w:sz w:val="18"/>
                <w:szCs w:val="18"/>
              </w:rPr>
            </w:pPr>
          </w:p>
        </w:tc>
      </w:tr>
      <w:tr w14:paraId="60AD7B10">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0"/>
            <w:vAlign w:val="center"/>
          </w:tcPr>
          <w:p w14:paraId="0098AFE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CBCAAC7">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0226E41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041D3C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554E77A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火灾受灾率</w:t>
            </w:r>
          </w:p>
        </w:tc>
        <w:tc>
          <w:tcPr>
            <w:tcW w:w="850" w:type="dxa"/>
            <w:tcBorders>
              <w:top w:val="nil"/>
              <w:left w:val="nil"/>
              <w:bottom w:val="single" w:color="auto" w:sz="4" w:space="0"/>
              <w:right w:val="single" w:color="auto" w:sz="4" w:space="0"/>
            </w:tcBorders>
            <w:noWrap w:val="0"/>
            <w:vAlign w:val="center"/>
          </w:tcPr>
          <w:p w14:paraId="2F88F40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＜5次/年</w:t>
            </w:r>
          </w:p>
        </w:tc>
        <w:tc>
          <w:tcPr>
            <w:tcW w:w="851" w:type="dxa"/>
            <w:tcBorders>
              <w:top w:val="nil"/>
              <w:left w:val="nil"/>
              <w:bottom w:val="single" w:color="auto" w:sz="4" w:space="0"/>
              <w:right w:val="single" w:color="auto" w:sz="4" w:space="0"/>
            </w:tcBorders>
            <w:noWrap w:val="0"/>
            <w:vAlign w:val="center"/>
          </w:tcPr>
          <w:p w14:paraId="354C6F64">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2次/年</w:t>
            </w:r>
          </w:p>
        </w:tc>
        <w:tc>
          <w:tcPr>
            <w:tcW w:w="567" w:type="dxa"/>
            <w:gridSpan w:val="2"/>
            <w:tcBorders>
              <w:top w:val="nil"/>
              <w:left w:val="nil"/>
              <w:bottom w:val="single" w:color="auto" w:sz="4" w:space="0"/>
              <w:right w:val="single" w:color="auto" w:sz="4" w:space="0"/>
            </w:tcBorders>
            <w:noWrap w:val="0"/>
            <w:vAlign w:val="center"/>
          </w:tcPr>
          <w:p w14:paraId="5FFE133E">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14:paraId="30DF292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14:paraId="29506E84">
            <w:pPr>
              <w:widowControl/>
              <w:spacing w:line="240" w:lineRule="exact"/>
              <w:jc w:val="center"/>
              <w:rPr>
                <w:rFonts w:ascii="宋体" w:hAnsi="宋体" w:eastAsia="宋体" w:cs="宋体"/>
                <w:kern w:val="0"/>
                <w:sz w:val="18"/>
                <w:szCs w:val="18"/>
              </w:rPr>
            </w:pPr>
          </w:p>
        </w:tc>
      </w:tr>
      <w:tr w14:paraId="2A89057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6C050A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ECFD54B">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2D2FF48">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D908B03">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林业有害生物成灾率</w:t>
            </w:r>
          </w:p>
        </w:tc>
        <w:tc>
          <w:tcPr>
            <w:tcW w:w="850" w:type="dxa"/>
            <w:tcBorders>
              <w:top w:val="nil"/>
              <w:left w:val="nil"/>
              <w:bottom w:val="single" w:color="auto" w:sz="4" w:space="0"/>
              <w:right w:val="single" w:color="auto" w:sz="4" w:space="0"/>
            </w:tcBorders>
            <w:noWrap w:val="0"/>
            <w:vAlign w:val="center"/>
          </w:tcPr>
          <w:p w14:paraId="10C082D2">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1" w:type="dxa"/>
            <w:tcBorders>
              <w:top w:val="nil"/>
              <w:left w:val="nil"/>
              <w:bottom w:val="single" w:color="auto" w:sz="4" w:space="0"/>
              <w:right w:val="single" w:color="auto" w:sz="4" w:space="0"/>
            </w:tcBorders>
            <w:noWrap w:val="0"/>
            <w:vAlign w:val="center"/>
          </w:tcPr>
          <w:p w14:paraId="421E870D">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1.66‰</w:t>
            </w:r>
          </w:p>
        </w:tc>
        <w:tc>
          <w:tcPr>
            <w:tcW w:w="567" w:type="dxa"/>
            <w:gridSpan w:val="2"/>
            <w:tcBorders>
              <w:top w:val="nil"/>
              <w:left w:val="nil"/>
              <w:bottom w:val="single" w:color="auto" w:sz="4" w:space="0"/>
              <w:right w:val="single" w:color="auto" w:sz="4" w:space="0"/>
            </w:tcBorders>
            <w:noWrap w:val="0"/>
            <w:vAlign w:val="center"/>
          </w:tcPr>
          <w:p w14:paraId="494E11BB">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14:paraId="15AB423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14:paraId="71BE21DE">
            <w:pPr>
              <w:widowControl/>
              <w:spacing w:line="240" w:lineRule="exact"/>
              <w:jc w:val="center"/>
              <w:rPr>
                <w:rFonts w:ascii="宋体" w:hAnsi="宋体" w:eastAsia="宋体" w:cs="宋体"/>
                <w:kern w:val="0"/>
                <w:sz w:val="18"/>
                <w:szCs w:val="18"/>
              </w:rPr>
            </w:pPr>
          </w:p>
        </w:tc>
      </w:tr>
      <w:tr w14:paraId="25AC538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51B6EC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927DF0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DEFCB6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FA7F58A">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生态环境改善程度</w:t>
            </w:r>
          </w:p>
        </w:tc>
        <w:tc>
          <w:tcPr>
            <w:tcW w:w="850" w:type="dxa"/>
            <w:tcBorders>
              <w:top w:val="nil"/>
              <w:left w:val="nil"/>
              <w:bottom w:val="single" w:color="auto" w:sz="4" w:space="0"/>
              <w:right w:val="single" w:color="auto" w:sz="4" w:space="0"/>
            </w:tcBorders>
            <w:noWrap w:val="0"/>
            <w:vAlign w:val="center"/>
          </w:tcPr>
          <w:p w14:paraId="690ECFB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明显</w:t>
            </w:r>
          </w:p>
        </w:tc>
        <w:tc>
          <w:tcPr>
            <w:tcW w:w="851" w:type="dxa"/>
            <w:tcBorders>
              <w:top w:val="nil"/>
              <w:left w:val="nil"/>
              <w:bottom w:val="single" w:color="auto" w:sz="4" w:space="0"/>
              <w:right w:val="single" w:color="auto" w:sz="4" w:space="0"/>
            </w:tcBorders>
            <w:noWrap w:val="0"/>
            <w:vAlign w:val="center"/>
          </w:tcPr>
          <w:p w14:paraId="3B4AA38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明显</w:t>
            </w:r>
          </w:p>
        </w:tc>
        <w:tc>
          <w:tcPr>
            <w:tcW w:w="567" w:type="dxa"/>
            <w:gridSpan w:val="2"/>
            <w:tcBorders>
              <w:top w:val="nil"/>
              <w:left w:val="nil"/>
              <w:bottom w:val="single" w:color="auto" w:sz="4" w:space="0"/>
              <w:right w:val="single" w:color="auto" w:sz="4" w:space="0"/>
            </w:tcBorders>
            <w:noWrap w:val="0"/>
            <w:vAlign w:val="center"/>
          </w:tcPr>
          <w:p w14:paraId="1816EB2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14:paraId="3A7E604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14:paraId="1C8934AD">
            <w:pPr>
              <w:widowControl/>
              <w:spacing w:line="240" w:lineRule="exact"/>
              <w:jc w:val="center"/>
              <w:rPr>
                <w:rFonts w:ascii="宋体" w:hAnsi="宋体" w:eastAsia="宋体" w:cs="宋体"/>
                <w:kern w:val="0"/>
                <w:sz w:val="18"/>
                <w:szCs w:val="18"/>
              </w:rPr>
            </w:pPr>
          </w:p>
        </w:tc>
      </w:tr>
      <w:tr w14:paraId="461041BC">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4A17DA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CD8385E">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496641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2357EC9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长效管理机制健全性</w:t>
            </w:r>
          </w:p>
        </w:tc>
        <w:tc>
          <w:tcPr>
            <w:tcW w:w="850" w:type="dxa"/>
            <w:tcBorders>
              <w:top w:val="nil"/>
              <w:left w:val="nil"/>
              <w:bottom w:val="single" w:color="auto" w:sz="4" w:space="0"/>
              <w:right w:val="single" w:color="auto" w:sz="4" w:space="0"/>
            </w:tcBorders>
            <w:noWrap w:val="0"/>
            <w:vAlign w:val="center"/>
          </w:tcPr>
          <w:p w14:paraId="781B9378">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健全</w:t>
            </w:r>
          </w:p>
        </w:tc>
        <w:tc>
          <w:tcPr>
            <w:tcW w:w="851" w:type="dxa"/>
            <w:tcBorders>
              <w:top w:val="nil"/>
              <w:left w:val="nil"/>
              <w:bottom w:val="single" w:color="auto" w:sz="4" w:space="0"/>
              <w:right w:val="single" w:color="auto" w:sz="4" w:space="0"/>
            </w:tcBorders>
            <w:noWrap w:val="0"/>
            <w:vAlign w:val="center"/>
          </w:tcPr>
          <w:p w14:paraId="4E977FE0">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健全</w:t>
            </w:r>
          </w:p>
        </w:tc>
        <w:tc>
          <w:tcPr>
            <w:tcW w:w="567" w:type="dxa"/>
            <w:gridSpan w:val="2"/>
            <w:tcBorders>
              <w:top w:val="nil"/>
              <w:left w:val="nil"/>
              <w:bottom w:val="single" w:color="auto" w:sz="4" w:space="0"/>
              <w:right w:val="single" w:color="auto" w:sz="4" w:space="0"/>
            </w:tcBorders>
            <w:noWrap w:val="0"/>
            <w:vAlign w:val="center"/>
          </w:tcPr>
          <w:p w14:paraId="3002F1A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14:paraId="76E155D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14:paraId="475CE53F">
            <w:pPr>
              <w:widowControl/>
              <w:spacing w:line="240" w:lineRule="exact"/>
              <w:jc w:val="center"/>
              <w:rPr>
                <w:rFonts w:ascii="宋体" w:hAnsi="宋体" w:eastAsia="宋体" w:cs="宋体"/>
                <w:kern w:val="0"/>
                <w:sz w:val="18"/>
                <w:szCs w:val="18"/>
              </w:rPr>
            </w:pPr>
          </w:p>
        </w:tc>
      </w:tr>
      <w:tr w14:paraId="54260F8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0208D1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B8B579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D1117B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2C6D5F8">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管护</w:t>
            </w:r>
            <w:r>
              <w:rPr>
                <w:rFonts w:hint="eastAsia" w:ascii="宋体" w:hAnsi="宋体" w:eastAsia="宋体" w:cs="宋体"/>
                <w:color w:val="000000"/>
                <w:kern w:val="0"/>
                <w:sz w:val="18"/>
                <w:szCs w:val="18"/>
              </w:rPr>
              <w:t>人员落实率</w:t>
            </w:r>
          </w:p>
        </w:tc>
        <w:tc>
          <w:tcPr>
            <w:tcW w:w="850" w:type="dxa"/>
            <w:tcBorders>
              <w:top w:val="nil"/>
              <w:left w:val="nil"/>
              <w:bottom w:val="single" w:color="auto" w:sz="4" w:space="0"/>
              <w:right w:val="single" w:color="auto" w:sz="4" w:space="0"/>
            </w:tcBorders>
            <w:noWrap w:val="0"/>
            <w:vAlign w:val="center"/>
          </w:tcPr>
          <w:p w14:paraId="41E04C8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11FA5D0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271DCA1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14:paraId="6117742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43" w:type="dxa"/>
            <w:gridSpan w:val="2"/>
            <w:tcBorders>
              <w:top w:val="single" w:color="auto" w:sz="4" w:space="0"/>
              <w:left w:val="nil"/>
              <w:bottom w:val="single" w:color="auto" w:sz="4" w:space="0"/>
              <w:right w:val="single" w:color="auto" w:sz="4" w:space="0"/>
            </w:tcBorders>
            <w:noWrap w:val="0"/>
            <w:vAlign w:val="center"/>
          </w:tcPr>
          <w:p w14:paraId="3B4E0B19">
            <w:pPr>
              <w:widowControl/>
              <w:spacing w:line="240" w:lineRule="exact"/>
              <w:jc w:val="center"/>
              <w:rPr>
                <w:rFonts w:ascii="宋体" w:hAnsi="宋体" w:eastAsia="宋体" w:cs="宋体"/>
                <w:kern w:val="0"/>
                <w:sz w:val="18"/>
                <w:szCs w:val="18"/>
              </w:rPr>
            </w:pPr>
          </w:p>
        </w:tc>
      </w:tr>
      <w:tr w14:paraId="737D175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1C42FC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C5A53F1">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E288F4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0E9450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宣传牌落实率</w:t>
            </w:r>
          </w:p>
        </w:tc>
        <w:tc>
          <w:tcPr>
            <w:tcW w:w="850" w:type="dxa"/>
            <w:tcBorders>
              <w:top w:val="nil"/>
              <w:left w:val="nil"/>
              <w:bottom w:val="single" w:color="auto" w:sz="4" w:space="0"/>
              <w:right w:val="single" w:color="auto" w:sz="4" w:space="0"/>
            </w:tcBorders>
            <w:noWrap w:val="0"/>
            <w:vAlign w:val="center"/>
          </w:tcPr>
          <w:p w14:paraId="3291076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7C96C66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w:t>
            </w:r>
          </w:p>
        </w:tc>
        <w:tc>
          <w:tcPr>
            <w:tcW w:w="567" w:type="dxa"/>
            <w:gridSpan w:val="2"/>
            <w:tcBorders>
              <w:top w:val="nil"/>
              <w:left w:val="nil"/>
              <w:bottom w:val="single" w:color="auto" w:sz="4" w:space="0"/>
              <w:right w:val="single" w:color="auto" w:sz="4" w:space="0"/>
            </w:tcBorders>
            <w:noWrap w:val="0"/>
            <w:vAlign w:val="center"/>
          </w:tcPr>
          <w:p w14:paraId="1C917C8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41" w:type="dxa"/>
            <w:gridSpan w:val="2"/>
            <w:tcBorders>
              <w:top w:val="nil"/>
              <w:left w:val="nil"/>
              <w:bottom w:val="single" w:color="auto" w:sz="4" w:space="0"/>
              <w:right w:val="single" w:color="auto" w:sz="4" w:space="0"/>
            </w:tcBorders>
            <w:noWrap w:val="0"/>
            <w:vAlign w:val="center"/>
          </w:tcPr>
          <w:p w14:paraId="324854F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243" w:type="dxa"/>
            <w:gridSpan w:val="2"/>
            <w:tcBorders>
              <w:top w:val="single" w:color="auto" w:sz="4" w:space="0"/>
              <w:left w:val="nil"/>
              <w:bottom w:val="single" w:color="auto" w:sz="4" w:space="0"/>
              <w:right w:val="single" w:color="auto" w:sz="4" w:space="0"/>
            </w:tcBorders>
            <w:noWrap w:val="0"/>
            <w:vAlign w:val="center"/>
          </w:tcPr>
          <w:p w14:paraId="27B3A521">
            <w:pPr>
              <w:widowControl/>
              <w:spacing w:line="240" w:lineRule="exact"/>
              <w:jc w:val="center"/>
              <w:rPr>
                <w:rFonts w:ascii="宋体" w:hAnsi="宋体" w:eastAsia="宋体" w:cs="宋体"/>
                <w:kern w:val="0"/>
                <w:sz w:val="18"/>
                <w:szCs w:val="18"/>
              </w:rPr>
            </w:pPr>
          </w:p>
        </w:tc>
      </w:tr>
      <w:tr w14:paraId="2C174B7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1FEA23E">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36AECDB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3FAFCCA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val="en-US" w:eastAsia="zh-CN"/>
              </w:rPr>
              <w:t>10</w:t>
            </w:r>
          </w:p>
        </w:tc>
        <w:tc>
          <w:tcPr>
            <w:tcW w:w="1112" w:type="dxa"/>
            <w:vMerge w:val="restart"/>
            <w:tcBorders>
              <w:top w:val="nil"/>
              <w:left w:val="single" w:color="auto" w:sz="4" w:space="0"/>
              <w:bottom w:val="single" w:color="auto" w:sz="4" w:space="0"/>
              <w:right w:val="single" w:color="auto" w:sz="4" w:space="0"/>
            </w:tcBorders>
            <w:noWrap w:val="0"/>
            <w:vAlign w:val="center"/>
          </w:tcPr>
          <w:p w14:paraId="455D54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1C67ADE4">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rPr>
              <w:t>服务对象</w:t>
            </w:r>
            <w:r>
              <w:rPr>
                <w:rFonts w:hint="eastAsia" w:ascii="宋体" w:hAnsi="宋体" w:eastAsia="宋体" w:cs="宋体"/>
                <w:color w:val="000000"/>
                <w:kern w:val="0"/>
                <w:sz w:val="18"/>
                <w:szCs w:val="18"/>
              </w:rPr>
              <w:t>满意度</w:t>
            </w:r>
          </w:p>
        </w:tc>
        <w:tc>
          <w:tcPr>
            <w:tcW w:w="850" w:type="dxa"/>
            <w:tcBorders>
              <w:top w:val="nil"/>
              <w:left w:val="nil"/>
              <w:bottom w:val="single" w:color="auto" w:sz="4" w:space="0"/>
              <w:right w:val="single" w:color="auto" w:sz="4" w:space="0"/>
            </w:tcBorders>
            <w:noWrap w:val="0"/>
            <w:vAlign w:val="center"/>
          </w:tcPr>
          <w:p w14:paraId="539D460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14:paraId="438E704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93%                                                                                                                                                                                                                                                                                                                                                                                                                                                                                                </w:t>
            </w:r>
          </w:p>
        </w:tc>
        <w:tc>
          <w:tcPr>
            <w:tcW w:w="567" w:type="dxa"/>
            <w:gridSpan w:val="2"/>
            <w:tcBorders>
              <w:top w:val="nil"/>
              <w:left w:val="nil"/>
              <w:bottom w:val="single" w:color="auto" w:sz="4" w:space="0"/>
              <w:right w:val="single" w:color="auto" w:sz="4" w:space="0"/>
            </w:tcBorders>
            <w:noWrap w:val="0"/>
            <w:vAlign w:val="center"/>
          </w:tcPr>
          <w:p w14:paraId="01864C2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41" w:type="dxa"/>
            <w:gridSpan w:val="2"/>
            <w:tcBorders>
              <w:top w:val="nil"/>
              <w:left w:val="nil"/>
              <w:bottom w:val="single" w:color="auto" w:sz="4" w:space="0"/>
              <w:right w:val="single" w:color="auto" w:sz="4" w:space="0"/>
            </w:tcBorders>
            <w:noWrap w:val="0"/>
            <w:vAlign w:val="center"/>
          </w:tcPr>
          <w:p w14:paraId="1937631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243" w:type="dxa"/>
            <w:gridSpan w:val="2"/>
            <w:tcBorders>
              <w:top w:val="single" w:color="auto" w:sz="4" w:space="0"/>
              <w:left w:val="nil"/>
              <w:bottom w:val="single" w:color="auto" w:sz="4" w:space="0"/>
              <w:right w:val="single" w:color="auto" w:sz="4" w:space="0"/>
            </w:tcBorders>
            <w:noWrap w:val="0"/>
            <w:vAlign w:val="center"/>
          </w:tcPr>
          <w:p w14:paraId="34C93FB0">
            <w:pPr>
              <w:widowControl/>
              <w:spacing w:line="240" w:lineRule="exact"/>
              <w:jc w:val="center"/>
              <w:rPr>
                <w:rFonts w:ascii="宋体" w:hAnsi="宋体" w:eastAsia="宋体" w:cs="宋体"/>
                <w:kern w:val="0"/>
                <w:sz w:val="18"/>
                <w:szCs w:val="18"/>
              </w:rPr>
            </w:pPr>
          </w:p>
        </w:tc>
      </w:tr>
      <w:tr w14:paraId="30A4D92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2A33C97">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712A64A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0A2821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B3D5D7B">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0B65D0B4">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558B76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EAEF546">
            <w:pPr>
              <w:widowControl/>
              <w:spacing w:line="240" w:lineRule="exact"/>
              <w:jc w:val="center"/>
              <w:rPr>
                <w:rFonts w:ascii="宋体" w:hAnsi="宋体" w:eastAsia="宋体" w:cs="宋体"/>
                <w:kern w:val="0"/>
                <w:sz w:val="18"/>
                <w:szCs w:val="18"/>
              </w:rPr>
            </w:pPr>
          </w:p>
        </w:tc>
        <w:tc>
          <w:tcPr>
            <w:tcW w:w="741" w:type="dxa"/>
            <w:gridSpan w:val="2"/>
            <w:tcBorders>
              <w:top w:val="nil"/>
              <w:left w:val="nil"/>
              <w:bottom w:val="single" w:color="auto" w:sz="4" w:space="0"/>
              <w:right w:val="single" w:color="auto" w:sz="4" w:space="0"/>
            </w:tcBorders>
            <w:noWrap w:val="0"/>
            <w:vAlign w:val="center"/>
          </w:tcPr>
          <w:p w14:paraId="07016241">
            <w:pPr>
              <w:widowControl/>
              <w:spacing w:line="240" w:lineRule="exact"/>
              <w:jc w:val="center"/>
              <w:rPr>
                <w:rFonts w:ascii="宋体" w:hAnsi="宋体" w:eastAsia="宋体" w:cs="宋体"/>
                <w:kern w:val="0"/>
                <w:sz w:val="18"/>
                <w:szCs w:val="18"/>
              </w:rPr>
            </w:pPr>
          </w:p>
        </w:tc>
        <w:tc>
          <w:tcPr>
            <w:tcW w:w="1243" w:type="dxa"/>
            <w:gridSpan w:val="2"/>
            <w:tcBorders>
              <w:top w:val="single" w:color="auto" w:sz="4" w:space="0"/>
              <w:left w:val="nil"/>
              <w:bottom w:val="single" w:color="auto" w:sz="4" w:space="0"/>
              <w:right w:val="single" w:color="auto" w:sz="4" w:space="0"/>
            </w:tcBorders>
            <w:noWrap w:val="0"/>
            <w:vAlign w:val="center"/>
          </w:tcPr>
          <w:p w14:paraId="3CA0F064">
            <w:pPr>
              <w:widowControl/>
              <w:spacing w:line="240" w:lineRule="exact"/>
              <w:jc w:val="center"/>
              <w:rPr>
                <w:rFonts w:ascii="宋体" w:hAnsi="宋体" w:eastAsia="宋体" w:cs="宋体"/>
                <w:kern w:val="0"/>
                <w:sz w:val="18"/>
                <w:szCs w:val="18"/>
              </w:rPr>
            </w:pPr>
          </w:p>
        </w:tc>
      </w:tr>
      <w:tr w14:paraId="4F7E08D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0CD0D288">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14:paraId="516A29F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6C85BB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4340511">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2D156B7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0F6B319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25E7F0F">
            <w:pPr>
              <w:widowControl/>
              <w:spacing w:line="240" w:lineRule="exact"/>
              <w:jc w:val="center"/>
              <w:rPr>
                <w:rFonts w:ascii="宋体" w:hAnsi="宋体" w:eastAsia="宋体" w:cs="宋体"/>
                <w:kern w:val="0"/>
                <w:sz w:val="18"/>
                <w:szCs w:val="18"/>
              </w:rPr>
            </w:pPr>
          </w:p>
        </w:tc>
        <w:tc>
          <w:tcPr>
            <w:tcW w:w="741" w:type="dxa"/>
            <w:gridSpan w:val="2"/>
            <w:tcBorders>
              <w:top w:val="nil"/>
              <w:left w:val="nil"/>
              <w:bottom w:val="single" w:color="auto" w:sz="4" w:space="0"/>
              <w:right w:val="single" w:color="auto" w:sz="4" w:space="0"/>
            </w:tcBorders>
            <w:noWrap w:val="0"/>
            <w:vAlign w:val="center"/>
          </w:tcPr>
          <w:p w14:paraId="4C784451">
            <w:pPr>
              <w:widowControl/>
              <w:spacing w:line="240" w:lineRule="exact"/>
              <w:jc w:val="center"/>
              <w:rPr>
                <w:rFonts w:ascii="宋体" w:hAnsi="宋体" w:eastAsia="宋体" w:cs="宋体"/>
                <w:kern w:val="0"/>
                <w:sz w:val="18"/>
                <w:szCs w:val="18"/>
              </w:rPr>
            </w:pPr>
          </w:p>
        </w:tc>
        <w:tc>
          <w:tcPr>
            <w:tcW w:w="1243" w:type="dxa"/>
            <w:gridSpan w:val="2"/>
            <w:tcBorders>
              <w:top w:val="single" w:color="auto" w:sz="4" w:space="0"/>
              <w:left w:val="nil"/>
              <w:bottom w:val="single" w:color="auto" w:sz="4" w:space="0"/>
              <w:right w:val="single" w:color="auto" w:sz="4" w:space="0"/>
            </w:tcBorders>
            <w:noWrap w:val="0"/>
            <w:vAlign w:val="center"/>
          </w:tcPr>
          <w:p w14:paraId="5CABCD32">
            <w:pPr>
              <w:widowControl/>
              <w:spacing w:line="240" w:lineRule="exact"/>
              <w:jc w:val="center"/>
              <w:rPr>
                <w:rFonts w:ascii="宋体" w:hAnsi="宋体" w:eastAsia="宋体" w:cs="宋体"/>
                <w:kern w:val="0"/>
                <w:sz w:val="18"/>
                <w:szCs w:val="18"/>
              </w:rPr>
            </w:pPr>
          </w:p>
        </w:tc>
      </w:tr>
      <w:tr w14:paraId="7A86643F">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689D22A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65CAA98C">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41" w:type="dxa"/>
            <w:gridSpan w:val="2"/>
            <w:tcBorders>
              <w:top w:val="nil"/>
              <w:left w:val="nil"/>
              <w:bottom w:val="single" w:color="auto" w:sz="4" w:space="0"/>
              <w:right w:val="single" w:color="auto" w:sz="4" w:space="0"/>
            </w:tcBorders>
            <w:noWrap w:val="0"/>
            <w:vAlign w:val="center"/>
          </w:tcPr>
          <w:p w14:paraId="53150199">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w:t>
            </w:r>
          </w:p>
        </w:tc>
        <w:tc>
          <w:tcPr>
            <w:tcW w:w="1243" w:type="dxa"/>
            <w:gridSpan w:val="2"/>
            <w:tcBorders>
              <w:top w:val="single" w:color="auto" w:sz="4" w:space="0"/>
              <w:left w:val="nil"/>
              <w:bottom w:val="single" w:color="auto" w:sz="4" w:space="0"/>
              <w:right w:val="single" w:color="auto" w:sz="4" w:space="0"/>
            </w:tcBorders>
            <w:noWrap w:val="0"/>
            <w:vAlign w:val="center"/>
          </w:tcPr>
          <w:p w14:paraId="38064322">
            <w:pPr>
              <w:widowControl/>
              <w:spacing w:line="240" w:lineRule="exact"/>
              <w:jc w:val="center"/>
              <w:rPr>
                <w:rFonts w:ascii="宋体" w:hAnsi="宋体" w:eastAsia="宋体" w:cs="宋体"/>
                <w:kern w:val="0"/>
                <w:sz w:val="18"/>
                <w:szCs w:val="18"/>
              </w:rPr>
            </w:pPr>
          </w:p>
        </w:tc>
      </w:tr>
    </w:tbl>
    <w:p w14:paraId="620C0CD8">
      <w:pPr>
        <w:widowControl/>
        <w:spacing w:line="600" w:lineRule="exact"/>
        <w:jc w:val="both"/>
        <w:rPr>
          <w:rFonts w:hint="eastAsia" w:ascii="宋体" w:hAnsi="宋体"/>
          <w:b/>
          <w:sz w:val="32"/>
          <w:szCs w:val="32"/>
        </w:rPr>
      </w:pPr>
    </w:p>
    <w:p w14:paraId="36D4D1E0">
      <w:pPr>
        <w:widowControl/>
        <w:spacing w:line="600" w:lineRule="exact"/>
        <w:ind w:firstLine="640"/>
        <w:jc w:val="center"/>
        <w:rPr>
          <w:rFonts w:hint="eastAsia" w:ascii="宋体" w:hAnsi="宋体"/>
          <w:b/>
          <w:sz w:val="32"/>
          <w:szCs w:val="32"/>
        </w:rPr>
      </w:pPr>
    </w:p>
    <w:p w14:paraId="114BB7CB">
      <w:pPr>
        <w:widowControl/>
        <w:spacing w:line="600" w:lineRule="exact"/>
        <w:jc w:val="both"/>
        <w:rPr>
          <w:rFonts w:hint="eastAsia" w:ascii="宋体" w:hAnsi="宋体"/>
          <w:b/>
          <w:sz w:val="32"/>
          <w:szCs w:val="32"/>
        </w:rPr>
      </w:pPr>
    </w:p>
    <w:p w14:paraId="329E7A68">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663E99A5">
      <w:pPr>
        <w:pStyle w:val="6"/>
        <w:spacing w:line="600" w:lineRule="atLeast"/>
        <w:ind w:firstLine="600"/>
        <w:rPr>
          <w:rFonts w:hint="eastAsia" w:ascii="仿宋" w:hAnsi="仿宋" w:eastAsia="仿宋"/>
          <w:sz w:val="30"/>
          <w:szCs w:val="30"/>
        </w:rPr>
      </w:pPr>
    </w:p>
    <w:p w14:paraId="486893CC">
      <w:pPr>
        <w:numPr>
          <w:ilvl w:val="0"/>
          <w:numId w:val="1"/>
        </w:numPr>
        <w:ind w:left="300" w:leftChars="0" w:firstLine="0" w:firstLineChars="0"/>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收入科目</w:t>
      </w:r>
    </w:p>
    <w:p w14:paraId="06984206">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（一）财政拨款：指市级财政当年拨付的资金。</w:t>
      </w:r>
    </w:p>
    <w:p w14:paraId="1906A960">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（二）事业收入：指事业单位开展专业业务活动及辅助活动取得的收入。</w:t>
      </w:r>
    </w:p>
    <w:p w14:paraId="72BF752E">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三</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事业单位经营收入：指事业单位在</w:t>
      </w:r>
      <w:r>
        <w:rPr>
          <w:rFonts w:hint="eastAsia" w:ascii="仿宋" w:hAnsi="仿宋" w:eastAsia="仿宋" w:cs="仿宋_GB2312"/>
          <w:kern w:val="0"/>
          <w:sz w:val="30"/>
          <w:szCs w:val="30"/>
        </w:rPr>
        <w:t>专业业务活动及辅助活动</w:t>
      </w:r>
      <w:r>
        <w:rPr>
          <w:rFonts w:hint="eastAsia" w:ascii="仿宋" w:hAnsi="仿宋" w:eastAsia="仿宋" w:cs="仿宋_GB2312"/>
          <w:kern w:val="0"/>
          <w:sz w:val="30"/>
          <w:szCs w:val="30"/>
          <w:lang w:val="en-US" w:eastAsia="zh-CN"/>
        </w:rPr>
        <w:t>之外开展非独立核算经营活动取得的收入。</w:t>
      </w:r>
    </w:p>
    <w:p w14:paraId="089F4AE5">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（四）其他收入：指除财政拨款、事业收入、事业单位经营收入等以外的各项收入。</w:t>
      </w:r>
    </w:p>
    <w:p w14:paraId="44F7E401">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（五）附属单位上缴收入：反映事业单位附属的独立核算单位按规定标准或比例缴纳的各项收入。包括附属的事业单位上缴的收入和附属的企业上缴的利润。</w:t>
      </w:r>
    </w:p>
    <w:p w14:paraId="2AB319B6">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（六）上级补助收入：反映事业单位从主管部门和上级单位取得的非财政补助收入。</w:t>
      </w:r>
    </w:p>
    <w:p w14:paraId="6E7344C3">
      <w:pPr>
        <w:spacing w:line="600" w:lineRule="exact"/>
        <w:ind w:firstLine="640" w:firstLineChars="200"/>
        <w:rPr>
          <w:rFonts w:hint="eastAsia" w:ascii="仿宋" w:hAnsi="仿宋" w:eastAsia="仿宋" w:cs="仿宋_GB2312"/>
          <w:kern w:val="0"/>
          <w:sz w:val="30"/>
          <w:szCs w:val="30"/>
          <w:lang w:val="en-US" w:eastAsia="zh-CN"/>
        </w:rPr>
      </w:pPr>
      <w:r>
        <w:rPr>
          <w:rFonts w:hint="eastAsia" w:ascii="仿宋_GB2312" w:eastAsia="仿宋_GB2312"/>
          <w:color w:val="000000"/>
          <w:sz w:val="32"/>
          <w:szCs w:val="30"/>
        </w:rPr>
        <w:t>（七）用事业基金弥补收支差额：填列事业单位用事业基金弥补20</w:t>
      </w:r>
      <w:r>
        <w:rPr>
          <w:rFonts w:hint="eastAsia" w:ascii="仿宋_GB2312" w:eastAsia="仿宋_GB2312"/>
          <w:color w:val="000000"/>
          <w:sz w:val="32"/>
          <w:szCs w:val="30"/>
          <w:lang w:val="en-US" w:eastAsia="zh-CN"/>
        </w:rPr>
        <w:t>19</w:t>
      </w:r>
      <w:r>
        <w:rPr>
          <w:rFonts w:hint="eastAsia" w:ascii="仿宋_GB2312" w:eastAsia="仿宋_GB2312"/>
          <w:color w:val="000000"/>
          <w:sz w:val="32"/>
          <w:szCs w:val="30"/>
        </w:rPr>
        <w:t>年收支差额的数额。</w:t>
      </w:r>
    </w:p>
    <w:p w14:paraId="3ED4A9D9">
      <w:pPr>
        <w:autoSpaceDE w:val="0"/>
        <w:autoSpaceDN w:val="0"/>
        <w:adjustRightInd w:val="0"/>
        <w:spacing w:line="360" w:lineRule="auto"/>
        <w:ind w:firstLine="600" w:firstLineChars="200"/>
        <w:jc w:val="left"/>
        <w:rPr>
          <w:rFonts w:hint="eastAsia" w:ascii="仿宋" w:hAnsi="仿宋" w:eastAsia="仿宋"/>
          <w:kern w:val="0"/>
          <w:sz w:val="30"/>
          <w:szCs w:val="30"/>
          <w:lang w:val="en-US" w:eastAsia="zh-CN"/>
        </w:rPr>
      </w:pPr>
      <w:r>
        <w:rPr>
          <w:rFonts w:hint="eastAsia" w:ascii="仿宋" w:hAnsi="仿宋" w:eastAsia="仿宋" w:cs="仿宋_GB2312"/>
          <w:kern w:val="0"/>
          <w:sz w:val="30"/>
          <w:szCs w:val="30"/>
          <w:lang w:val="en-US" w:eastAsia="zh-CN"/>
        </w:rPr>
        <w:t>（八）上年结转和结余：填列2018年全部结转和结余的资金数，包括当年结转结余资金和历年滚存结转结余资金。</w:t>
      </w:r>
    </w:p>
    <w:p w14:paraId="5C7BE3D4">
      <w:pPr>
        <w:numPr>
          <w:ilvl w:val="0"/>
          <w:numId w:val="0"/>
        </w:numPr>
        <w:ind w:firstLine="600" w:firstLineChars="200"/>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二、支出科目</w:t>
      </w:r>
    </w:p>
    <w:p w14:paraId="5DA71B9B">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（一）社会保障和就业支出（类）行政事业单位养老支出（款）行政单位离退休（项）：反映行政单位（包括实行公务员管理的事业单位）开支的离退休经费。</w:t>
      </w:r>
    </w:p>
    <w:p w14:paraId="3640297C">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（二）社会保障和就业支出（类）行政事业单位养老支出（款）机关事业单位基本养老保险缴费支出（项）：反映机关事业单位实施养老保险制度由单位缴纳的基本养老保险费支出。</w:t>
      </w:r>
    </w:p>
    <w:p w14:paraId="2F439F5D">
      <w:pPr>
        <w:autoSpaceDE w:val="0"/>
        <w:autoSpaceDN w:val="0"/>
        <w:adjustRightInd w:val="0"/>
        <w:spacing w:line="360" w:lineRule="auto"/>
        <w:ind w:firstLine="600" w:firstLineChars="200"/>
        <w:jc w:val="left"/>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卫生健康支出（类）行政事业单位医疗（款）行政单位医疗（项）：反映财政部门安排的行政单位（包括实行公务员观看的事业单位）基本医疗保险缴费经费，未参加医疗保险的行政单位的公费医疗经费，按国家规定享受离休人员、红军老战士待遇人员的医疗经费。</w:t>
      </w:r>
    </w:p>
    <w:p w14:paraId="071514DA">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四）卫生健康支出（类）行政事业单位医疗（款）事业单位医疗（项）：反映财政部门安排的事业单位基本医疗保险缴费经费，未参加医疗保险的事业单位的公费医疗经费，按国家规定享受离休人员待遇的医疗经费。</w:t>
      </w:r>
    </w:p>
    <w:p w14:paraId="7EFA4E94">
      <w:pPr>
        <w:autoSpaceDE w:val="0"/>
        <w:autoSpaceDN w:val="0"/>
        <w:adjustRightInd w:val="0"/>
        <w:spacing w:line="360" w:lineRule="auto"/>
        <w:ind w:firstLine="600" w:firstLineChars="200"/>
        <w:jc w:val="left"/>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（五）卫生健康支出（类）行政事业单位医疗（款）公务员医疗补助（项）：反映财政部门安排的公务员医疗补助经费。</w:t>
      </w:r>
    </w:p>
    <w:p w14:paraId="21B30C5A">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（六）卫生健康支出（类）行政事业单位医疗（款）其他行政事业单位医疗支出（项）：反映除上述项目以外的其他用于行政事业单位医疗方面的支出。</w:t>
      </w:r>
    </w:p>
    <w:p w14:paraId="13CC133A">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（七）农林水支出（类）林业和草原（款）行政运行（项）：反映行政单位（包括实行公务员法管理的事业单位）的基本支出。</w:t>
      </w:r>
    </w:p>
    <w:p w14:paraId="1ED56EB1">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（八）农林水支出（类）林业和草原（款）事业机构（项）：反映事业单位的基本支出，不包括行政单位（含实行公务员管理的事业单位）后勤服务中心等附事业单位的支出。</w:t>
      </w:r>
    </w:p>
    <w:p w14:paraId="44C13D68">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（九）农林水支出（类）林业和草原（款）技术推广与转化（项）：反映良种繁育、新技术引进、区域化试验、示范、技术推广、成果转化、科学普及等方面的支出。</w:t>
      </w:r>
    </w:p>
    <w:p w14:paraId="45E5E051">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（十）农林水支出（类）林业和草原（款）森林资源管理（项）：反映森林资源核查、监测、评估、经营利用、林地保护等方面的支出。</w:t>
      </w:r>
    </w:p>
    <w:p w14:paraId="3E9A618E">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一）农林水支出（类）林业和草原（款）动植物保护（项）：反映动植物资源生存环境调查、监测、保护管理、野外放（回）归、巡护、野生动物疫源疫病监测防控、濒危野生动植物拯救、繁育及进出口管理等方面的支出。</w:t>
      </w:r>
    </w:p>
    <w:p w14:paraId="6AB9ACB3">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（十二）农林水支出（类）林业和草原（款）湿地保护（项）：反映湿地保护和管理方面的支出。</w:t>
      </w:r>
    </w:p>
    <w:p w14:paraId="5CA5CC58">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（十三）农林水支出（类）林业和草原（款）执法与监督（项）：反映执法与监督队伍建设，刑事、行政案件受理、查处和督办，行政许可、复议与诉讼管理等方面的支出。</w:t>
      </w:r>
    </w:p>
    <w:p w14:paraId="7522F29E">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（十四）农林水支出（类）林业和草原（款）产业化管理（项）：反映产业化管理方面的支出。</w:t>
      </w:r>
    </w:p>
    <w:p w14:paraId="78467465">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（十五）农林水支出（类）林业和草原（款）防灾减灾（项）：反映病虫害等有害生物灾害、野生动物疫病灾害等方面的支出。</w:t>
      </w:r>
    </w:p>
    <w:p w14:paraId="01CA0F7E">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六）农林水支出（类）林业和草原（款）行业业务管理（项）：反映行业标准、政策法规、规划规程制定，生态工程及项目的可研、评审评估、绩效评价、检查验收、资金资产监督管理，统计调查与数据分析发布，检疫检测，森林认证，林产品质量监管，新品种及知识产权保护，生物安全与遗传资源管理，重大宣传，人才发展等方面的支出。</w:t>
      </w:r>
    </w:p>
    <w:p w14:paraId="23798183">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（十七）农林水支出（类）林业和草原（款）其他林业和草原支出（项）：反映除上述项目以外其他用于林业和草原方面的支出。</w:t>
      </w:r>
    </w:p>
    <w:p w14:paraId="4C795A35">
      <w:pPr>
        <w:autoSpaceDE w:val="0"/>
        <w:autoSpaceDN w:val="0"/>
        <w:adjustRightInd w:val="0"/>
        <w:spacing w:line="360" w:lineRule="auto"/>
        <w:ind w:firstLine="600" w:firstLineChars="2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（十八）住房保障支出（类）住房改革支出（款）住房公积金（项）：反映行政事业单位按人力资源和社会保障部、财政部规定的基本工资和津贴补贴以及规定比例为职工缴纳的住房公积金。</w:t>
      </w:r>
    </w:p>
    <w:p w14:paraId="70AA094B">
      <w:pPr>
        <w:autoSpaceDE w:val="0"/>
        <w:autoSpaceDN w:val="0"/>
        <w:adjustRightInd w:val="0"/>
        <w:spacing w:line="360" w:lineRule="auto"/>
        <w:ind w:firstLine="600" w:firstLineChars="200"/>
        <w:jc w:val="left"/>
        <w:rPr>
          <w:rFonts w:hint="default" w:ascii="仿宋" w:hAnsi="仿宋" w:eastAsia="仿宋" w:cs="仿宋_GB2312"/>
          <w:kern w:val="0"/>
          <w:sz w:val="30"/>
          <w:szCs w:val="30"/>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5FC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-116205</wp:posOffset>
              </wp:positionV>
              <wp:extent cx="65405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405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B5EB7">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15pt;height:20pt;width:51.5pt;mso-position-horizontal:outside;mso-position-horizontal-relative:margin;z-index:251659264;mso-width-relative:page;mso-height-relative:page;" filled="f" stroked="f" coordsize="21600,21600" o:gfxdata="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Fa+yfVAAAABwEAAA8AAAAAAAAAAQAgAAAAIgAAAGRycy9kb3ducmV2LnhtbFBL&#10;AQIUABQAAAAIAIdO4kDomAGIMgIAAGEEAAAOAAAAAAAAAAEAIAAAACQBAABkcnMvZTJvRG9jLnht&#10;bFBLBQYAAAAABgAGAFkBAADIBQAAAAA=&#10;">
              <v:fill on="f" focussize="0,0"/>
              <v:stroke on="f" weight="0.5pt"/>
              <v:imagedata o:title=""/>
              <o:lock v:ext="edit" aspectratio="f"/>
              <v:textbox inset="0mm,0mm,0mm,0mm">
                <w:txbxContent>
                  <w:p w14:paraId="54FB5EB7">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4C222"/>
    <w:multiLevelType w:val="singleLevel"/>
    <w:tmpl w:val="7C24C222"/>
    <w:lvl w:ilvl="0" w:tentative="0">
      <w:start w:val="1"/>
      <w:numFmt w:val="chineseCounting"/>
      <w:suff w:val="nothing"/>
      <w:lvlText w:val="%1、"/>
      <w:lvlJc w:val="left"/>
      <w:pPr>
        <w:ind w:left="3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C3453"/>
    <w:rsid w:val="022F6356"/>
    <w:rsid w:val="039547F1"/>
    <w:rsid w:val="06984088"/>
    <w:rsid w:val="087022E9"/>
    <w:rsid w:val="0B7C3DF4"/>
    <w:rsid w:val="0DE5024C"/>
    <w:rsid w:val="0DF1620C"/>
    <w:rsid w:val="0E6D3C25"/>
    <w:rsid w:val="10960BF6"/>
    <w:rsid w:val="1199260A"/>
    <w:rsid w:val="11C8309B"/>
    <w:rsid w:val="13C20CEB"/>
    <w:rsid w:val="16D57387"/>
    <w:rsid w:val="184B1154"/>
    <w:rsid w:val="19CB1994"/>
    <w:rsid w:val="1B27045A"/>
    <w:rsid w:val="1B5305F3"/>
    <w:rsid w:val="1D695D43"/>
    <w:rsid w:val="1E000CA6"/>
    <w:rsid w:val="1F821B29"/>
    <w:rsid w:val="238F1A7A"/>
    <w:rsid w:val="23D46FC3"/>
    <w:rsid w:val="242405B6"/>
    <w:rsid w:val="25555DE7"/>
    <w:rsid w:val="259D4A01"/>
    <w:rsid w:val="27DC749D"/>
    <w:rsid w:val="2A65581B"/>
    <w:rsid w:val="2B073A63"/>
    <w:rsid w:val="2BA42BE0"/>
    <w:rsid w:val="2DEB3CFD"/>
    <w:rsid w:val="2DFE7434"/>
    <w:rsid w:val="2EE12C8D"/>
    <w:rsid w:val="30BA37AE"/>
    <w:rsid w:val="311810F1"/>
    <w:rsid w:val="31554DC6"/>
    <w:rsid w:val="33E61828"/>
    <w:rsid w:val="352A495A"/>
    <w:rsid w:val="36765112"/>
    <w:rsid w:val="386648BE"/>
    <w:rsid w:val="3ABF27FB"/>
    <w:rsid w:val="3B49058C"/>
    <w:rsid w:val="3B8D531E"/>
    <w:rsid w:val="3C9A72D2"/>
    <w:rsid w:val="3CFA5A79"/>
    <w:rsid w:val="3DAA3565"/>
    <w:rsid w:val="405840E9"/>
    <w:rsid w:val="41B76262"/>
    <w:rsid w:val="43BB31E8"/>
    <w:rsid w:val="43EB4DF8"/>
    <w:rsid w:val="44262F99"/>
    <w:rsid w:val="450376F6"/>
    <w:rsid w:val="45C77F56"/>
    <w:rsid w:val="473C29D9"/>
    <w:rsid w:val="4B1C1499"/>
    <w:rsid w:val="4CC475A5"/>
    <w:rsid w:val="4D5E742B"/>
    <w:rsid w:val="4EFF2BEC"/>
    <w:rsid w:val="4F0A5422"/>
    <w:rsid w:val="4F3A097B"/>
    <w:rsid w:val="505E3023"/>
    <w:rsid w:val="50F26422"/>
    <w:rsid w:val="5329696A"/>
    <w:rsid w:val="567F13B0"/>
    <w:rsid w:val="56B86BCA"/>
    <w:rsid w:val="57740B03"/>
    <w:rsid w:val="59C64CF1"/>
    <w:rsid w:val="59C75566"/>
    <w:rsid w:val="5B097BDE"/>
    <w:rsid w:val="5C0E2637"/>
    <w:rsid w:val="5E7A23D1"/>
    <w:rsid w:val="61BA76BB"/>
    <w:rsid w:val="6475795E"/>
    <w:rsid w:val="64E31FEC"/>
    <w:rsid w:val="69697E1D"/>
    <w:rsid w:val="6BD94352"/>
    <w:rsid w:val="6CF17645"/>
    <w:rsid w:val="6DAE7409"/>
    <w:rsid w:val="6F89427A"/>
    <w:rsid w:val="6FE551FD"/>
    <w:rsid w:val="712C51F8"/>
    <w:rsid w:val="7188544B"/>
    <w:rsid w:val="71E51FD0"/>
    <w:rsid w:val="738F7E34"/>
    <w:rsid w:val="772E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7415</Words>
  <Characters>8055</Characters>
  <Lines>0</Lines>
  <Paragraphs>0</Paragraphs>
  <TotalTime>2</TotalTime>
  <ScaleCrop>false</ScaleCrop>
  <LinksUpToDate>false</LinksUpToDate>
  <CharactersWithSpaces>8783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2026-07-20T09:00:32Z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6102379E28004CC1A476580DA3AAD6A0_12</vt:lpwstr>
  </property>
</Properties>
</file>