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lang w:val="en-US" w:eastAsia="zh-CN"/>
        </w:rPr>
      </w:pPr>
      <w:r>
        <w:rPr>
          <w:rFonts w:hint="eastAsia" w:ascii="黑体" w:eastAsia="黑体"/>
          <w:sz w:val="44"/>
          <w:szCs w:val="36"/>
          <w:lang w:val="en-US" w:eastAsia="zh-CN"/>
        </w:rPr>
        <w:t>景德镇市国有资产监督管理委员会</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val="en-US" w:eastAsia="zh-CN"/>
        </w:rPr>
        <w:t>景德镇市国资委</w:t>
      </w:r>
      <w:r>
        <w:rPr>
          <w:rFonts w:hint="eastAsia" w:ascii="黑体" w:hAnsi="黑体" w:eastAsia="黑体"/>
          <w:b w:val="0"/>
          <w:bCs/>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w:t>
      </w:r>
      <w:r>
        <w:rPr>
          <w:rFonts w:hint="eastAsia" w:ascii="黑体" w:hAnsi="黑体" w:eastAsia="黑体"/>
          <w:sz w:val="32"/>
          <w:szCs w:val="32"/>
          <w:lang w:val="en-US" w:eastAsia="zh-CN"/>
        </w:rPr>
        <w:t>景德镇市国资委</w:t>
      </w:r>
      <w:r>
        <w:rPr>
          <w:rFonts w:hint="eastAsia" w:ascii="黑体" w:hAnsi="黑体" w:eastAsia="黑体"/>
          <w:sz w:val="32"/>
          <w:szCs w:val="32"/>
        </w:rPr>
        <w:t>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w:t>
      </w:r>
      <w:r>
        <w:rPr>
          <w:rFonts w:hint="eastAsia" w:ascii="黑体" w:hAnsi="黑体" w:eastAsia="黑体"/>
          <w:sz w:val="32"/>
          <w:szCs w:val="32"/>
          <w:lang w:val="en-US" w:eastAsia="zh-CN"/>
        </w:rPr>
        <w:t>景德镇市国资委</w:t>
      </w:r>
      <w:r>
        <w:rPr>
          <w:rFonts w:hint="eastAsia" w:ascii="黑体" w:hAnsi="黑体" w:eastAsia="黑体"/>
          <w:sz w:val="32"/>
          <w:szCs w:val="32"/>
        </w:rPr>
        <w:t>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val="en-US" w:eastAsia="zh-CN"/>
        </w:rPr>
        <w:t>景德镇市国资委</w:t>
      </w:r>
      <w:r>
        <w:rPr>
          <w:rFonts w:hint="eastAsia" w:ascii="宋体" w:hAnsi="宋体"/>
          <w:b/>
          <w:sz w:val="32"/>
          <w:szCs w:val="30"/>
        </w:rPr>
        <w:t>概况</w:t>
      </w:r>
    </w:p>
    <w:p>
      <w:pPr>
        <w:ind w:firstLine="630"/>
        <w:jc w:val="center"/>
        <w:rPr>
          <w:rFonts w:hint="eastAsia"/>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600" w:firstLineChars="200"/>
        <w:jc w:val="both"/>
        <w:rPr>
          <w:rFonts w:hint="eastAsia" w:ascii="黑体" w:hAnsi="黑体" w:eastAsia="黑体"/>
          <w:sz w:val="30"/>
          <w:szCs w:val="30"/>
        </w:rPr>
      </w:pPr>
      <w:r>
        <w:rPr>
          <w:rFonts w:hint="eastAsia" w:ascii="黑体" w:hAnsi="黑体" w:eastAsia="黑体"/>
          <w:sz w:val="30"/>
          <w:szCs w:val="30"/>
          <w:lang w:val="en-US" w:eastAsia="zh-CN"/>
        </w:rPr>
        <w:t>一、部门</w:t>
      </w:r>
      <w:r>
        <w:rPr>
          <w:rFonts w:hint="eastAsia" w:ascii="黑体" w:hAnsi="黑体" w:eastAsia="黑体"/>
          <w:sz w:val="30"/>
          <w:szCs w:val="30"/>
        </w:rPr>
        <w:t>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根据市政府授权，依照《中华人民共和国公司法》、《企业国有资产法》等法律和行政法规，代表市政府履行国有资产出资人职责，指导、推进国有企业的改革和重组；对所监管企业国有资产的保值增值进行监督，负责监缴所监管企业国有资本金收益，加强固有资产的管理工作；推进国有企业的现代企业制度建设，完善公司治理结构；推动国有经济结构和布局的战略性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（二）代表市政府向出资监管企业派出监事会，负责监事会的日常管理工作。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（三）通过法定程序对市属企业负责人进行任免、考核，并根据其经营业绩进行奖惩；建立符合社会主义市场经济体制和现代企业制度要求的选人、用人机制，完善经营者激励和约束制度。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（四）履行市委规定的企业党的建设方面的职责。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（五）通过统计、稽核等方式对所监管国有资产的保值增值情况进行监管；建立和完善国有资产保值增值指标体系，拟订考核标准。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（六）负责监管企业工资分配的管理工作，拟订所监管企业负责人的薪酬制度和激励方式并组织实施。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（七）监管地方金融企业和行政事业单位的固有资产。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（八）负责拟订国有企业经营者收入的政策，审核市属国有企业的工资总额和主要负责人的工资标准。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（九）起草企业（含地方金融企业）和行政事业单位固定资产管理的地方性实施意见和管理办法，制定有关制度。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（十）负责全市产权交易的宏观管理、监督、协调和指导。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（十一）按照出资人职责，负责督促检查所监管企业贯彻落实国家安全生产方针政策及有关法律法规、标准等工作。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（十二）依法对县（市、区）国有资产管理工作进行指导和监督。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jc w:val="both"/>
        <w:rPr>
          <w:rFonts w:hint="eastAsia" w:ascii="黑体" w:hAnsi="黑体" w:eastAsia="黑体"/>
          <w:sz w:val="30"/>
          <w:szCs w:val="30"/>
        </w:rPr>
      </w:pPr>
      <w:r>
        <w:rPr>
          <w:rFonts w:hint="eastAsia" w:ascii="仿宋" w:hAnsi="仿宋" w:eastAsia="仿宋" w:cs="仿宋"/>
          <w:i w:val="0"/>
          <w:caps w:val="0"/>
          <w:color w:val="000000"/>
          <w:spacing w:val="0"/>
          <w:sz w:val="32"/>
          <w:szCs w:val="32"/>
        </w:rPr>
        <w:t>（十三）承办市政府交办的其他事项。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2"/>
          <w:szCs w:val="32"/>
        </w:rPr>
      </w:pPr>
      <w:r>
        <w:rPr>
          <w:rFonts w:hint="eastAsia" w:ascii="仿宋" w:hAnsi="仿宋" w:eastAsia="仿宋"/>
          <w:sz w:val="32"/>
          <w:szCs w:val="32"/>
        </w:rPr>
        <w:t>纳入本套部门决算汇编范围的单位共</w:t>
      </w:r>
      <w:r>
        <w:rPr>
          <w:rFonts w:hint="eastAsia" w:ascii="仿宋" w:hAnsi="仿宋" w:eastAsia="仿宋"/>
          <w:sz w:val="32"/>
          <w:szCs w:val="32"/>
          <w:lang w:val="en-US" w:eastAsia="zh-CN"/>
        </w:rPr>
        <w:t>3</w:t>
      </w:r>
      <w:r>
        <w:rPr>
          <w:rFonts w:hint="eastAsia" w:ascii="仿宋" w:hAnsi="仿宋" w:eastAsia="仿宋"/>
          <w:sz w:val="32"/>
          <w:szCs w:val="32"/>
        </w:rPr>
        <w:t>个，包括：</w:t>
      </w:r>
      <w:r>
        <w:rPr>
          <w:rFonts w:hint="eastAsia" w:ascii="仿宋" w:hAnsi="仿宋" w:eastAsia="仿宋"/>
          <w:sz w:val="32"/>
          <w:szCs w:val="32"/>
          <w:lang w:val="en-US" w:eastAsia="zh-CN"/>
        </w:rPr>
        <w:t>景德镇市国有资产监督管理委员会本级、景德镇市国有资产管理中心、景德镇市企业监事会工作办公室</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val="en-US" w:eastAsia="zh-CN"/>
        </w:rPr>
        <w:t>本部门</w:t>
      </w:r>
      <w:r>
        <w:rPr>
          <w:rFonts w:hint="eastAsia" w:ascii="仿宋" w:hAnsi="仿宋" w:eastAsia="仿宋" w:cs="仿宋"/>
          <w:i w:val="0"/>
          <w:caps w:val="0"/>
          <w:color w:val="000000"/>
          <w:spacing w:val="0"/>
          <w:sz w:val="32"/>
          <w:szCs w:val="32"/>
        </w:rPr>
        <w:t>编制数为4</w:t>
      </w:r>
      <w:r>
        <w:rPr>
          <w:rFonts w:hint="eastAsia" w:ascii="仿宋" w:hAnsi="仿宋" w:eastAsia="仿宋" w:cs="仿宋"/>
          <w:i w:val="0"/>
          <w:caps w:val="0"/>
          <w:color w:val="000000"/>
          <w:spacing w:val="0"/>
          <w:sz w:val="32"/>
          <w:szCs w:val="32"/>
          <w:lang w:val="en-US" w:eastAsia="zh-CN"/>
        </w:rPr>
        <w:t>0</w:t>
      </w:r>
      <w:r>
        <w:rPr>
          <w:rFonts w:hint="eastAsia" w:ascii="仿宋" w:hAnsi="仿宋" w:eastAsia="仿宋" w:cs="仿宋"/>
          <w:i w:val="0"/>
          <w:caps w:val="0"/>
          <w:color w:val="000000"/>
          <w:spacing w:val="0"/>
          <w:sz w:val="32"/>
          <w:szCs w:val="32"/>
        </w:rPr>
        <w:t>人,其中行政编制2</w:t>
      </w: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人</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全额补助事业编制</w:t>
      </w:r>
      <w:r>
        <w:rPr>
          <w:rFonts w:hint="eastAsia" w:ascii="仿宋" w:hAnsi="仿宋" w:eastAsia="仿宋" w:cs="仿宋"/>
          <w:i w:val="0"/>
          <w:caps w:val="0"/>
          <w:color w:val="000000"/>
          <w:spacing w:val="0"/>
          <w:sz w:val="32"/>
          <w:szCs w:val="32"/>
          <w:lang w:val="en-US" w:eastAsia="zh-CN"/>
        </w:rPr>
        <w:t>19</w:t>
      </w:r>
      <w:r>
        <w:rPr>
          <w:rFonts w:hint="eastAsia" w:ascii="仿宋" w:hAnsi="仿宋" w:eastAsia="仿宋" w:cs="仿宋"/>
          <w:i w:val="0"/>
          <w:caps w:val="0"/>
          <w:color w:val="000000"/>
          <w:spacing w:val="0"/>
          <w:sz w:val="32"/>
          <w:szCs w:val="32"/>
        </w:rPr>
        <w:t>人。实有人数3</w:t>
      </w:r>
      <w:r>
        <w:rPr>
          <w:rFonts w:hint="eastAsia" w:ascii="仿宋" w:hAnsi="仿宋" w:eastAsia="仿宋" w:cs="仿宋"/>
          <w:i w:val="0"/>
          <w:caps w:val="0"/>
          <w:color w:val="000000"/>
          <w:spacing w:val="0"/>
          <w:sz w:val="32"/>
          <w:szCs w:val="32"/>
          <w:lang w:val="en-US" w:eastAsia="zh-CN"/>
        </w:rPr>
        <w:t>9</w:t>
      </w:r>
      <w:r>
        <w:rPr>
          <w:rFonts w:hint="eastAsia" w:ascii="仿宋" w:hAnsi="仿宋" w:eastAsia="仿宋" w:cs="仿宋"/>
          <w:i w:val="0"/>
          <w:caps w:val="0"/>
          <w:color w:val="000000"/>
          <w:spacing w:val="0"/>
          <w:sz w:val="32"/>
          <w:szCs w:val="32"/>
        </w:rPr>
        <w:t>人,其中在职3</w:t>
      </w: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人,包括行政</w:t>
      </w:r>
      <w:r>
        <w:rPr>
          <w:rFonts w:hint="eastAsia" w:ascii="仿宋" w:hAnsi="仿宋" w:eastAsia="仿宋" w:cs="仿宋"/>
          <w:i w:val="0"/>
          <w:caps w:val="0"/>
          <w:color w:val="000000"/>
          <w:spacing w:val="0"/>
          <w:sz w:val="32"/>
          <w:szCs w:val="32"/>
          <w:lang w:val="en-US" w:eastAsia="zh-CN"/>
        </w:rPr>
        <w:t>21</w:t>
      </w:r>
      <w:r>
        <w:rPr>
          <w:rFonts w:hint="eastAsia" w:ascii="仿宋" w:hAnsi="仿宋" w:eastAsia="仿宋" w:cs="仿宋"/>
          <w:i w:val="0"/>
          <w:caps w:val="0"/>
          <w:color w:val="000000"/>
          <w:spacing w:val="0"/>
          <w:sz w:val="32"/>
          <w:szCs w:val="32"/>
        </w:rPr>
        <w:t>人</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全额补助1</w:t>
      </w: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人</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rPr>
        <w:t>退休</w:t>
      </w:r>
      <w:r>
        <w:rPr>
          <w:rFonts w:hint="eastAsia" w:ascii="仿宋" w:hAnsi="仿宋" w:eastAsia="仿宋" w:cs="仿宋"/>
          <w:i w:val="0"/>
          <w:caps w:val="0"/>
          <w:color w:val="000000"/>
          <w:spacing w:val="0"/>
          <w:sz w:val="32"/>
          <w:szCs w:val="32"/>
          <w:lang w:val="en-US" w:eastAsia="zh-CN"/>
        </w:rPr>
        <w:t>5</w:t>
      </w:r>
      <w:r>
        <w:rPr>
          <w:rFonts w:hint="eastAsia" w:ascii="仿宋" w:hAnsi="仿宋" w:eastAsia="仿宋" w:cs="仿宋"/>
          <w:i w:val="0"/>
          <w:caps w:val="0"/>
          <w:color w:val="000000"/>
          <w:spacing w:val="0"/>
          <w:sz w:val="32"/>
          <w:szCs w:val="32"/>
        </w:rPr>
        <w:t>人。</w:t>
      </w:r>
    </w:p>
    <w:p>
      <w:pPr>
        <w:ind w:firstLine="630"/>
        <w:jc w:val="left"/>
        <w:rPr>
          <w:rFonts w:hint="eastAsia" w:ascii="仿宋" w:hAnsi="仿宋" w:eastAsia="仿宋"/>
          <w:sz w:val="32"/>
          <w:szCs w:val="32"/>
        </w:rPr>
      </w:pP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4742815"/>
            <wp:effectExtent l="0" t="0" r="7620" b="635"/>
            <wp:docPr id="10" name="图片 10" descr="1602207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207251(1)"/>
                    <pic:cNvPicPr>
                      <a:picLocks noChangeAspect="1"/>
                    </pic:cNvPicPr>
                  </pic:nvPicPr>
                  <pic:blipFill>
                    <a:blip r:embed="rId4"/>
                    <a:stretch>
                      <a:fillRect/>
                    </a:stretch>
                  </pic:blipFill>
                  <pic:spPr>
                    <a:xfrm>
                      <a:off x="0" y="0"/>
                      <a:ext cx="5269230" cy="474281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66690" cy="3131185"/>
            <wp:effectExtent l="0" t="0" r="10160" b="12065"/>
            <wp:docPr id="11" name="图片 11" descr="1602214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214114(1)"/>
                    <pic:cNvPicPr>
                      <a:picLocks noChangeAspect="1"/>
                    </pic:cNvPicPr>
                  </pic:nvPicPr>
                  <pic:blipFill>
                    <a:blip r:embed="rId5"/>
                    <a:stretch>
                      <a:fillRect/>
                    </a:stretch>
                  </pic:blipFill>
                  <pic:spPr>
                    <a:xfrm>
                      <a:off x="0" y="0"/>
                      <a:ext cx="5266690" cy="3131185"/>
                    </a:xfrm>
                    <a:prstGeom prst="rect">
                      <a:avLst/>
                    </a:prstGeom>
                  </pic:spPr>
                </pic:pic>
              </a:graphicData>
            </a:graphic>
          </wp:inline>
        </w:drawing>
      </w: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1770" cy="3961130"/>
            <wp:effectExtent l="0" t="0" r="5080" b="1270"/>
            <wp:docPr id="12" name="图片 12" descr="1602214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214182(1)"/>
                    <pic:cNvPicPr>
                      <a:picLocks noChangeAspect="1"/>
                    </pic:cNvPicPr>
                  </pic:nvPicPr>
                  <pic:blipFill>
                    <a:blip r:embed="rId6"/>
                    <a:stretch>
                      <a:fillRect/>
                    </a:stretch>
                  </pic:blipFill>
                  <pic:spPr>
                    <a:xfrm>
                      <a:off x="0" y="0"/>
                      <a:ext cx="5271770" cy="396113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4055110"/>
            <wp:effectExtent l="0" t="0" r="7620" b="2540"/>
            <wp:docPr id="13" name="图片 13" descr="1602224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2224342(1)"/>
                    <pic:cNvPicPr>
                      <a:picLocks noChangeAspect="1"/>
                    </pic:cNvPicPr>
                  </pic:nvPicPr>
                  <pic:blipFill>
                    <a:blip r:embed="rId7"/>
                    <a:stretch>
                      <a:fillRect/>
                    </a:stretch>
                  </pic:blipFill>
                  <pic:spPr>
                    <a:xfrm>
                      <a:off x="0" y="0"/>
                      <a:ext cx="5269230" cy="405511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4310" cy="5507355"/>
            <wp:effectExtent l="0" t="0" r="2540" b="17145"/>
            <wp:docPr id="14" name="图片 14" descr="1602224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2224470(1)"/>
                    <pic:cNvPicPr>
                      <a:picLocks noChangeAspect="1"/>
                    </pic:cNvPicPr>
                  </pic:nvPicPr>
                  <pic:blipFill>
                    <a:blip r:embed="rId8"/>
                    <a:stretch>
                      <a:fillRect/>
                    </a:stretch>
                  </pic:blipFill>
                  <pic:spPr>
                    <a:xfrm>
                      <a:off x="0" y="0"/>
                      <a:ext cx="5274310" cy="550735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4162425" cy="7096125"/>
            <wp:effectExtent l="0" t="0" r="9525" b="9525"/>
            <wp:docPr id="15" name="图片 15" descr="1602224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2224573(1)"/>
                    <pic:cNvPicPr>
                      <a:picLocks noChangeAspect="1"/>
                    </pic:cNvPicPr>
                  </pic:nvPicPr>
                  <pic:blipFill>
                    <a:blip r:embed="rId9"/>
                    <a:stretch>
                      <a:fillRect/>
                    </a:stretch>
                  </pic:blipFill>
                  <pic:spPr>
                    <a:xfrm>
                      <a:off x="0" y="0"/>
                      <a:ext cx="4162425" cy="709612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4310" cy="4369435"/>
            <wp:effectExtent l="0" t="0" r="2540" b="12065"/>
            <wp:docPr id="16" name="图片 16" descr="160222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2224622(1)"/>
                    <pic:cNvPicPr>
                      <a:picLocks noChangeAspect="1"/>
                    </pic:cNvPicPr>
                  </pic:nvPicPr>
                  <pic:blipFill>
                    <a:blip r:embed="rId10"/>
                    <a:stretch>
                      <a:fillRect/>
                    </a:stretch>
                  </pic:blipFill>
                  <pic:spPr>
                    <a:xfrm>
                      <a:off x="0" y="0"/>
                      <a:ext cx="5274310" cy="436943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040" cy="1614170"/>
            <wp:effectExtent l="0" t="0" r="3810" b="5080"/>
            <wp:docPr id="17" name="图片 17" descr="1602224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224678(1)"/>
                    <pic:cNvPicPr>
                      <a:picLocks noChangeAspect="1"/>
                    </pic:cNvPicPr>
                  </pic:nvPicPr>
                  <pic:blipFill>
                    <a:blip r:embed="rId11"/>
                    <a:stretch>
                      <a:fillRect/>
                    </a:stretch>
                  </pic:blipFill>
                  <pic:spPr>
                    <a:xfrm>
                      <a:off x="0" y="0"/>
                      <a:ext cx="5273040" cy="161417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4791075" cy="2943225"/>
            <wp:effectExtent l="0" t="0" r="9525" b="9525"/>
            <wp:docPr id="18" name="图片 18" descr="1602224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02224721(1)"/>
                    <pic:cNvPicPr>
                      <a:picLocks noChangeAspect="1"/>
                    </pic:cNvPicPr>
                  </pic:nvPicPr>
                  <pic:blipFill>
                    <a:blip r:embed="rId12"/>
                    <a:stretch>
                      <a:fillRect/>
                    </a:stretch>
                  </pic:blipFill>
                  <pic:spPr>
                    <a:xfrm>
                      <a:off x="0" y="0"/>
                      <a:ext cx="4791075" cy="294322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1070.15</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183.35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增加177.29</w:t>
      </w:r>
      <w:r>
        <w:rPr>
          <w:rFonts w:hint="eastAsia" w:ascii="仿宋" w:hAnsi="仿宋" w:eastAsia="仿宋"/>
          <w:sz w:val="30"/>
          <w:szCs w:val="30"/>
        </w:rPr>
        <w:t>万元，</w:t>
      </w:r>
      <w:r>
        <w:rPr>
          <w:rFonts w:hint="eastAsia" w:ascii="仿宋" w:hAnsi="仿宋" w:eastAsia="仿宋"/>
          <w:sz w:val="30"/>
          <w:szCs w:val="30"/>
          <w:lang w:val="en-US" w:eastAsia="zh-CN"/>
        </w:rPr>
        <w:t xml:space="preserve">增加2925.58 </w:t>
      </w:r>
      <w:r>
        <w:rPr>
          <w:rFonts w:hint="eastAsia" w:ascii="仿宋" w:hAnsi="仿宋" w:eastAsia="仿宋"/>
          <w:sz w:val="30"/>
          <w:szCs w:val="30"/>
        </w:rPr>
        <w:t>%；本年收入合计</w:t>
      </w:r>
      <w:r>
        <w:rPr>
          <w:rFonts w:hint="eastAsia" w:ascii="仿宋" w:hAnsi="仿宋" w:eastAsia="仿宋"/>
          <w:sz w:val="30"/>
          <w:szCs w:val="30"/>
          <w:lang w:val="en-US" w:eastAsia="zh-CN"/>
        </w:rPr>
        <w:t>886.80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1001.87</w:t>
      </w:r>
      <w:r>
        <w:rPr>
          <w:rFonts w:hint="eastAsia" w:ascii="仿宋" w:hAnsi="仿宋" w:eastAsia="仿宋"/>
          <w:sz w:val="30"/>
          <w:szCs w:val="30"/>
        </w:rPr>
        <w:t>万元，下降</w:t>
      </w:r>
      <w:r>
        <w:rPr>
          <w:rFonts w:hint="eastAsia" w:ascii="仿宋" w:hAnsi="仿宋" w:eastAsia="仿宋"/>
          <w:sz w:val="30"/>
          <w:szCs w:val="30"/>
          <w:lang w:val="en-US" w:eastAsia="zh-CN"/>
        </w:rPr>
        <w:t>53.05</w:t>
      </w:r>
      <w:r>
        <w:rPr>
          <w:rFonts w:hint="eastAsia" w:ascii="仿宋" w:hAnsi="仿宋" w:eastAsia="仿宋"/>
          <w:sz w:val="30"/>
          <w:szCs w:val="30"/>
        </w:rPr>
        <w:t>%，主要原因是：</w:t>
      </w:r>
      <w:r>
        <w:rPr>
          <w:rFonts w:hint="eastAsia" w:ascii="仿宋" w:hAnsi="仿宋" w:eastAsia="仿宋"/>
          <w:sz w:val="30"/>
          <w:szCs w:val="30"/>
          <w:lang w:val="en-US" w:eastAsia="zh-CN"/>
        </w:rPr>
        <w:t>2018年收入含800万景陶集团发展基金</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886.69</w:t>
      </w:r>
      <w:r>
        <w:rPr>
          <w:rFonts w:hint="eastAsia" w:ascii="仿宋" w:hAnsi="仿宋" w:eastAsia="仿宋"/>
          <w:sz w:val="30"/>
          <w:szCs w:val="30"/>
        </w:rPr>
        <w:t xml:space="preserve"> 万元</w:t>
      </w:r>
      <w:r>
        <w:rPr>
          <w:rFonts w:hint="eastAsia" w:ascii="仿宋" w:hAnsi="仿宋" w:eastAsia="仿宋"/>
          <w:sz w:val="30"/>
          <w:szCs w:val="30"/>
          <w:lang w:eastAsia="zh-CN"/>
        </w:rPr>
        <w:t>，</w:t>
      </w:r>
      <w:r>
        <w:rPr>
          <w:rFonts w:hint="eastAsia" w:ascii="仿宋" w:hAnsi="仿宋" w:eastAsia="仿宋"/>
          <w:sz w:val="30"/>
          <w:szCs w:val="30"/>
        </w:rPr>
        <w:t>占</w:t>
      </w:r>
      <w:r>
        <w:rPr>
          <w:rFonts w:hint="eastAsia" w:ascii="仿宋" w:hAnsi="仿宋" w:eastAsia="仿宋"/>
          <w:sz w:val="30"/>
          <w:szCs w:val="30"/>
          <w:lang w:val="en-US" w:eastAsia="zh-CN"/>
        </w:rPr>
        <w:t>99.99</w:t>
      </w:r>
      <w:r>
        <w:rPr>
          <w:rFonts w:hint="eastAsia" w:ascii="仿宋" w:hAnsi="仿宋" w:eastAsia="仿宋"/>
          <w:sz w:val="30"/>
          <w:szCs w:val="30"/>
        </w:rPr>
        <w:t>%；其他收入</w:t>
      </w:r>
      <w:r>
        <w:rPr>
          <w:rFonts w:hint="eastAsia" w:ascii="仿宋" w:hAnsi="仿宋" w:eastAsia="仿宋"/>
          <w:sz w:val="30"/>
          <w:szCs w:val="30"/>
          <w:lang w:val="en-US" w:eastAsia="zh-CN"/>
        </w:rPr>
        <w:t>0.11</w:t>
      </w:r>
      <w:r>
        <w:rPr>
          <w:rFonts w:hint="eastAsia" w:ascii="仿宋" w:hAnsi="仿宋" w:eastAsia="仿宋"/>
          <w:sz w:val="30"/>
          <w:szCs w:val="30"/>
        </w:rPr>
        <w:t>万元，占</w:t>
      </w:r>
      <w:r>
        <w:rPr>
          <w:rFonts w:hint="eastAsia" w:ascii="仿宋" w:hAnsi="仿宋" w:eastAsia="仿宋"/>
          <w:sz w:val="30"/>
          <w:szCs w:val="30"/>
          <w:lang w:val="en-US" w:eastAsia="zh-CN"/>
        </w:rPr>
        <w:t>0.01</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1070.15</w:t>
      </w:r>
      <w:r>
        <w:rPr>
          <w:rFonts w:hint="eastAsia" w:ascii="仿宋" w:hAnsi="仿宋" w:eastAsia="仿宋"/>
          <w:sz w:val="30"/>
          <w:szCs w:val="30"/>
        </w:rPr>
        <w:t>万元，其中本年支出合计</w:t>
      </w:r>
      <w:r>
        <w:rPr>
          <w:rFonts w:hint="eastAsia" w:ascii="仿宋" w:hAnsi="仿宋" w:eastAsia="仿宋"/>
          <w:sz w:val="30"/>
          <w:szCs w:val="30"/>
          <w:lang w:val="en-US" w:eastAsia="zh-CN"/>
        </w:rPr>
        <w:t>699.93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1009.91</w:t>
      </w:r>
      <w:r>
        <w:rPr>
          <w:rFonts w:hint="eastAsia" w:ascii="仿宋" w:hAnsi="仿宋" w:eastAsia="仿宋"/>
          <w:sz w:val="30"/>
          <w:szCs w:val="30"/>
        </w:rPr>
        <w:t>万元，下降</w:t>
      </w:r>
      <w:r>
        <w:rPr>
          <w:rFonts w:hint="eastAsia" w:ascii="仿宋" w:hAnsi="仿宋" w:eastAsia="仿宋"/>
          <w:sz w:val="30"/>
          <w:szCs w:val="30"/>
          <w:lang w:val="en-US" w:eastAsia="zh-CN"/>
        </w:rPr>
        <w:t>59.06</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2018年支出含800万景陶集团发展基金</w:t>
      </w:r>
      <w:r>
        <w:rPr>
          <w:rFonts w:hint="eastAsia" w:ascii="仿宋" w:hAnsi="仿宋" w:eastAsia="仿宋"/>
          <w:sz w:val="30"/>
          <w:szCs w:val="30"/>
        </w:rPr>
        <w:t>；年末结</w:t>
      </w:r>
    </w:p>
    <w:p>
      <w:pPr>
        <w:jc w:val="both"/>
        <w:rPr>
          <w:rFonts w:hint="eastAsia" w:ascii="仿宋" w:hAnsi="仿宋" w:eastAsia="仿宋"/>
          <w:sz w:val="30"/>
          <w:szCs w:val="30"/>
        </w:rPr>
      </w:pPr>
      <w:r>
        <w:rPr>
          <w:rFonts w:hint="eastAsia" w:ascii="仿宋" w:hAnsi="仿宋" w:eastAsia="仿宋"/>
          <w:sz w:val="30"/>
          <w:szCs w:val="30"/>
        </w:rPr>
        <w:t>转和结余</w:t>
      </w:r>
      <w:r>
        <w:rPr>
          <w:rFonts w:hint="eastAsia" w:ascii="仿宋" w:hAnsi="仿宋" w:eastAsia="仿宋"/>
          <w:sz w:val="30"/>
          <w:szCs w:val="30"/>
          <w:lang w:val="en-US" w:eastAsia="zh-CN"/>
        </w:rPr>
        <w:t>370.22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增加185.33</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lang w:val="en-US" w:eastAsia="zh-CN"/>
        </w:rPr>
        <w:t>增加100.24</w:t>
      </w:r>
      <w:r>
        <w:rPr>
          <w:rFonts w:hint="eastAsia" w:ascii="仿宋" w:hAnsi="仿宋" w:eastAsia="仿宋"/>
          <w:sz w:val="30"/>
          <w:szCs w:val="30"/>
        </w:rPr>
        <w:t>%，主要原因是：</w:t>
      </w:r>
      <w:r>
        <w:rPr>
          <w:rFonts w:hint="eastAsia" w:ascii="仿宋" w:hAnsi="仿宋" w:eastAsia="仿宋"/>
          <w:sz w:val="30"/>
          <w:szCs w:val="30"/>
          <w:lang w:val="en-US" w:eastAsia="zh-CN"/>
        </w:rPr>
        <w:t>2019年末含未使用的201万五类人员生活费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676.45</w:t>
      </w:r>
      <w:r>
        <w:rPr>
          <w:rFonts w:hint="eastAsia" w:ascii="仿宋" w:hAnsi="仿宋" w:eastAsia="仿宋"/>
          <w:sz w:val="30"/>
          <w:szCs w:val="30"/>
        </w:rPr>
        <w:t>万元，占</w:t>
      </w:r>
      <w:r>
        <w:rPr>
          <w:rFonts w:hint="eastAsia" w:ascii="仿宋" w:hAnsi="仿宋" w:eastAsia="仿宋"/>
          <w:sz w:val="30"/>
          <w:szCs w:val="30"/>
          <w:lang w:val="en-US" w:eastAsia="zh-CN"/>
        </w:rPr>
        <w:t>96.65</w:t>
      </w:r>
      <w:r>
        <w:rPr>
          <w:rFonts w:hint="eastAsia" w:ascii="仿宋" w:hAnsi="仿宋" w:eastAsia="仿宋"/>
          <w:sz w:val="30"/>
          <w:szCs w:val="30"/>
        </w:rPr>
        <w:t xml:space="preserve"> %；项目支出</w:t>
      </w:r>
      <w:r>
        <w:rPr>
          <w:rFonts w:hint="eastAsia" w:ascii="仿宋" w:hAnsi="仿宋" w:eastAsia="仿宋"/>
          <w:sz w:val="30"/>
          <w:szCs w:val="30"/>
          <w:lang w:val="en-US" w:eastAsia="zh-CN"/>
        </w:rPr>
        <w:t>23.48</w:t>
      </w:r>
      <w:r>
        <w:rPr>
          <w:rFonts w:hint="eastAsia" w:ascii="仿宋" w:hAnsi="仿宋" w:eastAsia="仿宋"/>
          <w:sz w:val="30"/>
          <w:szCs w:val="30"/>
        </w:rPr>
        <w:t>万元，占</w:t>
      </w:r>
      <w:r>
        <w:rPr>
          <w:rFonts w:hint="eastAsia" w:ascii="仿宋" w:hAnsi="仿宋" w:eastAsia="仿宋"/>
          <w:sz w:val="30"/>
          <w:szCs w:val="30"/>
          <w:lang w:val="en-US" w:eastAsia="zh-CN"/>
        </w:rPr>
        <w:t>3.35</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625.68</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699.76</w:t>
      </w:r>
      <w:r>
        <w:rPr>
          <w:rFonts w:hint="eastAsia" w:ascii="仿宋" w:hAnsi="仿宋" w:eastAsia="仿宋"/>
          <w:sz w:val="30"/>
          <w:szCs w:val="30"/>
        </w:rPr>
        <w:t>万元，完成年初预算的</w:t>
      </w:r>
      <w:r>
        <w:rPr>
          <w:rFonts w:hint="eastAsia" w:ascii="仿宋" w:hAnsi="仿宋" w:eastAsia="仿宋"/>
          <w:sz w:val="30"/>
          <w:szCs w:val="30"/>
          <w:lang w:val="en-US" w:eastAsia="zh-CN"/>
        </w:rPr>
        <w:t>111.84</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7</w:t>
      </w:r>
      <w:r>
        <w:rPr>
          <w:rFonts w:hint="eastAsia" w:ascii="仿宋" w:hAnsi="仿宋" w:eastAsia="仿宋"/>
          <w:sz w:val="30"/>
          <w:szCs w:val="30"/>
        </w:rPr>
        <w:t>万元，决算数为</w:t>
      </w:r>
      <w:r>
        <w:rPr>
          <w:rFonts w:hint="eastAsia" w:ascii="仿宋" w:hAnsi="仿宋" w:eastAsia="仿宋"/>
          <w:sz w:val="30"/>
          <w:szCs w:val="30"/>
          <w:lang w:val="en-US" w:eastAsia="zh-CN"/>
        </w:rPr>
        <w:t>27.04</w:t>
      </w:r>
      <w:r>
        <w:rPr>
          <w:rFonts w:hint="eastAsia" w:ascii="仿宋" w:hAnsi="仿宋" w:eastAsia="仿宋"/>
          <w:sz w:val="30"/>
          <w:szCs w:val="30"/>
        </w:rPr>
        <w:t>万元，完成年初预算的</w:t>
      </w:r>
      <w:r>
        <w:rPr>
          <w:rFonts w:hint="eastAsia" w:ascii="仿宋" w:hAnsi="仿宋" w:eastAsia="仿宋"/>
          <w:sz w:val="30"/>
          <w:szCs w:val="30"/>
          <w:lang w:val="en-US" w:eastAsia="zh-CN"/>
        </w:rPr>
        <w:t>386.29</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社会保障和就业</w:t>
      </w:r>
      <w:r>
        <w:rPr>
          <w:rFonts w:hint="eastAsia" w:ascii="仿宋" w:hAnsi="仿宋" w:eastAsia="仿宋"/>
          <w:sz w:val="30"/>
          <w:szCs w:val="30"/>
        </w:rPr>
        <w:t xml:space="preserve">支出年初预算数为 </w:t>
      </w:r>
      <w:r>
        <w:rPr>
          <w:rFonts w:hint="eastAsia" w:ascii="仿宋" w:hAnsi="仿宋" w:eastAsia="仿宋"/>
          <w:sz w:val="30"/>
          <w:szCs w:val="30"/>
          <w:lang w:val="en-US" w:eastAsia="zh-CN"/>
        </w:rPr>
        <w:t>46.14</w:t>
      </w:r>
      <w:r>
        <w:rPr>
          <w:rFonts w:hint="eastAsia" w:ascii="仿宋" w:hAnsi="仿宋" w:eastAsia="仿宋"/>
          <w:sz w:val="30"/>
          <w:szCs w:val="30"/>
        </w:rPr>
        <w:t>万元，决算数为</w:t>
      </w:r>
      <w:r>
        <w:rPr>
          <w:rFonts w:hint="eastAsia" w:ascii="仿宋" w:hAnsi="仿宋" w:eastAsia="仿宋"/>
          <w:sz w:val="30"/>
          <w:szCs w:val="30"/>
          <w:lang w:val="en-US" w:eastAsia="zh-CN"/>
        </w:rPr>
        <w:t>46.48</w:t>
      </w:r>
      <w:r>
        <w:rPr>
          <w:rFonts w:hint="eastAsia" w:ascii="仿宋" w:hAnsi="仿宋" w:eastAsia="仿宋"/>
          <w:sz w:val="30"/>
          <w:szCs w:val="30"/>
        </w:rPr>
        <w:t>万元，完成年初预算的</w:t>
      </w:r>
      <w:r>
        <w:rPr>
          <w:rFonts w:hint="eastAsia" w:ascii="仿宋" w:hAnsi="仿宋" w:eastAsia="仿宋"/>
          <w:sz w:val="30"/>
          <w:szCs w:val="30"/>
          <w:lang w:val="en-US" w:eastAsia="zh-CN"/>
        </w:rPr>
        <w:t>100.74</w:t>
      </w:r>
      <w:r>
        <w:rPr>
          <w:rFonts w:hint="eastAsia" w:ascii="仿宋" w:hAnsi="仿宋" w:eastAsia="仿宋"/>
          <w:sz w:val="30"/>
          <w:szCs w:val="30"/>
        </w:rPr>
        <w:t xml:space="preserve"> %。</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三）卫生健康支出年初预算数为22.96万元，决算数为  22.05万元，完成年初预算的96.04%。</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（四）住房保障支出年初预算数为26.62万元，决算数为</w:t>
      </w:r>
    </w:p>
    <w:p>
      <w:pPr>
        <w:jc w:val="left"/>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26.38万元，完成年初预算的99.09%。 </w:t>
      </w:r>
    </w:p>
    <w:p>
      <w:pPr>
        <w:numPr>
          <w:ilvl w:val="0"/>
          <w:numId w:val="0"/>
        </w:numPr>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（五）资源勘探信息等支出年初预算数为522.96万元，决算数为567.81万元，完成年初预算的108.58%。</w:t>
      </w:r>
    </w:p>
    <w:p>
      <w:pPr>
        <w:numPr>
          <w:ilvl w:val="0"/>
          <w:numId w:val="0"/>
        </w:numPr>
        <w:ind w:left="600" w:leftChars="0"/>
        <w:jc w:val="left"/>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（六）其他科学技术支出决算数为10万元。             </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676.28</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496.17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95.86</w:t>
      </w:r>
      <w:r>
        <w:rPr>
          <w:rFonts w:hint="eastAsia" w:ascii="仿宋" w:hAnsi="仿宋" w:eastAsia="仿宋"/>
          <w:sz w:val="30"/>
          <w:szCs w:val="30"/>
        </w:rPr>
        <w:t>万元，增长</w:t>
      </w:r>
      <w:r>
        <w:rPr>
          <w:rFonts w:hint="eastAsia" w:ascii="仿宋" w:hAnsi="仿宋" w:eastAsia="仿宋"/>
          <w:sz w:val="30"/>
          <w:szCs w:val="30"/>
          <w:lang w:val="en-US" w:eastAsia="zh-CN"/>
        </w:rPr>
        <w:t>23.95</w:t>
      </w:r>
      <w:r>
        <w:rPr>
          <w:rFonts w:hint="eastAsia" w:ascii="仿宋" w:hAnsi="仿宋" w:eastAsia="仿宋"/>
          <w:sz w:val="30"/>
          <w:szCs w:val="30"/>
        </w:rPr>
        <w:t>%，主要原因是：</w:t>
      </w:r>
      <w:r>
        <w:rPr>
          <w:rFonts w:hint="eastAsia" w:ascii="仿宋" w:hAnsi="仿宋" w:eastAsia="仿宋"/>
          <w:sz w:val="30"/>
          <w:szCs w:val="30"/>
          <w:lang w:val="en-US" w:eastAsia="zh-CN"/>
        </w:rPr>
        <w:t>人员增加工资增加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（二）商品和服务支出 </w:t>
      </w:r>
      <w:r>
        <w:rPr>
          <w:rFonts w:hint="eastAsia" w:ascii="仿宋" w:hAnsi="仿宋" w:eastAsia="仿宋"/>
          <w:sz w:val="30"/>
          <w:szCs w:val="30"/>
          <w:lang w:val="en-US" w:eastAsia="zh-CN"/>
        </w:rPr>
        <w:t>107.80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3.49</w:t>
      </w:r>
      <w:r>
        <w:rPr>
          <w:rFonts w:hint="eastAsia" w:ascii="仿宋" w:hAnsi="仿宋" w:eastAsia="仿宋"/>
          <w:sz w:val="30"/>
          <w:szCs w:val="30"/>
        </w:rPr>
        <w:t xml:space="preserve">  万元，增长</w:t>
      </w:r>
      <w:r>
        <w:rPr>
          <w:rFonts w:hint="eastAsia" w:ascii="仿宋" w:hAnsi="仿宋" w:eastAsia="仿宋"/>
          <w:sz w:val="30"/>
          <w:szCs w:val="30"/>
          <w:lang w:val="en-US" w:eastAsia="zh-CN"/>
        </w:rPr>
        <w:t>3.35</w:t>
      </w:r>
      <w:r>
        <w:rPr>
          <w:rFonts w:hint="eastAsia" w:ascii="仿宋" w:hAnsi="仿宋" w:eastAsia="仿宋"/>
          <w:sz w:val="30"/>
          <w:szCs w:val="30"/>
        </w:rPr>
        <w:t>%，主要原因是：</w:t>
      </w:r>
      <w:r>
        <w:rPr>
          <w:rFonts w:hint="eastAsia" w:ascii="仿宋" w:hAnsi="仿宋" w:eastAsia="仿宋"/>
          <w:sz w:val="30"/>
          <w:szCs w:val="30"/>
          <w:lang w:val="en-US" w:eastAsia="zh-CN"/>
        </w:rPr>
        <w:t>办公经费增加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45.95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92.11</w:t>
      </w:r>
      <w:r>
        <w:rPr>
          <w:rFonts w:hint="eastAsia" w:ascii="仿宋" w:hAnsi="仿宋" w:eastAsia="仿宋"/>
          <w:sz w:val="30"/>
          <w:szCs w:val="30"/>
        </w:rPr>
        <w:t>万元，下降</w:t>
      </w:r>
      <w:r>
        <w:rPr>
          <w:rFonts w:hint="eastAsia" w:ascii="仿宋" w:hAnsi="仿宋" w:eastAsia="仿宋"/>
          <w:sz w:val="30"/>
          <w:szCs w:val="30"/>
          <w:lang w:val="en-US" w:eastAsia="zh-CN"/>
        </w:rPr>
        <w:t>66.72</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26.36</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4.97</w:t>
      </w:r>
      <w:r>
        <w:rPr>
          <w:rFonts w:hint="eastAsia" w:ascii="仿宋" w:hAnsi="仿宋" w:eastAsia="仿宋"/>
          <w:sz w:val="30"/>
          <w:szCs w:val="30"/>
        </w:rPr>
        <w:t>万元，增长</w:t>
      </w:r>
      <w:r>
        <w:rPr>
          <w:rFonts w:hint="eastAsia" w:ascii="仿宋" w:hAnsi="仿宋" w:eastAsia="仿宋"/>
          <w:sz w:val="30"/>
          <w:szCs w:val="30"/>
          <w:lang w:val="en-US" w:eastAsia="zh-CN"/>
        </w:rPr>
        <w:t>23.24</w:t>
      </w:r>
      <w:r>
        <w:rPr>
          <w:rFonts w:hint="eastAsia" w:ascii="仿宋" w:hAnsi="仿宋" w:eastAsia="仿宋"/>
          <w:sz w:val="30"/>
          <w:szCs w:val="30"/>
        </w:rPr>
        <w:t>%，主要原因是：</w:t>
      </w:r>
      <w:r>
        <w:rPr>
          <w:rFonts w:hint="eastAsia" w:ascii="仿宋" w:hAnsi="仿宋" w:eastAsia="仿宋"/>
          <w:sz w:val="30"/>
          <w:szCs w:val="30"/>
          <w:lang w:val="en-US" w:eastAsia="zh-CN"/>
        </w:rPr>
        <w:t>置换了一批办公家具</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3.5</w:t>
      </w:r>
      <w:r>
        <w:rPr>
          <w:rFonts w:hint="eastAsia" w:ascii="仿宋" w:hAnsi="仿宋" w:eastAsia="仿宋"/>
          <w:sz w:val="30"/>
          <w:szCs w:val="30"/>
        </w:rPr>
        <w:t>万元，决算数为</w:t>
      </w:r>
      <w:r>
        <w:rPr>
          <w:rFonts w:hint="eastAsia" w:ascii="仿宋" w:hAnsi="仿宋" w:eastAsia="仿宋"/>
          <w:sz w:val="30"/>
          <w:szCs w:val="30"/>
          <w:lang w:val="en-US" w:eastAsia="zh-CN"/>
        </w:rPr>
        <w:t>0.69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19.71</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0.02</w:t>
      </w:r>
      <w:r>
        <w:rPr>
          <w:rFonts w:hint="eastAsia" w:ascii="仿宋" w:hAnsi="仿宋" w:eastAsia="仿宋"/>
          <w:sz w:val="30"/>
          <w:szCs w:val="30"/>
        </w:rPr>
        <w:t>万元，下降</w:t>
      </w:r>
      <w:r>
        <w:rPr>
          <w:rFonts w:hint="eastAsia" w:ascii="仿宋" w:hAnsi="仿宋" w:eastAsia="仿宋"/>
          <w:sz w:val="30"/>
          <w:szCs w:val="30"/>
          <w:lang w:val="en-US" w:eastAsia="zh-CN"/>
        </w:rPr>
        <w:t>2.82</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公务接待费支出年初预算数为</w:t>
      </w:r>
      <w:r>
        <w:rPr>
          <w:rFonts w:hint="eastAsia" w:ascii="仿宋" w:hAnsi="仿宋" w:eastAsia="仿宋"/>
          <w:sz w:val="30"/>
          <w:szCs w:val="30"/>
          <w:lang w:val="en-US" w:eastAsia="zh-CN"/>
        </w:rPr>
        <w:t>3.5</w:t>
      </w:r>
      <w:r>
        <w:rPr>
          <w:rFonts w:hint="eastAsia" w:ascii="仿宋" w:hAnsi="仿宋" w:eastAsia="仿宋"/>
          <w:sz w:val="30"/>
          <w:szCs w:val="30"/>
        </w:rPr>
        <w:t>万元，决算数为</w:t>
      </w:r>
      <w:r>
        <w:rPr>
          <w:rFonts w:hint="eastAsia" w:ascii="仿宋" w:hAnsi="仿宋" w:eastAsia="仿宋"/>
          <w:sz w:val="30"/>
          <w:szCs w:val="30"/>
          <w:lang w:val="en-US" w:eastAsia="zh-CN"/>
        </w:rPr>
        <w:t>0.69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19.71</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0.02</w:t>
      </w:r>
      <w:r>
        <w:rPr>
          <w:rFonts w:hint="eastAsia" w:ascii="仿宋" w:hAnsi="仿宋" w:eastAsia="仿宋"/>
          <w:sz w:val="30"/>
          <w:szCs w:val="30"/>
        </w:rPr>
        <w:t>万元，下降</w:t>
      </w:r>
      <w:r>
        <w:rPr>
          <w:rFonts w:hint="eastAsia" w:ascii="仿宋" w:hAnsi="仿宋" w:eastAsia="仿宋"/>
          <w:sz w:val="30"/>
          <w:szCs w:val="30"/>
          <w:lang w:val="en-US" w:eastAsia="zh-CN"/>
        </w:rPr>
        <w:t>2.82</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val="en-US" w:eastAsia="zh-CN"/>
        </w:rPr>
        <w:t>进一步压缩三公经费</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b w:val="0"/>
          <w:bCs w:val="0"/>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134.16</w:t>
      </w:r>
      <w:r>
        <w:rPr>
          <w:rFonts w:hint="eastAsia" w:ascii="仿宋" w:hAnsi="仿宋" w:eastAsia="仿宋"/>
          <w:sz w:val="30"/>
          <w:szCs w:val="30"/>
        </w:rPr>
        <w:t>万元，较年初预算数增加</w:t>
      </w:r>
      <w:r>
        <w:rPr>
          <w:rFonts w:hint="eastAsia" w:ascii="仿宋" w:hAnsi="仿宋" w:eastAsia="仿宋"/>
          <w:sz w:val="30"/>
          <w:szCs w:val="30"/>
          <w:lang w:val="en-US" w:eastAsia="zh-CN"/>
        </w:rPr>
        <w:t>39.34</w:t>
      </w:r>
      <w:r>
        <w:rPr>
          <w:rFonts w:hint="eastAsia" w:ascii="仿宋" w:hAnsi="仿宋" w:eastAsia="仿宋"/>
          <w:sz w:val="30"/>
          <w:szCs w:val="30"/>
        </w:rPr>
        <w:t>万元，增长</w:t>
      </w:r>
      <w:r>
        <w:rPr>
          <w:rFonts w:hint="eastAsia" w:ascii="仿宋" w:hAnsi="仿宋" w:eastAsia="仿宋"/>
          <w:sz w:val="30"/>
          <w:szCs w:val="30"/>
          <w:lang w:val="en-US" w:eastAsia="zh-CN"/>
        </w:rPr>
        <w:t>41.48</w:t>
      </w:r>
      <w:r>
        <w:rPr>
          <w:rFonts w:hint="eastAsia" w:ascii="仿宋" w:hAnsi="仿宋" w:eastAsia="仿宋"/>
          <w:sz w:val="30"/>
          <w:szCs w:val="30"/>
        </w:rPr>
        <w:t>%，主要原因是</w:t>
      </w:r>
      <w:r>
        <w:rPr>
          <w:rFonts w:hint="eastAsia" w:ascii="仿宋" w:hAnsi="仿宋" w:eastAsia="仿宋"/>
          <w:b w:val="0"/>
          <w:bCs w:val="0"/>
          <w:sz w:val="30"/>
          <w:szCs w:val="30"/>
        </w:rPr>
        <w:t>：</w:t>
      </w:r>
      <w:r>
        <w:rPr>
          <w:rFonts w:hint="eastAsia" w:ascii="仿宋" w:hAnsi="仿宋" w:eastAsia="仿宋"/>
          <w:b w:val="0"/>
          <w:bCs w:val="0"/>
          <w:sz w:val="30"/>
          <w:szCs w:val="30"/>
          <w:lang w:val="en-US" w:eastAsia="zh-CN"/>
        </w:rPr>
        <w:t>办公设施设备购置经费增加，信息系统运行维护支出增加</w:t>
      </w: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政府采购支出情况说明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 w:hAnsi="仿宋" w:eastAsia="仿宋" w:cs="仿宋"/>
          <w:sz w:val="32"/>
          <w:szCs w:val="32"/>
          <w:lang w:val="en-US"/>
        </w:rPr>
      </w:pPr>
      <w:r>
        <w:rPr>
          <w:rFonts w:hint="eastAsia" w:ascii="仿宋" w:hAnsi="仿宋" w:eastAsia="仿宋" w:cs="仿宋"/>
          <w:kern w:val="2"/>
          <w:sz w:val="32"/>
          <w:szCs w:val="32"/>
          <w:lang w:val="en-US" w:eastAsia="zh-CN" w:bidi="ar"/>
        </w:rPr>
        <w:t>本部门2019年度政府采购支出总额26.36万元，其中：政府采购货物支出19.98万元、政府采购工程支出0万元、政府采购服务支出6.38万元。授予中小企业合同金额 26.36万元，占政府采购支出总额的100 %。</w:t>
      </w:r>
    </w:p>
    <w:p>
      <w:pPr>
        <w:numPr>
          <w:ilvl w:val="0"/>
          <w:numId w:val="1"/>
        </w:numPr>
        <w:ind w:left="0" w:leftChars="0" w:firstLine="630" w:firstLineChars="0"/>
        <w:jc w:val="left"/>
        <w:rPr>
          <w:rFonts w:hint="eastAsia" w:ascii="黑体" w:hAnsi="黑体" w:eastAsia="黑体"/>
          <w:sz w:val="30"/>
          <w:szCs w:val="30"/>
        </w:rPr>
      </w:pPr>
      <w:r>
        <w:rPr>
          <w:rFonts w:hint="eastAsia" w:ascii="黑体" w:hAnsi="黑体" w:eastAsia="黑体"/>
          <w:sz w:val="30"/>
          <w:szCs w:val="30"/>
        </w:rPr>
        <w:t>国有资产占用情况说明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黑体" w:eastAsia="黑体"/>
          <w:sz w:val="30"/>
          <w:szCs w:val="30"/>
        </w:rPr>
      </w:pPr>
      <w:r>
        <w:rPr>
          <w:rFonts w:hint="eastAsia" w:ascii="仿宋_GB2312" w:hAnsi="Times New Roman" w:eastAsia="仿宋_GB2312" w:cs="仿宋_GB2312"/>
          <w:kern w:val="2"/>
          <w:sz w:val="32"/>
          <w:szCs w:val="32"/>
          <w:lang w:val="en-US" w:eastAsia="zh-CN" w:bidi="ar"/>
        </w:rPr>
        <w:t>截止2019年12月31日，本部门国有资产占用情况见公开09表《国有资产占用情况表》。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ind w:firstLine="600"/>
        <w:jc w:val="left"/>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未展开</w:t>
      </w: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8"/>
        <w:spacing w:line="600" w:lineRule="atLeast"/>
        <w:ind w:firstLine="600"/>
        <w:rPr>
          <w:rFonts w:hint="eastAsia" w:ascii="仿宋" w:hAnsi="仿宋" w:eastAsia="仿宋"/>
          <w:sz w:val="30"/>
          <w:szCs w:val="30"/>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（一）一般公共服务支出（类）纪检监察事务（款）派驻派出机构（项）：反映由纪检监察部门负担的派驻各部门和单位的纪检监察人员的专项业务支出</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社会保障和就业支出（类）行政事业单位养老支出（款）机关事业单位基本养老保险缴费支出（项）：反映</w:t>
      </w:r>
      <w:r>
        <w:rPr>
          <w:rFonts w:hint="eastAsia" w:ascii="仿宋" w:hAnsi="仿宋" w:eastAsia="仿宋" w:cs="仿宋"/>
          <w:sz w:val="32"/>
          <w:szCs w:val="32"/>
          <w:lang w:eastAsia="zh-CN"/>
        </w:rPr>
        <w:t>机关事业单位</w:t>
      </w:r>
      <w:r>
        <w:rPr>
          <w:rFonts w:hint="eastAsia" w:ascii="仿宋" w:hAnsi="仿宋" w:eastAsia="仿宋" w:cs="仿宋"/>
          <w:sz w:val="32"/>
          <w:szCs w:val="32"/>
        </w:rPr>
        <w:t>实施养老保险由单位缴纳的基本养老保险缴费支出。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卫生健康支出（类）行政事业单位医疗（款）行政单位医疗</w:t>
      </w:r>
      <w:r>
        <w:rPr>
          <w:rFonts w:hint="eastAsia" w:ascii="仿宋" w:hAnsi="仿宋" w:eastAsia="仿宋" w:cs="仿宋"/>
          <w:sz w:val="32"/>
          <w:szCs w:val="32"/>
        </w:rPr>
        <w:t>（项）：</w:t>
      </w:r>
      <w:r>
        <w:rPr>
          <w:rFonts w:hint="eastAsia" w:ascii="仿宋" w:hAnsi="仿宋" w:eastAsia="仿宋" w:cs="仿宋"/>
          <w:spacing w:val="-11"/>
          <w:sz w:val="32"/>
          <w:szCs w:val="32"/>
        </w:rPr>
        <w:t>反映财政部门安排的</w:t>
      </w:r>
      <w:r>
        <w:rPr>
          <w:rFonts w:hint="eastAsia" w:ascii="仿宋" w:hAnsi="仿宋" w:eastAsia="仿宋" w:cs="仿宋"/>
          <w:spacing w:val="-11"/>
          <w:sz w:val="32"/>
          <w:szCs w:val="32"/>
          <w:lang w:val="en-US" w:eastAsia="zh-CN"/>
        </w:rPr>
        <w:t>行政</w:t>
      </w:r>
      <w:r>
        <w:rPr>
          <w:rFonts w:hint="eastAsia" w:ascii="仿宋" w:hAnsi="仿宋" w:eastAsia="仿宋" w:cs="仿宋"/>
          <w:spacing w:val="-11"/>
          <w:sz w:val="32"/>
          <w:szCs w:val="32"/>
        </w:rPr>
        <w:t>单位基本医疗保险缴费经费。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事业单位医疗</w:t>
      </w:r>
      <w:r>
        <w:rPr>
          <w:rFonts w:hint="eastAsia" w:ascii="仿宋" w:hAnsi="仿宋" w:eastAsia="仿宋" w:cs="仿宋"/>
          <w:sz w:val="32"/>
          <w:szCs w:val="32"/>
        </w:rPr>
        <w:t>（项）：</w:t>
      </w:r>
      <w:r>
        <w:rPr>
          <w:rFonts w:hint="eastAsia" w:ascii="仿宋" w:hAnsi="仿宋" w:eastAsia="仿宋" w:cs="仿宋"/>
          <w:spacing w:val="-11"/>
          <w:sz w:val="32"/>
          <w:szCs w:val="32"/>
        </w:rPr>
        <w:t>反映财政部门安排的事业单位基本医疗保险缴费经费。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公务员医疗补助</w:t>
      </w:r>
      <w:r>
        <w:rPr>
          <w:rFonts w:hint="eastAsia" w:ascii="仿宋" w:hAnsi="仿宋" w:eastAsia="仿宋" w:cs="仿宋"/>
          <w:sz w:val="32"/>
          <w:szCs w:val="32"/>
        </w:rPr>
        <w:t>（项）：反映财政部门安排的公务员医疗补助经费。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其他行政事业单位医疗支出</w:t>
      </w:r>
      <w:r>
        <w:rPr>
          <w:rFonts w:hint="eastAsia" w:ascii="仿宋" w:hAnsi="仿宋" w:eastAsia="仿宋" w:cs="仿宋"/>
          <w:sz w:val="32"/>
          <w:szCs w:val="32"/>
        </w:rPr>
        <w:t>（项）：反映其他用于行政事业单位医疗方面的支出。用此科目主要核算工伤保险。</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（四）资源勘探工业信息等支出（类）国有资产监管（款）</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行政运行</w:t>
      </w:r>
      <w:r>
        <w:rPr>
          <w:rFonts w:hint="eastAsia" w:ascii="仿宋" w:hAnsi="仿宋" w:eastAsia="仿宋" w:cs="仿宋"/>
          <w:sz w:val="32"/>
          <w:szCs w:val="32"/>
        </w:rPr>
        <w:t>（项）：</w:t>
      </w:r>
      <w:r>
        <w:rPr>
          <w:rFonts w:hint="eastAsia" w:ascii="仿宋" w:hAnsi="仿宋" w:eastAsia="仿宋" w:cs="仿宋"/>
          <w:i w:val="0"/>
          <w:caps w:val="0"/>
          <w:color w:val="000000"/>
          <w:spacing w:val="0"/>
          <w:sz w:val="32"/>
          <w:szCs w:val="32"/>
        </w:rPr>
        <w:t>反映行政单位（包括参公单位）的基本支出。</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其他国有资产监管支出</w:t>
      </w:r>
      <w:r>
        <w:rPr>
          <w:rFonts w:hint="eastAsia" w:ascii="仿宋" w:hAnsi="仿宋" w:eastAsia="仿宋" w:cs="仿宋"/>
          <w:sz w:val="32"/>
          <w:szCs w:val="32"/>
        </w:rPr>
        <w:t>（项）：</w:t>
      </w:r>
      <w:r>
        <w:rPr>
          <w:rFonts w:hint="eastAsia" w:ascii="仿宋" w:hAnsi="仿宋" w:eastAsia="仿宋" w:cs="仿宋"/>
          <w:sz w:val="32"/>
          <w:szCs w:val="32"/>
          <w:lang w:val="en-US" w:eastAsia="zh-CN"/>
        </w:rPr>
        <w:t>反映用于国有资产监管方面的其他支出。</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sz w:val="32"/>
          <w:szCs w:val="32"/>
        </w:rPr>
        <w:t>住房保障支出（类）住房改革支出（款）住房公积金（项）：反映</w:t>
      </w:r>
      <w:r>
        <w:rPr>
          <w:rFonts w:hint="eastAsia" w:ascii="仿宋" w:hAnsi="仿宋" w:eastAsia="仿宋" w:cs="仿宋"/>
          <w:sz w:val="32"/>
          <w:szCs w:val="32"/>
          <w:lang w:eastAsia="zh-CN"/>
        </w:rPr>
        <w:t>行政事业单位</w:t>
      </w:r>
      <w:r>
        <w:rPr>
          <w:rFonts w:hint="eastAsia" w:ascii="仿宋" w:hAnsi="仿宋" w:eastAsia="仿宋" w:cs="仿宋"/>
          <w:sz w:val="32"/>
          <w:szCs w:val="32"/>
        </w:rPr>
        <w:t>按人力资源和社会保障部、财政部规定的基本工资和津贴补贴以及规定比例为职工缴纳的住房公积金。</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firstLine="640" w:firstLineChars="200"/>
        <w:jc w:val="both"/>
        <w:rPr>
          <w:rFonts w:hint="eastAsia" w:ascii="仿宋_GB2312" w:eastAsia="仿宋_GB2312" w:cs="Times New Roman"/>
          <w:sz w:val="32"/>
          <w:szCs w:val="32"/>
          <w:lang w:eastAsia="zh-CN"/>
        </w:rPr>
      </w:pPr>
      <w:r>
        <w:rPr>
          <w:rFonts w:hint="eastAsia" w:ascii="仿宋" w:hAnsi="仿宋" w:eastAsia="仿宋" w:cs="仿宋"/>
          <w:i w:val="0"/>
          <w:caps w:val="0"/>
          <w:color w:val="000000"/>
          <w:spacing w:val="0"/>
          <w:sz w:val="32"/>
          <w:szCs w:val="32"/>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firstLine="640" w:firstLineChars="200"/>
        <w:jc w:val="both"/>
        <w:rPr>
          <w:rFonts w:hint="eastAsia" w:ascii="仿宋_GB2312" w:eastAsia="仿宋_GB2312" w:cs="Times New Roman"/>
          <w:sz w:val="32"/>
          <w:szCs w:val="32"/>
          <w:lang w:eastAsia="zh-CN"/>
        </w:rPr>
      </w:pPr>
      <w:r>
        <w:rPr>
          <w:rFonts w:hint="eastAsia" w:ascii="仿宋" w:hAnsi="仿宋" w:eastAsia="仿宋" w:cs="仿宋"/>
          <w:i w:val="0"/>
          <w:caps w:val="0"/>
          <w:color w:val="000000"/>
          <w:spacing w:val="0"/>
          <w:sz w:val="32"/>
          <w:szCs w:val="32"/>
          <w:lang w:val="en-US" w:eastAsia="zh-CN"/>
        </w:rPr>
        <w:t>(七）</w:t>
      </w:r>
      <w:r>
        <w:rPr>
          <w:rFonts w:hint="eastAsia" w:ascii="仿宋" w:hAnsi="仿宋" w:eastAsia="仿宋" w:cs="仿宋"/>
          <w:i w:val="0"/>
          <w:caps w:val="0"/>
          <w:color w:val="000000"/>
          <w:spacing w:val="0"/>
          <w:sz w:val="32"/>
          <w:szCs w:val="32"/>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EDE9D"/>
    <w:multiLevelType w:val="singleLevel"/>
    <w:tmpl w:val="84CEDE9D"/>
    <w:lvl w:ilvl="0" w:tentative="0">
      <w:start w:val="5"/>
      <w:numFmt w:val="chineseCounting"/>
      <w:suff w:val="nothing"/>
      <w:lvlText w:val="（%1）"/>
      <w:lvlJc w:val="left"/>
      <w:rPr>
        <w:rFonts w:hint="eastAsia"/>
      </w:rPr>
    </w:lvl>
  </w:abstractNum>
  <w:abstractNum w:abstractNumId="1">
    <w:nsid w:val="8A57A508"/>
    <w:multiLevelType w:val="singleLevel"/>
    <w:tmpl w:val="8A57A50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23C3"/>
    <w:rsid w:val="0C9A25B5"/>
    <w:rsid w:val="1E085A43"/>
    <w:rsid w:val="26100ADA"/>
    <w:rsid w:val="300B6F1E"/>
    <w:rsid w:val="352A495A"/>
    <w:rsid w:val="4DDA3257"/>
    <w:rsid w:val="54F701EE"/>
    <w:rsid w:val="571B758F"/>
    <w:rsid w:val="5B1C5083"/>
    <w:rsid w:val="5BE36E2D"/>
    <w:rsid w:val="669B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马小鹿</cp:lastModifiedBy>
  <dcterms:modified xsi:type="dcterms:W3CDTF">2020-10-12T08:42:30Z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