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lang w:val="en-US" w:eastAsia="zh-CN"/>
        </w:rPr>
        <w:t>景德镇市公安局</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sz w:val="32"/>
          <w:szCs w:val="32"/>
          <w:lang w:val="en-US" w:eastAsia="zh-CN"/>
        </w:rPr>
        <w:t>景德镇市公安局</w:t>
      </w:r>
      <w:r>
        <w:rPr>
          <w:rFonts w:hint="eastAsia" w:ascii="黑体" w:hAnsi="黑体" w:eastAsia="黑体"/>
          <w:sz w:val="32"/>
          <w:szCs w:val="32"/>
        </w:rPr>
        <w:t>部门</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2"/>
          <w:lang w:val="en-US" w:eastAsia="zh-CN"/>
        </w:rPr>
        <w:t>景德镇市公安局</w:t>
      </w:r>
      <w:r>
        <w:rPr>
          <w:rFonts w:hint="eastAsia" w:ascii="宋体" w:hAnsi="宋体"/>
          <w:b/>
          <w:sz w:val="32"/>
          <w:szCs w:val="30"/>
        </w:rPr>
        <w:t>概况</w:t>
      </w:r>
    </w:p>
    <w:p>
      <w:pPr>
        <w:ind w:firstLine="630"/>
        <w:jc w:val="center"/>
        <w:rPr>
          <w:rFonts w:hint="eastAsia"/>
          <w:sz w:val="32"/>
          <w:szCs w:val="32"/>
        </w:rPr>
      </w:pPr>
    </w:p>
    <w:p>
      <w:pPr>
        <w:numPr>
          <w:ilvl w:val="0"/>
          <w:numId w:val="1"/>
        </w:numPr>
        <w:ind w:firstLine="630"/>
        <w:jc w:val="left"/>
        <w:rPr>
          <w:rFonts w:hint="eastAsia" w:ascii="黑体" w:hAnsi="黑体" w:eastAsia="黑体"/>
          <w:sz w:val="30"/>
          <w:szCs w:val="30"/>
        </w:rPr>
      </w:pPr>
      <w:r>
        <w:rPr>
          <w:rFonts w:hint="eastAsia" w:ascii="黑体" w:hAnsi="黑体" w:eastAsia="黑体"/>
          <w:sz w:val="30"/>
          <w:szCs w:val="30"/>
        </w:rPr>
        <w:t>部门主要职能</w:t>
      </w:r>
    </w:p>
    <w:p>
      <w:pPr>
        <w:spacing w:after="156" w:afterLines="50" w:line="520" w:lineRule="exact"/>
        <w:ind w:firstLine="640" w:firstLineChars="200"/>
        <w:rPr>
          <w:rFonts w:hint="eastAsia" w:ascii="仿宋" w:hAnsi="仿宋" w:eastAsia="仿宋"/>
          <w:sz w:val="30"/>
          <w:szCs w:val="30"/>
        </w:rPr>
      </w:pPr>
      <w:r>
        <w:rPr>
          <w:rFonts w:hint="eastAsia" w:ascii="仿宋" w:hAnsi="仿宋" w:eastAsia="仿宋"/>
          <w:sz w:val="32"/>
          <w:szCs w:val="32"/>
        </w:rPr>
        <w:t>（一）</w:t>
      </w:r>
      <w:r>
        <w:rPr>
          <w:rFonts w:hint="eastAsia" w:ascii="仿宋" w:hAnsi="仿宋" w:eastAsia="仿宋"/>
          <w:sz w:val="30"/>
          <w:szCs w:val="30"/>
        </w:rPr>
        <w:t>贯彻执行国家的法律、法规和公安工作的路线、方针、政策；研究拟定和落实有关公安工作的规定和实施办法；分析研究全市的社会治安状况，对全市公安工作进行决策、部署、指导、检查和监督；对全市公安机关实施组织领导和指挥。</w:t>
      </w:r>
    </w:p>
    <w:p>
      <w:pPr>
        <w:pStyle w:val="2"/>
        <w:widowControl/>
        <w:autoSpaceDN w:val="0"/>
        <w:spacing w:after="156" w:afterLines="50" w:line="520" w:lineRule="exact"/>
        <w:ind w:firstLine="640" w:firstLineChars="200"/>
        <w:rPr>
          <w:rFonts w:hint="eastAsia" w:ascii="仿宋" w:hAnsi="仿宋" w:eastAsia="仿宋" w:cs="Times New Roman"/>
          <w:kern w:val="2"/>
          <w:sz w:val="30"/>
          <w:szCs w:val="30"/>
          <w:lang w:val="en-US" w:eastAsia="zh-CN" w:bidi="ar-SA"/>
        </w:rPr>
      </w:pPr>
      <w:r>
        <w:rPr>
          <w:rFonts w:hint="eastAsia" w:ascii="仿宋" w:hAnsi="仿宋" w:eastAsia="仿宋" w:cs="仿宋_GB2312"/>
          <w:sz w:val="32"/>
          <w:szCs w:val="32"/>
        </w:rPr>
        <w:t>（二）</w:t>
      </w:r>
      <w:r>
        <w:rPr>
          <w:rFonts w:hint="eastAsia" w:ascii="仿宋" w:hAnsi="仿宋" w:eastAsia="仿宋" w:cs="Times New Roman"/>
          <w:kern w:val="2"/>
          <w:sz w:val="30"/>
          <w:szCs w:val="30"/>
          <w:lang w:val="en-US" w:eastAsia="zh-CN" w:bidi="ar-SA"/>
        </w:rPr>
        <w:t>掌握影响稳定、危害国内安全和社会治安情况，分析形势，制定对策。</w:t>
      </w:r>
    </w:p>
    <w:p>
      <w:pPr>
        <w:pStyle w:val="2"/>
        <w:widowControl/>
        <w:autoSpaceDN w:val="0"/>
        <w:spacing w:after="156" w:afterLines="50" w:line="520" w:lineRule="exact"/>
        <w:ind w:firstLine="640"/>
        <w:rPr>
          <w:rFonts w:hint="eastAsia" w:ascii="仿宋" w:hAnsi="仿宋" w:eastAsia="仿宋" w:cs="仿宋_GB2312"/>
          <w:sz w:val="32"/>
          <w:szCs w:val="32"/>
        </w:rPr>
      </w:pPr>
      <w:r>
        <w:rPr>
          <w:rFonts w:hint="eastAsia" w:ascii="仿宋" w:hAnsi="仿宋" w:eastAsia="仿宋" w:cs="仿宋_GB2312"/>
          <w:sz w:val="32"/>
          <w:szCs w:val="32"/>
        </w:rPr>
        <w:t>（三）</w:t>
      </w:r>
      <w:r>
        <w:rPr>
          <w:rFonts w:hint="eastAsia" w:ascii="仿宋" w:hAnsi="仿宋" w:eastAsia="仿宋" w:cs="Times New Roman"/>
          <w:kern w:val="2"/>
          <w:sz w:val="30"/>
          <w:szCs w:val="30"/>
          <w:lang w:val="en-US" w:eastAsia="zh-CN" w:bidi="ar-SA"/>
        </w:rPr>
        <w:t>组织实施并指导侦查工作，组织、协调处置重大案件、治安事件、治安事故和骚乱。</w:t>
      </w:r>
    </w:p>
    <w:p>
      <w:pPr>
        <w:pStyle w:val="2"/>
        <w:widowControl/>
        <w:autoSpaceDN w:val="0"/>
        <w:spacing w:after="156" w:afterLines="50" w:line="520" w:lineRule="exact"/>
        <w:ind w:firstLine="640"/>
        <w:rPr>
          <w:rFonts w:hint="eastAsia" w:ascii="仿宋" w:hAnsi="仿宋" w:eastAsia="仿宋" w:cs="Times New Roman"/>
          <w:kern w:val="2"/>
          <w:sz w:val="30"/>
          <w:szCs w:val="30"/>
          <w:lang w:val="en-US" w:eastAsia="zh-CN" w:bidi="ar-SA"/>
        </w:rPr>
      </w:pPr>
      <w:r>
        <w:rPr>
          <w:rFonts w:hint="eastAsia" w:ascii="仿宋" w:hAnsi="仿宋" w:eastAsia="仿宋" w:cs="仿宋_GB2312"/>
          <w:sz w:val="32"/>
          <w:szCs w:val="32"/>
        </w:rPr>
        <w:t>（四）组</w:t>
      </w:r>
      <w:r>
        <w:rPr>
          <w:rFonts w:hint="eastAsia" w:ascii="仿宋" w:hAnsi="仿宋" w:eastAsia="仿宋" w:cs="Times New Roman"/>
          <w:kern w:val="2"/>
          <w:sz w:val="30"/>
          <w:szCs w:val="30"/>
          <w:lang w:val="en-US" w:eastAsia="zh-CN" w:bidi="ar-SA"/>
        </w:rPr>
        <w:t>织实施并指导全市公安机关依法查处危害社会治安秩序行为，依法管理户籍和门牌、流动人口、居民身份证和居民身份证号码、枪支弹药、危险物品和特种行业等工作。</w:t>
      </w:r>
    </w:p>
    <w:p>
      <w:pPr>
        <w:pStyle w:val="2"/>
        <w:widowControl/>
        <w:autoSpaceDN w:val="0"/>
        <w:spacing w:after="156" w:afterLines="50" w:line="520" w:lineRule="exact"/>
        <w:ind w:firstLine="640"/>
        <w:rPr>
          <w:rFonts w:hint="eastAsia" w:ascii="仿宋" w:hAnsi="仿宋" w:eastAsia="仿宋" w:cs="Times New Roman"/>
          <w:kern w:val="2"/>
          <w:sz w:val="30"/>
          <w:szCs w:val="30"/>
          <w:lang w:val="en-US" w:eastAsia="zh-CN" w:bidi="ar-SA"/>
        </w:rPr>
      </w:pPr>
      <w:r>
        <w:rPr>
          <w:rFonts w:hint="eastAsia" w:ascii="仿宋" w:hAnsi="仿宋" w:eastAsia="仿宋" w:cs="仿宋_GB2312"/>
          <w:sz w:val="32"/>
          <w:szCs w:val="32"/>
        </w:rPr>
        <w:t>（五）</w:t>
      </w:r>
      <w:r>
        <w:rPr>
          <w:rFonts w:hint="eastAsia" w:ascii="仿宋" w:hAnsi="仿宋" w:eastAsia="仿宋" w:cs="Times New Roman"/>
          <w:kern w:val="2"/>
          <w:sz w:val="30"/>
          <w:szCs w:val="30"/>
          <w:lang w:val="en-US" w:eastAsia="zh-CN" w:bidi="ar-SA"/>
        </w:rPr>
        <w:t>组织实施并指导出（入）境和外国人在我市境内居留、旅行的有关管理工作、组织实施并指导全市公安外事工作。</w:t>
      </w:r>
    </w:p>
    <w:p>
      <w:pPr>
        <w:pStyle w:val="2"/>
        <w:widowControl/>
        <w:autoSpaceDN w:val="0"/>
        <w:spacing w:after="156" w:afterLines="50" w:line="520" w:lineRule="exact"/>
        <w:ind w:firstLine="64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val="en-US" w:eastAsia="zh-CN"/>
        </w:rPr>
        <w:t>六</w:t>
      </w:r>
      <w:r>
        <w:rPr>
          <w:rFonts w:hint="eastAsia" w:ascii="仿宋" w:hAnsi="仿宋" w:eastAsia="仿宋" w:cs="仿宋_GB2312"/>
          <w:sz w:val="32"/>
          <w:szCs w:val="32"/>
        </w:rPr>
        <w:t>）</w:t>
      </w:r>
      <w:r>
        <w:rPr>
          <w:rFonts w:hint="eastAsia" w:ascii="仿宋" w:hAnsi="仿宋" w:eastAsia="仿宋" w:cs="Times New Roman"/>
          <w:kern w:val="2"/>
          <w:sz w:val="30"/>
          <w:szCs w:val="30"/>
          <w:lang w:val="en-US" w:eastAsia="zh-CN" w:bidi="ar-SA"/>
        </w:rPr>
        <w:t>组织实施并指导全市公安机关维护道路交通安全、交通秩序以及车辆驾驶员管理工作。</w:t>
      </w:r>
    </w:p>
    <w:p>
      <w:pPr>
        <w:pStyle w:val="2"/>
        <w:widowControl/>
        <w:autoSpaceDN w:val="0"/>
        <w:spacing w:after="156" w:afterLines="50" w:line="520" w:lineRule="exact"/>
        <w:ind w:firstLine="64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val="en-US" w:eastAsia="zh-CN"/>
        </w:rPr>
        <w:t>七</w:t>
      </w:r>
      <w:r>
        <w:rPr>
          <w:rFonts w:hint="eastAsia" w:ascii="仿宋" w:hAnsi="仿宋" w:eastAsia="仿宋" w:cs="仿宋_GB2312"/>
          <w:sz w:val="32"/>
          <w:szCs w:val="32"/>
        </w:rPr>
        <w:t>）</w:t>
      </w:r>
      <w:r>
        <w:rPr>
          <w:rFonts w:hint="eastAsia" w:ascii="仿宋" w:hAnsi="仿宋" w:eastAsia="仿宋" w:cs="Times New Roman"/>
          <w:kern w:val="2"/>
          <w:sz w:val="30"/>
          <w:szCs w:val="30"/>
          <w:lang w:val="en-US" w:eastAsia="zh-CN" w:bidi="ar-SA"/>
        </w:rPr>
        <w:t>指导、监督全市公安机关依法对国家机关、社会团体、企事业单位和重点建设工程的治安保卫工作以及群众性治安组织的治安防范工作；指导机关、企事业单位保卫组织和经济民警、保安队伍的建设。</w:t>
      </w:r>
    </w:p>
    <w:p>
      <w:pPr>
        <w:pStyle w:val="2"/>
        <w:widowControl/>
        <w:autoSpaceDN w:val="0"/>
        <w:spacing w:after="156" w:afterLines="50" w:line="520" w:lineRule="exact"/>
        <w:ind w:firstLine="640"/>
        <w:rPr>
          <w:rFonts w:hint="eastAsia" w:ascii="仿宋" w:hAnsi="仿宋" w:eastAsia="仿宋" w:cs="Times New Roman"/>
          <w:kern w:val="2"/>
          <w:sz w:val="30"/>
          <w:szCs w:val="30"/>
          <w:lang w:val="en-US" w:eastAsia="zh-CN" w:bidi="ar-SA"/>
        </w:rPr>
      </w:pPr>
      <w:r>
        <w:rPr>
          <w:rFonts w:hint="eastAsia" w:ascii="仿宋" w:hAnsi="仿宋" w:eastAsia="仿宋" w:cs="仿宋_GB2312"/>
          <w:sz w:val="32"/>
          <w:szCs w:val="32"/>
        </w:rPr>
        <w:t>（</w:t>
      </w:r>
      <w:r>
        <w:rPr>
          <w:rFonts w:hint="eastAsia" w:ascii="仿宋" w:hAnsi="仿宋" w:eastAsia="仿宋" w:cs="仿宋_GB2312"/>
          <w:sz w:val="32"/>
          <w:szCs w:val="32"/>
          <w:lang w:val="en-US" w:eastAsia="zh-CN"/>
        </w:rPr>
        <w:t>八</w:t>
      </w:r>
      <w:r>
        <w:rPr>
          <w:rFonts w:hint="eastAsia" w:ascii="仿宋" w:hAnsi="仿宋" w:eastAsia="仿宋" w:cs="仿宋_GB2312"/>
          <w:sz w:val="32"/>
          <w:szCs w:val="32"/>
        </w:rPr>
        <w:t>）</w:t>
      </w:r>
      <w:r>
        <w:rPr>
          <w:rFonts w:hint="eastAsia" w:ascii="仿宋" w:hAnsi="仿宋" w:eastAsia="仿宋" w:cs="Times New Roman"/>
          <w:kern w:val="2"/>
          <w:sz w:val="30"/>
          <w:szCs w:val="30"/>
          <w:lang w:val="en-US" w:eastAsia="zh-CN" w:bidi="ar-SA"/>
        </w:rPr>
        <w:t>组织实施并指导、监督全市公共信息网络安全监察工作。</w:t>
      </w:r>
    </w:p>
    <w:p>
      <w:pPr>
        <w:pStyle w:val="2"/>
        <w:widowControl/>
        <w:autoSpaceDN w:val="0"/>
        <w:spacing w:after="156" w:afterLines="50" w:line="520" w:lineRule="exact"/>
        <w:ind w:firstLine="64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val="en-US" w:eastAsia="zh-CN"/>
        </w:rPr>
        <w:t>九</w:t>
      </w:r>
      <w:r>
        <w:rPr>
          <w:rFonts w:hint="eastAsia" w:ascii="仿宋" w:hAnsi="仿宋" w:eastAsia="仿宋" w:cs="仿宋_GB2312"/>
          <w:sz w:val="32"/>
          <w:szCs w:val="32"/>
        </w:rPr>
        <w:t>）</w:t>
      </w:r>
      <w:r>
        <w:rPr>
          <w:rFonts w:hint="eastAsia" w:ascii="仿宋" w:hAnsi="仿宋" w:eastAsia="仿宋" w:cs="Times New Roman"/>
          <w:kern w:val="2"/>
          <w:sz w:val="30"/>
          <w:szCs w:val="30"/>
          <w:lang w:val="en-US" w:eastAsia="zh-CN" w:bidi="ar-SA"/>
        </w:rPr>
        <w:t>指导、监督全市公安机关依法承担的执行刑罚和监督、考察工作；组织实施并指导、监督看守所、拘留所、强制戒毒所管理工作。</w:t>
      </w:r>
    </w:p>
    <w:p>
      <w:pPr>
        <w:pStyle w:val="2"/>
        <w:widowControl/>
        <w:autoSpaceDN w:val="0"/>
        <w:spacing w:after="156" w:afterLines="50" w:line="520" w:lineRule="exact"/>
        <w:ind w:firstLine="640"/>
        <w:rPr>
          <w:rFonts w:hint="eastAsia" w:ascii="仿宋" w:hAnsi="仿宋" w:eastAsia="仿宋" w:cs="Times New Roman"/>
          <w:kern w:val="2"/>
          <w:sz w:val="30"/>
          <w:szCs w:val="30"/>
          <w:lang w:val="en-US" w:eastAsia="zh-CN" w:bidi="ar-SA"/>
        </w:rPr>
      </w:pPr>
      <w:r>
        <w:rPr>
          <w:rFonts w:hint="eastAsia" w:ascii="仿宋" w:hAnsi="仿宋" w:eastAsia="仿宋" w:cs="仿宋_GB2312"/>
          <w:sz w:val="32"/>
          <w:szCs w:val="32"/>
        </w:rPr>
        <w:t>（十）</w:t>
      </w:r>
      <w:r>
        <w:rPr>
          <w:rFonts w:hint="eastAsia" w:ascii="仿宋" w:hAnsi="仿宋" w:eastAsia="仿宋" w:cs="Times New Roman"/>
          <w:kern w:val="2"/>
          <w:sz w:val="30"/>
          <w:szCs w:val="30"/>
          <w:lang w:val="en-US" w:eastAsia="zh-CN" w:bidi="ar-SA"/>
        </w:rPr>
        <w:t>组织实施并指导全市公安法制建设；指导、检查、监督公安机关执法活动。</w:t>
      </w:r>
    </w:p>
    <w:p>
      <w:pPr>
        <w:pStyle w:val="2"/>
        <w:widowControl/>
        <w:autoSpaceDN w:val="0"/>
        <w:spacing w:after="156" w:afterLines="50" w:line="520" w:lineRule="exact"/>
        <w:ind w:firstLine="640"/>
        <w:rPr>
          <w:rFonts w:hint="eastAsia" w:ascii="仿宋" w:hAnsi="仿宋" w:eastAsia="仿宋" w:cs="Times New Roman"/>
          <w:kern w:val="2"/>
          <w:sz w:val="30"/>
          <w:szCs w:val="30"/>
          <w:lang w:val="en-US" w:eastAsia="zh-CN" w:bidi="ar-SA"/>
        </w:rPr>
      </w:pPr>
      <w:r>
        <w:rPr>
          <w:rFonts w:hint="eastAsia" w:ascii="仿宋" w:hAnsi="仿宋" w:eastAsia="仿宋" w:cs="仿宋_GB2312"/>
          <w:sz w:val="32"/>
          <w:szCs w:val="32"/>
        </w:rPr>
        <w:t>（十一）</w:t>
      </w:r>
      <w:r>
        <w:rPr>
          <w:rFonts w:hint="eastAsia" w:ascii="仿宋" w:hAnsi="仿宋" w:eastAsia="仿宋" w:cs="Times New Roman"/>
          <w:kern w:val="2"/>
          <w:sz w:val="30"/>
          <w:szCs w:val="30"/>
          <w:lang w:val="en-US" w:eastAsia="zh-CN" w:bidi="ar-SA"/>
        </w:rPr>
        <w:t>组织实施并指导全市公安机关开展禁毒和缉毒工作以及承办市禁毒领导小组办公室的日常工作。</w:t>
      </w:r>
    </w:p>
    <w:p>
      <w:pPr>
        <w:pStyle w:val="2"/>
        <w:widowControl/>
        <w:autoSpaceDN w:val="0"/>
        <w:spacing w:after="156" w:afterLines="50" w:line="520" w:lineRule="exact"/>
        <w:ind w:firstLine="640"/>
        <w:rPr>
          <w:rFonts w:hint="eastAsia" w:ascii="仿宋" w:hAnsi="仿宋" w:eastAsia="仿宋" w:cs="仿宋_GB2312"/>
          <w:sz w:val="32"/>
          <w:szCs w:val="32"/>
        </w:rPr>
      </w:pPr>
      <w:r>
        <w:rPr>
          <w:rFonts w:hint="eastAsia" w:ascii="仿宋" w:hAnsi="仿宋" w:eastAsia="仿宋" w:cs="仿宋_GB2312"/>
          <w:sz w:val="32"/>
          <w:szCs w:val="32"/>
        </w:rPr>
        <w:t>（十</w:t>
      </w:r>
      <w:r>
        <w:rPr>
          <w:rFonts w:hint="eastAsia" w:ascii="仿宋" w:hAnsi="仿宋" w:eastAsia="仿宋" w:cs="仿宋_GB2312"/>
          <w:sz w:val="32"/>
          <w:szCs w:val="32"/>
          <w:lang w:val="en-US" w:eastAsia="zh-CN"/>
        </w:rPr>
        <w:t>二</w:t>
      </w:r>
      <w:r>
        <w:rPr>
          <w:rFonts w:hint="eastAsia" w:ascii="仿宋" w:hAnsi="仿宋" w:eastAsia="仿宋" w:cs="仿宋_GB2312"/>
          <w:sz w:val="32"/>
          <w:szCs w:val="32"/>
        </w:rPr>
        <w:t>）</w:t>
      </w:r>
      <w:r>
        <w:rPr>
          <w:rFonts w:hint="eastAsia" w:ascii="仿宋" w:hAnsi="仿宋" w:eastAsia="仿宋" w:cs="Times New Roman"/>
          <w:kern w:val="2"/>
          <w:sz w:val="30"/>
          <w:szCs w:val="30"/>
          <w:lang w:val="en-US" w:eastAsia="zh-CN" w:bidi="ar-SA"/>
        </w:rPr>
        <w:t>组织全市公安科学技术工作，规划公安信息技术、刑事技术和行动技术建设。</w:t>
      </w:r>
    </w:p>
    <w:p>
      <w:pPr>
        <w:pStyle w:val="2"/>
        <w:widowControl/>
        <w:autoSpaceDN w:val="0"/>
        <w:spacing w:after="156" w:afterLines="50" w:line="520" w:lineRule="exact"/>
        <w:ind w:firstLine="640"/>
        <w:rPr>
          <w:rFonts w:hint="eastAsia" w:ascii="仿宋" w:hAnsi="仿宋" w:eastAsia="仿宋" w:cs="仿宋_GB2312"/>
          <w:sz w:val="32"/>
          <w:szCs w:val="32"/>
        </w:rPr>
      </w:pPr>
      <w:r>
        <w:rPr>
          <w:rFonts w:hint="eastAsia" w:ascii="仿宋" w:hAnsi="仿宋" w:eastAsia="仿宋" w:cs="仿宋_GB2312"/>
          <w:sz w:val="32"/>
          <w:szCs w:val="32"/>
        </w:rPr>
        <w:t>（十</w:t>
      </w:r>
      <w:r>
        <w:rPr>
          <w:rFonts w:hint="eastAsia" w:ascii="仿宋" w:hAnsi="仿宋" w:eastAsia="仿宋" w:cs="仿宋_GB2312"/>
          <w:sz w:val="32"/>
          <w:szCs w:val="32"/>
          <w:lang w:val="en-US" w:eastAsia="zh-CN"/>
        </w:rPr>
        <w:t>三</w:t>
      </w:r>
      <w:r>
        <w:rPr>
          <w:rFonts w:hint="eastAsia" w:ascii="仿宋" w:hAnsi="仿宋" w:eastAsia="仿宋" w:cs="仿宋_GB2312"/>
          <w:sz w:val="32"/>
          <w:szCs w:val="32"/>
        </w:rPr>
        <w:t>）</w:t>
      </w:r>
      <w:r>
        <w:rPr>
          <w:rFonts w:hint="eastAsia" w:ascii="仿宋" w:hAnsi="仿宋" w:eastAsia="仿宋" w:cs="Times New Roman"/>
          <w:kern w:val="2"/>
          <w:sz w:val="30"/>
          <w:szCs w:val="30"/>
          <w:lang w:val="en-US" w:eastAsia="zh-CN" w:bidi="ar-SA"/>
        </w:rPr>
        <w:t>规定制定全市公安机关装备、被装配备和经费等警务保障标准、制度。</w:t>
      </w:r>
    </w:p>
    <w:p>
      <w:pPr>
        <w:pStyle w:val="2"/>
        <w:widowControl/>
        <w:autoSpaceDN w:val="0"/>
        <w:spacing w:after="156" w:afterLines="50" w:line="520" w:lineRule="exact"/>
        <w:ind w:firstLine="640"/>
        <w:rPr>
          <w:rFonts w:hint="eastAsia" w:ascii="仿宋" w:hAnsi="仿宋" w:eastAsia="仿宋" w:cs="Times New Roman"/>
          <w:kern w:val="2"/>
          <w:sz w:val="30"/>
          <w:szCs w:val="30"/>
          <w:lang w:val="en-US" w:eastAsia="zh-CN" w:bidi="ar-SA"/>
        </w:rPr>
      </w:pPr>
      <w:r>
        <w:rPr>
          <w:rFonts w:hint="eastAsia" w:ascii="仿宋" w:hAnsi="仿宋" w:eastAsia="仿宋" w:cs="仿宋_GB2312"/>
          <w:sz w:val="32"/>
          <w:szCs w:val="32"/>
        </w:rPr>
        <w:t>（十</w:t>
      </w:r>
      <w:r>
        <w:rPr>
          <w:rFonts w:hint="eastAsia" w:ascii="仿宋" w:hAnsi="仿宋" w:eastAsia="仿宋" w:cs="仿宋_GB2312"/>
          <w:sz w:val="32"/>
          <w:szCs w:val="32"/>
          <w:lang w:val="en-US" w:eastAsia="zh-CN"/>
        </w:rPr>
        <w:t>四</w:t>
      </w:r>
      <w:r>
        <w:rPr>
          <w:rFonts w:hint="eastAsia" w:ascii="仿宋" w:hAnsi="仿宋" w:eastAsia="仿宋" w:cs="仿宋_GB2312"/>
          <w:sz w:val="32"/>
          <w:szCs w:val="32"/>
        </w:rPr>
        <w:t>）</w:t>
      </w:r>
      <w:r>
        <w:rPr>
          <w:rFonts w:hint="eastAsia" w:ascii="仿宋" w:hAnsi="仿宋" w:eastAsia="仿宋" w:cs="Times New Roman"/>
          <w:kern w:val="2"/>
          <w:sz w:val="30"/>
          <w:szCs w:val="30"/>
          <w:lang w:val="en-US" w:eastAsia="zh-CN" w:bidi="ar-SA"/>
        </w:rPr>
        <w:t>指导全市公安政治工作和队伍建设；组织实施并指导、管理全市公安教育、培训及技能训练；组织实施并指导公安宣传工作；按规定权限管理干部人事工作。</w:t>
      </w:r>
    </w:p>
    <w:p>
      <w:pPr>
        <w:pStyle w:val="2"/>
        <w:widowControl/>
        <w:autoSpaceDN w:val="0"/>
        <w:spacing w:after="156" w:afterLines="50" w:line="520" w:lineRule="exact"/>
        <w:ind w:firstLine="640"/>
        <w:rPr>
          <w:rFonts w:hint="eastAsia" w:ascii="仿宋" w:hAnsi="仿宋" w:eastAsia="仿宋" w:cs="Times New Roman"/>
          <w:kern w:val="2"/>
          <w:sz w:val="30"/>
          <w:szCs w:val="30"/>
          <w:lang w:val="en-US" w:eastAsia="zh-CN" w:bidi="ar-SA"/>
        </w:rPr>
      </w:pPr>
      <w:r>
        <w:rPr>
          <w:rFonts w:hint="eastAsia" w:ascii="仿宋" w:hAnsi="仿宋" w:eastAsia="仿宋" w:cs="仿宋_GB2312"/>
          <w:sz w:val="32"/>
          <w:szCs w:val="32"/>
        </w:rPr>
        <w:t>（十</w:t>
      </w:r>
      <w:r>
        <w:rPr>
          <w:rFonts w:hint="eastAsia" w:ascii="仿宋" w:hAnsi="仿宋" w:eastAsia="仿宋" w:cs="仿宋_GB2312"/>
          <w:sz w:val="32"/>
          <w:szCs w:val="32"/>
          <w:lang w:val="en-US" w:eastAsia="zh-CN"/>
        </w:rPr>
        <w:t>五</w:t>
      </w:r>
      <w:r>
        <w:rPr>
          <w:rFonts w:hint="eastAsia" w:ascii="仿宋" w:hAnsi="仿宋" w:eastAsia="仿宋" w:cs="仿宋_GB2312"/>
          <w:sz w:val="32"/>
          <w:szCs w:val="32"/>
        </w:rPr>
        <w:t>）</w:t>
      </w:r>
      <w:r>
        <w:rPr>
          <w:rFonts w:hint="eastAsia" w:ascii="仿宋" w:hAnsi="仿宋" w:eastAsia="仿宋" w:cs="Times New Roman"/>
          <w:kern w:val="2"/>
          <w:sz w:val="30"/>
          <w:szCs w:val="30"/>
          <w:lang w:val="en-US" w:eastAsia="zh-CN" w:bidi="ar-SA"/>
        </w:rPr>
        <w:t>制定全市公安队伍监督管理工作规章制度，分析队伍状况，组织实施并指导全市公安机关督察工作；按规定权限实施对干部的监督；查处或督办公安队伍重大和较大违纪案件。</w:t>
      </w:r>
    </w:p>
    <w:p>
      <w:pPr>
        <w:ind w:firstLine="630"/>
        <w:jc w:val="left"/>
        <w:rPr>
          <w:rFonts w:hint="default" w:ascii="黑体" w:hAnsi="黑体" w:eastAsia="黑体"/>
          <w:sz w:val="30"/>
          <w:szCs w:val="30"/>
          <w:lang w:val="en-US" w:eastAsia="zh-CN"/>
        </w:rPr>
      </w:pPr>
      <w:r>
        <w:rPr>
          <w:rFonts w:hint="eastAsia" w:ascii="仿宋" w:hAnsi="仿宋" w:eastAsia="仿宋"/>
          <w:sz w:val="32"/>
          <w:szCs w:val="32"/>
        </w:rPr>
        <w:t>（十</w:t>
      </w:r>
      <w:r>
        <w:rPr>
          <w:rFonts w:hint="eastAsia" w:ascii="仿宋" w:hAnsi="仿宋" w:eastAsia="仿宋"/>
          <w:sz w:val="32"/>
          <w:szCs w:val="32"/>
          <w:lang w:val="en-US" w:eastAsia="zh-CN"/>
        </w:rPr>
        <w:t>六</w:t>
      </w:r>
      <w:r>
        <w:rPr>
          <w:rFonts w:hint="eastAsia" w:ascii="仿宋" w:hAnsi="仿宋" w:eastAsia="仿宋"/>
          <w:sz w:val="32"/>
          <w:szCs w:val="32"/>
        </w:rPr>
        <w:t>）</w:t>
      </w:r>
      <w:r>
        <w:rPr>
          <w:rFonts w:hint="eastAsia" w:ascii="仿宋" w:hAnsi="仿宋" w:eastAsia="仿宋"/>
          <w:sz w:val="30"/>
          <w:szCs w:val="30"/>
        </w:rPr>
        <w:t>承办</w:t>
      </w:r>
      <w:r>
        <w:rPr>
          <w:rFonts w:hint="eastAsia" w:ascii="仿宋" w:hAnsi="仿宋" w:eastAsia="仿宋"/>
          <w:sz w:val="30"/>
          <w:szCs w:val="30"/>
          <w:lang w:val="en-US" w:eastAsia="zh-CN"/>
        </w:rPr>
        <w:t>上级</w:t>
      </w:r>
      <w:r>
        <w:rPr>
          <w:rFonts w:hint="eastAsia" w:ascii="仿宋" w:hAnsi="仿宋" w:eastAsia="仿宋"/>
          <w:sz w:val="30"/>
          <w:szCs w:val="30"/>
        </w:rPr>
        <w:t>交办的其他事项。</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0"/>
          <w:szCs w:val="30"/>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12</w:t>
      </w:r>
      <w:r>
        <w:rPr>
          <w:rFonts w:hint="eastAsia" w:ascii="仿宋" w:hAnsi="仿宋" w:eastAsia="仿宋"/>
          <w:sz w:val="30"/>
          <w:szCs w:val="30"/>
        </w:rPr>
        <w:t>个，包括：</w:t>
      </w:r>
      <w:r>
        <w:rPr>
          <w:rFonts w:hint="eastAsia" w:ascii="仿宋" w:hAnsi="仿宋" w:eastAsia="仿宋"/>
          <w:sz w:val="30"/>
          <w:szCs w:val="30"/>
          <w:lang w:val="en-US" w:eastAsia="zh-CN"/>
        </w:rPr>
        <w:t>景德镇市公安局本级、景德镇市公安局珠山分局、景德镇市公安局昌江分局、景德镇市公安局乐涌分局、景德镇市公安局南河分局、景德镇市公安局机场分局、景德镇市公安局特警支队、景德镇市公安局巡警支队、景德镇市公安局刑侦支队、景德镇市公安局交警支队、景德镇市公安局停管大队、景德镇市公安局文员管理中心</w:t>
      </w:r>
      <w:r>
        <w:rPr>
          <w:rFonts w:hint="eastAsia" w:ascii="仿宋" w:hAnsi="仿宋" w:eastAsia="仿宋"/>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b/>
          <w:sz w:val="32"/>
          <w:szCs w:val="32"/>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年年末</w:t>
      </w:r>
      <w:r>
        <w:rPr>
          <w:rFonts w:hint="eastAsia" w:ascii="仿宋" w:hAnsi="仿宋" w:eastAsia="仿宋"/>
          <w:sz w:val="32"/>
          <w:szCs w:val="32"/>
        </w:rPr>
        <w:t>人员编制总数为</w:t>
      </w:r>
      <w:r>
        <w:rPr>
          <w:rFonts w:hint="eastAsia" w:ascii="仿宋" w:hAnsi="仿宋" w:eastAsia="仿宋"/>
          <w:sz w:val="32"/>
          <w:szCs w:val="32"/>
          <w:lang w:val="en-US" w:eastAsia="zh-CN"/>
        </w:rPr>
        <w:t>1682</w:t>
      </w:r>
      <w:r>
        <w:rPr>
          <w:rFonts w:hint="eastAsia" w:ascii="仿宋" w:hAnsi="仿宋" w:eastAsia="仿宋"/>
          <w:sz w:val="32"/>
          <w:szCs w:val="32"/>
        </w:rPr>
        <w:t>个，其中行政编制14</w:t>
      </w:r>
      <w:r>
        <w:rPr>
          <w:rFonts w:hint="eastAsia" w:ascii="仿宋" w:hAnsi="仿宋" w:eastAsia="仿宋"/>
          <w:sz w:val="32"/>
          <w:szCs w:val="32"/>
          <w:lang w:val="en-US" w:eastAsia="zh-CN"/>
        </w:rPr>
        <w:t>74</w:t>
      </w:r>
      <w:r>
        <w:rPr>
          <w:rFonts w:hint="eastAsia" w:ascii="仿宋" w:hAnsi="仿宋" w:eastAsia="仿宋"/>
          <w:sz w:val="32"/>
          <w:szCs w:val="32"/>
        </w:rPr>
        <w:t>个、部分补助事业编制</w:t>
      </w:r>
      <w:r>
        <w:rPr>
          <w:rFonts w:ascii="仿宋" w:hAnsi="仿宋" w:eastAsia="仿宋"/>
          <w:sz w:val="32"/>
          <w:szCs w:val="32"/>
        </w:rPr>
        <w:t>112</w:t>
      </w:r>
      <w:r>
        <w:rPr>
          <w:rFonts w:hint="eastAsia" w:ascii="仿宋" w:hAnsi="仿宋" w:eastAsia="仿宋"/>
          <w:sz w:val="32"/>
          <w:szCs w:val="32"/>
        </w:rPr>
        <w:t>个，全部</w:t>
      </w:r>
      <w:r>
        <w:rPr>
          <w:rFonts w:hint="eastAsia" w:ascii="仿宋" w:hAnsi="仿宋" w:eastAsia="仿宋"/>
          <w:sz w:val="32"/>
          <w:szCs w:val="32"/>
          <w:lang w:val="en-US" w:eastAsia="zh-CN"/>
        </w:rPr>
        <w:t>补助</w:t>
      </w:r>
      <w:r>
        <w:rPr>
          <w:rFonts w:hint="eastAsia" w:ascii="仿宋" w:hAnsi="仿宋" w:eastAsia="仿宋"/>
          <w:sz w:val="32"/>
          <w:szCs w:val="32"/>
        </w:rPr>
        <w:t>事业编制</w:t>
      </w:r>
      <w:r>
        <w:rPr>
          <w:rFonts w:hint="eastAsia" w:ascii="仿宋" w:hAnsi="仿宋" w:eastAsia="仿宋"/>
          <w:sz w:val="32"/>
          <w:szCs w:val="32"/>
          <w:lang w:val="en-US" w:eastAsia="zh-CN"/>
        </w:rPr>
        <w:t>9</w:t>
      </w:r>
      <w:r>
        <w:rPr>
          <w:rFonts w:hint="eastAsia" w:ascii="仿宋" w:hAnsi="仿宋" w:eastAsia="仿宋"/>
          <w:sz w:val="32"/>
          <w:szCs w:val="32"/>
        </w:rPr>
        <w:t>6个。在职</w:t>
      </w:r>
      <w:r>
        <w:rPr>
          <w:rFonts w:hint="eastAsia" w:ascii="仿宋" w:hAnsi="仿宋" w:eastAsia="仿宋"/>
          <w:sz w:val="32"/>
          <w:szCs w:val="32"/>
          <w:lang w:val="en-US" w:eastAsia="zh-CN"/>
        </w:rPr>
        <w:t>1505</w:t>
      </w:r>
      <w:r>
        <w:rPr>
          <w:rFonts w:hint="eastAsia" w:ascii="仿宋" w:hAnsi="仿宋" w:eastAsia="仿宋"/>
          <w:sz w:val="32"/>
          <w:szCs w:val="32"/>
        </w:rPr>
        <w:t>人，包括行政</w:t>
      </w:r>
      <w:r>
        <w:rPr>
          <w:rFonts w:ascii="仿宋" w:hAnsi="仿宋" w:eastAsia="仿宋"/>
          <w:sz w:val="32"/>
          <w:szCs w:val="32"/>
        </w:rPr>
        <w:t>13</w:t>
      </w:r>
      <w:r>
        <w:rPr>
          <w:rFonts w:hint="eastAsia" w:ascii="仿宋" w:hAnsi="仿宋" w:eastAsia="仿宋"/>
          <w:sz w:val="32"/>
          <w:szCs w:val="32"/>
          <w:lang w:val="en-US" w:eastAsia="zh-CN"/>
        </w:rPr>
        <w:t>51</w:t>
      </w:r>
      <w:r>
        <w:rPr>
          <w:rFonts w:hint="eastAsia" w:ascii="仿宋" w:hAnsi="仿宋" w:eastAsia="仿宋"/>
          <w:sz w:val="32"/>
          <w:szCs w:val="32"/>
        </w:rPr>
        <w:t>人、事业</w:t>
      </w:r>
      <w:r>
        <w:rPr>
          <w:rFonts w:hint="eastAsia" w:ascii="仿宋" w:hAnsi="仿宋" w:eastAsia="仿宋"/>
          <w:sz w:val="32"/>
          <w:szCs w:val="32"/>
          <w:lang w:val="en-US" w:eastAsia="zh-CN"/>
        </w:rPr>
        <w:t>编制154</w:t>
      </w:r>
      <w:r>
        <w:rPr>
          <w:rFonts w:hint="eastAsia" w:ascii="仿宋" w:hAnsi="仿宋" w:eastAsia="仿宋"/>
          <w:sz w:val="32"/>
          <w:szCs w:val="32"/>
        </w:rPr>
        <w:t>人。</w:t>
      </w: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8595" cy="4878705"/>
            <wp:effectExtent l="0" t="0" r="8255" b="171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
                    <a:stretch>
                      <a:fillRect/>
                    </a:stretch>
                  </pic:blipFill>
                  <pic:spPr>
                    <a:xfrm>
                      <a:off x="0" y="0"/>
                      <a:ext cx="5268595" cy="4878705"/>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pPr>
      <w:r>
        <w:rPr>
          <w:rFonts w:hint="eastAsia" w:ascii="仿宋" w:hAnsi="仿宋" w:eastAsia="仿宋" w:cs="仿宋_GB2312"/>
          <w:kern w:val="0"/>
          <w:sz w:val="30"/>
          <w:szCs w:val="30"/>
        </w:rPr>
        <w:t xml:space="preserve"> </w:t>
      </w:r>
    </w:p>
    <w:p>
      <w:pPr>
        <w:autoSpaceDE w:val="0"/>
        <w:autoSpaceDN w:val="0"/>
        <w:adjustRightInd w:val="0"/>
        <w:spacing w:line="360" w:lineRule="auto"/>
        <w:jc w:val="left"/>
      </w:pPr>
    </w:p>
    <w:p>
      <w:pPr>
        <w:autoSpaceDE w:val="0"/>
        <w:autoSpaceDN w:val="0"/>
        <w:adjustRightInd w:val="0"/>
        <w:spacing w:line="360" w:lineRule="auto"/>
        <w:jc w:val="left"/>
        <w:rPr>
          <w:rFonts w:hint="eastAsia"/>
        </w:rPr>
      </w:pPr>
      <w:r>
        <w:drawing>
          <wp:inline distT="0" distB="0" distL="114300" distR="114300">
            <wp:extent cx="5271135" cy="3908425"/>
            <wp:effectExtent l="0" t="0" r="5715" b="158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a:stretch>
                      <a:fillRect/>
                    </a:stretch>
                  </pic:blipFill>
                  <pic:spPr>
                    <a:xfrm>
                      <a:off x="0" y="0"/>
                      <a:ext cx="5271135" cy="3908425"/>
                    </a:xfrm>
                    <a:prstGeom prst="rect">
                      <a:avLst/>
                    </a:prstGeom>
                    <a:noFill/>
                    <a:ln>
                      <a:noFill/>
                    </a:ln>
                  </pic:spPr>
                </pic:pic>
              </a:graphicData>
            </a:graphic>
          </wp:inline>
        </w:drawing>
      </w:r>
    </w:p>
    <w:p>
      <w:pPr>
        <w:autoSpaceDE w:val="0"/>
        <w:autoSpaceDN w:val="0"/>
        <w:adjustRightInd w:val="0"/>
        <w:spacing w:line="360" w:lineRule="auto"/>
        <w:jc w:val="left"/>
        <w:rPr>
          <w:rFonts w:hint="eastAsia"/>
        </w:rPr>
      </w:pPr>
      <w:r>
        <w:drawing>
          <wp:inline distT="0" distB="0" distL="114300" distR="114300">
            <wp:extent cx="5270500" cy="4801870"/>
            <wp:effectExtent l="0" t="0" r="6350" b="177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a:stretch>
                      <a:fillRect/>
                    </a:stretch>
                  </pic:blipFill>
                  <pic:spPr>
                    <a:xfrm>
                      <a:off x="0" y="0"/>
                      <a:ext cx="5270500" cy="4801870"/>
                    </a:xfrm>
                    <a:prstGeom prst="rect">
                      <a:avLst/>
                    </a:prstGeom>
                    <a:noFill/>
                    <a:ln>
                      <a:noFill/>
                    </a:ln>
                  </pic:spPr>
                </pic:pic>
              </a:graphicData>
            </a:graphic>
          </wp:inline>
        </w:drawing>
      </w:r>
    </w:p>
    <w:p>
      <w:pPr>
        <w:autoSpaceDE w:val="0"/>
        <w:autoSpaceDN w:val="0"/>
        <w:adjustRightInd w:val="0"/>
        <w:spacing w:line="360" w:lineRule="auto"/>
        <w:jc w:val="left"/>
        <w:rPr>
          <w:rFonts w:hint="eastAsia"/>
        </w:rPr>
      </w:pPr>
      <w:r>
        <w:drawing>
          <wp:inline distT="0" distB="0" distL="114300" distR="114300">
            <wp:extent cx="5271135" cy="6339840"/>
            <wp:effectExtent l="0" t="0" r="571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71135" cy="6339840"/>
                    </a:xfrm>
                    <a:prstGeom prst="rect">
                      <a:avLst/>
                    </a:prstGeom>
                    <a:noFill/>
                    <a:ln>
                      <a:noFill/>
                    </a:ln>
                  </pic:spPr>
                </pic:pic>
              </a:graphicData>
            </a:graphic>
          </wp:inline>
        </w:drawing>
      </w: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r>
        <w:drawing>
          <wp:inline distT="0" distB="0" distL="114300" distR="114300">
            <wp:extent cx="5272405" cy="7116445"/>
            <wp:effectExtent l="0" t="0" r="4445"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72405" cy="7116445"/>
                    </a:xfrm>
                    <a:prstGeom prst="rect">
                      <a:avLst/>
                    </a:prstGeom>
                    <a:noFill/>
                    <a:ln>
                      <a:noFill/>
                    </a:ln>
                  </pic:spPr>
                </pic:pic>
              </a:graphicData>
            </a:graphic>
          </wp:inline>
        </w:drawing>
      </w: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8595" cy="9105900"/>
            <wp:effectExtent l="0" t="0" r="825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268595" cy="9105900"/>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238750" cy="52482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5238750" cy="524827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pPr>
      <w:r>
        <w:drawing>
          <wp:inline distT="0" distB="0" distL="114300" distR="114300">
            <wp:extent cx="5267960" cy="2297430"/>
            <wp:effectExtent l="0" t="0" r="5080" b="381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1"/>
                    <a:stretch>
                      <a:fillRect/>
                    </a:stretch>
                  </pic:blipFill>
                  <pic:spPr>
                    <a:xfrm>
                      <a:off x="0" y="0"/>
                      <a:ext cx="5267960" cy="2297430"/>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r>
        <w:drawing>
          <wp:inline distT="0" distB="0" distL="114300" distR="114300">
            <wp:extent cx="5313680" cy="2971800"/>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5313680" cy="2971800"/>
                    </a:xfrm>
                    <a:prstGeom prst="rect">
                      <a:avLst/>
                    </a:prstGeom>
                    <a:noFill/>
                    <a:ln>
                      <a:noFill/>
                    </a:ln>
                  </pic:spPr>
                </pic:pic>
              </a:graphicData>
            </a:graphic>
          </wp:inline>
        </w:drawing>
      </w:r>
      <w:bookmarkStart w:id="0" w:name="_GoBack"/>
      <w:bookmarkEnd w:id="0"/>
    </w:p>
    <w:p>
      <w:pPr>
        <w:autoSpaceDE w:val="0"/>
        <w:autoSpaceDN w:val="0"/>
        <w:adjustRightInd w:val="0"/>
        <w:spacing w:line="360" w:lineRule="auto"/>
        <w:jc w:val="left"/>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仿宋" w:hAnsi="仿宋" w:eastAsia="仿宋" w:cs="仿宋"/>
          <w:b w:val="0"/>
          <w:bCs w:val="0"/>
          <w:sz w:val="32"/>
          <w:szCs w:val="32"/>
          <w:lang w:val="en-US" w:eastAsia="zh-CN"/>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cs="仿宋"/>
          <w:b w:val="0"/>
          <w:bCs w:val="0"/>
          <w:sz w:val="32"/>
          <w:szCs w:val="32"/>
          <w:lang w:val="en-US" w:eastAsia="zh-CN"/>
        </w:rPr>
        <w:t>50611.43</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4487.33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7203.29</w:t>
      </w:r>
      <w:r>
        <w:rPr>
          <w:rFonts w:hint="eastAsia" w:ascii="仿宋" w:hAnsi="仿宋" w:eastAsia="仿宋"/>
          <w:sz w:val="30"/>
          <w:szCs w:val="30"/>
        </w:rPr>
        <w:t>万元，增长</w:t>
      </w:r>
      <w:r>
        <w:rPr>
          <w:rFonts w:hint="eastAsia" w:ascii="仿宋" w:hAnsi="仿宋" w:eastAsia="仿宋"/>
          <w:sz w:val="30"/>
          <w:szCs w:val="30"/>
          <w:lang w:val="en-US" w:eastAsia="zh-CN"/>
        </w:rPr>
        <w:t>16.59</w:t>
      </w:r>
      <w:r>
        <w:rPr>
          <w:rFonts w:hint="eastAsia" w:ascii="仿宋" w:hAnsi="仿宋" w:eastAsia="仿宋"/>
          <w:sz w:val="30"/>
          <w:szCs w:val="30"/>
        </w:rPr>
        <w:t xml:space="preserve"> %；本年收入合计</w:t>
      </w:r>
      <w:r>
        <w:rPr>
          <w:rFonts w:hint="eastAsia" w:ascii="仿宋" w:hAnsi="仿宋" w:eastAsia="仿宋"/>
          <w:sz w:val="30"/>
          <w:szCs w:val="30"/>
          <w:lang w:val="en-US" w:eastAsia="zh-CN"/>
        </w:rPr>
        <w:t>46124.1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7490.05</w:t>
      </w:r>
      <w:r>
        <w:rPr>
          <w:rFonts w:hint="eastAsia" w:ascii="仿宋" w:hAnsi="仿宋" w:eastAsia="仿宋"/>
          <w:sz w:val="30"/>
          <w:szCs w:val="30"/>
        </w:rPr>
        <w:t>万元，增长</w:t>
      </w:r>
      <w:r>
        <w:rPr>
          <w:rFonts w:hint="eastAsia" w:ascii="仿宋" w:hAnsi="仿宋" w:eastAsia="仿宋"/>
          <w:sz w:val="30"/>
          <w:szCs w:val="30"/>
          <w:lang w:val="en-US" w:eastAsia="zh-CN"/>
        </w:rPr>
        <w:t>19.38</w:t>
      </w:r>
      <w:r>
        <w:rPr>
          <w:rFonts w:hint="eastAsia" w:ascii="仿宋" w:hAnsi="仿宋" w:eastAsia="仿宋"/>
          <w:sz w:val="30"/>
          <w:szCs w:val="30"/>
        </w:rPr>
        <w:t>%，主要原因</w:t>
      </w:r>
      <w:r>
        <w:rPr>
          <w:rFonts w:hint="eastAsia" w:ascii="仿宋" w:hAnsi="仿宋" w:eastAsia="仿宋"/>
          <w:sz w:val="30"/>
          <w:szCs w:val="30"/>
          <w:lang w:val="en-US" w:eastAsia="zh-CN"/>
        </w:rPr>
        <w:t>是财政拨款追加，主要为</w:t>
      </w:r>
      <w:r>
        <w:rPr>
          <w:rFonts w:hint="eastAsia" w:ascii="仿宋" w:hAnsi="仿宋" w:eastAsia="仿宋"/>
          <w:sz w:val="30"/>
          <w:szCs w:val="30"/>
        </w:rPr>
        <w:t>：</w:t>
      </w:r>
      <w:r>
        <w:rPr>
          <w:rFonts w:hint="eastAsia" w:ascii="仿宋" w:hAnsi="仿宋" w:eastAsia="仿宋" w:cs="仿宋"/>
          <w:b w:val="0"/>
          <w:bCs w:val="0"/>
          <w:sz w:val="32"/>
          <w:szCs w:val="32"/>
          <w:lang w:val="en-US" w:eastAsia="zh-CN"/>
        </w:rPr>
        <w:t>一是2016年至2019年民警岗位津贴3636.5万元；二是转移支付较年初预算增加756万元（以前年度转移支付装备款加快执行进度）；三是交警支队经费1340万元（非税840万元、双创500万元）；四是留置队（纪委）经费600万元；五是行政单位房租877.28万元。</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43373.65</w:t>
      </w:r>
      <w:r>
        <w:rPr>
          <w:rFonts w:hint="eastAsia" w:ascii="仿宋" w:hAnsi="仿宋" w:eastAsia="仿宋"/>
          <w:sz w:val="30"/>
          <w:szCs w:val="30"/>
        </w:rPr>
        <w:t>万元，占</w:t>
      </w:r>
      <w:r>
        <w:rPr>
          <w:rFonts w:hint="eastAsia" w:ascii="仿宋" w:hAnsi="仿宋" w:eastAsia="仿宋"/>
          <w:sz w:val="30"/>
          <w:szCs w:val="30"/>
          <w:lang w:val="en-US" w:eastAsia="zh-CN"/>
        </w:rPr>
        <w:t>94</w:t>
      </w:r>
      <w:r>
        <w:rPr>
          <w:rFonts w:hint="eastAsia" w:ascii="仿宋" w:hAnsi="仿宋" w:eastAsia="仿宋"/>
          <w:sz w:val="30"/>
          <w:szCs w:val="30"/>
        </w:rPr>
        <w:t>%；其他收入</w:t>
      </w:r>
      <w:r>
        <w:rPr>
          <w:rFonts w:hint="eastAsia" w:ascii="仿宋" w:hAnsi="仿宋" w:eastAsia="仿宋"/>
          <w:sz w:val="30"/>
          <w:szCs w:val="30"/>
          <w:lang w:val="en-US" w:eastAsia="zh-CN"/>
        </w:rPr>
        <w:t>2750.45</w:t>
      </w:r>
      <w:r>
        <w:rPr>
          <w:rFonts w:hint="eastAsia" w:ascii="仿宋" w:hAnsi="仿宋" w:eastAsia="仿宋"/>
          <w:sz w:val="30"/>
          <w:szCs w:val="30"/>
        </w:rPr>
        <w:t>万元，占</w:t>
      </w:r>
      <w:r>
        <w:rPr>
          <w:rFonts w:hint="eastAsia" w:ascii="仿宋" w:hAnsi="仿宋" w:eastAsia="仿宋"/>
          <w:sz w:val="30"/>
          <w:szCs w:val="30"/>
          <w:lang w:val="en-US" w:eastAsia="zh-CN"/>
        </w:rPr>
        <w:t>6</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default" w:ascii="仿宋" w:hAnsi="仿宋" w:eastAsia="仿宋"/>
          <w:sz w:val="32"/>
          <w:szCs w:val="32"/>
          <w:lang w:val="en-US" w:eastAsia="zh-CN"/>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50611.43</w:t>
      </w:r>
      <w:r>
        <w:rPr>
          <w:rFonts w:hint="eastAsia" w:ascii="仿宋" w:hAnsi="仿宋" w:eastAsia="仿宋"/>
          <w:sz w:val="30"/>
          <w:szCs w:val="30"/>
        </w:rPr>
        <w:t>万元，其中本年支出合计</w:t>
      </w:r>
      <w:r>
        <w:rPr>
          <w:rFonts w:hint="eastAsia" w:ascii="仿宋" w:hAnsi="仿宋" w:eastAsia="仿宋"/>
          <w:sz w:val="30"/>
          <w:szCs w:val="30"/>
          <w:lang w:val="en-US" w:eastAsia="zh-CN"/>
        </w:rPr>
        <w:t>49325.18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7203.29</w:t>
      </w:r>
      <w:r>
        <w:rPr>
          <w:rFonts w:hint="eastAsia" w:ascii="仿宋" w:hAnsi="仿宋" w:eastAsia="仿宋"/>
          <w:sz w:val="30"/>
          <w:szCs w:val="30"/>
        </w:rPr>
        <w:t>万元，增长</w:t>
      </w:r>
      <w:r>
        <w:rPr>
          <w:rFonts w:hint="eastAsia" w:ascii="仿宋" w:hAnsi="仿宋" w:eastAsia="仿宋"/>
          <w:sz w:val="30"/>
          <w:szCs w:val="30"/>
          <w:lang w:val="en-US" w:eastAsia="zh-CN"/>
        </w:rPr>
        <w:t>16.59</w:t>
      </w:r>
      <w:r>
        <w:rPr>
          <w:rFonts w:hint="eastAsia" w:ascii="仿宋" w:hAnsi="仿宋" w:eastAsia="仿宋"/>
          <w:sz w:val="30"/>
          <w:szCs w:val="30"/>
        </w:rPr>
        <w:t>%，主要原因是：</w:t>
      </w:r>
      <w:r>
        <w:rPr>
          <w:rFonts w:hint="eastAsia" w:ascii="仿宋" w:hAnsi="仿宋" w:eastAsia="仿宋"/>
          <w:sz w:val="32"/>
          <w:szCs w:val="32"/>
          <w:lang w:val="en-US" w:eastAsia="zh-CN"/>
        </w:rPr>
        <w:t>一</w:t>
      </w:r>
      <w:r>
        <w:rPr>
          <w:rFonts w:hint="eastAsia" w:ascii="仿宋" w:hAnsi="仿宋" w:eastAsia="仿宋"/>
          <w:sz w:val="32"/>
          <w:szCs w:val="32"/>
        </w:rPr>
        <w:t>人员经费增人增资；</w:t>
      </w:r>
      <w:r>
        <w:rPr>
          <w:rFonts w:hint="eastAsia" w:ascii="仿宋" w:hAnsi="仿宋" w:eastAsia="仿宋"/>
          <w:sz w:val="32"/>
          <w:szCs w:val="32"/>
          <w:lang w:val="en-US" w:eastAsia="zh-CN"/>
        </w:rPr>
        <w:t>二</w:t>
      </w:r>
      <w:r>
        <w:rPr>
          <w:rFonts w:hint="eastAsia" w:ascii="仿宋" w:hAnsi="仿宋" w:eastAsia="仿宋"/>
          <w:sz w:val="32"/>
          <w:szCs w:val="32"/>
        </w:rPr>
        <w:t>是公安业务工作量的增加而导致经费支出增加</w:t>
      </w:r>
      <w:r>
        <w:rPr>
          <w:rFonts w:hint="eastAsia" w:ascii="仿宋" w:hAnsi="仿宋" w:eastAsia="仿宋"/>
          <w:sz w:val="30"/>
          <w:szCs w:val="30"/>
        </w:rPr>
        <w:t>；年末结转和结余</w:t>
      </w:r>
      <w:r>
        <w:rPr>
          <w:rFonts w:hint="eastAsia" w:ascii="仿宋" w:hAnsi="仿宋" w:eastAsia="仿宋"/>
          <w:sz w:val="30"/>
          <w:szCs w:val="30"/>
          <w:lang w:val="en-US" w:eastAsia="zh-CN"/>
        </w:rPr>
        <w:t>1286.25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3201.08</w:t>
      </w:r>
      <w:r>
        <w:rPr>
          <w:rFonts w:hint="eastAsia" w:ascii="仿宋" w:hAnsi="仿宋" w:eastAsia="仿宋"/>
          <w:sz w:val="30"/>
          <w:szCs w:val="30"/>
        </w:rPr>
        <w:t>万元，下降</w:t>
      </w:r>
      <w:r>
        <w:rPr>
          <w:rFonts w:hint="eastAsia" w:ascii="仿宋" w:hAnsi="仿宋" w:eastAsia="仿宋"/>
          <w:sz w:val="30"/>
          <w:szCs w:val="30"/>
          <w:lang w:val="en-US" w:eastAsia="zh-CN"/>
        </w:rPr>
        <w:t>71.33</w:t>
      </w:r>
      <w:r>
        <w:rPr>
          <w:rFonts w:hint="eastAsia" w:ascii="仿宋" w:hAnsi="仿宋" w:eastAsia="仿宋"/>
          <w:sz w:val="30"/>
          <w:szCs w:val="30"/>
        </w:rPr>
        <w:t>%，主要原因是：</w:t>
      </w:r>
      <w:r>
        <w:rPr>
          <w:rFonts w:hint="eastAsia" w:ascii="仿宋" w:hAnsi="仿宋" w:eastAsia="仿宋"/>
          <w:sz w:val="30"/>
          <w:szCs w:val="30"/>
          <w:lang w:val="en-US" w:eastAsia="zh-CN"/>
        </w:rPr>
        <w:t>盘活存量资金，加</w:t>
      </w:r>
      <w:r>
        <w:rPr>
          <w:rFonts w:hint="eastAsia" w:ascii="仿宋" w:hAnsi="仿宋" w:eastAsia="仿宋"/>
          <w:sz w:val="32"/>
          <w:szCs w:val="32"/>
          <w:lang w:val="en-US" w:eastAsia="zh-CN"/>
        </w:rPr>
        <w:t>大以前年度结余资金清理力度。</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2"/>
          <w:szCs w:val="32"/>
          <w:lang w:val="en-US" w:eastAsia="zh-CN"/>
        </w:rPr>
        <w:t>39636.8</w:t>
      </w:r>
      <w:r>
        <w:rPr>
          <w:rFonts w:hint="eastAsia" w:ascii="仿宋" w:hAnsi="仿宋" w:eastAsia="仿宋"/>
          <w:sz w:val="30"/>
          <w:szCs w:val="30"/>
        </w:rPr>
        <w:t>万元，占</w:t>
      </w:r>
      <w:r>
        <w:rPr>
          <w:rFonts w:hint="eastAsia" w:ascii="仿宋" w:hAnsi="仿宋" w:eastAsia="仿宋"/>
          <w:sz w:val="30"/>
          <w:szCs w:val="30"/>
          <w:lang w:val="en-US" w:eastAsia="zh-CN"/>
        </w:rPr>
        <w:t>80.35</w:t>
      </w:r>
      <w:r>
        <w:rPr>
          <w:rFonts w:hint="eastAsia" w:ascii="仿宋" w:hAnsi="仿宋" w:eastAsia="仿宋"/>
          <w:sz w:val="30"/>
          <w:szCs w:val="30"/>
        </w:rPr>
        <w:t>%；项目支出</w:t>
      </w:r>
      <w:r>
        <w:rPr>
          <w:rFonts w:hint="eastAsia" w:ascii="仿宋" w:hAnsi="仿宋" w:eastAsia="仿宋"/>
          <w:sz w:val="32"/>
          <w:szCs w:val="32"/>
          <w:lang w:val="en-US" w:eastAsia="zh-CN"/>
        </w:rPr>
        <w:t>9688.39</w:t>
      </w:r>
      <w:r>
        <w:rPr>
          <w:rFonts w:hint="eastAsia" w:ascii="仿宋" w:hAnsi="仿宋" w:eastAsia="仿宋"/>
          <w:sz w:val="30"/>
          <w:szCs w:val="30"/>
        </w:rPr>
        <w:t>万元，占</w:t>
      </w:r>
      <w:r>
        <w:rPr>
          <w:rFonts w:hint="eastAsia" w:ascii="仿宋" w:hAnsi="仿宋" w:eastAsia="仿宋"/>
          <w:sz w:val="30"/>
          <w:szCs w:val="30"/>
          <w:lang w:val="en-US" w:eastAsia="zh-CN"/>
        </w:rPr>
        <w:t>19.65</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28544.42</w:t>
      </w:r>
      <w:r>
        <w:rPr>
          <w:rFonts w:hint="eastAsia" w:ascii="仿宋" w:hAnsi="仿宋" w:eastAsia="仿宋"/>
          <w:sz w:val="30"/>
          <w:szCs w:val="30"/>
        </w:rPr>
        <w:t>万元，决算数为</w:t>
      </w:r>
      <w:r>
        <w:rPr>
          <w:rFonts w:hint="eastAsia" w:ascii="仿宋" w:hAnsi="仿宋" w:eastAsia="仿宋"/>
          <w:sz w:val="30"/>
          <w:szCs w:val="30"/>
          <w:lang w:val="en-US" w:eastAsia="zh-CN"/>
        </w:rPr>
        <w:t>46006.75</w:t>
      </w:r>
      <w:r>
        <w:rPr>
          <w:rFonts w:hint="eastAsia" w:ascii="仿宋" w:hAnsi="仿宋" w:eastAsia="仿宋"/>
          <w:sz w:val="30"/>
          <w:szCs w:val="30"/>
        </w:rPr>
        <w:t>万元，完成年初预算的</w:t>
      </w:r>
      <w:r>
        <w:rPr>
          <w:rFonts w:hint="eastAsia" w:ascii="仿宋" w:hAnsi="仿宋" w:eastAsia="仿宋"/>
          <w:sz w:val="30"/>
          <w:szCs w:val="30"/>
          <w:lang w:val="en-US" w:eastAsia="zh-CN"/>
        </w:rPr>
        <w:t>161.17</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14</w:t>
      </w:r>
      <w:r>
        <w:rPr>
          <w:rFonts w:hint="eastAsia" w:ascii="仿宋" w:hAnsi="仿宋" w:eastAsia="仿宋"/>
          <w:sz w:val="30"/>
          <w:szCs w:val="30"/>
        </w:rPr>
        <w:t>万元，决算数为</w:t>
      </w:r>
      <w:r>
        <w:rPr>
          <w:rFonts w:hint="eastAsia" w:ascii="仿宋" w:hAnsi="仿宋" w:eastAsia="仿宋"/>
          <w:sz w:val="30"/>
          <w:szCs w:val="30"/>
          <w:lang w:val="en-US" w:eastAsia="zh-CN"/>
        </w:rPr>
        <w:t>37.04</w:t>
      </w:r>
      <w:r>
        <w:rPr>
          <w:rFonts w:hint="eastAsia" w:ascii="仿宋" w:hAnsi="仿宋" w:eastAsia="仿宋"/>
          <w:sz w:val="30"/>
          <w:szCs w:val="30"/>
        </w:rPr>
        <w:t>万元，完成年初预算的</w:t>
      </w:r>
      <w:r>
        <w:rPr>
          <w:rFonts w:hint="eastAsia" w:ascii="仿宋" w:hAnsi="仿宋" w:eastAsia="仿宋"/>
          <w:sz w:val="30"/>
          <w:szCs w:val="30"/>
          <w:lang w:val="en-US" w:eastAsia="zh-CN"/>
        </w:rPr>
        <w:t>264.57</w:t>
      </w:r>
      <w:r>
        <w:rPr>
          <w:rFonts w:hint="eastAsia" w:ascii="仿宋" w:hAnsi="仿宋" w:eastAsia="仿宋"/>
          <w:sz w:val="30"/>
          <w:szCs w:val="30"/>
        </w:rPr>
        <w:t>%，主要原因是：</w:t>
      </w:r>
      <w:r>
        <w:rPr>
          <w:rFonts w:hint="eastAsia" w:ascii="仿宋" w:hAnsi="仿宋" w:eastAsia="仿宋"/>
          <w:sz w:val="30"/>
          <w:szCs w:val="30"/>
          <w:lang w:val="en-US" w:eastAsia="zh-CN"/>
        </w:rPr>
        <w:t>消化上年度结余资金</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（二）公共安全支出年初预算数为</w:t>
      </w:r>
      <w:r>
        <w:rPr>
          <w:rFonts w:hint="eastAsia" w:ascii="仿宋" w:hAnsi="仿宋" w:eastAsia="仿宋"/>
          <w:sz w:val="30"/>
          <w:szCs w:val="30"/>
          <w:lang w:val="en-US" w:eastAsia="zh-CN"/>
        </w:rPr>
        <w:t>24957.62</w:t>
      </w:r>
      <w:r>
        <w:rPr>
          <w:rFonts w:hint="eastAsia" w:ascii="仿宋" w:hAnsi="仿宋" w:eastAsia="仿宋"/>
          <w:sz w:val="30"/>
          <w:szCs w:val="30"/>
        </w:rPr>
        <w:t>万元，决算数为</w:t>
      </w:r>
      <w:r>
        <w:rPr>
          <w:rFonts w:hint="eastAsia" w:ascii="仿宋" w:hAnsi="仿宋" w:eastAsia="仿宋"/>
          <w:sz w:val="30"/>
          <w:szCs w:val="30"/>
          <w:lang w:val="en-US" w:eastAsia="zh-CN"/>
        </w:rPr>
        <w:t>42869.94</w:t>
      </w:r>
      <w:r>
        <w:rPr>
          <w:rFonts w:hint="eastAsia" w:ascii="仿宋" w:hAnsi="仿宋" w:eastAsia="仿宋"/>
          <w:sz w:val="30"/>
          <w:szCs w:val="30"/>
        </w:rPr>
        <w:t>万元，完成年初预算的</w:t>
      </w:r>
      <w:r>
        <w:rPr>
          <w:rFonts w:hint="eastAsia" w:ascii="仿宋" w:hAnsi="仿宋" w:eastAsia="仿宋"/>
          <w:sz w:val="30"/>
          <w:szCs w:val="30"/>
          <w:lang w:val="en-US" w:eastAsia="zh-CN"/>
        </w:rPr>
        <w:t>171.77</w:t>
      </w:r>
      <w:r>
        <w:rPr>
          <w:rFonts w:hint="eastAsia" w:ascii="仿宋" w:hAnsi="仿宋" w:eastAsia="仿宋"/>
          <w:sz w:val="30"/>
          <w:szCs w:val="30"/>
        </w:rPr>
        <w:t>%，主要原因是：</w:t>
      </w:r>
      <w:r>
        <w:rPr>
          <w:rFonts w:hint="eastAsia" w:ascii="仿宋" w:hAnsi="仿宋" w:eastAsia="仿宋" w:cs="仿宋"/>
          <w:b w:val="0"/>
          <w:bCs w:val="0"/>
          <w:sz w:val="32"/>
          <w:szCs w:val="32"/>
          <w:lang w:val="en-US" w:eastAsia="zh-CN"/>
        </w:rPr>
        <w:t>财政预算追加下达政法转移支付、人员经费、专项资金</w:t>
      </w:r>
      <w:r>
        <w:rPr>
          <w:rFonts w:hint="eastAsia" w:ascii="仿宋" w:hAnsi="仿宋" w:eastAsia="仿宋"/>
          <w:sz w:val="30"/>
          <w:szCs w:val="30"/>
        </w:rPr>
        <w:t>。</w:t>
      </w:r>
    </w:p>
    <w:p>
      <w:pPr>
        <w:ind w:firstLine="630"/>
        <w:jc w:val="left"/>
        <w:rPr>
          <w:rFonts w:hint="eastAsia" w:ascii="仿宋" w:hAnsi="仿宋" w:eastAsia="仿宋"/>
          <w:sz w:val="30"/>
          <w:szCs w:val="30"/>
          <w:lang w:val="en-US"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三</w:t>
      </w:r>
      <w:r>
        <w:rPr>
          <w:rFonts w:hint="eastAsia" w:ascii="仿宋" w:hAnsi="仿宋" w:eastAsia="仿宋"/>
          <w:sz w:val="30"/>
          <w:szCs w:val="30"/>
          <w:lang w:eastAsia="zh-CN"/>
        </w:rPr>
        <w:t>）</w:t>
      </w:r>
      <w:r>
        <w:rPr>
          <w:rFonts w:hint="eastAsia" w:ascii="仿宋" w:hAnsi="仿宋" w:eastAsia="仿宋"/>
          <w:sz w:val="30"/>
          <w:szCs w:val="30"/>
          <w:lang w:val="en-US" w:eastAsia="zh-CN"/>
        </w:rPr>
        <w:t>社会保障和就业支出年初预算数为2182.5万元，决算数为1967.73万元，完成年初预算的90.15%。</w:t>
      </w:r>
    </w:p>
    <w:p>
      <w:pPr>
        <w:ind w:firstLine="630"/>
        <w:jc w:val="left"/>
        <w:rPr>
          <w:rFonts w:hint="eastAsia" w:ascii="仿宋" w:hAnsi="仿宋" w:eastAsia="仿宋"/>
          <w:sz w:val="30"/>
          <w:szCs w:val="30"/>
          <w:lang w:val="en-US" w:eastAsia="zh-CN"/>
        </w:rPr>
      </w:pPr>
      <w:r>
        <w:rPr>
          <w:rFonts w:hint="eastAsia" w:ascii="仿宋" w:hAnsi="仿宋" w:eastAsia="仿宋"/>
          <w:sz w:val="30"/>
          <w:szCs w:val="30"/>
          <w:lang w:val="en-US" w:eastAsia="zh-CN"/>
        </w:rPr>
        <w:t>（四）卫生健康支出年初预算数为206.06万元，决算数为84.79万元，完成年初预算的41.14%。</w:t>
      </w:r>
    </w:p>
    <w:p>
      <w:pPr>
        <w:ind w:firstLine="630"/>
        <w:jc w:val="left"/>
        <w:rPr>
          <w:rFonts w:hint="eastAsia" w:ascii="仿宋" w:hAnsi="仿宋" w:eastAsia="仿宋"/>
          <w:sz w:val="30"/>
          <w:szCs w:val="30"/>
          <w:lang w:val="en-US" w:eastAsia="zh-CN"/>
        </w:rPr>
      </w:pPr>
      <w:r>
        <w:rPr>
          <w:rFonts w:hint="eastAsia" w:ascii="仿宋" w:hAnsi="仿宋" w:eastAsia="仿宋"/>
          <w:sz w:val="30"/>
          <w:szCs w:val="30"/>
          <w:lang w:val="en-US" w:eastAsia="zh-CN"/>
        </w:rPr>
        <w:t>（五）住房保障支出年初预算数为1184.24万元，决算数为1036.24万元，完成年初预算的87.5%。</w:t>
      </w:r>
    </w:p>
    <w:p>
      <w:pPr>
        <w:ind w:firstLine="630"/>
        <w:jc w:val="left"/>
        <w:rPr>
          <w:rFonts w:hint="default" w:ascii="仿宋" w:hAnsi="仿宋" w:eastAsia="仿宋"/>
          <w:sz w:val="30"/>
          <w:szCs w:val="30"/>
          <w:lang w:val="en-US" w:eastAsia="zh-CN"/>
        </w:rPr>
      </w:pPr>
      <w:r>
        <w:rPr>
          <w:rFonts w:hint="eastAsia" w:ascii="仿宋" w:hAnsi="仿宋" w:eastAsia="仿宋"/>
          <w:sz w:val="30"/>
          <w:szCs w:val="30"/>
          <w:lang w:val="en-US" w:eastAsia="zh-CN"/>
        </w:rPr>
        <w:t>（六）其他支出年初预算数为0万元，决算数为5万元，主要原因为财政追加业务经费。</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36819.48</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30313.19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7110.56</w:t>
      </w:r>
      <w:r>
        <w:rPr>
          <w:rFonts w:hint="eastAsia" w:ascii="仿宋" w:hAnsi="仿宋" w:eastAsia="仿宋"/>
          <w:sz w:val="30"/>
          <w:szCs w:val="30"/>
        </w:rPr>
        <w:t>万元，增长</w:t>
      </w:r>
      <w:r>
        <w:rPr>
          <w:rFonts w:hint="eastAsia" w:ascii="仿宋" w:hAnsi="仿宋" w:eastAsia="仿宋"/>
          <w:sz w:val="30"/>
          <w:szCs w:val="30"/>
          <w:lang w:val="en-US" w:eastAsia="zh-CN"/>
        </w:rPr>
        <w:t>30.64</w:t>
      </w:r>
      <w:r>
        <w:rPr>
          <w:rFonts w:hint="eastAsia" w:ascii="仿宋" w:hAnsi="仿宋" w:eastAsia="仿宋"/>
          <w:sz w:val="30"/>
          <w:szCs w:val="30"/>
        </w:rPr>
        <w:t>%，主要原因是：</w:t>
      </w:r>
      <w:r>
        <w:rPr>
          <w:rFonts w:hint="eastAsia" w:ascii="仿宋" w:hAnsi="仿宋" w:eastAsia="仿宋"/>
          <w:sz w:val="30"/>
          <w:szCs w:val="30"/>
          <w:lang w:val="en-US" w:eastAsia="zh-CN"/>
        </w:rPr>
        <w:t>一是补发以前年度执勤津贴、二是人员经费增人增资及公积金调标、三是奖励性工资较18年增加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5100.74</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212.34</w:t>
      </w:r>
      <w:r>
        <w:rPr>
          <w:rFonts w:hint="eastAsia" w:ascii="仿宋" w:hAnsi="仿宋" w:eastAsia="仿宋"/>
          <w:sz w:val="30"/>
          <w:szCs w:val="30"/>
        </w:rPr>
        <w:t>万元，增长</w:t>
      </w:r>
      <w:r>
        <w:rPr>
          <w:rFonts w:hint="eastAsia" w:ascii="仿宋" w:hAnsi="仿宋" w:eastAsia="仿宋"/>
          <w:sz w:val="30"/>
          <w:szCs w:val="30"/>
          <w:lang w:val="en-US" w:eastAsia="zh-CN"/>
        </w:rPr>
        <w:t>4.3</w:t>
      </w:r>
      <w:r>
        <w:rPr>
          <w:rFonts w:hint="eastAsia" w:ascii="仿宋" w:hAnsi="仿宋" w:eastAsia="仿宋"/>
          <w:sz w:val="30"/>
          <w:szCs w:val="30"/>
        </w:rPr>
        <w:t>%，主要原因是：</w:t>
      </w:r>
      <w:r>
        <w:rPr>
          <w:rFonts w:hint="eastAsia" w:ascii="仿宋" w:hAnsi="仿宋" w:eastAsia="仿宋"/>
          <w:sz w:val="30"/>
          <w:szCs w:val="30"/>
          <w:lang w:val="en-US" w:eastAsia="zh-CN"/>
        </w:rPr>
        <w:t>当年公安业务量的增加导致相应经费增长</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859.9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253</w:t>
      </w:r>
      <w:r>
        <w:rPr>
          <w:rFonts w:hint="eastAsia" w:ascii="仿宋" w:hAnsi="仿宋" w:eastAsia="仿宋"/>
          <w:sz w:val="30"/>
          <w:szCs w:val="30"/>
        </w:rPr>
        <w:t>万元，增长</w:t>
      </w:r>
      <w:r>
        <w:rPr>
          <w:rFonts w:hint="eastAsia" w:ascii="仿宋" w:hAnsi="仿宋" w:eastAsia="仿宋"/>
          <w:sz w:val="30"/>
          <w:szCs w:val="30"/>
          <w:lang w:val="en-US" w:eastAsia="zh-CN"/>
        </w:rPr>
        <w:t>41.6</w:t>
      </w:r>
      <w:r>
        <w:rPr>
          <w:rFonts w:hint="eastAsia" w:ascii="仿宋" w:hAnsi="仿宋" w:eastAsia="仿宋"/>
          <w:sz w:val="30"/>
          <w:szCs w:val="30"/>
        </w:rPr>
        <w:t>%，主要原因是：</w:t>
      </w:r>
      <w:r>
        <w:rPr>
          <w:rFonts w:hint="eastAsia" w:ascii="仿宋" w:hAnsi="仿宋" w:eastAsia="仿宋"/>
          <w:sz w:val="30"/>
          <w:szCs w:val="30"/>
          <w:lang w:val="en-US" w:eastAsia="zh-CN"/>
        </w:rPr>
        <w:t>抚恤金较2018年增加228万元</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545.65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157.65</w:t>
      </w:r>
      <w:r>
        <w:rPr>
          <w:rFonts w:hint="eastAsia" w:ascii="仿宋" w:hAnsi="仿宋" w:eastAsia="仿宋"/>
          <w:sz w:val="30"/>
          <w:szCs w:val="30"/>
        </w:rPr>
        <w:t>万元，下降</w:t>
      </w:r>
      <w:r>
        <w:rPr>
          <w:rFonts w:hint="eastAsia" w:ascii="仿宋" w:hAnsi="仿宋" w:eastAsia="仿宋"/>
          <w:sz w:val="30"/>
          <w:szCs w:val="30"/>
          <w:lang w:val="en-US" w:eastAsia="zh-CN"/>
        </w:rPr>
        <w:t>22.4</w:t>
      </w:r>
      <w:r>
        <w:rPr>
          <w:rFonts w:hint="eastAsia" w:ascii="仿宋" w:hAnsi="仿宋" w:eastAsia="仿宋"/>
          <w:sz w:val="30"/>
          <w:szCs w:val="30"/>
        </w:rPr>
        <w:t>%，主要原因是：</w:t>
      </w:r>
      <w:r>
        <w:rPr>
          <w:rFonts w:hint="eastAsia" w:ascii="仿宋" w:hAnsi="仿宋" w:eastAsia="仿宋"/>
          <w:sz w:val="30"/>
          <w:szCs w:val="30"/>
          <w:lang w:val="en-US" w:eastAsia="zh-CN"/>
        </w:rPr>
        <w:t>规范支出管理，缩紧经费开支，规范项目管理</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818.21</w:t>
      </w:r>
      <w:r>
        <w:rPr>
          <w:rFonts w:hint="eastAsia" w:ascii="仿宋" w:hAnsi="仿宋" w:eastAsia="仿宋"/>
          <w:sz w:val="30"/>
          <w:szCs w:val="30"/>
        </w:rPr>
        <w:t>万元，决算数为</w:t>
      </w:r>
      <w:r>
        <w:rPr>
          <w:rFonts w:hint="eastAsia" w:ascii="仿宋" w:hAnsi="仿宋" w:eastAsia="仿宋"/>
          <w:sz w:val="30"/>
          <w:szCs w:val="30"/>
          <w:lang w:val="en-US" w:eastAsia="zh-CN"/>
        </w:rPr>
        <w:t>349.88</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42.7</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37.39</w:t>
      </w:r>
      <w:r>
        <w:rPr>
          <w:rFonts w:hint="eastAsia" w:ascii="仿宋" w:hAnsi="仿宋" w:eastAsia="仿宋"/>
          <w:sz w:val="30"/>
          <w:szCs w:val="30"/>
        </w:rPr>
        <w:t>万元，增长</w:t>
      </w:r>
      <w:r>
        <w:rPr>
          <w:rFonts w:hint="eastAsia" w:ascii="仿宋" w:hAnsi="仿宋" w:eastAsia="仿宋"/>
          <w:sz w:val="30"/>
          <w:szCs w:val="30"/>
          <w:lang w:val="en-US" w:eastAsia="zh-CN"/>
        </w:rPr>
        <w:t>11.96</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33.5</w:t>
      </w:r>
      <w:r>
        <w:rPr>
          <w:rFonts w:hint="eastAsia" w:ascii="仿宋" w:hAnsi="仿宋" w:eastAsia="仿宋"/>
          <w:sz w:val="30"/>
          <w:szCs w:val="30"/>
        </w:rPr>
        <w:t>万元，决算数为</w:t>
      </w:r>
      <w:r>
        <w:rPr>
          <w:rFonts w:hint="eastAsia" w:ascii="仿宋" w:hAnsi="仿宋" w:eastAsia="仿宋"/>
          <w:sz w:val="30"/>
          <w:szCs w:val="30"/>
          <w:lang w:val="en-US" w:eastAsia="zh-CN"/>
        </w:rPr>
        <w:t>4.6</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13.7</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9.99</w:t>
      </w:r>
      <w:r>
        <w:rPr>
          <w:rFonts w:hint="eastAsia" w:ascii="仿宋" w:hAnsi="仿宋" w:eastAsia="仿宋"/>
          <w:sz w:val="30"/>
          <w:szCs w:val="30"/>
        </w:rPr>
        <w:t>万元，下降</w:t>
      </w:r>
      <w:r>
        <w:rPr>
          <w:rFonts w:hint="eastAsia" w:ascii="仿宋" w:hAnsi="仿宋" w:eastAsia="仿宋"/>
          <w:sz w:val="30"/>
          <w:szCs w:val="30"/>
          <w:lang w:val="en-US" w:eastAsia="zh-CN"/>
        </w:rPr>
        <w:t>68.47</w:t>
      </w:r>
      <w:r>
        <w:rPr>
          <w:rFonts w:hint="eastAsia" w:ascii="仿宋" w:hAnsi="仿宋" w:eastAsia="仿宋"/>
          <w:sz w:val="30"/>
          <w:szCs w:val="30"/>
        </w:rPr>
        <w:t>%。决算数较年初预算数减少的主要原因是：</w:t>
      </w:r>
      <w:r>
        <w:rPr>
          <w:rFonts w:hint="eastAsia" w:ascii="仿宋" w:hAnsi="仿宋" w:eastAsia="仿宋"/>
          <w:sz w:val="30"/>
          <w:szCs w:val="30"/>
          <w:lang w:val="en-US" w:eastAsia="zh-CN"/>
        </w:rPr>
        <w:t>因公出国（境）业务减少</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40.5</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10.55</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26</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3.1</w:t>
      </w:r>
      <w:r>
        <w:rPr>
          <w:rFonts w:hint="eastAsia" w:ascii="仿宋" w:hAnsi="仿宋" w:eastAsia="仿宋"/>
          <w:sz w:val="30"/>
          <w:szCs w:val="30"/>
        </w:rPr>
        <w:t>万元，增长</w:t>
      </w:r>
      <w:r>
        <w:rPr>
          <w:rFonts w:hint="eastAsia" w:ascii="仿宋" w:hAnsi="仿宋" w:eastAsia="仿宋"/>
          <w:sz w:val="30"/>
          <w:szCs w:val="30"/>
          <w:lang w:val="en-US" w:eastAsia="zh-CN"/>
        </w:rPr>
        <w:t>41</w:t>
      </w:r>
      <w:r>
        <w:rPr>
          <w:rFonts w:hint="eastAsia" w:ascii="仿宋" w:hAnsi="仿宋" w:eastAsia="仿宋"/>
          <w:sz w:val="30"/>
          <w:szCs w:val="30"/>
        </w:rPr>
        <w:t>%。决算数较年初预算数增加的主要原因是：</w:t>
      </w:r>
      <w:r>
        <w:rPr>
          <w:rFonts w:hint="eastAsia" w:ascii="仿宋" w:hAnsi="仿宋" w:eastAsia="仿宋"/>
          <w:sz w:val="30"/>
          <w:szCs w:val="30"/>
          <w:lang w:val="en-US" w:eastAsia="zh-CN"/>
        </w:rPr>
        <w:t>2019年发生4.05万元接待外国访团费用</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744.21</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192</w:t>
      </w:r>
      <w:r>
        <w:rPr>
          <w:rFonts w:hint="eastAsia" w:ascii="仿宋" w:hAnsi="仿宋" w:eastAsia="仿宋"/>
          <w:sz w:val="30"/>
          <w:szCs w:val="30"/>
        </w:rPr>
        <w:t>万元，决算数为</w:t>
      </w:r>
      <w:r>
        <w:rPr>
          <w:rFonts w:hint="eastAsia" w:ascii="仿宋" w:hAnsi="仿宋" w:eastAsia="仿宋"/>
          <w:sz w:val="30"/>
          <w:szCs w:val="30"/>
          <w:lang w:val="en-US" w:eastAsia="zh-CN"/>
        </w:rPr>
        <w:t>94.39</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49.1</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63.91</w:t>
      </w:r>
      <w:r>
        <w:rPr>
          <w:rFonts w:hint="eastAsia" w:ascii="仿宋" w:hAnsi="仿宋" w:eastAsia="仿宋"/>
          <w:sz w:val="30"/>
          <w:szCs w:val="30"/>
        </w:rPr>
        <w:t>万元，增长</w:t>
      </w:r>
      <w:r>
        <w:rPr>
          <w:rFonts w:hint="eastAsia" w:ascii="仿宋" w:hAnsi="仿宋" w:eastAsia="仿宋"/>
          <w:sz w:val="30"/>
          <w:szCs w:val="30"/>
          <w:lang w:val="en-US" w:eastAsia="zh-CN"/>
        </w:rPr>
        <w:t>209</w:t>
      </w:r>
      <w:r>
        <w:rPr>
          <w:rFonts w:hint="eastAsia" w:ascii="仿宋" w:hAnsi="仿宋" w:eastAsia="仿宋"/>
          <w:sz w:val="30"/>
          <w:szCs w:val="30"/>
        </w:rPr>
        <w:t>%。决算数较年初预算数减少的主要原因是：</w:t>
      </w:r>
      <w:r>
        <w:rPr>
          <w:rFonts w:hint="eastAsia" w:ascii="仿宋" w:hAnsi="仿宋" w:eastAsia="仿宋"/>
          <w:sz w:val="30"/>
          <w:szCs w:val="30"/>
          <w:lang w:val="en-US" w:eastAsia="zh-CN"/>
        </w:rPr>
        <w:t>珠山分局年初公车购置未发生</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552.21</w:t>
      </w:r>
      <w:r>
        <w:rPr>
          <w:rFonts w:hint="eastAsia" w:ascii="仿宋" w:hAnsi="仿宋" w:eastAsia="仿宋"/>
          <w:sz w:val="30"/>
          <w:szCs w:val="30"/>
        </w:rPr>
        <w:t>万元，决算数为</w:t>
      </w:r>
      <w:r>
        <w:rPr>
          <w:rFonts w:hint="eastAsia" w:ascii="仿宋" w:hAnsi="仿宋" w:eastAsia="仿宋"/>
          <w:sz w:val="30"/>
          <w:szCs w:val="30"/>
          <w:lang w:val="en-US" w:eastAsia="zh-CN"/>
        </w:rPr>
        <w:t>240.34</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43</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19.64</w:t>
      </w:r>
      <w:r>
        <w:rPr>
          <w:rFonts w:hint="eastAsia" w:ascii="仿宋" w:hAnsi="仿宋" w:eastAsia="仿宋"/>
          <w:sz w:val="30"/>
          <w:szCs w:val="30"/>
        </w:rPr>
        <w:t>万元，下降</w:t>
      </w:r>
      <w:r>
        <w:rPr>
          <w:rFonts w:hint="eastAsia" w:ascii="仿宋" w:hAnsi="仿宋" w:eastAsia="仿宋"/>
          <w:sz w:val="30"/>
          <w:szCs w:val="30"/>
          <w:lang w:val="en-US" w:eastAsia="zh-CN"/>
        </w:rPr>
        <w:t>7</w:t>
      </w:r>
      <w:r>
        <w:rPr>
          <w:rFonts w:hint="eastAsia" w:ascii="仿宋" w:hAnsi="仿宋" w:eastAsia="仿宋"/>
          <w:sz w:val="30"/>
          <w:szCs w:val="30"/>
        </w:rPr>
        <w:t>%。决算数较年初预算数减少的主要原因是：</w:t>
      </w:r>
      <w:r>
        <w:rPr>
          <w:rFonts w:hint="eastAsia" w:ascii="仿宋" w:hAnsi="仿宋" w:eastAsia="仿宋"/>
          <w:sz w:val="30"/>
          <w:szCs w:val="30"/>
          <w:lang w:val="en-US" w:eastAsia="zh-CN"/>
        </w:rPr>
        <w:t>严格按照预算执行，逐步压缩三公经费开支</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default" w:ascii="仿宋" w:hAnsi="仿宋" w:eastAsia="仿宋"/>
          <w:b w:val="0"/>
          <w:bCs w:val="0"/>
          <w:sz w:val="30"/>
          <w:szCs w:val="30"/>
          <w:lang w:val="en-US"/>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5646.39</w:t>
      </w:r>
      <w:r>
        <w:rPr>
          <w:rFonts w:hint="eastAsia" w:ascii="仿宋" w:hAnsi="仿宋" w:eastAsia="仿宋"/>
          <w:sz w:val="30"/>
          <w:szCs w:val="30"/>
        </w:rPr>
        <w:t>万元（与部门决算中行政单位和参照公务员法管理事业单位一般公共预算财政拨款基本支出中公用经费之和保持一致），较年初预算数减少</w:t>
      </w:r>
      <w:r>
        <w:rPr>
          <w:rFonts w:hint="eastAsia" w:ascii="仿宋" w:hAnsi="仿宋" w:eastAsia="仿宋"/>
          <w:sz w:val="30"/>
          <w:szCs w:val="30"/>
          <w:lang w:val="en-US" w:eastAsia="zh-CN"/>
        </w:rPr>
        <w:t>304.29</w:t>
      </w:r>
      <w:r>
        <w:rPr>
          <w:rFonts w:hint="eastAsia" w:ascii="仿宋" w:hAnsi="仿宋" w:eastAsia="仿宋"/>
          <w:sz w:val="30"/>
          <w:szCs w:val="30"/>
        </w:rPr>
        <w:t>万元，降低</w:t>
      </w:r>
      <w:r>
        <w:rPr>
          <w:rFonts w:hint="eastAsia" w:ascii="仿宋" w:hAnsi="仿宋" w:eastAsia="仿宋"/>
          <w:sz w:val="30"/>
          <w:szCs w:val="30"/>
          <w:lang w:val="en-US" w:eastAsia="zh-CN"/>
        </w:rPr>
        <w:t>5.7</w:t>
      </w:r>
      <w:r>
        <w:rPr>
          <w:rFonts w:hint="eastAsia" w:ascii="仿宋" w:hAnsi="仿宋" w:eastAsia="仿宋"/>
          <w:sz w:val="30"/>
          <w:szCs w:val="30"/>
        </w:rPr>
        <w:t>%，主要原因是：</w:t>
      </w:r>
      <w:r>
        <w:rPr>
          <w:rFonts w:hint="eastAsia" w:ascii="仿宋" w:hAnsi="仿宋" w:eastAsia="仿宋"/>
          <w:b w:val="0"/>
          <w:bCs w:val="0"/>
          <w:sz w:val="30"/>
          <w:szCs w:val="30"/>
          <w:lang w:val="en-US" w:eastAsia="zh-CN"/>
        </w:rPr>
        <w:t>落实过紧日子要求压减一般性开展</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5"/>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3276.28</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1836.02</w:t>
      </w:r>
      <w:r>
        <w:rPr>
          <w:rFonts w:hint="eastAsia" w:ascii="仿宋" w:hAnsi="仿宋" w:eastAsia="仿宋"/>
          <w:sz w:val="30"/>
          <w:szCs w:val="30"/>
        </w:rPr>
        <w:t>万元、政府采购工程支出</w:t>
      </w:r>
      <w:r>
        <w:rPr>
          <w:rFonts w:hint="eastAsia" w:ascii="仿宋" w:hAnsi="仿宋" w:eastAsia="仿宋"/>
          <w:sz w:val="30"/>
          <w:szCs w:val="30"/>
          <w:lang w:val="en-US" w:eastAsia="zh-CN"/>
        </w:rPr>
        <w:t>1013.41</w:t>
      </w:r>
      <w:r>
        <w:rPr>
          <w:rFonts w:hint="eastAsia" w:ascii="仿宋" w:hAnsi="仿宋" w:eastAsia="仿宋"/>
          <w:sz w:val="30"/>
          <w:szCs w:val="30"/>
        </w:rPr>
        <w:t>万元、政府采购服务支出</w:t>
      </w:r>
      <w:r>
        <w:rPr>
          <w:rFonts w:hint="eastAsia" w:ascii="仿宋" w:hAnsi="仿宋" w:eastAsia="仿宋"/>
          <w:sz w:val="30"/>
          <w:szCs w:val="30"/>
          <w:lang w:val="en-US" w:eastAsia="zh-CN"/>
        </w:rPr>
        <w:t>426.84</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3276.28</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100</w:t>
      </w:r>
      <w:r>
        <w:rPr>
          <w:rFonts w:hint="eastAsia" w:ascii="仿宋" w:hAnsi="仿宋" w:eastAsia="仿宋"/>
          <w:sz w:val="30"/>
          <w:szCs w:val="30"/>
        </w:rPr>
        <w:t>%。（省级部门公开的政府采购金额的计算口径为：本部门纳入201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cs="仿宋_GB2312"/>
          <w:kern w:val="0"/>
          <w:sz w:val="30"/>
          <w:szCs w:val="30"/>
        </w:rPr>
        <w:t>截止201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年12月31日，本部门</w:t>
      </w:r>
      <w:r>
        <w:rPr>
          <w:rFonts w:hint="eastAsia" w:ascii="仿宋" w:hAnsi="仿宋" w:eastAsia="仿宋" w:cs="仿宋_GB2312"/>
          <w:kern w:val="0"/>
          <w:sz w:val="30"/>
          <w:szCs w:val="30"/>
          <w:lang w:val="en-US" w:eastAsia="zh-CN"/>
        </w:rPr>
        <w:t>国有资产占用情况见公开09表《国有资产占用情况表》。其中车辆中的</w:t>
      </w:r>
      <w:r>
        <w:rPr>
          <w:rFonts w:hint="eastAsia" w:ascii="仿宋" w:hAnsi="仿宋" w:eastAsia="仿宋" w:cs="仿宋_GB2312"/>
          <w:kern w:val="0"/>
          <w:sz w:val="30"/>
          <w:szCs w:val="30"/>
        </w:rPr>
        <w:t>其他用车主要是</w:t>
      </w:r>
      <w:r>
        <w:rPr>
          <w:rFonts w:hint="eastAsia" w:ascii="仿宋" w:hAnsi="仿宋" w:eastAsia="仿宋" w:cs="仿宋_GB2312"/>
          <w:kern w:val="0"/>
          <w:sz w:val="30"/>
          <w:szCs w:val="30"/>
          <w:lang w:val="en-US" w:eastAsia="zh-CN"/>
        </w:rPr>
        <w:t>执法执勤车辆266辆，特种车辆3辆，其他</w:t>
      </w:r>
      <w:r>
        <w:rPr>
          <w:rFonts w:hint="eastAsia" w:ascii="仿宋" w:hAnsi="仿宋" w:eastAsia="仿宋"/>
          <w:kern w:val="0"/>
          <w:sz w:val="30"/>
          <w:szCs w:val="30"/>
          <w:lang w:val="en-US" w:eastAsia="zh-CN"/>
        </w:rPr>
        <w:t>车辆114辆</w:t>
      </w:r>
      <w:r>
        <w:rPr>
          <w:rFonts w:hint="eastAsia" w:ascii="仿宋" w:hAnsi="仿宋" w:eastAsia="仿宋"/>
          <w:kern w:val="0"/>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firstLineChars="200"/>
        <w:jc w:val="left"/>
        <w:rPr>
          <w:rFonts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年度支出全面开展绩效自评，共涉及资金</w:t>
      </w:r>
      <w:r>
        <w:rPr>
          <w:rFonts w:hint="eastAsia" w:ascii="仿宋" w:hAnsi="仿宋" w:eastAsia="仿宋" w:cs="仿宋_GB2312"/>
          <w:kern w:val="0"/>
          <w:sz w:val="30"/>
          <w:szCs w:val="30"/>
          <w:lang w:val="en-US" w:eastAsia="zh-CN"/>
        </w:rPr>
        <w:t>49325.18</w:t>
      </w:r>
      <w:r>
        <w:rPr>
          <w:rFonts w:hint="eastAsia" w:ascii="仿宋" w:hAnsi="仿宋" w:eastAsia="仿宋" w:cs="仿宋_GB2312"/>
          <w:kern w:val="0"/>
          <w:sz w:val="30"/>
          <w:szCs w:val="30"/>
        </w:rPr>
        <w:t>万元，占支出总额的</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w:t>
      </w:r>
    </w:p>
    <w:p>
      <w:pPr>
        <w:ind w:firstLine="630"/>
        <w:jc w:val="left"/>
        <w:rPr>
          <w:rFonts w:hint="eastAsia" w:ascii="仿宋" w:hAnsi="仿宋" w:eastAsia="仿宋" w:cs="仿宋_GB2312"/>
          <w:kern w:val="0"/>
          <w:sz w:val="30"/>
          <w:szCs w:val="30"/>
        </w:rPr>
      </w:pPr>
      <w:r>
        <w:rPr>
          <w:rFonts w:hint="eastAsia" w:ascii="仿宋" w:hAnsi="仿宋" w:eastAsia="仿宋" w:cs="仿宋_GB2312"/>
          <w:kern w:val="0"/>
          <w:sz w:val="30"/>
          <w:szCs w:val="30"/>
        </w:rPr>
        <w:t>通过收集的资料，结合制定的《景德镇市公安局部门整体支出绩效评价指标体系》，分别从投入、过程、产出、效果四个方面做出以下分析：</w:t>
      </w:r>
    </w:p>
    <w:p>
      <w:pPr>
        <w:ind w:firstLine="630"/>
        <w:jc w:val="left"/>
        <w:rPr>
          <w:rFonts w:hint="eastAsia" w:ascii="仿宋" w:hAnsi="仿宋" w:eastAsia="仿宋" w:cs="仿宋_GB2312"/>
          <w:kern w:val="0"/>
          <w:sz w:val="30"/>
          <w:szCs w:val="30"/>
        </w:rPr>
      </w:pPr>
      <w:r>
        <w:rPr>
          <w:rFonts w:hint="eastAsia" w:ascii="仿宋" w:hAnsi="仿宋" w:eastAsia="仿宋" w:cs="仿宋_GB2312"/>
          <w:kern w:val="0"/>
          <w:sz w:val="30"/>
          <w:szCs w:val="30"/>
        </w:rPr>
        <w:t>1、投入指标分析</w:t>
      </w:r>
    </w:p>
    <w:p>
      <w:pPr>
        <w:ind w:firstLine="630"/>
        <w:jc w:val="left"/>
        <w:rPr>
          <w:rFonts w:hint="eastAsia" w:ascii="仿宋" w:hAnsi="仿宋" w:eastAsia="仿宋" w:cs="仿宋_GB2312"/>
          <w:kern w:val="0"/>
          <w:sz w:val="30"/>
          <w:szCs w:val="30"/>
        </w:rPr>
      </w:pPr>
      <w:r>
        <w:rPr>
          <w:rFonts w:hint="eastAsia" w:ascii="仿宋" w:hAnsi="仿宋" w:eastAsia="仿宋" w:cs="仿宋_GB2312"/>
          <w:kern w:val="0"/>
          <w:sz w:val="30"/>
          <w:szCs w:val="30"/>
        </w:rPr>
        <w:t>（1）该指标由2个二级指标和5个五级指标构成。投入指标的权重分值为10分，实际得分为8.2 分，得分率为82 %。</w:t>
      </w:r>
    </w:p>
    <w:p>
      <w:pPr>
        <w:spacing w:line="460" w:lineRule="exact"/>
        <w:rPr>
          <w:rFonts w:hint="eastAsia" w:ascii="仿宋" w:hAnsi="仿宋" w:eastAsia="仿宋" w:cs="仿宋"/>
          <w:b/>
          <w:bCs/>
          <w:sz w:val="24"/>
        </w:rPr>
      </w:pPr>
      <w:r>
        <w:rPr>
          <w:rFonts w:hint="eastAsia" w:ascii="仿宋" w:hAnsi="仿宋" w:eastAsia="仿宋" w:cs="仿宋"/>
          <w:b/>
          <w:bCs/>
          <w:sz w:val="24"/>
        </w:rPr>
        <w:t>表2投入指标分析</w:t>
      </w:r>
    </w:p>
    <w:tbl>
      <w:tblPr>
        <w:tblStyle w:val="3"/>
        <w:tblW w:w="90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450"/>
        <w:gridCol w:w="784"/>
        <w:gridCol w:w="3611"/>
        <w:gridCol w:w="1005"/>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二级指标</w:t>
            </w:r>
          </w:p>
        </w:tc>
        <w:tc>
          <w:tcPr>
            <w:tcW w:w="1450"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三级指标</w:t>
            </w:r>
          </w:p>
        </w:tc>
        <w:tc>
          <w:tcPr>
            <w:tcW w:w="784"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权重</w:t>
            </w:r>
          </w:p>
        </w:tc>
        <w:tc>
          <w:tcPr>
            <w:tcW w:w="3611"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评分说明</w:t>
            </w:r>
          </w:p>
        </w:tc>
        <w:tc>
          <w:tcPr>
            <w:tcW w:w="1005"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得分值</w:t>
            </w:r>
          </w:p>
        </w:tc>
        <w:tc>
          <w:tcPr>
            <w:tcW w:w="983"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50" w:type="dxa"/>
            <w:vMerge w:val="restart"/>
            <w:tcBorders>
              <w:bottom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A1目标设定</w:t>
            </w:r>
          </w:p>
        </w:tc>
        <w:tc>
          <w:tcPr>
            <w:tcW w:w="1450" w:type="dxa"/>
            <w:tcBorders>
              <w:left w:val="single" w:color="auto" w:sz="4" w:space="0"/>
              <w:bottom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A101-绩效目标合理性</w:t>
            </w:r>
          </w:p>
        </w:tc>
        <w:tc>
          <w:tcPr>
            <w:tcW w:w="784" w:type="dxa"/>
            <w:tcBorders>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2</w:t>
            </w:r>
          </w:p>
        </w:tc>
        <w:tc>
          <w:tcPr>
            <w:tcW w:w="3611" w:type="dxa"/>
            <w:tcBorders>
              <w:left w:val="single" w:color="auto" w:sz="4" w:space="0"/>
              <w:bottom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①行政法律法规、景德镇市国民经济和社会发展总体规划；②部门“三定”方案确定的职责；③部门制定的中长期战略规划的要求。</w:t>
            </w:r>
          </w:p>
        </w:tc>
        <w:tc>
          <w:tcPr>
            <w:tcW w:w="1005" w:type="dxa"/>
            <w:tcBorders>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1.2</w:t>
            </w:r>
          </w:p>
        </w:tc>
        <w:tc>
          <w:tcPr>
            <w:tcW w:w="983" w:type="dxa"/>
            <w:tcBorders>
              <w:left w:val="single" w:color="auto" w:sz="4" w:space="0"/>
              <w:bottom w:val="single" w:color="auto" w:sz="4" w:space="0"/>
            </w:tcBorders>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50" w:type="dxa"/>
            <w:vMerge w:val="continue"/>
            <w:tcBorders>
              <w:top w:val="single" w:color="auto" w:sz="4" w:space="0"/>
              <w:bottom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A102-绩效指标明确性</w:t>
            </w:r>
          </w:p>
        </w:tc>
        <w:tc>
          <w:tcPr>
            <w:tcW w:w="7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2</w:t>
            </w:r>
          </w:p>
        </w:tc>
        <w:tc>
          <w:tcPr>
            <w:tcW w:w="361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①将部门整体的绩效目标细化分解为具体的工作任务；②通过清晰、可衡量的指标值予以体现。 ③与部门年度的任务数或计划数相对应；④与部门年度预算资金相匹配。</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1</w:t>
            </w:r>
          </w:p>
        </w:tc>
        <w:tc>
          <w:tcPr>
            <w:tcW w:w="983" w:type="dxa"/>
            <w:tcBorders>
              <w:top w:val="single" w:color="auto" w:sz="4" w:space="0"/>
              <w:left w:val="single" w:color="auto" w:sz="4" w:space="0"/>
              <w:bottom w:val="single" w:color="auto" w:sz="4" w:space="0"/>
            </w:tcBorders>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50" w:type="dxa"/>
            <w:tcBorders>
              <w:top w:val="single" w:color="auto" w:sz="4" w:space="0"/>
              <w:bottom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合计</w:t>
            </w:r>
          </w:p>
        </w:tc>
        <w:tc>
          <w:tcPr>
            <w:tcW w:w="7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4</w:t>
            </w:r>
          </w:p>
        </w:tc>
        <w:tc>
          <w:tcPr>
            <w:tcW w:w="361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2.2</w:t>
            </w:r>
          </w:p>
        </w:tc>
        <w:tc>
          <w:tcPr>
            <w:tcW w:w="983" w:type="dxa"/>
            <w:tcBorders>
              <w:top w:val="single" w:color="auto" w:sz="4" w:space="0"/>
              <w:left w:val="single" w:color="auto" w:sz="4" w:space="0"/>
              <w:bottom w:val="single" w:color="auto" w:sz="4" w:space="0"/>
            </w:tcBorders>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restart"/>
            <w:tcBorders>
              <w:top w:val="single" w:color="auto" w:sz="4" w:space="0"/>
              <w:bottom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A2  预算配置</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A201-在职人员控制率</w:t>
            </w:r>
          </w:p>
        </w:tc>
        <w:tc>
          <w:tcPr>
            <w:tcW w:w="7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2</w:t>
            </w:r>
          </w:p>
        </w:tc>
        <w:tc>
          <w:tcPr>
            <w:tcW w:w="361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在职人员控制率=（在职人员数/编制数）×100%。控制率小于或等于100%得全部权重分。</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2</w:t>
            </w:r>
          </w:p>
        </w:tc>
        <w:tc>
          <w:tcPr>
            <w:tcW w:w="983" w:type="dxa"/>
            <w:tcBorders>
              <w:top w:val="single" w:color="auto" w:sz="4" w:space="0"/>
              <w:left w:val="single" w:color="auto" w:sz="4" w:space="0"/>
              <w:bottom w:val="single" w:color="auto" w:sz="4" w:space="0"/>
            </w:tcBorders>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tcBorders>
              <w:top w:val="single" w:color="auto" w:sz="4" w:space="0"/>
              <w:left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p>
        </w:tc>
        <w:tc>
          <w:tcPr>
            <w:tcW w:w="1450" w:type="dxa"/>
            <w:tcBorders>
              <w:top w:val="single" w:color="auto" w:sz="4" w:space="0"/>
              <w:left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A202-“三公经费”变动率</w:t>
            </w:r>
          </w:p>
        </w:tc>
        <w:tc>
          <w:tcPr>
            <w:tcW w:w="784" w:type="dxa"/>
            <w:tcBorders>
              <w:top w:val="single" w:color="auto" w:sz="4" w:space="0"/>
              <w:left w:val="single" w:color="auto" w:sz="4" w:space="0"/>
              <w:right w:val="single" w:color="auto" w:sz="4" w:space="0"/>
            </w:tcBorders>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2</w:t>
            </w:r>
          </w:p>
        </w:tc>
        <w:tc>
          <w:tcPr>
            <w:tcW w:w="3611" w:type="dxa"/>
            <w:tcBorders>
              <w:top w:val="single" w:color="auto" w:sz="4" w:space="0"/>
              <w:left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“三公经费”变动率=[（本年度“三公经费”总额-预算“三公经费”总额）/预算“三公经费”总额]×100%。</w:t>
            </w:r>
          </w:p>
        </w:tc>
        <w:tc>
          <w:tcPr>
            <w:tcW w:w="1005" w:type="dxa"/>
            <w:tcBorders>
              <w:top w:val="single" w:color="auto" w:sz="4" w:space="0"/>
              <w:left w:val="single" w:color="auto" w:sz="4" w:space="0"/>
              <w:right w:val="single" w:color="auto" w:sz="4" w:space="0"/>
            </w:tcBorders>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2</w:t>
            </w:r>
          </w:p>
        </w:tc>
        <w:tc>
          <w:tcPr>
            <w:tcW w:w="983" w:type="dxa"/>
            <w:tcBorders>
              <w:top w:val="single" w:color="auto" w:sz="4" w:space="0"/>
              <w:left w:val="single" w:color="auto" w:sz="4" w:space="0"/>
            </w:tcBorders>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250" w:type="dxa"/>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仿宋" w:hAnsi="仿宋" w:eastAsia="仿宋" w:cs="仿宋"/>
                <w:sz w:val="24"/>
              </w:rPr>
            </w:pPr>
          </w:p>
        </w:tc>
        <w:tc>
          <w:tcPr>
            <w:tcW w:w="1450" w:type="dxa"/>
            <w:tcBorders>
              <w:top w:val="single" w:color="auto" w:sz="4" w:space="0"/>
              <w:left w:val="single" w:color="auto" w:sz="4" w:space="0"/>
              <w:right w:val="single" w:color="auto" w:sz="4" w:space="0"/>
            </w:tcBorders>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A203重点支出安排率</w:t>
            </w:r>
          </w:p>
        </w:tc>
        <w:tc>
          <w:tcPr>
            <w:tcW w:w="784" w:type="dxa"/>
            <w:tcBorders>
              <w:top w:val="single" w:color="auto" w:sz="4" w:space="0"/>
              <w:left w:val="single" w:color="auto" w:sz="4" w:space="0"/>
              <w:right w:val="single" w:color="auto" w:sz="4" w:space="0"/>
            </w:tcBorders>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2</w:t>
            </w:r>
          </w:p>
        </w:tc>
        <w:tc>
          <w:tcPr>
            <w:tcW w:w="3611" w:type="dxa"/>
            <w:tcBorders>
              <w:top w:val="single" w:color="auto" w:sz="4" w:space="0"/>
              <w:left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重点支出安排率=（重点项目支出/项目总支出）×100%。部门本年度重点项目支出为专项严打行动</w:t>
            </w:r>
          </w:p>
        </w:tc>
        <w:tc>
          <w:tcPr>
            <w:tcW w:w="1005" w:type="dxa"/>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rPr>
              <w:t>2</w:t>
            </w:r>
          </w:p>
        </w:tc>
        <w:tc>
          <w:tcPr>
            <w:tcW w:w="983" w:type="dxa"/>
            <w:tcBorders>
              <w:top w:val="single" w:color="auto" w:sz="4" w:space="0"/>
              <w:lef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Borders>
              <w:left w:val="single" w:color="auto" w:sz="4" w:space="0"/>
              <w:right w:val="nil"/>
            </w:tcBorders>
            <w:noWrap w:val="0"/>
            <w:vAlign w:val="center"/>
          </w:tcPr>
          <w:p>
            <w:pPr>
              <w:widowControl/>
              <w:spacing w:line="300" w:lineRule="exact"/>
              <w:jc w:val="center"/>
              <w:rPr>
                <w:rFonts w:hint="eastAsia" w:ascii="仿宋" w:hAnsi="仿宋" w:eastAsia="仿宋" w:cs="仿宋"/>
                <w:sz w:val="24"/>
              </w:rPr>
            </w:pPr>
          </w:p>
        </w:tc>
        <w:tc>
          <w:tcPr>
            <w:tcW w:w="1450" w:type="dxa"/>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合计</w:t>
            </w:r>
          </w:p>
        </w:tc>
        <w:tc>
          <w:tcPr>
            <w:tcW w:w="784" w:type="dxa"/>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6</w:t>
            </w:r>
          </w:p>
        </w:tc>
        <w:tc>
          <w:tcPr>
            <w:tcW w:w="3611" w:type="dxa"/>
            <w:noWrap w:val="0"/>
            <w:vAlign w:val="center"/>
          </w:tcPr>
          <w:p>
            <w:pPr>
              <w:widowControl/>
              <w:spacing w:line="300" w:lineRule="exact"/>
              <w:jc w:val="left"/>
              <w:textAlignment w:val="center"/>
              <w:rPr>
                <w:rFonts w:hint="eastAsia" w:ascii="仿宋" w:hAnsi="仿宋" w:eastAsia="仿宋" w:cs="仿宋"/>
                <w:kern w:val="0"/>
                <w:sz w:val="24"/>
                <w:lang w:bidi="ar"/>
              </w:rPr>
            </w:pPr>
          </w:p>
        </w:tc>
        <w:tc>
          <w:tcPr>
            <w:tcW w:w="1005"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rPr>
              <w:t>6</w:t>
            </w:r>
          </w:p>
        </w:tc>
        <w:tc>
          <w:tcPr>
            <w:tcW w:w="983" w:type="dxa"/>
            <w:noWrap w:val="0"/>
            <w:vAlign w:val="center"/>
          </w:tcPr>
          <w:p>
            <w:pPr>
              <w:jc w:val="center"/>
              <w:rPr>
                <w:rFonts w:hint="eastAsia" w:ascii="仿宋" w:hAnsi="仿宋" w:eastAsia="仿宋" w:cs="仿宋"/>
                <w:sz w:val="24"/>
              </w:rPr>
            </w:pPr>
            <w:r>
              <w:rPr>
                <w:rFonts w:hint="eastAsia" w:ascii="仿宋" w:hAnsi="仿宋" w:eastAsia="仿宋" w:cs="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Borders>
              <w:left w:val="single" w:color="auto" w:sz="4" w:space="0"/>
              <w:right w:val="nil"/>
            </w:tcBorders>
            <w:noWrap w:val="0"/>
            <w:vAlign w:val="center"/>
          </w:tcPr>
          <w:p>
            <w:pPr>
              <w:jc w:val="center"/>
              <w:rPr>
                <w:rFonts w:hint="eastAsia" w:ascii="仿宋" w:hAnsi="仿宋" w:eastAsia="仿宋" w:cs="仿宋"/>
                <w:sz w:val="24"/>
              </w:rPr>
            </w:pPr>
          </w:p>
        </w:tc>
        <w:tc>
          <w:tcPr>
            <w:tcW w:w="1450" w:type="dxa"/>
            <w:noWrap w:val="0"/>
            <w:vAlign w:val="center"/>
          </w:tcPr>
          <w:p>
            <w:pPr>
              <w:jc w:val="center"/>
              <w:rPr>
                <w:rFonts w:hint="eastAsia" w:ascii="仿宋" w:hAnsi="仿宋" w:eastAsia="仿宋" w:cs="仿宋"/>
                <w:kern w:val="0"/>
                <w:sz w:val="24"/>
                <w:lang w:bidi="ar"/>
              </w:rPr>
            </w:pPr>
            <w:r>
              <w:rPr>
                <w:rFonts w:hint="eastAsia" w:ascii="仿宋" w:hAnsi="仿宋" w:eastAsia="仿宋" w:cs="仿宋"/>
                <w:sz w:val="24"/>
              </w:rPr>
              <w:t>总计</w:t>
            </w:r>
          </w:p>
        </w:tc>
        <w:tc>
          <w:tcPr>
            <w:tcW w:w="784" w:type="dxa"/>
            <w:noWrap w:val="0"/>
            <w:vAlign w:val="center"/>
          </w:tcPr>
          <w:p>
            <w:pPr>
              <w:jc w:val="center"/>
              <w:rPr>
                <w:rFonts w:hint="eastAsia" w:ascii="仿宋" w:hAnsi="仿宋" w:eastAsia="仿宋" w:cs="仿宋"/>
                <w:kern w:val="0"/>
                <w:sz w:val="24"/>
                <w:lang w:bidi="ar"/>
              </w:rPr>
            </w:pPr>
            <w:r>
              <w:rPr>
                <w:rFonts w:hint="eastAsia" w:ascii="仿宋" w:hAnsi="仿宋" w:eastAsia="仿宋" w:cs="仿宋"/>
                <w:sz w:val="24"/>
              </w:rPr>
              <w:t>10</w:t>
            </w:r>
          </w:p>
        </w:tc>
        <w:tc>
          <w:tcPr>
            <w:tcW w:w="3611" w:type="dxa"/>
            <w:noWrap w:val="0"/>
            <w:vAlign w:val="center"/>
          </w:tcPr>
          <w:p>
            <w:pPr>
              <w:jc w:val="center"/>
              <w:rPr>
                <w:rFonts w:hint="eastAsia" w:ascii="仿宋" w:hAnsi="仿宋" w:eastAsia="仿宋" w:cs="仿宋"/>
                <w:kern w:val="0"/>
                <w:sz w:val="24"/>
                <w:lang w:bidi="ar"/>
              </w:rPr>
            </w:pPr>
          </w:p>
        </w:tc>
        <w:tc>
          <w:tcPr>
            <w:tcW w:w="1005" w:type="dxa"/>
            <w:noWrap w:val="0"/>
            <w:vAlign w:val="center"/>
          </w:tcPr>
          <w:p>
            <w:pPr>
              <w:jc w:val="center"/>
              <w:rPr>
                <w:rFonts w:hint="eastAsia" w:ascii="仿宋" w:hAnsi="仿宋" w:eastAsia="仿宋" w:cs="仿宋"/>
                <w:sz w:val="24"/>
              </w:rPr>
            </w:pPr>
            <w:r>
              <w:rPr>
                <w:rFonts w:hint="eastAsia" w:ascii="仿宋" w:hAnsi="仿宋" w:eastAsia="仿宋" w:cs="仿宋"/>
                <w:sz w:val="24"/>
              </w:rPr>
              <w:t>8.2</w:t>
            </w:r>
          </w:p>
        </w:tc>
        <w:tc>
          <w:tcPr>
            <w:tcW w:w="983" w:type="dxa"/>
            <w:noWrap w:val="0"/>
            <w:vAlign w:val="center"/>
          </w:tcPr>
          <w:p>
            <w:pPr>
              <w:jc w:val="center"/>
              <w:rPr>
                <w:rFonts w:hint="eastAsia" w:ascii="仿宋" w:hAnsi="仿宋" w:eastAsia="仿宋" w:cs="仿宋"/>
                <w:sz w:val="24"/>
              </w:rPr>
            </w:pPr>
            <w:r>
              <w:rPr>
                <w:rFonts w:hint="eastAsia" w:ascii="仿宋" w:hAnsi="仿宋" w:eastAsia="仿宋" w:cs="仿宋"/>
                <w:sz w:val="24"/>
              </w:rPr>
              <w:t>82%</w:t>
            </w:r>
          </w:p>
        </w:tc>
      </w:tr>
    </w:tbl>
    <w:p>
      <w:pPr>
        <w:spacing w:line="520" w:lineRule="exact"/>
        <w:ind w:left="-420" w:leftChars="-200" w:right="-420" w:rightChars="-200" w:firstLine="560" w:firstLineChars="200"/>
        <w:rPr>
          <w:rFonts w:hint="eastAsia" w:ascii="仿宋" w:hAnsi="仿宋" w:eastAsia="仿宋" w:cs="仿宋"/>
          <w:sz w:val="28"/>
          <w:szCs w:val="28"/>
        </w:rPr>
      </w:pPr>
    </w:p>
    <w:p>
      <w:pPr>
        <w:ind w:firstLine="630"/>
        <w:jc w:val="left"/>
        <w:rPr>
          <w:rFonts w:hint="eastAsia" w:ascii="仿宋" w:hAnsi="仿宋" w:eastAsia="仿宋" w:cs="仿宋_GB2312"/>
          <w:kern w:val="0"/>
          <w:sz w:val="30"/>
          <w:szCs w:val="30"/>
        </w:rPr>
      </w:pPr>
      <w:r>
        <w:rPr>
          <w:rFonts w:hint="eastAsia" w:ascii="仿宋" w:hAnsi="仿宋" w:eastAsia="仿宋" w:cs="仿宋_GB2312"/>
          <w:kern w:val="0"/>
          <w:sz w:val="30"/>
          <w:szCs w:val="30"/>
        </w:rPr>
        <w:t>（2）根据公安局提供的资料，各项目具体得分如下：</w:t>
      </w:r>
    </w:p>
    <w:p>
      <w:pPr>
        <w:ind w:firstLine="630"/>
        <w:jc w:val="left"/>
        <w:rPr>
          <w:rFonts w:hint="eastAsia" w:ascii="仿宋" w:hAnsi="仿宋" w:eastAsia="仿宋" w:cs="仿宋_GB2312"/>
          <w:kern w:val="0"/>
          <w:sz w:val="30"/>
          <w:szCs w:val="30"/>
        </w:rPr>
      </w:pPr>
      <w:r>
        <w:rPr>
          <w:rFonts w:hint="eastAsia" w:ascii="仿宋" w:hAnsi="仿宋" w:eastAsia="仿宋" w:cs="仿宋_GB2312"/>
          <w:kern w:val="0"/>
          <w:sz w:val="30"/>
          <w:szCs w:val="30"/>
        </w:rPr>
        <w:t>1）目标设定方面得分：公安局按照要求编制了完整的《绩效目标申报表》，内容包括年度主要任务、年度总体目标、年度绩效指标三个部分。根据部门2019年度部门工作计划，该计划有计划实施内容、时间安排，但年度计划中无具体明确的资金安排，缺少系统单位中长期战略发展规划。根据既定评分标准，目标设定的合理性指标扣除0.8分，绩效指标的明确性扣1分，故目标认定得分为2.2分。</w:t>
      </w:r>
    </w:p>
    <w:p>
      <w:pPr>
        <w:ind w:firstLine="630"/>
        <w:jc w:val="left"/>
        <w:rPr>
          <w:rFonts w:hint="eastAsia" w:ascii="仿宋" w:hAnsi="仿宋" w:eastAsia="仿宋" w:cs="仿宋_GB2312"/>
          <w:kern w:val="0"/>
          <w:sz w:val="30"/>
          <w:szCs w:val="30"/>
        </w:rPr>
      </w:pPr>
      <w:r>
        <w:rPr>
          <w:rFonts w:hint="eastAsia" w:ascii="仿宋" w:hAnsi="仿宋" w:eastAsia="仿宋" w:cs="仿宋_GB2312"/>
          <w:kern w:val="0"/>
          <w:sz w:val="30"/>
          <w:szCs w:val="30"/>
        </w:rPr>
        <w:t>2）预算配置指标得分具体为：</w:t>
      </w:r>
    </w:p>
    <w:p>
      <w:pPr>
        <w:ind w:firstLine="630"/>
        <w:jc w:val="left"/>
        <w:rPr>
          <w:rFonts w:hint="eastAsia" w:ascii="仿宋" w:hAnsi="仿宋" w:eastAsia="仿宋" w:cs="仿宋_GB2312"/>
          <w:kern w:val="0"/>
          <w:sz w:val="30"/>
          <w:szCs w:val="30"/>
        </w:rPr>
      </w:pPr>
      <w:r>
        <w:rPr>
          <w:rFonts w:hint="eastAsia" w:ascii="仿宋" w:hAnsi="仿宋" w:eastAsia="仿宋" w:cs="仿宋_GB2312"/>
          <w:kern w:val="0"/>
          <w:sz w:val="30"/>
          <w:szCs w:val="30"/>
        </w:rPr>
        <w:t>（1）在职人员控制率：市公安局经市编办核定编制数1682人，而实际在编人员1505人，在职人员数量小于编制数，根据既定的评分标准，该指标得分为2分。</w:t>
      </w:r>
    </w:p>
    <w:p>
      <w:pPr>
        <w:ind w:firstLine="630"/>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（2）“三公经费”变动率：（349.87-1006.71）/（1006.71）×100%=-65.25%＜0，根据既定的评分标准，该指标得分为2分。                           </w:t>
      </w:r>
    </w:p>
    <w:p>
      <w:pPr>
        <w:ind w:firstLine="630"/>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3）重点支出安排率：转移支付装备款、公安机关房屋及附属运行和公安信息网络硬件设施及软件设施购置这方面支出的比率很大，重点支出安排率=（6923.95）/9688.38×100%=71.46%&gt;60%，根据既定的评分标准，该指标得分为2分。 </w:t>
      </w:r>
    </w:p>
    <w:p>
      <w:pPr>
        <w:ind w:firstLine="630"/>
        <w:jc w:val="left"/>
        <w:rPr>
          <w:rFonts w:hint="eastAsia" w:ascii="仿宋" w:hAnsi="仿宋" w:eastAsia="仿宋" w:cs="仿宋_GB2312"/>
          <w:kern w:val="0"/>
          <w:sz w:val="30"/>
          <w:szCs w:val="30"/>
        </w:rPr>
      </w:pPr>
      <w:r>
        <w:rPr>
          <w:rFonts w:hint="eastAsia" w:ascii="仿宋" w:hAnsi="仿宋" w:eastAsia="仿宋" w:cs="仿宋_GB2312"/>
          <w:kern w:val="0"/>
          <w:sz w:val="30"/>
          <w:szCs w:val="30"/>
        </w:rPr>
        <w:t>2、过程指标分析</w:t>
      </w:r>
    </w:p>
    <w:p>
      <w:pPr>
        <w:ind w:firstLine="630"/>
        <w:jc w:val="left"/>
        <w:rPr>
          <w:rFonts w:hint="eastAsia" w:ascii="仿宋" w:hAnsi="仿宋" w:eastAsia="仿宋" w:cs="仿宋_GB2312"/>
          <w:kern w:val="0"/>
          <w:sz w:val="30"/>
          <w:szCs w:val="30"/>
        </w:rPr>
      </w:pPr>
      <w:r>
        <w:rPr>
          <w:rFonts w:hint="eastAsia" w:ascii="仿宋" w:hAnsi="仿宋" w:eastAsia="仿宋" w:cs="仿宋_GB2312"/>
          <w:kern w:val="0"/>
          <w:sz w:val="30"/>
          <w:szCs w:val="30"/>
        </w:rPr>
        <w:t>1）该指标由3个二级指标和9个三级指标构成。过程指标权重分值28分。实际得分为20分，得分率为71.42%。</w:t>
      </w:r>
    </w:p>
    <w:p>
      <w:pPr>
        <w:spacing w:line="460" w:lineRule="exact"/>
        <w:rPr>
          <w:rFonts w:hint="eastAsia" w:ascii="仿宋" w:hAnsi="仿宋" w:eastAsia="仿宋" w:cs="仿宋"/>
          <w:sz w:val="28"/>
          <w:szCs w:val="28"/>
        </w:rPr>
      </w:pPr>
      <w:r>
        <w:rPr>
          <w:rFonts w:hint="eastAsia" w:ascii="仿宋" w:hAnsi="仿宋" w:eastAsia="仿宋" w:cs="仿宋"/>
          <w:b/>
          <w:bCs/>
          <w:sz w:val="24"/>
        </w:rPr>
        <w:t>表3过程指标分析</w:t>
      </w:r>
    </w:p>
    <w:tbl>
      <w:tblPr>
        <w:tblStyle w:val="3"/>
        <w:tblpPr w:leftFromText="180" w:rightFromText="180" w:vertAnchor="text" w:horzAnchor="page" w:tblpX="1504" w:tblpY="53"/>
        <w:tblOverlap w:val="never"/>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600"/>
        <w:gridCol w:w="812"/>
        <w:gridCol w:w="3555"/>
        <w:gridCol w:w="1000"/>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noWrap w:val="0"/>
            <w:vAlign w:val="top"/>
          </w:tcPr>
          <w:p>
            <w:pPr>
              <w:jc w:val="center"/>
              <w:rPr>
                <w:rFonts w:hint="eastAsia" w:ascii="仿宋" w:hAnsi="仿宋" w:eastAsia="仿宋" w:cs="仿宋"/>
                <w:b/>
                <w:bCs/>
                <w:sz w:val="24"/>
              </w:rPr>
            </w:pPr>
            <w:r>
              <w:rPr>
                <w:rFonts w:hint="eastAsia" w:ascii="仿宋" w:hAnsi="仿宋" w:eastAsia="仿宋" w:cs="仿宋"/>
                <w:b/>
                <w:bCs/>
                <w:sz w:val="24"/>
              </w:rPr>
              <w:t>二级指标</w:t>
            </w:r>
          </w:p>
        </w:tc>
        <w:tc>
          <w:tcPr>
            <w:tcW w:w="1600" w:type="dxa"/>
            <w:noWrap w:val="0"/>
            <w:vAlign w:val="top"/>
          </w:tcPr>
          <w:p>
            <w:pPr>
              <w:jc w:val="center"/>
              <w:rPr>
                <w:rFonts w:hint="eastAsia" w:ascii="仿宋" w:hAnsi="仿宋" w:eastAsia="仿宋" w:cs="仿宋"/>
                <w:b/>
                <w:bCs/>
                <w:sz w:val="24"/>
              </w:rPr>
            </w:pPr>
            <w:r>
              <w:rPr>
                <w:rFonts w:hint="eastAsia" w:ascii="仿宋" w:hAnsi="仿宋" w:eastAsia="仿宋" w:cs="仿宋"/>
                <w:b/>
                <w:bCs/>
                <w:sz w:val="24"/>
              </w:rPr>
              <w:t>三级指标</w:t>
            </w:r>
          </w:p>
        </w:tc>
        <w:tc>
          <w:tcPr>
            <w:tcW w:w="812" w:type="dxa"/>
            <w:noWrap w:val="0"/>
            <w:vAlign w:val="top"/>
          </w:tcPr>
          <w:p>
            <w:pPr>
              <w:jc w:val="center"/>
              <w:rPr>
                <w:rFonts w:hint="eastAsia" w:ascii="仿宋" w:hAnsi="仿宋" w:eastAsia="仿宋" w:cs="仿宋"/>
                <w:b/>
                <w:bCs/>
                <w:sz w:val="24"/>
              </w:rPr>
            </w:pPr>
            <w:r>
              <w:rPr>
                <w:rFonts w:hint="eastAsia" w:ascii="仿宋" w:hAnsi="仿宋" w:eastAsia="仿宋" w:cs="仿宋"/>
                <w:b/>
                <w:bCs/>
                <w:sz w:val="24"/>
              </w:rPr>
              <w:t>权重</w:t>
            </w:r>
          </w:p>
        </w:tc>
        <w:tc>
          <w:tcPr>
            <w:tcW w:w="3555" w:type="dxa"/>
            <w:noWrap w:val="0"/>
            <w:vAlign w:val="top"/>
          </w:tcPr>
          <w:p>
            <w:pPr>
              <w:jc w:val="center"/>
              <w:rPr>
                <w:rFonts w:hint="eastAsia" w:ascii="仿宋" w:hAnsi="仿宋" w:eastAsia="仿宋" w:cs="仿宋"/>
                <w:b/>
                <w:bCs/>
                <w:sz w:val="24"/>
              </w:rPr>
            </w:pPr>
            <w:r>
              <w:rPr>
                <w:rFonts w:hint="eastAsia" w:ascii="仿宋" w:hAnsi="仿宋" w:eastAsia="仿宋" w:cs="仿宋"/>
                <w:b/>
                <w:bCs/>
                <w:sz w:val="24"/>
              </w:rPr>
              <w:t>评分说明</w:t>
            </w:r>
          </w:p>
        </w:tc>
        <w:tc>
          <w:tcPr>
            <w:tcW w:w="1000" w:type="dxa"/>
            <w:noWrap w:val="0"/>
            <w:vAlign w:val="top"/>
          </w:tcPr>
          <w:p>
            <w:pPr>
              <w:jc w:val="center"/>
              <w:rPr>
                <w:rFonts w:hint="eastAsia" w:ascii="仿宋" w:hAnsi="仿宋" w:eastAsia="仿宋" w:cs="仿宋"/>
                <w:b/>
                <w:bCs/>
                <w:sz w:val="24"/>
              </w:rPr>
            </w:pPr>
            <w:r>
              <w:rPr>
                <w:rFonts w:hint="eastAsia" w:ascii="仿宋" w:hAnsi="仿宋" w:eastAsia="仿宋" w:cs="仿宋"/>
                <w:b/>
                <w:bCs/>
                <w:sz w:val="24"/>
              </w:rPr>
              <w:t>得分值</w:t>
            </w:r>
          </w:p>
        </w:tc>
        <w:tc>
          <w:tcPr>
            <w:tcW w:w="966" w:type="dxa"/>
            <w:noWrap w:val="0"/>
            <w:vAlign w:val="top"/>
          </w:tcPr>
          <w:p>
            <w:pPr>
              <w:jc w:val="center"/>
              <w:rPr>
                <w:rFonts w:hint="eastAsia" w:ascii="仿宋" w:hAnsi="仿宋" w:eastAsia="仿宋" w:cs="仿宋"/>
                <w:b/>
                <w:bCs/>
                <w:sz w:val="24"/>
              </w:rPr>
            </w:pPr>
            <w:r>
              <w:rPr>
                <w:rFonts w:hint="eastAsia" w:ascii="仿宋" w:hAnsi="仿宋" w:eastAsia="仿宋" w:cs="仿宋"/>
                <w:b/>
                <w:bCs/>
                <w:sz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33" w:type="dxa"/>
            <w:vMerge w:val="restart"/>
            <w:tcBorders>
              <w:left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B11-预算执行</w:t>
            </w:r>
          </w:p>
          <w:p>
            <w:pPr>
              <w:widowControl/>
              <w:spacing w:line="300" w:lineRule="exact"/>
              <w:jc w:val="left"/>
              <w:textAlignment w:val="center"/>
              <w:rPr>
                <w:rFonts w:hint="eastAsia" w:ascii="仿宋" w:hAnsi="仿宋" w:eastAsia="仿宋" w:cs="仿宋"/>
                <w:kern w:val="0"/>
                <w:sz w:val="24"/>
                <w:lang w:bidi="ar"/>
              </w:rPr>
            </w:pPr>
          </w:p>
        </w:tc>
        <w:tc>
          <w:tcPr>
            <w:tcW w:w="1600" w:type="dxa"/>
            <w:tcBorders>
              <w:lef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B101-预算完成率</w:t>
            </w:r>
          </w:p>
        </w:tc>
        <w:tc>
          <w:tcPr>
            <w:tcW w:w="812"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3</w:t>
            </w:r>
          </w:p>
        </w:tc>
        <w:tc>
          <w:tcPr>
            <w:tcW w:w="3555" w:type="dxa"/>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预算完成率=（预算完成数/预算数）×100%。</w:t>
            </w:r>
          </w:p>
        </w:tc>
        <w:tc>
          <w:tcPr>
            <w:tcW w:w="1000"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0</w:t>
            </w:r>
          </w:p>
        </w:tc>
        <w:tc>
          <w:tcPr>
            <w:tcW w:w="966"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33" w:type="dxa"/>
            <w:vMerge w:val="continue"/>
            <w:tcBorders>
              <w:left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p>
        </w:tc>
        <w:tc>
          <w:tcPr>
            <w:tcW w:w="1600" w:type="dxa"/>
            <w:tcBorders>
              <w:lef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B102-结转结余变动率</w:t>
            </w:r>
          </w:p>
        </w:tc>
        <w:tc>
          <w:tcPr>
            <w:tcW w:w="812"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3</w:t>
            </w:r>
          </w:p>
        </w:tc>
        <w:tc>
          <w:tcPr>
            <w:tcW w:w="3555" w:type="dxa"/>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结转结余变动率=[（本年度累计结转结余资金总额-上年度累计结转结余资金总额）/上年度累计结转结余资金总额]×100%。</w:t>
            </w:r>
          </w:p>
        </w:tc>
        <w:tc>
          <w:tcPr>
            <w:tcW w:w="1000"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3</w:t>
            </w:r>
          </w:p>
        </w:tc>
        <w:tc>
          <w:tcPr>
            <w:tcW w:w="966" w:type="dxa"/>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33" w:type="dxa"/>
            <w:vMerge w:val="continue"/>
            <w:tcBorders>
              <w:left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p>
        </w:tc>
        <w:tc>
          <w:tcPr>
            <w:tcW w:w="1600" w:type="dxa"/>
            <w:tcBorders>
              <w:lef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B103-公用经费控制率</w:t>
            </w:r>
          </w:p>
        </w:tc>
        <w:tc>
          <w:tcPr>
            <w:tcW w:w="812"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4</w:t>
            </w:r>
          </w:p>
        </w:tc>
        <w:tc>
          <w:tcPr>
            <w:tcW w:w="3555" w:type="dxa"/>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公用经费控制率=（实际支出公用经费总额/预算安排公用经费总额）×100%。</w:t>
            </w:r>
          </w:p>
        </w:tc>
        <w:tc>
          <w:tcPr>
            <w:tcW w:w="1000"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4</w:t>
            </w:r>
          </w:p>
        </w:tc>
        <w:tc>
          <w:tcPr>
            <w:tcW w:w="966"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Borders>
              <w:left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p>
        </w:tc>
        <w:tc>
          <w:tcPr>
            <w:tcW w:w="1600" w:type="dxa"/>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合计</w:t>
            </w:r>
          </w:p>
        </w:tc>
        <w:tc>
          <w:tcPr>
            <w:tcW w:w="812" w:type="dxa"/>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10</w:t>
            </w:r>
          </w:p>
        </w:tc>
        <w:tc>
          <w:tcPr>
            <w:tcW w:w="3555" w:type="dxa"/>
            <w:noWrap w:val="0"/>
            <w:vAlign w:val="center"/>
          </w:tcPr>
          <w:p>
            <w:pPr>
              <w:widowControl/>
              <w:spacing w:line="300" w:lineRule="exact"/>
              <w:jc w:val="left"/>
              <w:textAlignment w:val="center"/>
              <w:rPr>
                <w:rFonts w:hint="eastAsia" w:ascii="仿宋" w:hAnsi="仿宋" w:eastAsia="仿宋" w:cs="仿宋"/>
                <w:kern w:val="0"/>
                <w:sz w:val="24"/>
                <w:lang w:bidi="ar"/>
              </w:rPr>
            </w:pPr>
          </w:p>
        </w:tc>
        <w:tc>
          <w:tcPr>
            <w:tcW w:w="1000"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7</w:t>
            </w:r>
          </w:p>
        </w:tc>
        <w:tc>
          <w:tcPr>
            <w:tcW w:w="966" w:type="dxa"/>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3" w:type="dxa"/>
            <w:vMerge w:val="restart"/>
            <w:tcBorders>
              <w:left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B21-预算管理</w:t>
            </w:r>
          </w:p>
        </w:tc>
        <w:tc>
          <w:tcPr>
            <w:tcW w:w="1600" w:type="dxa"/>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B201-管理制度健全性</w:t>
            </w:r>
          </w:p>
        </w:tc>
        <w:tc>
          <w:tcPr>
            <w:tcW w:w="812" w:type="dxa"/>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4</w:t>
            </w:r>
          </w:p>
        </w:tc>
        <w:tc>
          <w:tcPr>
            <w:tcW w:w="3555" w:type="dxa"/>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①制定或具有财务管理制度管理制度；②制定或具有单位人员管理制度；③制定或具有工作规范管理制度；④制定或具有绩效管理制度。</w:t>
            </w:r>
          </w:p>
        </w:tc>
        <w:tc>
          <w:tcPr>
            <w:tcW w:w="1000"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3.6</w:t>
            </w:r>
          </w:p>
        </w:tc>
        <w:tc>
          <w:tcPr>
            <w:tcW w:w="966" w:type="dxa"/>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3" w:type="dxa"/>
            <w:vMerge w:val="continue"/>
            <w:tcBorders>
              <w:left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p>
        </w:tc>
        <w:tc>
          <w:tcPr>
            <w:tcW w:w="1600" w:type="dxa"/>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B202-资金使用合规性</w:t>
            </w:r>
          </w:p>
        </w:tc>
        <w:tc>
          <w:tcPr>
            <w:tcW w:w="812"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5</w:t>
            </w:r>
          </w:p>
        </w:tc>
        <w:tc>
          <w:tcPr>
            <w:tcW w:w="3555" w:type="dxa"/>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①完全合规得5分；②基本合规得3分；③不合规不得分。</w:t>
            </w:r>
          </w:p>
        </w:tc>
        <w:tc>
          <w:tcPr>
            <w:tcW w:w="1000"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3</w:t>
            </w:r>
          </w:p>
        </w:tc>
        <w:tc>
          <w:tcPr>
            <w:tcW w:w="966"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3" w:type="dxa"/>
            <w:vMerge w:val="continue"/>
            <w:tcBorders>
              <w:left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p>
        </w:tc>
        <w:tc>
          <w:tcPr>
            <w:tcW w:w="1600" w:type="dxa"/>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B203-预决算信息公开性</w:t>
            </w:r>
          </w:p>
        </w:tc>
        <w:tc>
          <w:tcPr>
            <w:tcW w:w="812" w:type="dxa"/>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3</w:t>
            </w:r>
          </w:p>
        </w:tc>
        <w:tc>
          <w:tcPr>
            <w:tcW w:w="3555" w:type="dxa"/>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①在景德镇市财政局能及时查到部门预决算全部内容的信息；②在本部门公示了预决算全部内容的信息。</w:t>
            </w:r>
          </w:p>
        </w:tc>
        <w:tc>
          <w:tcPr>
            <w:tcW w:w="1000"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3</w:t>
            </w:r>
          </w:p>
        </w:tc>
        <w:tc>
          <w:tcPr>
            <w:tcW w:w="966"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3" w:type="dxa"/>
            <w:vMerge w:val="continue"/>
            <w:tcBorders>
              <w:left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p>
        </w:tc>
        <w:tc>
          <w:tcPr>
            <w:tcW w:w="1600" w:type="dxa"/>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B204-基础信息完善性</w:t>
            </w:r>
          </w:p>
        </w:tc>
        <w:tc>
          <w:tcPr>
            <w:tcW w:w="812" w:type="dxa"/>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2</w:t>
            </w:r>
          </w:p>
        </w:tc>
        <w:tc>
          <w:tcPr>
            <w:tcW w:w="3555" w:type="dxa"/>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①部门建立了内部控制制度；②内部控制制度得到了有效执行。</w:t>
            </w:r>
          </w:p>
        </w:tc>
        <w:tc>
          <w:tcPr>
            <w:tcW w:w="1000"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1</w:t>
            </w:r>
          </w:p>
        </w:tc>
        <w:tc>
          <w:tcPr>
            <w:tcW w:w="966"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3" w:type="dxa"/>
            <w:tcBorders>
              <w:left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p>
        </w:tc>
        <w:tc>
          <w:tcPr>
            <w:tcW w:w="1600" w:type="dxa"/>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合计</w:t>
            </w:r>
          </w:p>
        </w:tc>
        <w:tc>
          <w:tcPr>
            <w:tcW w:w="812" w:type="dxa"/>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14</w:t>
            </w:r>
          </w:p>
        </w:tc>
        <w:tc>
          <w:tcPr>
            <w:tcW w:w="3555" w:type="dxa"/>
            <w:noWrap w:val="0"/>
            <w:vAlign w:val="center"/>
          </w:tcPr>
          <w:p>
            <w:pPr>
              <w:widowControl/>
              <w:spacing w:line="300" w:lineRule="exact"/>
              <w:jc w:val="left"/>
              <w:textAlignment w:val="center"/>
              <w:rPr>
                <w:rFonts w:hint="eastAsia" w:ascii="仿宋" w:hAnsi="仿宋" w:eastAsia="仿宋" w:cs="仿宋"/>
                <w:kern w:val="0"/>
                <w:sz w:val="24"/>
                <w:lang w:bidi="ar"/>
              </w:rPr>
            </w:pPr>
          </w:p>
        </w:tc>
        <w:tc>
          <w:tcPr>
            <w:tcW w:w="1000"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10.6</w:t>
            </w:r>
          </w:p>
        </w:tc>
        <w:tc>
          <w:tcPr>
            <w:tcW w:w="966"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85.71%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3" w:type="dxa"/>
            <w:tcBorders>
              <w:left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B31-资产管理</w:t>
            </w:r>
          </w:p>
        </w:tc>
        <w:tc>
          <w:tcPr>
            <w:tcW w:w="1600" w:type="dxa"/>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B301资产管理安全性</w:t>
            </w:r>
          </w:p>
        </w:tc>
        <w:tc>
          <w:tcPr>
            <w:tcW w:w="812" w:type="dxa"/>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4</w:t>
            </w:r>
          </w:p>
        </w:tc>
        <w:tc>
          <w:tcPr>
            <w:tcW w:w="3555" w:type="dxa"/>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①资产保存完整；②资产配置合理；③资产处置规范；④资产账务管理合规</w:t>
            </w:r>
          </w:p>
        </w:tc>
        <w:tc>
          <w:tcPr>
            <w:tcW w:w="1000"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2.4</w:t>
            </w:r>
          </w:p>
        </w:tc>
        <w:tc>
          <w:tcPr>
            <w:tcW w:w="966"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Borders>
              <w:lef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p>
        </w:tc>
        <w:tc>
          <w:tcPr>
            <w:tcW w:w="1600" w:type="dxa"/>
            <w:noWrap w:val="0"/>
            <w:vAlign w:val="center"/>
          </w:tcPr>
          <w:p>
            <w:pPr>
              <w:widowControl/>
              <w:spacing w:line="300" w:lineRule="exact"/>
              <w:jc w:val="left"/>
              <w:textAlignment w:val="center"/>
              <w:rPr>
                <w:rFonts w:hint="eastAsia" w:ascii="仿宋" w:hAnsi="仿宋" w:eastAsia="仿宋" w:cs="仿宋"/>
                <w:kern w:val="0"/>
                <w:sz w:val="24"/>
                <w:lang w:bidi="ar"/>
              </w:rPr>
            </w:pPr>
          </w:p>
        </w:tc>
        <w:tc>
          <w:tcPr>
            <w:tcW w:w="812"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4</w:t>
            </w:r>
          </w:p>
        </w:tc>
        <w:tc>
          <w:tcPr>
            <w:tcW w:w="3555" w:type="dxa"/>
            <w:noWrap w:val="0"/>
            <w:vAlign w:val="center"/>
          </w:tcPr>
          <w:p>
            <w:pPr>
              <w:widowControl/>
              <w:spacing w:line="300" w:lineRule="exact"/>
              <w:jc w:val="left"/>
              <w:textAlignment w:val="center"/>
              <w:rPr>
                <w:rFonts w:hint="eastAsia" w:ascii="仿宋" w:hAnsi="仿宋" w:eastAsia="仿宋" w:cs="仿宋"/>
                <w:kern w:val="0"/>
                <w:sz w:val="24"/>
                <w:lang w:bidi="ar"/>
              </w:rPr>
            </w:pPr>
          </w:p>
        </w:tc>
        <w:tc>
          <w:tcPr>
            <w:tcW w:w="1000"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2.4</w:t>
            </w:r>
          </w:p>
        </w:tc>
        <w:tc>
          <w:tcPr>
            <w:tcW w:w="966"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Borders>
              <w:left w:val="single" w:color="auto" w:sz="4" w:space="0"/>
            </w:tcBorders>
            <w:noWrap w:val="0"/>
            <w:vAlign w:val="center"/>
          </w:tcPr>
          <w:p>
            <w:pPr>
              <w:widowControl/>
              <w:spacing w:line="300" w:lineRule="exact"/>
              <w:jc w:val="left"/>
              <w:textAlignment w:val="center"/>
              <w:rPr>
                <w:rFonts w:hint="eastAsia" w:ascii="仿宋" w:hAnsi="仿宋" w:eastAsia="仿宋" w:cs="仿宋"/>
                <w:kern w:val="0"/>
                <w:sz w:val="24"/>
                <w:lang w:bidi="ar"/>
              </w:rPr>
            </w:pPr>
          </w:p>
        </w:tc>
        <w:tc>
          <w:tcPr>
            <w:tcW w:w="1600" w:type="dxa"/>
            <w:noWrap w:val="0"/>
            <w:vAlign w:val="center"/>
          </w:tcPr>
          <w:p>
            <w:pPr>
              <w:widowControl/>
              <w:spacing w:line="300" w:lineRule="exact"/>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总计</w:t>
            </w:r>
          </w:p>
        </w:tc>
        <w:tc>
          <w:tcPr>
            <w:tcW w:w="812"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28</w:t>
            </w:r>
          </w:p>
        </w:tc>
        <w:tc>
          <w:tcPr>
            <w:tcW w:w="3555" w:type="dxa"/>
            <w:noWrap w:val="0"/>
            <w:vAlign w:val="center"/>
          </w:tcPr>
          <w:p>
            <w:pPr>
              <w:widowControl/>
              <w:spacing w:line="300" w:lineRule="exact"/>
              <w:jc w:val="left"/>
              <w:textAlignment w:val="center"/>
              <w:rPr>
                <w:rFonts w:hint="eastAsia" w:ascii="仿宋" w:hAnsi="仿宋" w:eastAsia="仿宋" w:cs="仿宋"/>
                <w:kern w:val="0"/>
                <w:sz w:val="24"/>
                <w:lang w:bidi="ar"/>
              </w:rPr>
            </w:pPr>
          </w:p>
        </w:tc>
        <w:tc>
          <w:tcPr>
            <w:tcW w:w="1000" w:type="dxa"/>
            <w:noWrap w:val="0"/>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20</w:t>
            </w:r>
          </w:p>
        </w:tc>
        <w:tc>
          <w:tcPr>
            <w:tcW w:w="966" w:type="dxa"/>
            <w:noWrap w:val="0"/>
            <w:vAlign w:val="center"/>
          </w:tcPr>
          <w:p>
            <w:pPr>
              <w:widowControl/>
              <w:spacing w:line="30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71.42%</w:t>
            </w:r>
          </w:p>
        </w:tc>
      </w:tr>
    </w:tbl>
    <w:p>
      <w:pPr>
        <w:autoSpaceDE w:val="0"/>
        <w:autoSpaceDN w:val="0"/>
        <w:adjustRightInd w:val="0"/>
        <w:spacing w:line="360" w:lineRule="auto"/>
        <w:jc w:val="left"/>
        <w:rPr>
          <w:rFonts w:hint="eastAsia" w:ascii="仿宋" w:hAnsi="仿宋" w:eastAsia="仿宋" w:cs="仿宋_GB2312"/>
          <w:kern w:val="0"/>
          <w:sz w:val="30"/>
          <w:szCs w:val="30"/>
        </w:rPr>
      </w:pPr>
    </w:p>
    <w:p>
      <w:pPr>
        <w:ind w:firstLine="630"/>
        <w:jc w:val="left"/>
        <w:rPr>
          <w:rFonts w:hint="eastAsia" w:ascii="仿宋" w:hAnsi="仿宋" w:eastAsia="仿宋" w:cs="Times New Roman"/>
          <w:kern w:val="0"/>
          <w:sz w:val="30"/>
          <w:szCs w:val="30"/>
          <w:lang w:val="en-US" w:eastAsia="zh-CN" w:bidi="ar-SA"/>
        </w:rPr>
      </w:pPr>
      <w:r>
        <w:rPr>
          <w:rFonts w:hint="eastAsia" w:ascii="仿宋" w:hAnsi="仿宋" w:eastAsia="仿宋" w:cs="Times New Roman"/>
          <w:kern w:val="0"/>
          <w:sz w:val="30"/>
          <w:szCs w:val="30"/>
          <w:lang w:val="en-US" w:eastAsia="zh-CN" w:bidi="ar-SA"/>
        </w:rPr>
        <w:t>根据设立的绩效评价指标体系及评分标准，景德镇市公安局2019年度单位整体支出绩效评价最终得分为83.74分，绩效等级为“良好”。绩效报告的主要结论：景德镇市公安局各项管理制度建设较为健全，在严打方面成绩较为显著，为市区安全作出了极大贡献，社会服务较上年有较大改变。但在预算执行、财务管理方面还需加强，警务机制还不完善，基础工作欠牢固，警务实战能力不够强，执法规范还有薄弱环节，队伍建设有待于进一步加强。</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rPr>
          <w:rFonts w:hint="eastAsia"/>
        </w:rPr>
      </w:pPr>
    </w:p>
    <w:p>
      <w:pPr>
        <w:rPr>
          <w:rFonts w:hint="eastAsia"/>
        </w:rPr>
      </w:pPr>
    </w:p>
    <w:p>
      <w:pPr>
        <w:rPr>
          <w:rFonts w:hint="eastAsia"/>
        </w:rPr>
      </w:pPr>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5"/>
        <w:spacing w:line="600" w:lineRule="atLeast"/>
        <w:ind w:firstLine="600"/>
        <w:rPr>
          <w:rFonts w:hint="eastAsia" w:ascii="黑体" w:hAnsi="黑体" w:eastAsia="黑体" w:cs="黑体"/>
          <w:b w:val="0"/>
          <w:bCs w:val="0"/>
          <w:sz w:val="30"/>
          <w:szCs w:val="30"/>
        </w:rPr>
      </w:pPr>
      <w:r>
        <w:rPr>
          <w:rFonts w:hint="eastAsia" w:ascii="黑体" w:hAnsi="黑体" w:eastAsia="黑体" w:cs="黑体"/>
          <w:b w:val="0"/>
          <w:bCs w:val="0"/>
          <w:sz w:val="30"/>
          <w:szCs w:val="30"/>
        </w:rPr>
        <w:t xml:space="preserve">一、收入科目 </w:t>
      </w:r>
    </w:p>
    <w:p>
      <w:pPr>
        <w:pStyle w:val="5"/>
        <w:spacing w:line="600" w:lineRule="atLeast"/>
        <w:ind w:firstLine="600"/>
        <w:rPr>
          <w:rFonts w:hint="eastAsia" w:ascii="仿宋" w:hAnsi="仿宋" w:eastAsia="仿宋" w:cs="仿宋"/>
          <w:sz w:val="30"/>
          <w:szCs w:val="30"/>
        </w:rPr>
      </w:pPr>
      <w:r>
        <w:rPr>
          <w:rFonts w:hint="eastAsia" w:ascii="仿宋" w:hAnsi="仿宋" w:eastAsia="仿宋" w:cs="仿宋"/>
          <w:sz w:val="30"/>
          <w:szCs w:val="30"/>
        </w:rPr>
        <w:t>（一）财政拨款：指</w:t>
      </w:r>
      <w:r>
        <w:rPr>
          <w:rFonts w:hint="eastAsia" w:ascii="仿宋" w:hAnsi="仿宋" w:eastAsia="仿宋" w:cs="仿宋"/>
          <w:sz w:val="30"/>
          <w:szCs w:val="30"/>
          <w:lang w:val="en-US" w:eastAsia="zh-CN"/>
        </w:rPr>
        <w:t>市</w:t>
      </w:r>
      <w:r>
        <w:rPr>
          <w:rFonts w:hint="eastAsia" w:ascii="仿宋" w:hAnsi="仿宋" w:eastAsia="仿宋" w:cs="仿宋"/>
          <w:sz w:val="30"/>
          <w:szCs w:val="30"/>
        </w:rPr>
        <w:t>级财政当年拨付的资金。</w:t>
      </w:r>
    </w:p>
    <w:p>
      <w:pPr>
        <w:pStyle w:val="5"/>
        <w:spacing w:line="600" w:lineRule="atLeast"/>
        <w:ind w:firstLine="600"/>
        <w:rPr>
          <w:rFonts w:hint="eastAsia" w:ascii="仿宋" w:hAnsi="仿宋" w:eastAsia="仿宋" w:cs="仿宋"/>
          <w:sz w:val="30"/>
          <w:szCs w:val="30"/>
        </w:rPr>
      </w:pPr>
      <w:r>
        <w:rPr>
          <w:rFonts w:hint="eastAsia" w:ascii="仿宋" w:hAnsi="仿宋" w:eastAsia="仿宋" w:cs="仿宋"/>
          <w:sz w:val="30"/>
          <w:szCs w:val="30"/>
        </w:rPr>
        <w:t>（二）事业收入：指事业单位在专业业务活动及辅助活动之外开展非独立核算经营活动取得的收入。</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rPr>
        <w:t>（三）上年结转和结余：</w:t>
      </w:r>
      <w:r>
        <w:rPr>
          <w:rFonts w:hint="eastAsia" w:ascii="仿宋" w:hAnsi="仿宋" w:eastAsia="仿宋" w:cs="仿宋"/>
          <w:sz w:val="30"/>
          <w:szCs w:val="30"/>
          <w:lang w:eastAsia="zh-CN"/>
        </w:rPr>
        <w:t>指以前年度尚未完成，结转到本年仍按原规定用途继续使用的资金。</w:t>
      </w:r>
    </w:p>
    <w:p>
      <w:pPr>
        <w:pStyle w:val="5"/>
        <w:spacing w:line="600" w:lineRule="atLeast"/>
        <w:ind w:firstLine="600"/>
        <w:rPr>
          <w:rFonts w:hint="eastAsia" w:ascii="黑体" w:hAnsi="黑体" w:eastAsia="黑体" w:cs="黑体"/>
          <w:sz w:val="30"/>
          <w:szCs w:val="30"/>
        </w:rPr>
      </w:pPr>
      <w:r>
        <w:rPr>
          <w:rFonts w:hint="eastAsia" w:ascii="黑体" w:hAnsi="黑体" w:eastAsia="黑体" w:cs="黑体"/>
          <w:sz w:val="30"/>
          <w:szCs w:val="30"/>
        </w:rPr>
        <w:t xml:space="preserve">二、支出科目 </w:t>
      </w:r>
    </w:p>
    <w:p>
      <w:pPr>
        <w:pStyle w:val="5"/>
        <w:spacing w:line="600" w:lineRule="atLeast"/>
        <w:ind w:firstLine="600"/>
        <w:rPr>
          <w:rFonts w:hint="eastAsia" w:ascii="仿宋" w:hAnsi="仿宋" w:eastAsia="仿宋" w:cs="仿宋"/>
          <w:sz w:val="30"/>
          <w:szCs w:val="30"/>
        </w:rPr>
      </w:pPr>
      <w:r>
        <w:rPr>
          <w:rFonts w:hint="eastAsia" w:ascii="仿宋" w:hAnsi="仿宋" w:eastAsia="仿宋" w:cs="仿宋"/>
          <w:sz w:val="30"/>
          <w:szCs w:val="30"/>
          <w:lang w:val="en-US" w:eastAsia="zh-CN"/>
        </w:rPr>
        <w:t xml:space="preserve">公共安全支出（类）公安（款）行政运行（项）：指各级公安机关用于保障机构正常运行、开展日常工作的基本支出。 </w:t>
      </w:r>
    </w:p>
    <w:p>
      <w:pPr>
        <w:pStyle w:val="5"/>
        <w:spacing w:line="600" w:lineRule="atLeast"/>
        <w:ind w:firstLine="600"/>
        <w:rPr>
          <w:rFonts w:hint="eastAsia" w:ascii="仿宋" w:hAnsi="仿宋" w:eastAsia="仿宋" w:cs="仿宋"/>
          <w:sz w:val="30"/>
          <w:szCs w:val="30"/>
        </w:rPr>
      </w:pPr>
      <w:r>
        <w:rPr>
          <w:rFonts w:hint="eastAsia" w:ascii="仿宋" w:hAnsi="仿宋" w:eastAsia="仿宋" w:cs="仿宋"/>
          <w:sz w:val="30"/>
          <w:szCs w:val="30"/>
          <w:lang w:val="en-US" w:eastAsia="zh-CN"/>
        </w:rPr>
        <w:t xml:space="preserve">公共安全支出（类）公安（款）一般行政管理事务（项）：指各 级公安机关用于民警保险、警用服装购置、专用设备购置，基建项目等的项目支出。 </w:t>
      </w:r>
    </w:p>
    <w:p>
      <w:pPr>
        <w:pStyle w:val="5"/>
        <w:spacing w:line="600" w:lineRule="atLeast"/>
        <w:ind w:firstLine="600"/>
        <w:rPr>
          <w:rFonts w:hint="eastAsia" w:ascii="仿宋" w:hAnsi="仿宋" w:eastAsia="仿宋" w:cs="仿宋"/>
          <w:sz w:val="30"/>
          <w:szCs w:val="30"/>
        </w:rPr>
      </w:pPr>
      <w:r>
        <w:rPr>
          <w:rFonts w:hint="eastAsia" w:ascii="仿宋" w:hAnsi="仿宋" w:eastAsia="仿宋" w:cs="仿宋"/>
          <w:sz w:val="30"/>
          <w:szCs w:val="30"/>
          <w:lang w:val="en-US" w:eastAsia="zh-CN"/>
        </w:rPr>
        <w:t xml:space="preserve">公共安全支出（类）公安（款）治安管理（项）：指各级公安机关开展治安管理工作的支出，包括所属巡警队、特警队、派出所、110等方面的支出。 </w:t>
      </w:r>
    </w:p>
    <w:p>
      <w:pPr>
        <w:pStyle w:val="5"/>
        <w:spacing w:line="600" w:lineRule="atLeast"/>
        <w:ind w:firstLine="600"/>
        <w:rPr>
          <w:rFonts w:hint="eastAsia" w:ascii="仿宋" w:hAnsi="仿宋" w:eastAsia="仿宋" w:cs="仿宋"/>
          <w:sz w:val="30"/>
          <w:szCs w:val="30"/>
        </w:rPr>
      </w:pPr>
      <w:r>
        <w:rPr>
          <w:rFonts w:hint="eastAsia" w:ascii="仿宋" w:hAnsi="仿宋" w:eastAsia="仿宋" w:cs="仿宋"/>
          <w:sz w:val="30"/>
          <w:szCs w:val="30"/>
          <w:lang w:val="en-US" w:eastAsia="zh-CN"/>
        </w:rPr>
        <w:t xml:space="preserve">公共安全支出（类）公安（款）刑事侦查（项）：指各级公安机关开展打击刑事犯罪活动的支出。 </w:t>
      </w:r>
    </w:p>
    <w:p>
      <w:pPr>
        <w:pStyle w:val="5"/>
        <w:spacing w:line="600" w:lineRule="atLeast"/>
        <w:ind w:firstLine="600"/>
        <w:rPr>
          <w:rFonts w:hint="eastAsia" w:ascii="仿宋" w:hAnsi="仿宋" w:eastAsia="仿宋" w:cs="仿宋"/>
          <w:sz w:val="30"/>
          <w:szCs w:val="30"/>
        </w:rPr>
      </w:pPr>
      <w:r>
        <w:rPr>
          <w:rFonts w:hint="eastAsia" w:ascii="仿宋" w:hAnsi="仿宋" w:eastAsia="仿宋" w:cs="仿宋"/>
          <w:sz w:val="30"/>
          <w:szCs w:val="30"/>
          <w:lang w:val="en-US" w:eastAsia="zh-CN"/>
        </w:rPr>
        <w:t xml:space="preserve">公共安全支出（类）公安（款）经济犯罪侦查（项）：指各级公安机关开展打击经济犯罪活动的支出。 </w:t>
      </w:r>
    </w:p>
    <w:p>
      <w:pPr>
        <w:pStyle w:val="5"/>
        <w:spacing w:line="600" w:lineRule="atLeast"/>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公共安全支出（类）公安（款）出入境管理（项）：指各级公安机关开展出入境管理工作的支出，包括“三非”外国人遣返，出入境证照印制、管理以及出入境边防检查站等方面的支出。 </w:t>
      </w:r>
    </w:p>
    <w:p>
      <w:pPr>
        <w:pStyle w:val="5"/>
        <w:spacing w:line="600" w:lineRule="atLeast"/>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公共安全支出（类）公安（款）禁毒管理（项）：指各级公安机关开展打击禁毒工作的支出。</w:t>
      </w:r>
    </w:p>
    <w:p>
      <w:pPr>
        <w:pStyle w:val="5"/>
        <w:spacing w:line="600" w:lineRule="atLeast"/>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公共安全支出（类）公安（款）道路交通管理（项）：指各级公安机关用于开展交通管理业务、交通安全宣传，畅通工程、车驾管业务等的支出。 </w:t>
      </w:r>
    </w:p>
    <w:p>
      <w:pPr>
        <w:pStyle w:val="5"/>
        <w:spacing w:line="600" w:lineRule="atLeast"/>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公共安全支出（类）公安（款）居民身份证管理（项）：指各级公安机关开展居民身份证印制、管理等方面的支出。 </w:t>
      </w:r>
    </w:p>
    <w:p>
      <w:pPr>
        <w:pStyle w:val="5"/>
        <w:spacing w:line="600" w:lineRule="atLeast"/>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公共安全支出（类）公安（款）网络运行及维护（项）：指各级公安机关各类专网、局域网的租费、运行费、维护费、软件开发费等方面的支出。 </w:t>
      </w:r>
    </w:p>
    <w:p>
      <w:pPr>
        <w:pStyle w:val="5"/>
        <w:spacing w:line="600" w:lineRule="atLeast"/>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公共安全支出（类）公安（款）拘押收教场所管理（项）：指各 级公安机关所属看守所、行政拘留所、收容教育所、强制戒毒所等方面的支出。 </w:t>
      </w:r>
    </w:p>
    <w:p>
      <w:pPr>
        <w:pStyle w:val="5"/>
        <w:spacing w:line="600" w:lineRule="atLeast"/>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公共安全支出（类）公安（款）信息化建设（项）：指各级公安机关用于信息化方面的支出。 </w:t>
      </w:r>
    </w:p>
    <w:p>
      <w:pPr>
        <w:pStyle w:val="5"/>
        <w:spacing w:line="600" w:lineRule="atLeast"/>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公共安全支出（类）公安（款）其他公安支出（项）：指上述项目以外其他用于公安方面的支出。 </w:t>
      </w:r>
    </w:p>
    <w:p>
      <w:pPr>
        <w:pStyle w:val="5"/>
        <w:spacing w:line="600" w:lineRule="atLeas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社会保障和就业支出（类）行政事业单位离退休（款）未归口管理的行政单位离退休（项）：指未实行归口管理的行政单位开支的离退休支出。 </w:t>
      </w:r>
    </w:p>
    <w:p>
      <w:pPr>
        <w:pStyle w:val="5"/>
        <w:spacing w:line="600" w:lineRule="atLeast"/>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社会保障和就业支出（类）行政事业单位离退休（款）机关事业单位基本养老保险缴费支出（项）：指机关事业单位实施养老保险制度由单位缴纳的基本养老保险费支出。 </w:t>
      </w:r>
    </w:p>
    <w:p>
      <w:pPr>
        <w:pStyle w:val="5"/>
        <w:spacing w:line="600" w:lineRule="atLeast"/>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医疗卫生和计划生育支出（类）行政事业单位医疗（款）行政单位医疗（项）：指财政部门集中安排的行政单位基本医疗保险缴费经费，未参加医疗保险的行政单位的公费医疗经费，按国家规定享受离休人员、红军老战士待遇人员的医疗经费。 </w:t>
      </w:r>
    </w:p>
    <w:p>
      <w:pPr>
        <w:pStyle w:val="5"/>
        <w:spacing w:line="600" w:lineRule="atLeast"/>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交通运输支出（类）车辆通行费及对应专项债务收入安排的支出（款）其他车辆通行费安排的支出（项）：指从高速公路车辆通行费中安排给高速交警部门的，用于保障高速交警部门正常运行、开展日常工作以及人员经费的支出。 </w:t>
      </w:r>
    </w:p>
    <w:p>
      <w:pPr>
        <w:pStyle w:val="5"/>
        <w:spacing w:line="600" w:lineRule="atLeast"/>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住房保障支出（类）住房改革支出（款）购房补贴（项）：指按房改政策规定，向符合条件民警、职工发放的用于购买住房的补贴。</w:t>
      </w:r>
    </w:p>
    <w:p>
      <w:pPr>
        <w:pStyle w:val="5"/>
        <w:numPr>
          <w:ilvl w:val="0"/>
          <w:numId w:val="0"/>
        </w:numPr>
        <w:spacing w:line="600" w:lineRule="atLeast"/>
        <w:ind w:left="720" w:leftChars="0"/>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“三公”经费</w:t>
      </w:r>
    </w:p>
    <w:p>
      <w:pPr>
        <w:pStyle w:val="5"/>
        <w:spacing w:line="600" w:lineRule="atLeast"/>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纳入市级财政决算管理的“三公”经费，是指公安局用于财政拨款安排的因公出国（境）费、公务用车购置及运行费和公务接待费。</w:t>
      </w:r>
    </w:p>
    <w:p>
      <w:pPr>
        <w:pStyle w:val="5"/>
        <w:spacing w:line="600" w:lineRule="atLeast"/>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其中：因公出国（境）反映单位公务出国（境）的国际旅费、国外城市间交通费、住宿费、伙食费、培训费、公杂费等支出；</w:t>
      </w:r>
    </w:p>
    <w:p>
      <w:pPr>
        <w:pStyle w:val="5"/>
        <w:spacing w:line="600" w:lineRule="atLeast"/>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公务用车购置及运行费反映单位公务用车车辆购置支出（含车辆购置税）及租用费、燃料费、维修费、过路过桥费、保险费、安全奖励费用等支出；</w:t>
      </w:r>
    </w:p>
    <w:p>
      <w:pPr>
        <w:pStyle w:val="5"/>
        <w:spacing w:line="600" w:lineRule="atLeast"/>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公务接待费反映单位按规定开支的各类公务接待（含外宾接待）支出运行维护费、公务接待费。</w:t>
      </w:r>
    </w:p>
    <w:p>
      <w:pPr>
        <w:pStyle w:val="5"/>
        <w:numPr>
          <w:ilvl w:val="0"/>
          <w:numId w:val="0"/>
        </w:numPr>
        <w:spacing w:line="600" w:lineRule="atLeast"/>
        <w:ind w:left="750" w:leftChars="0"/>
        <w:rPr>
          <w:rFonts w:hint="eastAsia" w:ascii="黑体" w:hAnsi="黑体" w:eastAsia="黑体" w:cs="黑体"/>
          <w:sz w:val="30"/>
          <w:szCs w:val="30"/>
        </w:rPr>
      </w:pPr>
      <w:r>
        <w:rPr>
          <w:rFonts w:hint="eastAsia" w:ascii="黑体" w:hAnsi="黑体" w:eastAsia="黑体" w:cs="黑体"/>
          <w:sz w:val="30"/>
          <w:szCs w:val="30"/>
          <w:lang w:eastAsia="zh-CN"/>
        </w:rPr>
        <w:t>四、</w:t>
      </w:r>
      <w:r>
        <w:rPr>
          <w:rFonts w:hint="eastAsia" w:ascii="黑体" w:hAnsi="黑体" w:eastAsia="黑体" w:cs="黑体"/>
          <w:sz w:val="30"/>
          <w:szCs w:val="30"/>
        </w:rPr>
        <w:t xml:space="preserve">机关运行经费 </w:t>
      </w:r>
    </w:p>
    <w:p>
      <w:pPr>
        <w:pStyle w:val="5"/>
        <w:spacing w:line="600" w:lineRule="atLeast"/>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按照财政部《地方预决算公开操作规程》明确的口径， 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pacing w:line="580" w:lineRule="exact"/>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    </w:t>
      </w:r>
    </w:p>
    <w:p>
      <w:pPr>
        <w:pStyle w:val="5"/>
        <w:spacing w:line="600" w:lineRule="atLeast"/>
        <w:ind w:firstLine="600"/>
        <w:rPr>
          <w:rFonts w:hint="eastAsia" w:ascii="仿宋" w:hAnsi="仿宋" w:eastAsia="仿宋"/>
          <w:sz w:val="30"/>
          <w:szCs w:val="30"/>
        </w:rPr>
      </w:pPr>
    </w:p>
    <w:p>
      <w:pPr>
        <w:ind w:firstLine="630"/>
        <w:jc w:val="left"/>
        <w:rPr>
          <w:rFonts w:ascii="仿宋" w:hAnsi="仿宋" w:eastAsia="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5F05E"/>
    <w:multiLevelType w:val="singleLevel"/>
    <w:tmpl w:val="3825F0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B0E99"/>
    <w:rsid w:val="042E2764"/>
    <w:rsid w:val="08F37360"/>
    <w:rsid w:val="0BF56E67"/>
    <w:rsid w:val="0C7E6CF3"/>
    <w:rsid w:val="11C0220E"/>
    <w:rsid w:val="13586E3A"/>
    <w:rsid w:val="135C06CF"/>
    <w:rsid w:val="173E01AD"/>
    <w:rsid w:val="1A686B18"/>
    <w:rsid w:val="1A8D70E6"/>
    <w:rsid w:val="1C3600A7"/>
    <w:rsid w:val="1D7A6A21"/>
    <w:rsid w:val="1EED02B9"/>
    <w:rsid w:val="1F682F54"/>
    <w:rsid w:val="1FAC0F97"/>
    <w:rsid w:val="1FEB16AD"/>
    <w:rsid w:val="1FEF1683"/>
    <w:rsid w:val="20EF1399"/>
    <w:rsid w:val="28760763"/>
    <w:rsid w:val="29465B40"/>
    <w:rsid w:val="2E9308A5"/>
    <w:rsid w:val="2F0C3061"/>
    <w:rsid w:val="2FD80C3C"/>
    <w:rsid w:val="312951FF"/>
    <w:rsid w:val="352A495A"/>
    <w:rsid w:val="35E723D9"/>
    <w:rsid w:val="3E710819"/>
    <w:rsid w:val="40C063B0"/>
    <w:rsid w:val="410459E5"/>
    <w:rsid w:val="41B466D0"/>
    <w:rsid w:val="43BF44C8"/>
    <w:rsid w:val="43C66686"/>
    <w:rsid w:val="44B73657"/>
    <w:rsid w:val="4E611685"/>
    <w:rsid w:val="4EBB7E65"/>
    <w:rsid w:val="4F4C564B"/>
    <w:rsid w:val="5173505F"/>
    <w:rsid w:val="5221350F"/>
    <w:rsid w:val="52817C00"/>
    <w:rsid w:val="53AA6480"/>
    <w:rsid w:val="54E6244F"/>
    <w:rsid w:val="5564240D"/>
    <w:rsid w:val="5D164049"/>
    <w:rsid w:val="5D3D13AF"/>
    <w:rsid w:val="6003769A"/>
    <w:rsid w:val="60723155"/>
    <w:rsid w:val="66747FDE"/>
    <w:rsid w:val="67612520"/>
    <w:rsid w:val="686E7D1E"/>
    <w:rsid w:val="68A923BE"/>
    <w:rsid w:val="68C663B8"/>
    <w:rsid w:val="6B93052F"/>
    <w:rsid w:val="6DA83CD9"/>
    <w:rsid w:val="727D7A3C"/>
    <w:rsid w:val="74AF213F"/>
    <w:rsid w:val="77D84A16"/>
    <w:rsid w:val="77F22441"/>
    <w:rsid w:val="7A1B5FDB"/>
    <w:rsid w:val="7BD531A8"/>
    <w:rsid w:val="7CEF22E7"/>
    <w:rsid w:val="7D8712B6"/>
    <w:rsid w:val="7FAB6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jc w:val="left"/>
    </w:pPr>
    <w:rPr>
      <w:rFonts w:ascii="Calibri" w:hAnsi="Calibri" w:cs="宋体"/>
      <w:kern w:val="0"/>
      <w:sz w:val="24"/>
    </w:rPr>
  </w:style>
  <w:style w:type="paragraph" w:customStyle="1" w:styleId="5">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Asus</cp:lastModifiedBy>
  <dcterms:modified xsi:type="dcterms:W3CDTF">2020-10-13T08:16:26Z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