
<file path=[Content_Types].xml><?xml version="1.0" encoding="utf-8"?>
<Types xmlns="http://schemas.openxmlformats.org/package/2006/content-types">
  <Default Extension="png" ContentType="image/png"/>
  <Default Extension="jpeg" ContentType="image/jpeg"/>
  <Default Extension="JPG" ContentType="image/.jpg"/>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23CB28">
      <w:pPr>
        <w:spacing w:line="600" w:lineRule="exact"/>
        <w:jc w:val="center"/>
        <w:rPr>
          <w:rFonts w:hint="eastAsia" w:ascii="黑体" w:eastAsia="黑体"/>
          <w:sz w:val="44"/>
          <w:szCs w:val="36"/>
        </w:rPr>
      </w:pPr>
      <w:r>
        <w:rPr>
          <w:rFonts w:hint="eastAsia" w:ascii="黑体" w:hAnsi="黑体" w:eastAsia="黑体"/>
          <w:sz w:val="44"/>
          <w:szCs w:val="36"/>
          <w:lang w:eastAsia="zh-CN"/>
        </w:rPr>
        <w:t>中共景德镇市委党校</w:t>
      </w:r>
      <w:r>
        <w:rPr>
          <w:rFonts w:hint="eastAsia" w:ascii="黑体" w:eastAsia="黑体"/>
          <w:sz w:val="44"/>
          <w:szCs w:val="36"/>
        </w:rPr>
        <w:t>201</w:t>
      </w:r>
      <w:r>
        <w:rPr>
          <w:rFonts w:hint="eastAsia" w:ascii="黑体" w:eastAsia="黑体"/>
          <w:sz w:val="44"/>
          <w:szCs w:val="36"/>
          <w:lang w:val="en-US" w:eastAsia="zh-CN"/>
        </w:rPr>
        <w:t>9</w:t>
      </w:r>
      <w:r>
        <w:rPr>
          <w:rFonts w:hint="eastAsia" w:ascii="黑体" w:eastAsia="黑体"/>
          <w:sz w:val="44"/>
          <w:szCs w:val="36"/>
        </w:rPr>
        <w:t>年度部门决算</w:t>
      </w:r>
    </w:p>
    <w:p w14:paraId="309B7CE3">
      <w:pPr>
        <w:spacing w:line="600" w:lineRule="exact"/>
        <w:jc w:val="center"/>
        <w:rPr>
          <w:rFonts w:hint="eastAsia" w:ascii="黑体" w:eastAsia="黑体"/>
          <w:sz w:val="44"/>
          <w:szCs w:val="36"/>
        </w:rPr>
      </w:pPr>
    </w:p>
    <w:p w14:paraId="7A975125">
      <w:pPr>
        <w:spacing w:line="600" w:lineRule="exact"/>
        <w:jc w:val="center"/>
        <w:rPr>
          <w:rFonts w:hint="eastAsia" w:ascii="黑体" w:eastAsia="黑体"/>
          <w:sz w:val="40"/>
          <w:szCs w:val="36"/>
        </w:rPr>
      </w:pPr>
      <w:r>
        <w:rPr>
          <w:rFonts w:hint="eastAsia" w:ascii="黑体" w:eastAsia="黑体"/>
          <w:sz w:val="40"/>
          <w:szCs w:val="36"/>
        </w:rPr>
        <w:t>目    录</w:t>
      </w:r>
    </w:p>
    <w:p w14:paraId="3531C0E4">
      <w:pPr>
        <w:widowControl/>
        <w:spacing w:line="600" w:lineRule="exact"/>
        <w:ind w:firstLine="640"/>
        <w:jc w:val="left"/>
        <w:rPr>
          <w:rFonts w:hint="eastAsia" w:ascii="仿宋_GB2312" w:eastAsia="仿宋_GB2312"/>
          <w:sz w:val="32"/>
          <w:szCs w:val="30"/>
        </w:rPr>
      </w:pPr>
    </w:p>
    <w:p w14:paraId="163EDF86">
      <w:pPr>
        <w:widowControl/>
        <w:spacing w:line="600" w:lineRule="exact"/>
        <w:ind w:firstLine="640"/>
        <w:jc w:val="left"/>
        <w:rPr>
          <w:rFonts w:hint="eastAsia" w:ascii="黑体" w:hAnsi="黑体" w:eastAsia="黑体"/>
          <w:b w:val="0"/>
          <w:bCs/>
          <w:sz w:val="32"/>
          <w:szCs w:val="32"/>
        </w:rPr>
      </w:pPr>
      <w:r>
        <w:rPr>
          <w:rFonts w:hint="eastAsia" w:ascii="黑体" w:hAnsi="黑体" w:eastAsia="黑体"/>
          <w:b w:val="0"/>
          <w:bCs/>
          <w:sz w:val="32"/>
          <w:szCs w:val="32"/>
        </w:rPr>
        <w:t xml:space="preserve">第一部分  </w:t>
      </w:r>
      <w:r>
        <w:rPr>
          <w:rFonts w:hint="eastAsia" w:ascii="黑体" w:hAnsi="黑体" w:eastAsia="黑体"/>
          <w:b w:val="0"/>
          <w:bCs/>
          <w:sz w:val="32"/>
          <w:szCs w:val="32"/>
          <w:lang w:eastAsia="zh-CN"/>
        </w:rPr>
        <w:t>中共</w:t>
      </w:r>
      <w:r>
        <w:rPr>
          <w:rFonts w:hint="eastAsia" w:ascii="黑体" w:hAnsi="黑体" w:eastAsia="黑体"/>
          <w:b w:val="0"/>
          <w:bCs/>
          <w:sz w:val="32"/>
          <w:szCs w:val="32"/>
        </w:rPr>
        <w:t>景德镇市委党校概况</w:t>
      </w:r>
    </w:p>
    <w:p w14:paraId="1C7800B4">
      <w:pPr>
        <w:widowControl/>
        <w:spacing w:line="600" w:lineRule="exact"/>
        <w:ind w:firstLine="640"/>
        <w:jc w:val="left"/>
        <w:rPr>
          <w:rFonts w:hint="eastAsia" w:ascii="仿宋" w:hAnsi="仿宋" w:eastAsia="仿宋"/>
          <w:sz w:val="32"/>
          <w:szCs w:val="30"/>
        </w:rPr>
      </w:pPr>
      <w:r>
        <w:rPr>
          <w:rFonts w:hint="eastAsia" w:ascii="仿宋_GB2312" w:eastAsia="仿宋_GB2312"/>
          <w:b/>
          <w:sz w:val="32"/>
          <w:szCs w:val="30"/>
        </w:rPr>
        <w:t xml:space="preserve">    </w:t>
      </w:r>
      <w:r>
        <w:rPr>
          <w:rFonts w:hint="eastAsia" w:ascii="仿宋" w:hAnsi="仿宋" w:eastAsia="仿宋"/>
          <w:sz w:val="32"/>
          <w:szCs w:val="30"/>
        </w:rPr>
        <w:t>一、部门主要职责</w:t>
      </w:r>
    </w:p>
    <w:p w14:paraId="5037BDE7">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二、部门基本情况</w:t>
      </w:r>
    </w:p>
    <w:p w14:paraId="13EEA895">
      <w:pPr>
        <w:widowControl/>
        <w:spacing w:line="600" w:lineRule="exact"/>
        <w:ind w:firstLine="640"/>
        <w:jc w:val="left"/>
        <w:rPr>
          <w:rFonts w:hint="eastAsia" w:ascii="黑体" w:hAnsi="黑体" w:eastAsia="黑体"/>
          <w:sz w:val="32"/>
          <w:szCs w:val="32"/>
        </w:rPr>
      </w:pPr>
      <w:r>
        <w:rPr>
          <w:rFonts w:hint="eastAsia" w:ascii="黑体" w:hAnsi="黑体" w:eastAsia="黑体"/>
          <w:sz w:val="32"/>
          <w:szCs w:val="32"/>
        </w:rPr>
        <w:t>第二部分  201</w:t>
      </w:r>
      <w:r>
        <w:rPr>
          <w:rFonts w:hint="eastAsia" w:ascii="黑体" w:hAnsi="黑体" w:eastAsia="黑体"/>
          <w:sz w:val="32"/>
          <w:szCs w:val="32"/>
          <w:lang w:val="en-US" w:eastAsia="zh-CN"/>
        </w:rPr>
        <w:t>9</w:t>
      </w:r>
      <w:r>
        <w:rPr>
          <w:rFonts w:hint="eastAsia" w:ascii="黑体" w:hAnsi="黑体" w:eastAsia="黑体"/>
          <w:sz w:val="32"/>
          <w:szCs w:val="32"/>
        </w:rPr>
        <w:t>年度部门决算表</w:t>
      </w:r>
    </w:p>
    <w:p w14:paraId="1101B9B7">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一、收入支出决算总表</w:t>
      </w:r>
    </w:p>
    <w:p w14:paraId="74F27552">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二、收入决算表</w:t>
      </w:r>
    </w:p>
    <w:p w14:paraId="4743F296">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三、支出决算表</w:t>
      </w:r>
    </w:p>
    <w:p w14:paraId="512810A6">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四、财政拨款收入支出决算总表</w:t>
      </w:r>
    </w:p>
    <w:p w14:paraId="260ACCCB">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五、一般公共预算财政拨款支出决算表</w:t>
      </w:r>
    </w:p>
    <w:p w14:paraId="1B1BA369">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六、一般公共预算财政拨款基本支出决算表</w:t>
      </w:r>
    </w:p>
    <w:p w14:paraId="21F52017">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七、一般公共预算财政拨款“三公”经费支出决算</w:t>
      </w:r>
    </w:p>
    <w:p w14:paraId="4686B95E">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表</w:t>
      </w:r>
    </w:p>
    <w:p w14:paraId="0F3B15E7">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八、政府性基金预算财政拨款收入支出决算表</w:t>
      </w:r>
    </w:p>
    <w:p w14:paraId="42FF362B">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九、国有资产占用情况表</w:t>
      </w:r>
    </w:p>
    <w:p w14:paraId="0E09BFB7">
      <w:pPr>
        <w:widowControl/>
        <w:spacing w:line="600" w:lineRule="exact"/>
        <w:jc w:val="left"/>
        <w:rPr>
          <w:rFonts w:hint="eastAsia" w:ascii="黑体" w:hAnsi="黑体" w:eastAsia="黑体"/>
          <w:sz w:val="32"/>
          <w:szCs w:val="32"/>
        </w:rPr>
      </w:pPr>
      <w:r>
        <w:rPr>
          <w:rFonts w:hint="eastAsia" w:ascii="仿宋" w:hAnsi="仿宋" w:eastAsia="仿宋" w:cs="宋体"/>
          <w:kern w:val="0"/>
          <w:sz w:val="32"/>
          <w:szCs w:val="32"/>
        </w:rPr>
        <w:t xml:space="preserve">    </w:t>
      </w:r>
      <w:r>
        <w:rPr>
          <w:rFonts w:hint="eastAsia" w:ascii="黑体" w:hAnsi="黑体" w:eastAsia="黑体"/>
          <w:sz w:val="32"/>
          <w:szCs w:val="32"/>
        </w:rPr>
        <w:t>第三部分  201</w:t>
      </w:r>
      <w:r>
        <w:rPr>
          <w:rFonts w:hint="eastAsia" w:ascii="黑体" w:hAnsi="黑体" w:eastAsia="黑体"/>
          <w:sz w:val="32"/>
          <w:szCs w:val="32"/>
          <w:lang w:val="en-US" w:eastAsia="zh-CN"/>
        </w:rPr>
        <w:t>9</w:t>
      </w:r>
      <w:r>
        <w:rPr>
          <w:rFonts w:hint="eastAsia" w:ascii="黑体" w:hAnsi="黑体" w:eastAsia="黑体"/>
          <w:sz w:val="32"/>
          <w:szCs w:val="32"/>
        </w:rPr>
        <w:t>年度部门决算情况说明</w:t>
      </w:r>
    </w:p>
    <w:p w14:paraId="1B48DF8F">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一、收入决算情况说明</w:t>
      </w:r>
    </w:p>
    <w:p w14:paraId="4854F265">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二、支出决算情况说明</w:t>
      </w:r>
    </w:p>
    <w:p w14:paraId="4A4DA93F">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三、财政拨款支出决算情况说明</w:t>
      </w:r>
    </w:p>
    <w:p w14:paraId="7BADC408">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四、一般公共预算财政拨款基本支出决算情况说明</w:t>
      </w:r>
    </w:p>
    <w:p w14:paraId="3689CA4B">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五、一般公共预算财政拨款“三公”经费支出决算</w:t>
      </w:r>
    </w:p>
    <w:p w14:paraId="06917D95">
      <w:pPr>
        <w:widowControl/>
        <w:spacing w:line="600" w:lineRule="exact"/>
        <w:jc w:val="left"/>
        <w:rPr>
          <w:rFonts w:hint="eastAsia" w:ascii="仿宋" w:hAnsi="仿宋" w:eastAsia="仿宋"/>
          <w:sz w:val="32"/>
          <w:szCs w:val="30"/>
        </w:rPr>
      </w:pPr>
      <w:r>
        <w:rPr>
          <w:rFonts w:hint="eastAsia" w:ascii="仿宋" w:hAnsi="仿宋" w:eastAsia="仿宋"/>
          <w:sz w:val="32"/>
          <w:szCs w:val="30"/>
        </w:rPr>
        <w:t xml:space="preserve">    情况说明</w:t>
      </w:r>
    </w:p>
    <w:p w14:paraId="04080BAA">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六、机关运行经费支出情况说明</w:t>
      </w:r>
    </w:p>
    <w:p w14:paraId="3E56597B">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七、政府采购支出情况说明</w:t>
      </w:r>
    </w:p>
    <w:p w14:paraId="76575E81">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八、国有资产占用情况说明</w:t>
      </w:r>
    </w:p>
    <w:p w14:paraId="48E58D4E">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九、预算绩效情况说明</w:t>
      </w:r>
    </w:p>
    <w:p w14:paraId="152D440A">
      <w:pPr>
        <w:widowControl/>
        <w:spacing w:line="600" w:lineRule="exact"/>
        <w:ind w:firstLine="640"/>
        <w:jc w:val="left"/>
        <w:rPr>
          <w:rFonts w:ascii="仿宋" w:hAnsi="仿宋" w:eastAsia="仿宋"/>
          <w:sz w:val="32"/>
          <w:szCs w:val="30"/>
        </w:rPr>
      </w:pPr>
      <w:r>
        <w:rPr>
          <w:rFonts w:hint="eastAsia" w:ascii="黑体" w:hAnsi="黑体" w:eastAsia="黑体"/>
          <w:sz w:val="32"/>
          <w:szCs w:val="32"/>
        </w:rPr>
        <w:t>第四部分  名词解释</w:t>
      </w:r>
    </w:p>
    <w:p w14:paraId="0D125005">
      <w:pPr>
        <w:ind w:firstLine="630"/>
        <w:jc w:val="center"/>
        <w:rPr>
          <w:rFonts w:hint="eastAsia" w:ascii="宋体" w:hAnsi="宋体"/>
          <w:b/>
          <w:sz w:val="36"/>
          <w:szCs w:val="36"/>
        </w:rPr>
      </w:pPr>
    </w:p>
    <w:p w14:paraId="53E241C9">
      <w:pPr>
        <w:ind w:firstLine="630"/>
        <w:jc w:val="center"/>
        <w:rPr>
          <w:rFonts w:hint="eastAsia" w:ascii="宋体" w:hAnsi="宋体"/>
          <w:b/>
          <w:sz w:val="36"/>
          <w:szCs w:val="36"/>
        </w:rPr>
      </w:pPr>
    </w:p>
    <w:p w14:paraId="3F078817">
      <w:pPr>
        <w:ind w:firstLine="630"/>
        <w:jc w:val="center"/>
        <w:rPr>
          <w:rFonts w:hint="eastAsia" w:ascii="宋体" w:hAnsi="宋体"/>
          <w:b/>
          <w:sz w:val="36"/>
          <w:szCs w:val="36"/>
        </w:rPr>
      </w:pPr>
    </w:p>
    <w:p w14:paraId="7DF6B0F2">
      <w:pPr>
        <w:ind w:firstLine="630"/>
        <w:jc w:val="center"/>
        <w:rPr>
          <w:rFonts w:hint="eastAsia" w:ascii="宋体" w:hAnsi="宋体"/>
          <w:b/>
          <w:sz w:val="36"/>
          <w:szCs w:val="36"/>
        </w:rPr>
      </w:pPr>
    </w:p>
    <w:p w14:paraId="6AB7DF76">
      <w:pPr>
        <w:ind w:firstLine="630"/>
        <w:jc w:val="center"/>
        <w:rPr>
          <w:rFonts w:hint="eastAsia" w:ascii="宋体" w:hAnsi="宋体"/>
          <w:b/>
          <w:sz w:val="36"/>
          <w:szCs w:val="36"/>
        </w:rPr>
      </w:pPr>
    </w:p>
    <w:p w14:paraId="1B9525EB">
      <w:pPr>
        <w:ind w:firstLine="630"/>
        <w:jc w:val="center"/>
        <w:rPr>
          <w:rFonts w:hint="eastAsia" w:ascii="宋体" w:hAnsi="宋体"/>
          <w:b/>
          <w:sz w:val="36"/>
          <w:szCs w:val="36"/>
        </w:rPr>
      </w:pPr>
    </w:p>
    <w:p w14:paraId="301B0674">
      <w:pPr>
        <w:ind w:firstLine="630"/>
        <w:jc w:val="center"/>
        <w:rPr>
          <w:rFonts w:hint="eastAsia" w:ascii="宋体" w:hAnsi="宋体"/>
          <w:b/>
          <w:sz w:val="36"/>
          <w:szCs w:val="36"/>
        </w:rPr>
      </w:pPr>
    </w:p>
    <w:p w14:paraId="4E939D82">
      <w:pPr>
        <w:ind w:firstLine="630"/>
        <w:jc w:val="center"/>
        <w:rPr>
          <w:rFonts w:hint="eastAsia" w:ascii="宋体" w:hAnsi="宋体"/>
          <w:b/>
          <w:sz w:val="36"/>
          <w:szCs w:val="36"/>
        </w:rPr>
      </w:pPr>
    </w:p>
    <w:p w14:paraId="22F3412E">
      <w:pPr>
        <w:jc w:val="both"/>
        <w:rPr>
          <w:rFonts w:hint="eastAsia" w:ascii="宋体" w:hAnsi="宋体"/>
          <w:b/>
          <w:sz w:val="36"/>
          <w:szCs w:val="36"/>
        </w:rPr>
      </w:pPr>
    </w:p>
    <w:p w14:paraId="55C8CB2E">
      <w:pPr>
        <w:ind w:firstLine="630"/>
        <w:jc w:val="center"/>
        <w:rPr>
          <w:rFonts w:hint="eastAsia" w:ascii="宋体" w:hAnsi="宋体"/>
          <w:b/>
          <w:sz w:val="36"/>
          <w:szCs w:val="36"/>
        </w:rPr>
      </w:pPr>
    </w:p>
    <w:p w14:paraId="61FBB7AD">
      <w:pPr>
        <w:ind w:firstLine="630"/>
        <w:jc w:val="center"/>
        <w:rPr>
          <w:rFonts w:hint="eastAsia" w:ascii="宋体" w:hAnsi="宋体"/>
          <w:b/>
          <w:sz w:val="36"/>
          <w:szCs w:val="36"/>
        </w:rPr>
      </w:pPr>
    </w:p>
    <w:p w14:paraId="7C4119FC">
      <w:pPr>
        <w:ind w:firstLine="630"/>
        <w:jc w:val="center"/>
        <w:rPr>
          <w:rFonts w:hint="eastAsia" w:ascii="宋体" w:hAnsi="宋体"/>
          <w:b/>
          <w:sz w:val="36"/>
          <w:szCs w:val="36"/>
        </w:rPr>
      </w:pPr>
    </w:p>
    <w:p w14:paraId="68BB9CE4">
      <w:pPr>
        <w:ind w:firstLine="630"/>
        <w:jc w:val="center"/>
        <w:rPr>
          <w:rFonts w:hint="eastAsia" w:ascii="宋体" w:hAnsi="宋体"/>
          <w:b/>
          <w:sz w:val="36"/>
          <w:szCs w:val="36"/>
        </w:rPr>
      </w:pPr>
    </w:p>
    <w:p w14:paraId="28171155">
      <w:pPr>
        <w:ind w:firstLine="630"/>
        <w:jc w:val="center"/>
        <w:rPr>
          <w:rFonts w:hint="eastAsia" w:ascii="宋体" w:hAnsi="宋体"/>
          <w:b/>
          <w:sz w:val="36"/>
          <w:szCs w:val="36"/>
        </w:rPr>
      </w:pPr>
    </w:p>
    <w:p w14:paraId="551E7F06">
      <w:pPr>
        <w:widowControl/>
        <w:spacing w:line="580" w:lineRule="exact"/>
        <w:jc w:val="center"/>
        <w:rPr>
          <w:rFonts w:hint="eastAsia" w:ascii="宋体" w:hAnsi="宋体"/>
          <w:b/>
          <w:sz w:val="32"/>
          <w:szCs w:val="30"/>
        </w:rPr>
      </w:pPr>
    </w:p>
    <w:p w14:paraId="07ACAB67">
      <w:pPr>
        <w:widowControl/>
        <w:spacing w:line="580" w:lineRule="exact"/>
        <w:jc w:val="center"/>
        <w:rPr>
          <w:rFonts w:hint="eastAsia" w:ascii="宋体" w:hAnsi="宋体"/>
          <w:b/>
          <w:sz w:val="32"/>
          <w:szCs w:val="30"/>
        </w:rPr>
      </w:pPr>
      <w:r>
        <w:rPr>
          <w:rFonts w:hint="eastAsia" w:ascii="宋体" w:hAnsi="宋体"/>
          <w:b/>
          <w:sz w:val="32"/>
          <w:szCs w:val="30"/>
        </w:rPr>
        <w:t xml:space="preserve">第一部分  </w:t>
      </w:r>
      <w:r>
        <w:rPr>
          <w:rFonts w:hint="eastAsia" w:ascii="宋体" w:hAnsi="宋体"/>
          <w:b/>
          <w:sz w:val="32"/>
          <w:szCs w:val="30"/>
          <w:lang w:eastAsia="zh-CN"/>
        </w:rPr>
        <w:t>中共</w:t>
      </w:r>
      <w:r>
        <w:rPr>
          <w:rFonts w:hint="eastAsia" w:ascii="宋体" w:hAnsi="宋体"/>
          <w:b/>
          <w:sz w:val="32"/>
          <w:szCs w:val="32"/>
        </w:rPr>
        <w:t>景德镇市委党校</w:t>
      </w:r>
      <w:r>
        <w:rPr>
          <w:rFonts w:hint="eastAsia" w:ascii="宋体" w:hAnsi="宋体"/>
          <w:b/>
          <w:sz w:val="32"/>
          <w:szCs w:val="30"/>
        </w:rPr>
        <w:t>概况</w:t>
      </w:r>
    </w:p>
    <w:p w14:paraId="2DE560B3">
      <w:pPr>
        <w:ind w:firstLine="630"/>
        <w:jc w:val="center"/>
        <w:rPr>
          <w:rFonts w:hint="eastAsia"/>
          <w:sz w:val="32"/>
          <w:szCs w:val="32"/>
        </w:rPr>
      </w:pPr>
    </w:p>
    <w:p w14:paraId="1C164BE1">
      <w:pPr>
        <w:ind w:firstLine="630"/>
        <w:jc w:val="left"/>
        <w:rPr>
          <w:rFonts w:hint="eastAsia" w:ascii="黑体" w:hAnsi="黑体" w:eastAsia="黑体"/>
          <w:sz w:val="30"/>
          <w:szCs w:val="30"/>
        </w:rPr>
      </w:pPr>
      <w:r>
        <w:rPr>
          <w:rFonts w:hint="eastAsia" w:ascii="黑体" w:hAnsi="黑体" w:eastAsia="黑体"/>
          <w:sz w:val="30"/>
          <w:szCs w:val="30"/>
        </w:rPr>
        <w:t>一、部门主要职能</w:t>
      </w:r>
    </w:p>
    <w:p w14:paraId="4C1030E7">
      <w:pPr>
        <w:ind w:firstLine="630"/>
        <w:jc w:val="left"/>
        <w:rPr>
          <w:rFonts w:hint="eastAsia" w:ascii="仿宋" w:hAnsi="仿宋" w:eastAsia="仿宋"/>
          <w:sz w:val="30"/>
          <w:szCs w:val="30"/>
        </w:rPr>
      </w:pPr>
      <w:r>
        <w:rPr>
          <w:rFonts w:hint="eastAsia" w:ascii="仿宋" w:hAnsi="仿宋" w:eastAsia="仿宋"/>
          <w:sz w:val="30"/>
          <w:szCs w:val="30"/>
        </w:rPr>
        <w:t>（一）按照</w:t>
      </w:r>
      <w:r>
        <w:rPr>
          <w:rFonts w:hint="eastAsia" w:ascii="仿宋" w:hAnsi="仿宋" w:eastAsia="仿宋"/>
          <w:sz w:val="30"/>
          <w:szCs w:val="30"/>
          <w:lang w:eastAsia="zh-CN"/>
        </w:rPr>
        <w:t>《中国共产党党校工作条例》</w:t>
      </w:r>
      <w:r>
        <w:rPr>
          <w:rFonts w:hint="eastAsia" w:ascii="仿宋" w:hAnsi="仿宋" w:eastAsia="仿宋"/>
          <w:sz w:val="30"/>
          <w:szCs w:val="30"/>
        </w:rPr>
        <w:t>要求</w:t>
      </w:r>
      <w:r>
        <w:rPr>
          <w:rFonts w:hint="eastAsia" w:ascii="仿宋" w:hAnsi="仿宋" w:eastAsia="仿宋"/>
          <w:sz w:val="30"/>
          <w:szCs w:val="30"/>
          <w:lang w:eastAsia="zh-CN"/>
        </w:rPr>
        <w:t>和</w:t>
      </w:r>
      <w:r>
        <w:rPr>
          <w:rFonts w:hint="eastAsia" w:ascii="仿宋" w:hAnsi="仿宋" w:eastAsia="仿宋"/>
          <w:sz w:val="30"/>
          <w:szCs w:val="30"/>
        </w:rPr>
        <w:t>景德镇</w:t>
      </w:r>
      <w:r>
        <w:rPr>
          <w:rFonts w:hint="eastAsia" w:ascii="仿宋" w:hAnsi="仿宋" w:eastAsia="仿宋"/>
          <w:sz w:val="30"/>
          <w:szCs w:val="30"/>
          <w:lang w:eastAsia="zh-CN"/>
        </w:rPr>
        <w:t>市</w:t>
      </w:r>
      <w:r>
        <w:rPr>
          <w:rFonts w:hint="eastAsia" w:ascii="仿宋" w:hAnsi="仿宋" w:eastAsia="仿宋"/>
          <w:sz w:val="30"/>
          <w:szCs w:val="30"/>
        </w:rPr>
        <w:t>干部教育培训规划，发挥对党政领导干部培训轮训主渠道的作用，有计划地培训县级领导干部，中青年后备干部和理论宣传骨干</w:t>
      </w:r>
      <w:r>
        <w:rPr>
          <w:rFonts w:hint="eastAsia" w:ascii="仿宋" w:hAnsi="仿宋" w:eastAsia="仿宋"/>
          <w:sz w:val="30"/>
          <w:szCs w:val="30"/>
          <w:lang w:eastAsia="zh-CN"/>
        </w:rPr>
        <w:t>。</w:t>
      </w:r>
      <w:r>
        <w:rPr>
          <w:rFonts w:hint="eastAsia" w:ascii="仿宋" w:hAnsi="仿宋" w:eastAsia="仿宋"/>
          <w:sz w:val="30"/>
          <w:szCs w:val="30"/>
        </w:rPr>
        <w:t>负责对学员在校期间的学习培训情况进行考核登记，作为干部使用的重要依据之一。</w:t>
      </w:r>
    </w:p>
    <w:p w14:paraId="3318ECC3">
      <w:pPr>
        <w:ind w:firstLine="630"/>
        <w:jc w:val="left"/>
        <w:rPr>
          <w:rFonts w:hint="eastAsia" w:ascii="仿宋" w:hAnsi="仿宋" w:eastAsia="仿宋"/>
          <w:sz w:val="30"/>
          <w:szCs w:val="30"/>
        </w:rPr>
      </w:pPr>
      <w:r>
        <w:rPr>
          <w:rFonts w:hint="eastAsia" w:ascii="仿宋" w:hAnsi="仿宋" w:eastAsia="仿宋"/>
          <w:sz w:val="30"/>
          <w:szCs w:val="30"/>
        </w:rPr>
        <w:t>（二）加强理论研究和宣传，围绕党的中心任务及市委、市政府的重大战略部署，对全市重大理论和现实问题开展研究，为教学和社会实践服务，为市委、市政府科学决策服务。</w:t>
      </w:r>
    </w:p>
    <w:p w14:paraId="031463C7">
      <w:pPr>
        <w:ind w:firstLine="630"/>
        <w:jc w:val="left"/>
        <w:rPr>
          <w:rFonts w:hint="eastAsia" w:ascii="仿宋" w:hAnsi="仿宋" w:eastAsia="仿宋"/>
          <w:sz w:val="30"/>
          <w:szCs w:val="30"/>
        </w:rPr>
      </w:pPr>
      <w:r>
        <w:rPr>
          <w:rFonts w:hint="eastAsia" w:ascii="仿宋" w:hAnsi="仿宋" w:eastAsia="仿宋"/>
          <w:sz w:val="30"/>
          <w:szCs w:val="30"/>
        </w:rPr>
        <w:t>（三）受市委、市政府委托，举办县级领导干部、中青年科级干部专题研讨班。</w:t>
      </w:r>
    </w:p>
    <w:p w14:paraId="07D8D6B1">
      <w:pPr>
        <w:ind w:firstLine="630"/>
        <w:jc w:val="left"/>
        <w:rPr>
          <w:rFonts w:hint="eastAsia" w:ascii="仿宋" w:hAnsi="仿宋" w:eastAsia="仿宋"/>
          <w:sz w:val="30"/>
          <w:szCs w:val="30"/>
        </w:rPr>
      </w:pPr>
      <w:r>
        <w:rPr>
          <w:rFonts w:hint="eastAsia" w:ascii="仿宋" w:hAnsi="仿宋" w:eastAsia="仿宋"/>
          <w:sz w:val="30"/>
          <w:szCs w:val="30"/>
        </w:rPr>
        <w:t>（四）负责对县（市、区）委党校进行业务指导。</w:t>
      </w:r>
    </w:p>
    <w:p w14:paraId="16251330">
      <w:pPr>
        <w:ind w:firstLine="630"/>
        <w:jc w:val="left"/>
        <w:rPr>
          <w:rFonts w:hint="eastAsia" w:ascii="仿宋" w:hAnsi="仿宋" w:eastAsia="仿宋"/>
          <w:sz w:val="30"/>
          <w:szCs w:val="30"/>
        </w:rPr>
      </w:pPr>
      <w:r>
        <w:rPr>
          <w:rFonts w:hint="eastAsia" w:ascii="仿宋" w:hAnsi="仿宋" w:eastAsia="仿宋"/>
          <w:sz w:val="30"/>
          <w:szCs w:val="30"/>
        </w:rPr>
        <w:t>（五）接受委托，面向社会开展职业技能培训。</w:t>
      </w:r>
    </w:p>
    <w:p w14:paraId="76F361F1">
      <w:pPr>
        <w:ind w:firstLine="630"/>
        <w:jc w:val="left"/>
        <w:rPr>
          <w:rFonts w:hint="eastAsia" w:ascii="仿宋" w:hAnsi="仿宋" w:eastAsia="仿宋"/>
          <w:sz w:val="30"/>
          <w:szCs w:val="30"/>
        </w:rPr>
      </w:pPr>
      <w:r>
        <w:rPr>
          <w:rFonts w:hint="eastAsia" w:ascii="仿宋" w:hAnsi="仿宋" w:eastAsia="仿宋"/>
          <w:sz w:val="30"/>
          <w:szCs w:val="30"/>
        </w:rPr>
        <w:t>（六）</w:t>
      </w:r>
      <w:r>
        <w:rPr>
          <w:rFonts w:hint="eastAsia" w:ascii="仿宋" w:hAnsi="仿宋" w:eastAsia="仿宋"/>
          <w:sz w:val="30"/>
          <w:szCs w:val="30"/>
          <w:lang w:eastAsia="zh-CN"/>
        </w:rPr>
        <w:t>承担</w:t>
      </w:r>
      <w:r>
        <w:rPr>
          <w:rFonts w:hint="eastAsia" w:ascii="仿宋" w:hAnsi="仿宋" w:eastAsia="仿宋"/>
          <w:sz w:val="30"/>
          <w:szCs w:val="30"/>
        </w:rPr>
        <w:t>市委、市政府交办的其他任务。</w:t>
      </w:r>
    </w:p>
    <w:p w14:paraId="0BC173EA">
      <w:pPr>
        <w:ind w:firstLine="630"/>
        <w:jc w:val="left"/>
        <w:rPr>
          <w:rFonts w:hint="eastAsia" w:ascii="黑体" w:hAnsi="黑体" w:eastAsia="黑体"/>
          <w:sz w:val="30"/>
          <w:szCs w:val="30"/>
        </w:rPr>
      </w:pPr>
      <w:r>
        <w:rPr>
          <w:rFonts w:hint="eastAsia" w:ascii="黑体" w:hAnsi="黑体" w:eastAsia="黑体"/>
          <w:sz w:val="30"/>
          <w:szCs w:val="30"/>
        </w:rPr>
        <w:t>二、部门基本情况</w:t>
      </w:r>
    </w:p>
    <w:p w14:paraId="3CBD94DA">
      <w:pPr>
        <w:ind w:firstLine="630"/>
        <w:jc w:val="left"/>
        <w:rPr>
          <w:rFonts w:hint="eastAsia" w:ascii="仿宋" w:hAnsi="仿宋" w:eastAsia="仿宋"/>
          <w:sz w:val="30"/>
          <w:szCs w:val="30"/>
        </w:rPr>
      </w:pPr>
      <w:r>
        <w:rPr>
          <w:rFonts w:hint="eastAsia" w:ascii="仿宋" w:hAnsi="仿宋" w:eastAsia="仿宋"/>
          <w:sz w:val="30"/>
          <w:szCs w:val="30"/>
        </w:rPr>
        <w:t>纳入本套部门决算汇编范围的单位共</w:t>
      </w:r>
      <w:r>
        <w:rPr>
          <w:rFonts w:hint="eastAsia" w:ascii="仿宋" w:hAnsi="仿宋" w:eastAsia="仿宋"/>
          <w:sz w:val="30"/>
          <w:szCs w:val="30"/>
          <w:lang w:val="en-US" w:eastAsia="zh-CN"/>
        </w:rPr>
        <w:t>1</w:t>
      </w:r>
      <w:r>
        <w:rPr>
          <w:rFonts w:hint="eastAsia" w:ascii="仿宋" w:hAnsi="仿宋" w:eastAsia="仿宋"/>
          <w:sz w:val="30"/>
          <w:szCs w:val="30"/>
        </w:rPr>
        <w:t>个，即：</w:t>
      </w:r>
      <w:r>
        <w:rPr>
          <w:rFonts w:hint="eastAsia" w:ascii="仿宋" w:hAnsi="仿宋" w:eastAsia="仿宋"/>
          <w:sz w:val="30"/>
          <w:szCs w:val="30"/>
          <w:lang w:eastAsia="zh-CN"/>
        </w:rPr>
        <w:t>中共</w:t>
      </w:r>
      <w:r>
        <w:rPr>
          <w:rFonts w:hint="eastAsia" w:ascii="仿宋" w:hAnsi="仿宋" w:eastAsia="仿宋"/>
          <w:sz w:val="30"/>
          <w:szCs w:val="30"/>
        </w:rPr>
        <w:t>景德镇市委党校。</w:t>
      </w:r>
    </w:p>
    <w:p w14:paraId="20FB1DFC">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年年末实有人数</w:t>
      </w:r>
      <w:r>
        <w:rPr>
          <w:rFonts w:hint="eastAsia" w:ascii="仿宋" w:hAnsi="仿宋" w:eastAsia="仿宋"/>
          <w:sz w:val="30"/>
          <w:szCs w:val="30"/>
          <w:lang w:val="en-US" w:eastAsia="zh-CN"/>
        </w:rPr>
        <w:t>90</w:t>
      </w:r>
      <w:r>
        <w:rPr>
          <w:rFonts w:hint="eastAsia" w:ascii="仿宋" w:hAnsi="仿宋" w:eastAsia="仿宋"/>
          <w:sz w:val="30"/>
          <w:szCs w:val="30"/>
        </w:rPr>
        <w:t>人，其中在职人员</w:t>
      </w:r>
      <w:r>
        <w:rPr>
          <w:rFonts w:hint="eastAsia" w:ascii="仿宋" w:hAnsi="仿宋" w:eastAsia="仿宋"/>
          <w:sz w:val="30"/>
          <w:szCs w:val="30"/>
          <w:lang w:val="en-US" w:eastAsia="zh-CN"/>
        </w:rPr>
        <w:t>46</w:t>
      </w:r>
      <w:r>
        <w:rPr>
          <w:rFonts w:hint="eastAsia" w:ascii="仿宋" w:hAnsi="仿宋" w:eastAsia="仿宋"/>
          <w:sz w:val="30"/>
          <w:szCs w:val="30"/>
        </w:rPr>
        <w:t>人，离休人员</w:t>
      </w:r>
      <w:r>
        <w:rPr>
          <w:rFonts w:hint="eastAsia" w:ascii="仿宋" w:hAnsi="仿宋" w:eastAsia="仿宋"/>
          <w:sz w:val="30"/>
          <w:szCs w:val="30"/>
          <w:lang w:val="en-US" w:eastAsia="zh-CN"/>
        </w:rPr>
        <w:t>1</w:t>
      </w:r>
      <w:r>
        <w:rPr>
          <w:rFonts w:hint="eastAsia" w:ascii="仿宋" w:hAnsi="仿宋" w:eastAsia="仿宋"/>
          <w:sz w:val="30"/>
          <w:szCs w:val="30"/>
        </w:rPr>
        <w:t>人，退休人员</w:t>
      </w:r>
      <w:r>
        <w:rPr>
          <w:rFonts w:hint="eastAsia" w:ascii="仿宋" w:hAnsi="仿宋" w:eastAsia="仿宋"/>
          <w:sz w:val="30"/>
          <w:szCs w:val="30"/>
          <w:lang w:val="en-US" w:eastAsia="zh-CN"/>
        </w:rPr>
        <w:t>43</w:t>
      </w:r>
      <w:r>
        <w:rPr>
          <w:rFonts w:hint="eastAsia" w:ascii="仿宋" w:hAnsi="仿宋" w:eastAsia="仿宋"/>
          <w:sz w:val="30"/>
          <w:szCs w:val="30"/>
        </w:rPr>
        <w:t>人；</w:t>
      </w:r>
      <w:r>
        <w:rPr>
          <w:rFonts w:hint="eastAsia" w:ascii="仿宋" w:hAnsi="仿宋" w:eastAsia="仿宋"/>
          <w:sz w:val="30"/>
          <w:szCs w:val="30"/>
          <w:lang w:val="en-US" w:eastAsia="zh-CN"/>
        </w:rPr>
        <w:t>年末其他人员0人；</w:t>
      </w:r>
      <w:r>
        <w:rPr>
          <w:rFonts w:hint="eastAsia" w:ascii="仿宋" w:hAnsi="仿宋" w:eastAsia="仿宋"/>
          <w:sz w:val="30"/>
          <w:szCs w:val="30"/>
        </w:rPr>
        <w:t>年末学生人数</w:t>
      </w:r>
      <w:r>
        <w:rPr>
          <w:rFonts w:hint="eastAsia" w:ascii="仿宋" w:hAnsi="仿宋" w:eastAsia="仿宋"/>
          <w:sz w:val="30"/>
          <w:szCs w:val="30"/>
          <w:lang w:val="en-US" w:eastAsia="zh-CN"/>
        </w:rPr>
        <w:t>0</w:t>
      </w:r>
      <w:r>
        <w:rPr>
          <w:rFonts w:hint="eastAsia" w:ascii="仿宋" w:hAnsi="仿宋" w:eastAsia="仿宋"/>
          <w:sz w:val="30"/>
          <w:szCs w:val="30"/>
        </w:rPr>
        <w:t>人。</w:t>
      </w:r>
    </w:p>
    <w:p w14:paraId="33D6DCB5">
      <w:pPr>
        <w:widowControl/>
        <w:spacing w:line="600" w:lineRule="exact"/>
        <w:ind w:firstLine="640"/>
        <w:jc w:val="center"/>
        <w:rPr>
          <w:rFonts w:hint="eastAsia" w:ascii="宋体" w:hAnsi="宋体"/>
          <w:b/>
          <w:sz w:val="32"/>
          <w:szCs w:val="32"/>
        </w:rPr>
      </w:pPr>
      <w:r>
        <w:rPr>
          <w:rFonts w:hint="eastAsia" w:ascii="宋体" w:hAnsi="宋体"/>
          <w:b/>
          <w:sz w:val="32"/>
          <w:szCs w:val="32"/>
        </w:rPr>
        <w:t>第二部分  201</w:t>
      </w:r>
      <w:r>
        <w:rPr>
          <w:rFonts w:hint="eastAsia" w:ascii="宋体" w:hAnsi="宋体"/>
          <w:b/>
          <w:sz w:val="32"/>
          <w:szCs w:val="32"/>
          <w:lang w:val="en-US" w:eastAsia="zh-CN"/>
        </w:rPr>
        <w:t>9</w:t>
      </w:r>
      <w:r>
        <w:rPr>
          <w:rFonts w:hint="eastAsia" w:ascii="宋体" w:hAnsi="宋体"/>
          <w:b/>
          <w:sz w:val="32"/>
          <w:szCs w:val="32"/>
        </w:rPr>
        <w:t>年度部门决算表</w:t>
      </w:r>
    </w:p>
    <w:p w14:paraId="4E45C0C3">
      <w:pPr>
        <w:autoSpaceDE w:val="0"/>
        <w:autoSpaceDN w:val="0"/>
        <w:adjustRightInd w:val="0"/>
        <w:spacing w:line="360" w:lineRule="auto"/>
        <w:jc w:val="left"/>
      </w:pPr>
      <w:r>
        <w:drawing>
          <wp:inline distT="0" distB="0" distL="114300" distR="114300">
            <wp:extent cx="5273675" cy="4773930"/>
            <wp:effectExtent l="0" t="0" r="3175" b="7620"/>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pic:cNvPicPr>
                  </pic:nvPicPr>
                  <pic:blipFill>
                    <a:blip r:embed="rId4"/>
                    <a:stretch>
                      <a:fillRect/>
                    </a:stretch>
                  </pic:blipFill>
                  <pic:spPr>
                    <a:xfrm>
                      <a:off x="0" y="0"/>
                      <a:ext cx="5273675" cy="4773930"/>
                    </a:xfrm>
                    <a:prstGeom prst="rect">
                      <a:avLst/>
                    </a:prstGeom>
                    <a:noFill/>
                    <a:ln>
                      <a:noFill/>
                    </a:ln>
                  </pic:spPr>
                </pic:pic>
              </a:graphicData>
            </a:graphic>
          </wp:inline>
        </w:drawing>
      </w:r>
    </w:p>
    <w:p w14:paraId="33C11269">
      <w:pPr>
        <w:autoSpaceDE w:val="0"/>
        <w:autoSpaceDN w:val="0"/>
        <w:adjustRightInd w:val="0"/>
        <w:spacing w:line="360" w:lineRule="auto"/>
        <w:jc w:val="left"/>
      </w:pPr>
    </w:p>
    <w:p w14:paraId="195E3BE3">
      <w:pPr>
        <w:autoSpaceDE w:val="0"/>
        <w:autoSpaceDN w:val="0"/>
        <w:adjustRightInd w:val="0"/>
        <w:spacing w:line="360" w:lineRule="auto"/>
        <w:jc w:val="left"/>
      </w:pPr>
    </w:p>
    <w:p w14:paraId="37C17405">
      <w:pPr>
        <w:autoSpaceDE w:val="0"/>
        <w:autoSpaceDN w:val="0"/>
        <w:adjustRightInd w:val="0"/>
        <w:spacing w:line="360" w:lineRule="auto"/>
        <w:jc w:val="left"/>
      </w:pPr>
      <w:r>
        <w:drawing>
          <wp:inline distT="0" distB="0" distL="114300" distR="114300">
            <wp:extent cx="5267325" cy="1855470"/>
            <wp:effectExtent l="0" t="0" r="9525" b="11430"/>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pic:cNvPicPr>
                      <a:picLocks noChangeAspect="1"/>
                    </pic:cNvPicPr>
                  </pic:nvPicPr>
                  <pic:blipFill>
                    <a:blip r:embed="rId5"/>
                    <a:stretch>
                      <a:fillRect/>
                    </a:stretch>
                  </pic:blipFill>
                  <pic:spPr>
                    <a:xfrm>
                      <a:off x="0" y="0"/>
                      <a:ext cx="5267325" cy="1855470"/>
                    </a:xfrm>
                    <a:prstGeom prst="rect">
                      <a:avLst/>
                    </a:prstGeom>
                    <a:noFill/>
                    <a:ln>
                      <a:noFill/>
                    </a:ln>
                  </pic:spPr>
                </pic:pic>
              </a:graphicData>
            </a:graphic>
          </wp:inline>
        </w:drawing>
      </w:r>
    </w:p>
    <w:p w14:paraId="67E128E0">
      <w:pPr>
        <w:autoSpaceDE w:val="0"/>
        <w:autoSpaceDN w:val="0"/>
        <w:adjustRightInd w:val="0"/>
        <w:spacing w:line="360" w:lineRule="auto"/>
        <w:jc w:val="left"/>
        <w:rPr>
          <w:rFonts w:hint="eastAsia"/>
        </w:rPr>
      </w:pPr>
    </w:p>
    <w:p w14:paraId="45A48598">
      <w:pPr>
        <w:autoSpaceDE w:val="0"/>
        <w:autoSpaceDN w:val="0"/>
        <w:adjustRightInd w:val="0"/>
        <w:spacing w:line="360" w:lineRule="auto"/>
        <w:jc w:val="left"/>
      </w:pPr>
    </w:p>
    <w:p w14:paraId="5C6FDE9B">
      <w:pPr>
        <w:autoSpaceDE w:val="0"/>
        <w:autoSpaceDN w:val="0"/>
        <w:adjustRightInd w:val="0"/>
        <w:spacing w:line="360" w:lineRule="auto"/>
        <w:jc w:val="left"/>
      </w:pPr>
      <w:r>
        <w:drawing>
          <wp:inline distT="0" distB="0" distL="114300" distR="114300">
            <wp:extent cx="5270500" cy="2232025"/>
            <wp:effectExtent l="0" t="0" r="6350" b="15875"/>
            <wp:docPr id="1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pic:cNvPicPr>
                      <a:picLocks noChangeAspect="1"/>
                    </pic:cNvPicPr>
                  </pic:nvPicPr>
                  <pic:blipFill>
                    <a:blip r:embed="rId6"/>
                    <a:stretch>
                      <a:fillRect/>
                    </a:stretch>
                  </pic:blipFill>
                  <pic:spPr>
                    <a:xfrm>
                      <a:off x="0" y="0"/>
                      <a:ext cx="5270500" cy="2232025"/>
                    </a:xfrm>
                    <a:prstGeom prst="rect">
                      <a:avLst/>
                    </a:prstGeom>
                    <a:noFill/>
                    <a:ln>
                      <a:noFill/>
                    </a:ln>
                  </pic:spPr>
                </pic:pic>
              </a:graphicData>
            </a:graphic>
          </wp:inline>
        </w:drawing>
      </w:r>
    </w:p>
    <w:p w14:paraId="0CADDEDA">
      <w:pPr>
        <w:autoSpaceDE w:val="0"/>
        <w:autoSpaceDN w:val="0"/>
        <w:adjustRightInd w:val="0"/>
        <w:spacing w:line="360" w:lineRule="auto"/>
        <w:jc w:val="left"/>
        <w:rPr>
          <w:rFonts w:hint="eastAsia"/>
        </w:rPr>
      </w:pPr>
    </w:p>
    <w:p w14:paraId="42D9D719">
      <w:pPr>
        <w:autoSpaceDE w:val="0"/>
        <w:autoSpaceDN w:val="0"/>
        <w:adjustRightInd w:val="0"/>
        <w:spacing w:line="360" w:lineRule="auto"/>
        <w:jc w:val="left"/>
        <w:rPr>
          <w:rFonts w:hint="eastAsia"/>
        </w:rPr>
      </w:pPr>
    </w:p>
    <w:p w14:paraId="64871287">
      <w:pPr>
        <w:autoSpaceDE w:val="0"/>
        <w:autoSpaceDN w:val="0"/>
        <w:adjustRightInd w:val="0"/>
        <w:spacing w:line="360" w:lineRule="auto"/>
        <w:jc w:val="left"/>
        <w:rPr>
          <w:rFonts w:hint="eastAsia"/>
        </w:rPr>
      </w:pPr>
      <w:r>
        <w:drawing>
          <wp:inline distT="0" distB="0" distL="114300" distR="114300">
            <wp:extent cx="5271135" cy="4116070"/>
            <wp:effectExtent l="0" t="0" r="5715" b="17780"/>
            <wp:docPr id="1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
                    <pic:cNvPicPr>
                      <a:picLocks noChangeAspect="1"/>
                    </pic:cNvPicPr>
                  </pic:nvPicPr>
                  <pic:blipFill>
                    <a:blip r:embed="rId7"/>
                    <a:stretch>
                      <a:fillRect/>
                    </a:stretch>
                  </pic:blipFill>
                  <pic:spPr>
                    <a:xfrm>
                      <a:off x="0" y="0"/>
                      <a:ext cx="5271135" cy="4116070"/>
                    </a:xfrm>
                    <a:prstGeom prst="rect">
                      <a:avLst/>
                    </a:prstGeom>
                    <a:noFill/>
                    <a:ln>
                      <a:noFill/>
                    </a:ln>
                  </pic:spPr>
                </pic:pic>
              </a:graphicData>
            </a:graphic>
          </wp:inline>
        </w:drawing>
      </w:r>
    </w:p>
    <w:p w14:paraId="25CE1CF8">
      <w:pPr>
        <w:autoSpaceDE w:val="0"/>
        <w:autoSpaceDN w:val="0"/>
        <w:adjustRightInd w:val="0"/>
        <w:spacing w:line="360" w:lineRule="auto"/>
        <w:jc w:val="left"/>
        <w:rPr>
          <w:rFonts w:hint="eastAsia" w:ascii="仿宋" w:hAnsi="仿宋" w:eastAsia="仿宋" w:cs="仿宋_GB2312"/>
          <w:kern w:val="0"/>
          <w:sz w:val="30"/>
          <w:szCs w:val="30"/>
        </w:rPr>
      </w:pPr>
    </w:p>
    <w:p w14:paraId="64548A98">
      <w:pPr>
        <w:autoSpaceDE w:val="0"/>
        <w:autoSpaceDN w:val="0"/>
        <w:adjustRightInd w:val="0"/>
        <w:spacing w:line="360" w:lineRule="auto"/>
        <w:jc w:val="left"/>
      </w:pPr>
      <w:r>
        <w:drawing>
          <wp:inline distT="0" distB="0" distL="114300" distR="114300">
            <wp:extent cx="5272405" cy="3308350"/>
            <wp:effectExtent l="0" t="0" r="4445" b="6350"/>
            <wp:docPr id="1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6"/>
                    <pic:cNvPicPr>
                      <a:picLocks noChangeAspect="1"/>
                    </pic:cNvPicPr>
                  </pic:nvPicPr>
                  <pic:blipFill>
                    <a:blip r:embed="rId8"/>
                    <a:stretch>
                      <a:fillRect/>
                    </a:stretch>
                  </pic:blipFill>
                  <pic:spPr>
                    <a:xfrm>
                      <a:off x="0" y="0"/>
                      <a:ext cx="5272405" cy="3308350"/>
                    </a:xfrm>
                    <a:prstGeom prst="rect">
                      <a:avLst/>
                    </a:prstGeom>
                    <a:noFill/>
                    <a:ln>
                      <a:noFill/>
                    </a:ln>
                  </pic:spPr>
                </pic:pic>
              </a:graphicData>
            </a:graphic>
          </wp:inline>
        </w:drawing>
      </w:r>
    </w:p>
    <w:p w14:paraId="3EFC3C2F">
      <w:pPr>
        <w:autoSpaceDE w:val="0"/>
        <w:autoSpaceDN w:val="0"/>
        <w:adjustRightInd w:val="0"/>
        <w:spacing w:line="360" w:lineRule="auto"/>
        <w:jc w:val="left"/>
      </w:pPr>
    </w:p>
    <w:p w14:paraId="550EB035">
      <w:pPr>
        <w:autoSpaceDE w:val="0"/>
        <w:autoSpaceDN w:val="0"/>
        <w:adjustRightInd w:val="0"/>
        <w:spacing w:line="360" w:lineRule="auto"/>
        <w:jc w:val="left"/>
      </w:pPr>
    </w:p>
    <w:p w14:paraId="215334E4">
      <w:pPr>
        <w:autoSpaceDE w:val="0"/>
        <w:autoSpaceDN w:val="0"/>
        <w:adjustRightInd w:val="0"/>
        <w:spacing w:line="360" w:lineRule="auto"/>
        <w:jc w:val="left"/>
        <w:rPr>
          <w:rFonts w:hint="eastAsia"/>
        </w:rPr>
      </w:pPr>
      <w:r>
        <w:drawing>
          <wp:inline distT="0" distB="0" distL="114300" distR="114300">
            <wp:extent cx="5268595" cy="9095105"/>
            <wp:effectExtent l="0" t="0" r="8255" b="10795"/>
            <wp:docPr id="2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7"/>
                    <pic:cNvPicPr>
                      <a:picLocks noChangeAspect="1"/>
                    </pic:cNvPicPr>
                  </pic:nvPicPr>
                  <pic:blipFill>
                    <a:blip r:embed="rId9"/>
                    <a:stretch>
                      <a:fillRect/>
                    </a:stretch>
                  </pic:blipFill>
                  <pic:spPr>
                    <a:xfrm>
                      <a:off x="0" y="0"/>
                      <a:ext cx="5268595" cy="9095105"/>
                    </a:xfrm>
                    <a:prstGeom prst="rect">
                      <a:avLst/>
                    </a:prstGeom>
                    <a:noFill/>
                    <a:ln>
                      <a:noFill/>
                    </a:ln>
                  </pic:spPr>
                </pic:pic>
              </a:graphicData>
            </a:graphic>
          </wp:inline>
        </w:drawing>
      </w:r>
    </w:p>
    <w:p w14:paraId="07C5737C">
      <w:pPr>
        <w:autoSpaceDE w:val="0"/>
        <w:autoSpaceDN w:val="0"/>
        <w:adjustRightInd w:val="0"/>
        <w:spacing w:line="360" w:lineRule="auto"/>
        <w:jc w:val="left"/>
      </w:pPr>
      <w:r>
        <w:drawing>
          <wp:inline distT="0" distB="0" distL="114300" distR="114300">
            <wp:extent cx="5273675" cy="4314190"/>
            <wp:effectExtent l="0" t="0" r="3175" b="10160"/>
            <wp:docPr id="2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8"/>
                    <pic:cNvPicPr>
                      <a:picLocks noChangeAspect="1"/>
                    </pic:cNvPicPr>
                  </pic:nvPicPr>
                  <pic:blipFill>
                    <a:blip r:embed="rId10"/>
                    <a:stretch>
                      <a:fillRect/>
                    </a:stretch>
                  </pic:blipFill>
                  <pic:spPr>
                    <a:xfrm>
                      <a:off x="0" y="0"/>
                      <a:ext cx="5273675" cy="4314190"/>
                    </a:xfrm>
                    <a:prstGeom prst="rect">
                      <a:avLst/>
                    </a:prstGeom>
                    <a:noFill/>
                    <a:ln>
                      <a:noFill/>
                    </a:ln>
                  </pic:spPr>
                </pic:pic>
              </a:graphicData>
            </a:graphic>
          </wp:inline>
        </w:drawing>
      </w:r>
    </w:p>
    <w:p w14:paraId="38CF6CD6">
      <w:pPr>
        <w:autoSpaceDE w:val="0"/>
        <w:autoSpaceDN w:val="0"/>
        <w:adjustRightInd w:val="0"/>
        <w:spacing w:line="360" w:lineRule="auto"/>
        <w:jc w:val="left"/>
      </w:pPr>
    </w:p>
    <w:p w14:paraId="5D926EDF">
      <w:pPr>
        <w:autoSpaceDE w:val="0"/>
        <w:autoSpaceDN w:val="0"/>
        <w:adjustRightInd w:val="0"/>
        <w:spacing w:line="360" w:lineRule="auto"/>
        <w:jc w:val="left"/>
      </w:pPr>
    </w:p>
    <w:p w14:paraId="1E105020">
      <w:pPr>
        <w:autoSpaceDE w:val="0"/>
        <w:autoSpaceDN w:val="0"/>
        <w:adjustRightInd w:val="0"/>
        <w:spacing w:line="360" w:lineRule="auto"/>
        <w:jc w:val="left"/>
      </w:pPr>
    </w:p>
    <w:p w14:paraId="6A0A8819">
      <w:pPr>
        <w:autoSpaceDE w:val="0"/>
        <w:autoSpaceDN w:val="0"/>
        <w:adjustRightInd w:val="0"/>
        <w:spacing w:line="360" w:lineRule="auto"/>
        <w:jc w:val="left"/>
        <w:rPr>
          <w:rFonts w:hint="eastAsia"/>
        </w:rPr>
      </w:pPr>
    </w:p>
    <w:p w14:paraId="76AC3E13">
      <w:pPr>
        <w:autoSpaceDE w:val="0"/>
        <w:autoSpaceDN w:val="0"/>
        <w:adjustRightInd w:val="0"/>
        <w:spacing w:line="360" w:lineRule="auto"/>
        <w:jc w:val="left"/>
        <w:rPr>
          <w:rFonts w:hint="eastAsia"/>
          <w:szCs w:val="30"/>
        </w:rPr>
      </w:pPr>
      <w:r>
        <w:drawing>
          <wp:inline distT="0" distB="0" distL="114300" distR="114300">
            <wp:extent cx="5268595" cy="1684655"/>
            <wp:effectExtent l="0" t="0" r="8255" b="10795"/>
            <wp:docPr id="2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9"/>
                    <pic:cNvPicPr>
                      <a:picLocks noChangeAspect="1"/>
                    </pic:cNvPicPr>
                  </pic:nvPicPr>
                  <pic:blipFill>
                    <a:blip r:embed="rId11"/>
                    <a:stretch>
                      <a:fillRect/>
                    </a:stretch>
                  </pic:blipFill>
                  <pic:spPr>
                    <a:xfrm>
                      <a:off x="0" y="0"/>
                      <a:ext cx="5268595" cy="1684655"/>
                    </a:xfrm>
                    <a:prstGeom prst="rect">
                      <a:avLst/>
                    </a:prstGeom>
                    <a:noFill/>
                    <a:ln>
                      <a:noFill/>
                    </a:ln>
                  </pic:spPr>
                </pic:pic>
              </a:graphicData>
            </a:graphic>
          </wp:inline>
        </w:drawing>
      </w:r>
    </w:p>
    <w:p w14:paraId="1E1F2BFF">
      <w:pPr>
        <w:autoSpaceDE w:val="0"/>
        <w:autoSpaceDN w:val="0"/>
        <w:adjustRightInd w:val="0"/>
        <w:spacing w:line="360" w:lineRule="auto"/>
        <w:jc w:val="left"/>
        <w:rPr>
          <w:rFonts w:hint="eastAsia"/>
        </w:rPr>
      </w:pPr>
      <w:r>
        <w:drawing>
          <wp:inline distT="0" distB="0" distL="114300" distR="114300">
            <wp:extent cx="5124450" cy="29718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2"/>
                    <a:stretch>
                      <a:fillRect/>
                    </a:stretch>
                  </pic:blipFill>
                  <pic:spPr>
                    <a:xfrm>
                      <a:off x="0" y="0"/>
                      <a:ext cx="5124450" cy="2971800"/>
                    </a:xfrm>
                    <a:prstGeom prst="rect">
                      <a:avLst/>
                    </a:prstGeom>
                    <a:noFill/>
                    <a:ln w="9525">
                      <a:noFill/>
                    </a:ln>
                  </pic:spPr>
                </pic:pic>
              </a:graphicData>
            </a:graphic>
          </wp:inline>
        </w:drawing>
      </w:r>
    </w:p>
    <w:p w14:paraId="4B3A85B0">
      <w:pPr>
        <w:widowControl/>
        <w:spacing w:line="600" w:lineRule="exact"/>
        <w:jc w:val="both"/>
        <w:rPr>
          <w:rFonts w:hint="eastAsia" w:ascii="宋体" w:hAnsi="宋体"/>
          <w:b/>
          <w:sz w:val="32"/>
          <w:szCs w:val="32"/>
        </w:rPr>
      </w:pPr>
    </w:p>
    <w:p w14:paraId="7DBB3B89">
      <w:pPr>
        <w:widowControl/>
        <w:spacing w:line="600" w:lineRule="exact"/>
        <w:jc w:val="both"/>
        <w:rPr>
          <w:rFonts w:hint="eastAsia" w:ascii="宋体" w:hAnsi="宋体"/>
          <w:b/>
          <w:sz w:val="32"/>
          <w:szCs w:val="32"/>
        </w:rPr>
      </w:pPr>
    </w:p>
    <w:p w14:paraId="318103FA">
      <w:pPr>
        <w:widowControl/>
        <w:spacing w:line="600" w:lineRule="exact"/>
        <w:ind w:firstLine="640"/>
        <w:jc w:val="center"/>
        <w:rPr>
          <w:rFonts w:hint="eastAsia" w:ascii="宋体" w:hAnsi="宋体"/>
          <w:b/>
          <w:sz w:val="32"/>
          <w:szCs w:val="32"/>
        </w:rPr>
      </w:pPr>
      <w:r>
        <w:rPr>
          <w:rFonts w:hint="eastAsia" w:ascii="宋体" w:hAnsi="宋体"/>
          <w:b/>
          <w:sz w:val="32"/>
          <w:szCs w:val="32"/>
        </w:rPr>
        <w:t>第三部分  201</w:t>
      </w:r>
      <w:r>
        <w:rPr>
          <w:rFonts w:hint="eastAsia" w:ascii="宋体" w:hAnsi="宋体"/>
          <w:b/>
          <w:sz w:val="32"/>
          <w:szCs w:val="32"/>
          <w:lang w:val="en-US" w:eastAsia="zh-CN"/>
        </w:rPr>
        <w:t>9</w:t>
      </w:r>
      <w:r>
        <w:rPr>
          <w:rFonts w:hint="eastAsia" w:ascii="宋体" w:hAnsi="宋体"/>
          <w:b/>
          <w:sz w:val="32"/>
          <w:szCs w:val="32"/>
        </w:rPr>
        <w:t>年度部门决算情况说明</w:t>
      </w:r>
    </w:p>
    <w:p w14:paraId="5CB0C8FD">
      <w:pPr>
        <w:ind w:firstLine="630"/>
        <w:jc w:val="left"/>
        <w:rPr>
          <w:rFonts w:hint="eastAsia" w:ascii="仿宋" w:hAnsi="仿宋" w:eastAsia="仿宋"/>
          <w:sz w:val="30"/>
          <w:szCs w:val="30"/>
        </w:rPr>
      </w:pPr>
    </w:p>
    <w:p w14:paraId="5706B17D">
      <w:pPr>
        <w:ind w:firstLine="630"/>
        <w:jc w:val="left"/>
        <w:rPr>
          <w:rFonts w:hint="eastAsia" w:ascii="黑体" w:hAnsi="黑体" w:eastAsia="黑体"/>
          <w:sz w:val="30"/>
          <w:szCs w:val="30"/>
        </w:rPr>
      </w:pPr>
      <w:r>
        <w:rPr>
          <w:rFonts w:hint="eastAsia" w:ascii="黑体" w:hAnsi="黑体" w:eastAsia="黑体"/>
          <w:sz w:val="30"/>
          <w:szCs w:val="30"/>
        </w:rPr>
        <w:t>一、收入决算情况说明</w:t>
      </w:r>
    </w:p>
    <w:p w14:paraId="2B309A70">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年度收入总计</w:t>
      </w:r>
      <w:r>
        <w:rPr>
          <w:rFonts w:hint="eastAsia" w:ascii="仿宋" w:hAnsi="仿宋" w:eastAsia="仿宋"/>
          <w:sz w:val="30"/>
          <w:szCs w:val="30"/>
          <w:lang w:val="en-US" w:eastAsia="zh-CN"/>
        </w:rPr>
        <w:t>1229.68</w:t>
      </w:r>
      <w:r>
        <w:rPr>
          <w:rFonts w:hint="eastAsia" w:ascii="仿宋" w:hAnsi="仿宋" w:eastAsia="仿宋"/>
          <w:sz w:val="30"/>
          <w:szCs w:val="30"/>
        </w:rPr>
        <w:t>万元，其中年初结转和结余</w:t>
      </w:r>
      <w:r>
        <w:rPr>
          <w:rFonts w:hint="eastAsia" w:ascii="仿宋" w:hAnsi="仿宋" w:eastAsia="仿宋"/>
          <w:sz w:val="30"/>
          <w:szCs w:val="30"/>
          <w:lang w:val="en-US" w:eastAsia="zh-CN"/>
        </w:rPr>
        <w:t>27.98</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142.57</w:t>
      </w:r>
      <w:r>
        <w:rPr>
          <w:rFonts w:hint="eastAsia" w:ascii="仿宋" w:hAnsi="仿宋" w:eastAsia="仿宋"/>
          <w:sz w:val="30"/>
          <w:szCs w:val="30"/>
        </w:rPr>
        <w:t>万元，增长</w:t>
      </w:r>
      <w:r>
        <w:rPr>
          <w:rFonts w:hint="eastAsia" w:ascii="仿宋" w:hAnsi="仿宋" w:eastAsia="仿宋"/>
          <w:sz w:val="30"/>
          <w:szCs w:val="30"/>
          <w:lang w:val="en-US" w:eastAsia="zh-CN"/>
        </w:rPr>
        <w:t>13.11</w:t>
      </w:r>
      <w:r>
        <w:rPr>
          <w:rFonts w:hint="eastAsia" w:ascii="仿宋" w:hAnsi="仿宋" w:eastAsia="仿宋"/>
          <w:sz w:val="30"/>
          <w:szCs w:val="30"/>
        </w:rPr>
        <w:t>%；本年收入合计</w:t>
      </w:r>
      <w:r>
        <w:rPr>
          <w:rFonts w:hint="eastAsia" w:ascii="仿宋" w:hAnsi="仿宋" w:eastAsia="仿宋"/>
          <w:sz w:val="30"/>
          <w:szCs w:val="30"/>
          <w:lang w:val="en-US" w:eastAsia="zh-CN"/>
        </w:rPr>
        <w:t>1201.70</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115.53</w:t>
      </w:r>
      <w:r>
        <w:rPr>
          <w:rFonts w:hint="eastAsia" w:ascii="仿宋" w:hAnsi="仿宋" w:eastAsia="仿宋"/>
          <w:sz w:val="30"/>
          <w:szCs w:val="30"/>
        </w:rPr>
        <w:t>万元，增长</w:t>
      </w:r>
      <w:r>
        <w:rPr>
          <w:rFonts w:hint="eastAsia" w:ascii="仿宋" w:hAnsi="仿宋" w:eastAsia="仿宋"/>
          <w:sz w:val="30"/>
          <w:szCs w:val="30"/>
          <w:lang w:val="en-US" w:eastAsia="zh-CN"/>
        </w:rPr>
        <w:t>10.64</w:t>
      </w:r>
      <w:r>
        <w:rPr>
          <w:rFonts w:hint="eastAsia" w:ascii="仿宋" w:hAnsi="仿宋" w:eastAsia="仿宋"/>
          <w:sz w:val="30"/>
          <w:szCs w:val="30"/>
        </w:rPr>
        <w:t>%，主要原因是：</w:t>
      </w:r>
      <w:r>
        <w:rPr>
          <w:rFonts w:hint="eastAsia" w:ascii="仿宋_GB2312" w:eastAsia="仿宋_GB2312"/>
          <w:sz w:val="32"/>
          <w:szCs w:val="32"/>
        </w:rPr>
        <w:t>财政补助收入增加</w:t>
      </w:r>
      <w:r>
        <w:rPr>
          <w:rFonts w:hint="eastAsia" w:ascii="仿宋" w:hAnsi="仿宋" w:eastAsia="仿宋"/>
          <w:sz w:val="30"/>
          <w:szCs w:val="30"/>
        </w:rPr>
        <w:t>。</w:t>
      </w:r>
    </w:p>
    <w:p w14:paraId="0FCD9CF9">
      <w:pPr>
        <w:ind w:firstLine="630"/>
        <w:jc w:val="left"/>
        <w:rPr>
          <w:rFonts w:hint="eastAsia" w:ascii="仿宋" w:hAnsi="仿宋" w:eastAsia="仿宋"/>
          <w:sz w:val="30"/>
          <w:szCs w:val="30"/>
        </w:rPr>
      </w:pPr>
      <w:r>
        <w:rPr>
          <w:rFonts w:hint="eastAsia" w:ascii="仿宋" w:hAnsi="仿宋" w:eastAsia="仿宋"/>
          <w:sz w:val="30"/>
          <w:szCs w:val="30"/>
        </w:rPr>
        <w:t>本年收入的具体构成为：财政拨款收入</w:t>
      </w:r>
      <w:r>
        <w:rPr>
          <w:rFonts w:hint="eastAsia" w:ascii="仿宋" w:hAnsi="仿宋" w:eastAsia="仿宋"/>
          <w:sz w:val="30"/>
          <w:szCs w:val="30"/>
          <w:lang w:val="en-US" w:eastAsia="zh-CN"/>
        </w:rPr>
        <w:t>1119.33</w:t>
      </w:r>
      <w:r>
        <w:rPr>
          <w:rFonts w:hint="eastAsia" w:ascii="仿宋" w:hAnsi="仿宋" w:eastAsia="仿宋"/>
          <w:sz w:val="30"/>
          <w:szCs w:val="30"/>
        </w:rPr>
        <w:t>万元，占</w:t>
      </w:r>
      <w:r>
        <w:rPr>
          <w:rFonts w:hint="eastAsia" w:ascii="仿宋" w:hAnsi="仿宋" w:eastAsia="仿宋"/>
          <w:sz w:val="30"/>
          <w:szCs w:val="30"/>
          <w:lang w:val="en-US" w:eastAsia="zh-CN"/>
        </w:rPr>
        <w:t>93.15</w:t>
      </w:r>
      <w:r>
        <w:rPr>
          <w:rFonts w:hint="eastAsia" w:ascii="仿宋" w:hAnsi="仿宋" w:eastAsia="仿宋"/>
          <w:sz w:val="30"/>
          <w:szCs w:val="30"/>
        </w:rPr>
        <w:t xml:space="preserve">%；事业收入 </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%；经营收入</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%；其他收入</w:t>
      </w:r>
      <w:r>
        <w:rPr>
          <w:rFonts w:hint="eastAsia" w:ascii="仿宋" w:hAnsi="仿宋" w:eastAsia="仿宋"/>
          <w:sz w:val="30"/>
          <w:szCs w:val="30"/>
          <w:lang w:val="en-US" w:eastAsia="zh-CN"/>
        </w:rPr>
        <w:t>82.37</w:t>
      </w:r>
      <w:r>
        <w:rPr>
          <w:rFonts w:hint="eastAsia" w:ascii="仿宋" w:hAnsi="仿宋" w:eastAsia="仿宋"/>
          <w:sz w:val="30"/>
          <w:szCs w:val="30"/>
        </w:rPr>
        <w:t>万元，占</w:t>
      </w:r>
      <w:r>
        <w:rPr>
          <w:rFonts w:hint="eastAsia" w:ascii="仿宋" w:hAnsi="仿宋" w:eastAsia="仿宋"/>
          <w:sz w:val="30"/>
          <w:szCs w:val="30"/>
          <w:lang w:val="en-US" w:eastAsia="zh-CN"/>
        </w:rPr>
        <w:t>6.85</w:t>
      </w:r>
      <w:r>
        <w:rPr>
          <w:rFonts w:hint="eastAsia" w:ascii="仿宋" w:hAnsi="仿宋" w:eastAsia="仿宋"/>
          <w:sz w:val="30"/>
          <w:szCs w:val="30"/>
        </w:rPr>
        <w:t>%。</w:t>
      </w:r>
    </w:p>
    <w:p w14:paraId="20D8F964">
      <w:pPr>
        <w:ind w:firstLine="630"/>
        <w:jc w:val="left"/>
        <w:rPr>
          <w:rFonts w:hint="eastAsia" w:ascii="黑体" w:hAnsi="黑体" w:eastAsia="黑体"/>
          <w:sz w:val="30"/>
          <w:szCs w:val="30"/>
        </w:rPr>
      </w:pPr>
      <w:r>
        <w:rPr>
          <w:rFonts w:hint="eastAsia" w:ascii="黑体" w:hAnsi="黑体" w:eastAsia="黑体"/>
          <w:sz w:val="30"/>
          <w:szCs w:val="30"/>
        </w:rPr>
        <w:t>二、支出决算情况说明</w:t>
      </w:r>
    </w:p>
    <w:p w14:paraId="7241416F">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年度支出总计</w:t>
      </w:r>
      <w:r>
        <w:rPr>
          <w:rFonts w:hint="eastAsia" w:ascii="仿宋" w:hAnsi="仿宋" w:eastAsia="仿宋"/>
          <w:sz w:val="30"/>
          <w:szCs w:val="30"/>
          <w:lang w:val="en-US" w:eastAsia="zh-CN"/>
        </w:rPr>
        <w:t>1229.68</w:t>
      </w:r>
      <w:r>
        <w:rPr>
          <w:rFonts w:hint="eastAsia" w:ascii="仿宋" w:hAnsi="仿宋" w:eastAsia="仿宋"/>
          <w:sz w:val="30"/>
          <w:szCs w:val="30"/>
        </w:rPr>
        <w:t>万元，其中本年支出合计</w:t>
      </w:r>
      <w:r>
        <w:rPr>
          <w:rFonts w:hint="eastAsia" w:ascii="仿宋" w:hAnsi="仿宋" w:eastAsia="仿宋"/>
          <w:sz w:val="30"/>
          <w:szCs w:val="30"/>
          <w:lang w:val="en-US" w:eastAsia="zh-CN"/>
        </w:rPr>
        <w:t>1140.17</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81.04</w:t>
      </w:r>
      <w:r>
        <w:rPr>
          <w:rFonts w:hint="eastAsia" w:ascii="仿宋" w:hAnsi="仿宋" w:eastAsia="仿宋"/>
          <w:sz w:val="30"/>
          <w:szCs w:val="30"/>
        </w:rPr>
        <w:t>万元，增长</w:t>
      </w:r>
      <w:r>
        <w:rPr>
          <w:rFonts w:hint="eastAsia" w:ascii="仿宋" w:hAnsi="仿宋" w:eastAsia="仿宋"/>
          <w:sz w:val="30"/>
          <w:szCs w:val="30"/>
          <w:lang w:val="en-US" w:eastAsia="zh-CN"/>
        </w:rPr>
        <w:t>7.65</w:t>
      </w:r>
      <w:r>
        <w:rPr>
          <w:rFonts w:hint="eastAsia" w:ascii="仿宋" w:hAnsi="仿宋" w:eastAsia="仿宋"/>
          <w:sz w:val="30"/>
          <w:szCs w:val="30"/>
        </w:rPr>
        <w:t>%，主要原因是：</w:t>
      </w:r>
      <w:r>
        <w:rPr>
          <w:rFonts w:hint="eastAsia" w:ascii="仿宋" w:hAnsi="仿宋" w:eastAsia="仿宋"/>
          <w:sz w:val="30"/>
          <w:szCs w:val="30"/>
          <w:lang w:eastAsia="zh-CN"/>
        </w:rPr>
        <w:t>培训班次增加</w:t>
      </w:r>
      <w:r>
        <w:rPr>
          <w:rFonts w:hint="eastAsia" w:ascii="仿宋" w:hAnsi="仿宋" w:eastAsia="仿宋"/>
          <w:sz w:val="30"/>
          <w:szCs w:val="30"/>
        </w:rPr>
        <w:t>；年末结转和结余</w:t>
      </w:r>
      <w:r>
        <w:rPr>
          <w:rFonts w:hint="eastAsia" w:ascii="仿宋" w:hAnsi="仿宋" w:eastAsia="仿宋"/>
          <w:sz w:val="30"/>
          <w:szCs w:val="30"/>
          <w:lang w:val="en-US" w:eastAsia="zh-CN"/>
        </w:rPr>
        <w:t>89.51</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61.53</w:t>
      </w:r>
      <w:r>
        <w:rPr>
          <w:rFonts w:hint="eastAsia" w:ascii="仿宋" w:hAnsi="仿宋" w:eastAsia="仿宋"/>
          <w:sz w:val="30"/>
          <w:szCs w:val="30"/>
        </w:rPr>
        <w:t>万元，增长</w:t>
      </w:r>
      <w:r>
        <w:rPr>
          <w:rFonts w:hint="eastAsia" w:ascii="仿宋" w:hAnsi="仿宋" w:eastAsia="仿宋"/>
          <w:sz w:val="30"/>
          <w:szCs w:val="30"/>
          <w:lang w:val="en-US" w:eastAsia="zh-CN"/>
        </w:rPr>
        <w:t>219.91</w:t>
      </w:r>
      <w:r>
        <w:rPr>
          <w:rFonts w:hint="eastAsia" w:ascii="仿宋" w:hAnsi="仿宋" w:eastAsia="仿宋"/>
          <w:sz w:val="30"/>
          <w:szCs w:val="30"/>
        </w:rPr>
        <w:t>%，主要原因是：</w:t>
      </w:r>
      <w:r>
        <w:rPr>
          <w:rFonts w:hint="eastAsia" w:ascii="仿宋" w:hAnsi="仿宋" w:eastAsia="仿宋"/>
          <w:sz w:val="30"/>
          <w:szCs w:val="30"/>
          <w:lang w:eastAsia="zh-CN"/>
        </w:rPr>
        <w:t>厉行</w:t>
      </w:r>
      <w:r>
        <w:rPr>
          <w:rFonts w:hint="eastAsia" w:ascii="仿宋" w:hAnsi="仿宋" w:eastAsia="仿宋"/>
          <w:sz w:val="30"/>
          <w:szCs w:val="30"/>
        </w:rPr>
        <w:t>节约，压缩开支，增加结余。</w:t>
      </w:r>
    </w:p>
    <w:p w14:paraId="41874A62">
      <w:pPr>
        <w:ind w:firstLine="630"/>
        <w:jc w:val="left"/>
        <w:rPr>
          <w:rFonts w:hint="eastAsia" w:ascii="仿宋" w:hAnsi="仿宋" w:eastAsia="仿宋"/>
          <w:sz w:val="30"/>
          <w:szCs w:val="30"/>
        </w:rPr>
      </w:pPr>
      <w:r>
        <w:rPr>
          <w:rFonts w:hint="eastAsia" w:ascii="仿宋" w:hAnsi="仿宋" w:eastAsia="仿宋"/>
          <w:sz w:val="30"/>
          <w:szCs w:val="30"/>
        </w:rPr>
        <w:t>本年支出的具体构成为：基本支出</w:t>
      </w:r>
      <w:r>
        <w:rPr>
          <w:rFonts w:hint="eastAsia" w:ascii="仿宋" w:hAnsi="仿宋" w:eastAsia="仿宋"/>
          <w:sz w:val="30"/>
          <w:szCs w:val="30"/>
          <w:lang w:val="en-US" w:eastAsia="zh-CN"/>
        </w:rPr>
        <w:t>743.01</w:t>
      </w:r>
      <w:r>
        <w:rPr>
          <w:rFonts w:hint="eastAsia" w:ascii="仿宋" w:hAnsi="仿宋" w:eastAsia="仿宋"/>
          <w:sz w:val="30"/>
          <w:szCs w:val="30"/>
        </w:rPr>
        <w:t>万元，占</w:t>
      </w:r>
      <w:r>
        <w:rPr>
          <w:rFonts w:hint="eastAsia" w:ascii="仿宋" w:hAnsi="仿宋" w:eastAsia="仿宋"/>
          <w:sz w:val="30"/>
          <w:szCs w:val="30"/>
          <w:lang w:val="en-US" w:eastAsia="zh-CN"/>
        </w:rPr>
        <w:t>65.17</w:t>
      </w:r>
      <w:r>
        <w:rPr>
          <w:rFonts w:hint="eastAsia" w:ascii="仿宋" w:hAnsi="仿宋" w:eastAsia="仿宋"/>
          <w:sz w:val="30"/>
          <w:szCs w:val="30"/>
        </w:rPr>
        <w:t>%；项目支出</w:t>
      </w:r>
      <w:r>
        <w:rPr>
          <w:rFonts w:hint="eastAsia" w:ascii="仿宋" w:hAnsi="仿宋" w:eastAsia="仿宋"/>
          <w:sz w:val="30"/>
          <w:szCs w:val="30"/>
          <w:lang w:val="en-US" w:eastAsia="zh-CN"/>
        </w:rPr>
        <w:t>397.16</w:t>
      </w:r>
      <w:r>
        <w:rPr>
          <w:rFonts w:hint="eastAsia" w:ascii="仿宋" w:hAnsi="仿宋" w:eastAsia="仿宋"/>
          <w:sz w:val="30"/>
          <w:szCs w:val="30"/>
        </w:rPr>
        <w:t>万元，占</w:t>
      </w:r>
      <w:r>
        <w:rPr>
          <w:rFonts w:hint="eastAsia" w:ascii="仿宋" w:hAnsi="仿宋" w:eastAsia="仿宋"/>
          <w:sz w:val="30"/>
          <w:szCs w:val="30"/>
          <w:lang w:val="en-US" w:eastAsia="zh-CN"/>
        </w:rPr>
        <w:t>34.83</w:t>
      </w:r>
      <w:r>
        <w:rPr>
          <w:rFonts w:hint="eastAsia" w:ascii="仿宋" w:hAnsi="仿宋" w:eastAsia="仿宋"/>
          <w:sz w:val="30"/>
          <w:szCs w:val="30"/>
        </w:rPr>
        <w:t>%；经营支出</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%；其他支出（对附属单位补助支出、上缴上级支出）</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w:t>
      </w:r>
    </w:p>
    <w:p w14:paraId="41C26F4C">
      <w:pPr>
        <w:ind w:firstLine="630"/>
        <w:jc w:val="left"/>
        <w:rPr>
          <w:rFonts w:hint="eastAsia" w:ascii="黑体" w:hAnsi="黑体" w:eastAsia="黑体"/>
          <w:sz w:val="30"/>
          <w:szCs w:val="30"/>
        </w:rPr>
      </w:pPr>
      <w:r>
        <w:rPr>
          <w:rFonts w:hint="eastAsia" w:ascii="黑体" w:hAnsi="黑体" w:eastAsia="黑体"/>
          <w:sz w:val="30"/>
          <w:szCs w:val="30"/>
        </w:rPr>
        <w:t>三、财政拨款支出决算情况说明</w:t>
      </w:r>
    </w:p>
    <w:p w14:paraId="03B612F1">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年度财政拨款本年支出年初预算数为</w:t>
      </w:r>
      <w:r>
        <w:rPr>
          <w:rFonts w:hint="eastAsia" w:ascii="仿宋" w:hAnsi="仿宋" w:eastAsia="仿宋"/>
          <w:sz w:val="30"/>
          <w:szCs w:val="30"/>
          <w:lang w:val="en-US" w:eastAsia="zh-CN"/>
        </w:rPr>
        <w:t>921.74</w:t>
      </w:r>
      <w:r>
        <w:rPr>
          <w:rFonts w:hint="eastAsia" w:ascii="仿宋" w:hAnsi="仿宋" w:eastAsia="仿宋"/>
          <w:sz w:val="30"/>
          <w:szCs w:val="30"/>
        </w:rPr>
        <w:t>万元，决算数为</w:t>
      </w:r>
      <w:r>
        <w:rPr>
          <w:rFonts w:hint="eastAsia" w:ascii="仿宋" w:hAnsi="仿宋" w:eastAsia="仿宋"/>
          <w:sz w:val="30"/>
          <w:szCs w:val="30"/>
          <w:lang w:val="en-US" w:eastAsia="zh-CN"/>
        </w:rPr>
        <w:t>1106.49</w:t>
      </w:r>
      <w:r>
        <w:rPr>
          <w:rFonts w:hint="eastAsia" w:ascii="仿宋" w:hAnsi="仿宋" w:eastAsia="仿宋"/>
          <w:sz w:val="30"/>
          <w:szCs w:val="30"/>
        </w:rPr>
        <w:t>万元，完成年初预算的</w:t>
      </w:r>
      <w:r>
        <w:rPr>
          <w:rFonts w:hint="eastAsia" w:ascii="仿宋" w:hAnsi="仿宋" w:eastAsia="仿宋"/>
          <w:sz w:val="30"/>
          <w:szCs w:val="30"/>
          <w:lang w:val="en-US" w:eastAsia="zh-CN"/>
        </w:rPr>
        <w:t>120.04</w:t>
      </w:r>
      <w:r>
        <w:rPr>
          <w:rFonts w:hint="eastAsia" w:ascii="仿宋" w:hAnsi="仿宋" w:eastAsia="仿宋"/>
          <w:sz w:val="30"/>
          <w:szCs w:val="30"/>
        </w:rPr>
        <w:t>%。其中：</w:t>
      </w:r>
    </w:p>
    <w:p w14:paraId="5FB78018">
      <w:pPr>
        <w:numPr>
          <w:ilvl w:val="0"/>
          <w:numId w:val="1"/>
        </w:numPr>
        <w:ind w:firstLine="630"/>
        <w:jc w:val="left"/>
        <w:rPr>
          <w:rFonts w:hint="eastAsia" w:ascii="仿宋" w:hAnsi="仿宋" w:eastAsia="仿宋"/>
          <w:sz w:val="30"/>
          <w:szCs w:val="30"/>
        </w:rPr>
      </w:pPr>
      <w:r>
        <w:rPr>
          <w:rFonts w:hint="eastAsia" w:ascii="仿宋" w:hAnsi="仿宋" w:eastAsia="仿宋"/>
          <w:sz w:val="30"/>
          <w:szCs w:val="30"/>
        </w:rPr>
        <w:t>教育支出年初预算数为</w:t>
      </w:r>
      <w:r>
        <w:rPr>
          <w:rFonts w:hint="eastAsia" w:ascii="仿宋" w:hAnsi="仿宋" w:eastAsia="仿宋"/>
          <w:sz w:val="30"/>
          <w:szCs w:val="30"/>
          <w:lang w:val="en-US" w:eastAsia="zh-CN"/>
        </w:rPr>
        <w:t>775.21</w:t>
      </w:r>
      <w:r>
        <w:rPr>
          <w:rFonts w:hint="eastAsia" w:ascii="仿宋" w:hAnsi="仿宋" w:eastAsia="仿宋"/>
          <w:sz w:val="30"/>
          <w:szCs w:val="30"/>
        </w:rPr>
        <w:t>万元，决算数为959.96万元，完成年初预算的</w:t>
      </w:r>
      <w:r>
        <w:rPr>
          <w:rFonts w:hint="eastAsia" w:ascii="仿宋" w:hAnsi="仿宋" w:eastAsia="仿宋"/>
          <w:sz w:val="30"/>
          <w:szCs w:val="30"/>
          <w:lang w:val="en-US" w:eastAsia="zh-CN"/>
        </w:rPr>
        <w:t>123.83</w:t>
      </w:r>
      <w:r>
        <w:rPr>
          <w:rFonts w:hint="eastAsia" w:ascii="仿宋" w:hAnsi="仿宋" w:eastAsia="仿宋"/>
          <w:sz w:val="30"/>
          <w:szCs w:val="30"/>
        </w:rPr>
        <w:t>%，主要原因是：培训人员增加，增人增资。</w:t>
      </w:r>
    </w:p>
    <w:p w14:paraId="3AAF6F02">
      <w:pPr>
        <w:numPr>
          <w:ilvl w:val="0"/>
          <w:numId w:val="1"/>
        </w:numPr>
        <w:ind w:firstLine="630"/>
        <w:jc w:val="left"/>
        <w:rPr>
          <w:rFonts w:hint="eastAsia" w:ascii="仿宋" w:hAnsi="仿宋" w:eastAsia="仿宋"/>
          <w:sz w:val="30"/>
          <w:szCs w:val="30"/>
        </w:rPr>
      </w:pPr>
      <w:r>
        <w:rPr>
          <w:rFonts w:hint="eastAsia" w:ascii="仿宋" w:hAnsi="仿宋" w:eastAsia="仿宋"/>
          <w:sz w:val="30"/>
          <w:szCs w:val="30"/>
        </w:rPr>
        <w:t>社会保障和就业支出年初预算数为</w:t>
      </w:r>
      <w:r>
        <w:rPr>
          <w:rFonts w:hint="eastAsia" w:ascii="仿宋" w:hAnsi="仿宋" w:eastAsia="仿宋"/>
          <w:sz w:val="30"/>
          <w:szCs w:val="30"/>
          <w:lang w:val="en-US" w:eastAsia="zh-CN"/>
        </w:rPr>
        <w:t>113.01</w:t>
      </w:r>
      <w:r>
        <w:rPr>
          <w:rFonts w:hint="eastAsia" w:ascii="仿宋" w:hAnsi="仿宋" w:eastAsia="仿宋"/>
          <w:sz w:val="30"/>
          <w:szCs w:val="30"/>
        </w:rPr>
        <w:t>万元，决算数为113.01万元，完成年初预算的</w:t>
      </w:r>
      <w:r>
        <w:rPr>
          <w:rFonts w:hint="eastAsia" w:ascii="仿宋" w:hAnsi="仿宋" w:eastAsia="仿宋"/>
          <w:sz w:val="30"/>
          <w:szCs w:val="30"/>
          <w:lang w:val="en-US" w:eastAsia="zh-CN"/>
        </w:rPr>
        <w:t>100</w:t>
      </w:r>
      <w:r>
        <w:rPr>
          <w:rFonts w:hint="eastAsia" w:ascii="仿宋" w:hAnsi="仿宋" w:eastAsia="仿宋"/>
          <w:sz w:val="30"/>
          <w:szCs w:val="30"/>
        </w:rPr>
        <w:t>%。</w:t>
      </w:r>
    </w:p>
    <w:p w14:paraId="6E49758E">
      <w:pPr>
        <w:numPr>
          <w:ilvl w:val="0"/>
          <w:numId w:val="1"/>
        </w:numPr>
        <w:ind w:firstLine="630"/>
        <w:jc w:val="left"/>
        <w:rPr>
          <w:rFonts w:hint="eastAsia" w:ascii="仿宋" w:hAnsi="仿宋" w:eastAsia="仿宋"/>
          <w:sz w:val="30"/>
          <w:szCs w:val="30"/>
        </w:rPr>
      </w:pPr>
      <w:r>
        <w:rPr>
          <w:rFonts w:hint="eastAsia" w:ascii="仿宋" w:hAnsi="仿宋" w:eastAsia="仿宋"/>
          <w:sz w:val="30"/>
          <w:szCs w:val="30"/>
        </w:rPr>
        <w:t>住房保障支出年初预算数为</w:t>
      </w:r>
      <w:r>
        <w:rPr>
          <w:rFonts w:hint="eastAsia" w:ascii="仿宋" w:hAnsi="仿宋" w:eastAsia="仿宋"/>
          <w:sz w:val="30"/>
          <w:szCs w:val="30"/>
          <w:lang w:val="en-US" w:eastAsia="zh-CN"/>
        </w:rPr>
        <w:t>33.52</w:t>
      </w:r>
      <w:r>
        <w:rPr>
          <w:rFonts w:hint="eastAsia" w:ascii="仿宋" w:hAnsi="仿宋" w:eastAsia="仿宋"/>
          <w:sz w:val="30"/>
          <w:szCs w:val="30"/>
        </w:rPr>
        <w:t>万元，决算数为33.52万元，完成年初预算的</w:t>
      </w:r>
      <w:r>
        <w:rPr>
          <w:rFonts w:hint="eastAsia" w:ascii="仿宋" w:hAnsi="仿宋" w:eastAsia="仿宋"/>
          <w:sz w:val="30"/>
          <w:szCs w:val="30"/>
          <w:lang w:val="en-US" w:eastAsia="zh-CN"/>
        </w:rPr>
        <w:t>100</w:t>
      </w:r>
      <w:r>
        <w:rPr>
          <w:rFonts w:hint="eastAsia" w:ascii="仿宋" w:hAnsi="仿宋" w:eastAsia="仿宋"/>
          <w:sz w:val="30"/>
          <w:szCs w:val="30"/>
        </w:rPr>
        <w:t>%。</w:t>
      </w:r>
    </w:p>
    <w:p w14:paraId="1536EB62">
      <w:pPr>
        <w:ind w:firstLine="585"/>
        <w:jc w:val="left"/>
        <w:rPr>
          <w:rFonts w:hint="eastAsia" w:ascii="黑体" w:hAnsi="黑体" w:eastAsia="黑体"/>
          <w:sz w:val="30"/>
          <w:szCs w:val="30"/>
        </w:rPr>
      </w:pPr>
      <w:r>
        <w:rPr>
          <w:rFonts w:hint="eastAsia" w:ascii="黑体" w:hAnsi="黑体" w:eastAsia="黑体"/>
          <w:sz w:val="30"/>
          <w:szCs w:val="30"/>
        </w:rPr>
        <w:t>四、一般公共预算财政拨款基本支出决算情况说明</w:t>
      </w:r>
    </w:p>
    <w:p w14:paraId="31E678D2">
      <w:pPr>
        <w:ind w:firstLine="585"/>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年度一般公共预算财政拨款基本支出</w:t>
      </w:r>
      <w:r>
        <w:rPr>
          <w:rFonts w:hint="eastAsia" w:ascii="仿宋" w:hAnsi="仿宋" w:eastAsia="仿宋"/>
          <w:sz w:val="30"/>
          <w:szCs w:val="30"/>
          <w:lang w:val="en-US" w:eastAsia="zh-CN"/>
        </w:rPr>
        <w:t>709.33</w:t>
      </w:r>
      <w:r>
        <w:rPr>
          <w:rFonts w:hint="eastAsia" w:ascii="仿宋" w:hAnsi="仿宋" w:eastAsia="仿宋"/>
          <w:sz w:val="30"/>
          <w:szCs w:val="30"/>
        </w:rPr>
        <w:t>万元，其中：</w:t>
      </w:r>
    </w:p>
    <w:p w14:paraId="6260FC0A">
      <w:pPr>
        <w:ind w:firstLine="585"/>
        <w:jc w:val="left"/>
        <w:rPr>
          <w:rFonts w:hint="eastAsia" w:ascii="仿宋" w:hAnsi="仿宋" w:eastAsia="仿宋"/>
          <w:sz w:val="30"/>
          <w:szCs w:val="30"/>
        </w:rPr>
      </w:pPr>
      <w:r>
        <w:rPr>
          <w:rFonts w:hint="eastAsia" w:ascii="仿宋" w:hAnsi="仿宋" w:eastAsia="仿宋"/>
          <w:sz w:val="30"/>
          <w:szCs w:val="30"/>
        </w:rPr>
        <w:t>（一）工资福利支出596.19万元，较201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3.06</w:t>
      </w:r>
      <w:r>
        <w:rPr>
          <w:rFonts w:hint="eastAsia" w:ascii="仿宋" w:hAnsi="仿宋" w:eastAsia="仿宋"/>
          <w:sz w:val="30"/>
          <w:szCs w:val="30"/>
        </w:rPr>
        <w:t>万元，增长</w:t>
      </w:r>
      <w:r>
        <w:rPr>
          <w:rFonts w:hint="eastAsia" w:ascii="仿宋" w:hAnsi="仿宋" w:eastAsia="仿宋"/>
          <w:sz w:val="30"/>
          <w:szCs w:val="30"/>
          <w:lang w:val="en-US" w:eastAsia="zh-CN"/>
        </w:rPr>
        <w:t>0.52</w:t>
      </w:r>
      <w:r>
        <w:rPr>
          <w:rFonts w:hint="eastAsia" w:ascii="仿宋" w:hAnsi="仿宋" w:eastAsia="仿宋"/>
          <w:sz w:val="30"/>
          <w:szCs w:val="30"/>
        </w:rPr>
        <w:t>%，主要原因是：</w:t>
      </w:r>
      <w:r>
        <w:rPr>
          <w:rFonts w:hint="eastAsia" w:ascii="仿宋" w:hAnsi="仿宋" w:eastAsia="仿宋"/>
          <w:sz w:val="30"/>
          <w:szCs w:val="30"/>
          <w:lang w:eastAsia="zh-CN"/>
        </w:rPr>
        <w:t>正常调资</w:t>
      </w:r>
      <w:r>
        <w:rPr>
          <w:rFonts w:hint="eastAsia" w:ascii="仿宋" w:hAnsi="仿宋" w:eastAsia="仿宋"/>
          <w:sz w:val="30"/>
          <w:szCs w:val="30"/>
        </w:rPr>
        <w:t>。</w:t>
      </w:r>
    </w:p>
    <w:p w14:paraId="2E91744C">
      <w:pPr>
        <w:ind w:firstLine="585"/>
        <w:jc w:val="left"/>
        <w:rPr>
          <w:rFonts w:hint="eastAsia" w:ascii="仿宋" w:hAnsi="仿宋" w:eastAsia="仿宋"/>
          <w:sz w:val="30"/>
          <w:szCs w:val="30"/>
        </w:rPr>
      </w:pPr>
      <w:r>
        <w:rPr>
          <w:rFonts w:hint="eastAsia" w:ascii="仿宋" w:hAnsi="仿宋" w:eastAsia="仿宋"/>
          <w:sz w:val="30"/>
          <w:szCs w:val="30"/>
        </w:rPr>
        <w:t>（二）商品和服务支出49.68万元，较201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36.4</w:t>
      </w:r>
      <w:r>
        <w:rPr>
          <w:rFonts w:hint="eastAsia" w:ascii="仿宋" w:hAnsi="仿宋" w:eastAsia="仿宋"/>
          <w:sz w:val="30"/>
          <w:szCs w:val="30"/>
        </w:rPr>
        <w:t>万元，下降</w:t>
      </w:r>
      <w:r>
        <w:rPr>
          <w:rFonts w:hint="eastAsia" w:ascii="仿宋" w:hAnsi="仿宋" w:eastAsia="仿宋"/>
          <w:sz w:val="30"/>
          <w:szCs w:val="30"/>
          <w:lang w:val="en-US" w:eastAsia="zh-CN"/>
        </w:rPr>
        <w:t>42.29</w:t>
      </w:r>
      <w:r>
        <w:rPr>
          <w:rFonts w:hint="eastAsia" w:ascii="仿宋" w:hAnsi="仿宋" w:eastAsia="仿宋"/>
          <w:sz w:val="30"/>
          <w:szCs w:val="30"/>
        </w:rPr>
        <w:t>%，主要原因是：</w:t>
      </w:r>
      <w:r>
        <w:rPr>
          <w:rFonts w:hint="eastAsia" w:ascii="仿宋" w:hAnsi="仿宋" w:eastAsia="仿宋"/>
          <w:sz w:val="30"/>
          <w:szCs w:val="30"/>
          <w:lang w:eastAsia="zh-CN"/>
        </w:rPr>
        <w:t>厉行</w:t>
      </w:r>
      <w:r>
        <w:rPr>
          <w:rFonts w:hint="eastAsia" w:ascii="仿宋" w:hAnsi="仿宋" w:eastAsia="仿宋"/>
          <w:sz w:val="30"/>
          <w:szCs w:val="30"/>
        </w:rPr>
        <w:t>节约，压缩开支。</w:t>
      </w:r>
    </w:p>
    <w:p w14:paraId="7C2740E4">
      <w:pPr>
        <w:ind w:firstLine="585"/>
        <w:jc w:val="left"/>
        <w:rPr>
          <w:rFonts w:hint="eastAsia" w:ascii="仿宋" w:hAnsi="仿宋" w:eastAsia="仿宋"/>
          <w:sz w:val="30"/>
          <w:szCs w:val="30"/>
        </w:rPr>
      </w:pPr>
      <w:r>
        <w:rPr>
          <w:rFonts w:hint="eastAsia" w:ascii="仿宋" w:hAnsi="仿宋" w:eastAsia="仿宋"/>
          <w:sz w:val="30"/>
          <w:szCs w:val="30"/>
        </w:rPr>
        <w:t>（三）对个人和家庭补助支出63.46万元，较201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9.92</w:t>
      </w:r>
      <w:r>
        <w:rPr>
          <w:rFonts w:hint="eastAsia" w:ascii="仿宋" w:hAnsi="仿宋" w:eastAsia="仿宋"/>
          <w:sz w:val="30"/>
          <w:szCs w:val="30"/>
        </w:rPr>
        <w:t>万元，增长</w:t>
      </w:r>
      <w:r>
        <w:rPr>
          <w:rFonts w:hint="eastAsia" w:ascii="仿宋" w:hAnsi="仿宋" w:eastAsia="仿宋"/>
          <w:sz w:val="30"/>
          <w:szCs w:val="30"/>
          <w:lang w:val="en-US" w:eastAsia="zh-CN"/>
        </w:rPr>
        <w:t>18.53</w:t>
      </w:r>
      <w:r>
        <w:rPr>
          <w:rFonts w:hint="eastAsia" w:ascii="仿宋" w:hAnsi="仿宋" w:eastAsia="仿宋"/>
          <w:sz w:val="30"/>
          <w:szCs w:val="30"/>
        </w:rPr>
        <w:t>%，主要原因是：</w:t>
      </w:r>
      <w:r>
        <w:rPr>
          <w:rFonts w:hint="eastAsia" w:ascii="仿宋" w:hAnsi="仿宋" w:eastAsia="仿宋"/>
          <w:sz w:val="30"/>
          <w:szCs w:val="30"/>
          <w:lang w:eastAsia="zh-CN"/>
        </w:rPr>
        <w:t>新增公务员医疗补助</w:t>
      </w:r>
      <w:r>
        <w:rPr>
          <w:rFonts w:hint="eastAsia" w:ascii="仿宋" w:hAnsi="仿宋" w:eastAsia="仿宋"/>
          <w:sz w:val="30"/>
          <w:szCs w:val="30"/>
        </w:rPr>
        <w:t>。</w:t>
      </w:r>
    </w:p>
    <w:p w14:paraId="1F08B418">
      <w:pPr>
        <w:ind w:firstLine="585"/>
        <w:jc w:val="left"/>
        <w:rPr>
          <w:rFonts w:hint="eastAsia" w:ascii="仿宋" w:hAnsi="仿宋" w:eastAsia="仿宋"/>
          <w:sz w:val="30"/>
          <w:szCs w:val="30"/>
        </w:rPr>
      </w:pPr>
      <w:r>
        <w:rPr>
          <w:rFonts w:hint="eastAsia" w:ascii="仿宋" w:hAnsi="仿宋" w:eastAsia="仿宋"/>
          <w:sz w:val="30"/>
          <w:szCs w:val="30"/>
        </w:rPr>
        <w:t>（四）资本性支出</w:t>
      </w:r>
      <w:r>
        <w:rPr>
          <w:rFonts w:hint="eastAsia" w:ascii="仿宋" w:hAnsi="仿宋" w:eastAsia="仿宋"/>
          <w:sz w:val="30"/>
          <w:szCs w:val="30"/>
          <w:lang w:val="en-US" w:eastAsia="zh-CN"/>
        </w:rPr>
        <w:t>0</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eastAsia="zh-CN"/>
        </w:rPr>
        <w:t>持平</w:t>
      </w:r>
      <w:r>
        <w:rPr>
          <w:rFonts w:hint="eastAsia" w:ascii="仿宋" w:hAnsi="仿宋" w:eastAsia="仿宋"/>
          <w:sz w:val="30"/>
          <w:szCs w:val="30"/>
        </w:rPr>
        <w:t>。</w:t>
      </w:r>
    </w:p>
    <w:p w14:paraId="79CF2B5B">
      <w:pPr>
        <w:ind w:firstLine="630"/>
        <w:jc w:val="left"/>
        <w:rPr>
          <w:rFonts w:hint="eastAsia" w:ascii="黑体" w:hAnsi="黑体" w:eastAsia="黑体"/>
          <w:sz w:val="30"/>
          <w:szCs w:val="30"/>
        </w:rPr>
      </w:pPr>
      <w:r>
        <w:rPr>
          <w:rFonts w:hint="eastAsia" w:ascii="黑体" w:hAnsi="黑体" w:eastAsia="黑体"/>
          <w:sz w:val="30"/>
          <w:szCs w:val="30"/>
        </w:rPr>
        <w:t>五、一般公共预算财政拨款“三公”经费支出决算情况说明</w:t>
      </w:r>
    </w:p>
    <w:p w14:paraId="16063ADB">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年度一般公共预算财政拨款“三公”经费支出年初预算数为18.59万元，决算数为</w:t>
      </w:r>
      <w:r>
        <w:rPr>
          <w:rFonts w:hint="eastAsia" w:ascii="仿宋" w:hAnsi="仿宋" w:eastAsia="仿宋"/>
          <w:sz w:val="30"/>
          <w:szCs w:val="30"/>
          <w:lang w:val="en-US" w:eastAsia="zh-CN"/>
        </w:rPr>
        <w:t>11.12</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59.82</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7.83</w:t>
      </w:r>
      <w:r>
        <w:rPr>
          <w:rFonts w:hint="eastAsia" w:ascii="仿宋" w:hAnsi="仿宋" w:eastAsia="仿宋"/>
          <w:sz w:val="30"/>
          <w:szCs w:val="30"/>
        </w:rPr>
        <w:t>万元，增长</w:t>
      </w:r>
      <w:r>
        <w:rPr>
          <w:rFonts w:hint="eastAsia" w:ascii="仿宋" w:hAnsi="仿宋" w:eastAsia="仿宋"/>
          <w:sz w:val="30"/>
          <w:szCs w:val="30"/>
          <w:lang w:val="en-US" w:eastAsia="zh-CN"/>
        </w:rPr>
        <w:t>237.99</w:t>
      </w:r>
      <w:r>
        <w:rPr>
          <w:rFonts w:hint="eastAsia" w:ascii="仿宋" w:hAnsi="仿宋" w:eastAsia="仿宋"/>
          <w:sz w:val="30"/>
          <w:szCs w:val="30"/>
        </w:rPr>
        <w:t>%，其中：</w:t>
      </w:r>
    </w:p>
    <w:p w14:paraId="6F56904F">
      <w:pPr>
        <w:ind w:firstLine="630"/>
        <w:jc w:val="left"/>
        <w:rPr>
          <w:rFonts w:hint="eastAsia" w:ascii="仿宋" w:hAnsi="仿宋" w:eastAsia="仿宋"/>
          <w:sz w:val="30"/>
          <w:szCs w:val="30"/>
        </w:rPr>
      </w:pPr>
      <w:r>
        <w:rPr>
          <w:rFonts w:hint="eastAsia" w:ascii="仿宋" w:hAnsi="仿宋" w:eastAsia="仿宋"/>
          <w:sz w:val="30"/>
          <w:szCs w:val="30"/>
        </w:rPr>
        <w:t>（一）因公出国（境）支出年初预算数为</w:t>
      </w:r>
      <w:r>
        <w:rPr>
          <w:rFonts w:hint="eastAsia" w:ascii="仿宋" w:hAnsi="仿宋" w:eastAsia="仿宋"/>
          <w:sz w:val="30"/>
          <w:szCs w:val="30"/>
          <w:lang w:val="en-US" w:eastAsia="zh-CN"/>
        </w:rPr>
        <w:t>8</w:t>
      </w:r>
      <w:r>
        <w:rPr>
          <w:rFonts w:hint="eastAsia" w:ascii="仿宋" w:hAnsi="仿宋" w:eastAsia="仿宋"/>
          <w:sz w:val="30"/>
          <w:szCs w:val="30"/>
        </w:rPr>
        <w:t xml:space="preserve">万元，决算数为  </w:t>
      </w:r>
      <w:r>
        <w:rPr>
          <w:rFonts w:hint="eastAsia" w:ascii="仿宋" w:hAnsi="仿宋" w:eastAsia="仿宋"/>
          <w:sz w:val="30"/>
          <w:szCs w:val="30"/>
          <w:lang w:val="en-US" w:eastAsia="zh-CN"/>
        </w:rPr>
        <w:t>6.66</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83.25</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6.66</w:t>
      </w:r>
      <w:r>
        <w:rPr>
          <w:rFonts w:hint="eastAsia" w:ascii="仿宋" w:hAnsi="仿宋" w:eastAsia="仿宋"/>
          <w:sz w:val="30"/>
          <w:szCs w:val="30"/>
        </w:rPr>
        <w:t>万元。决算数较年初预算数增加的主要原因是：</w:t>
      </w:r>
      <w:r>
        <w:rPr>
          <w:rFonts w:hint="eastAsia" w:ascii="仿宋" w:hAnsi="仿宋" w:eastAsia="仿宋"/>
          <w:sz w:val="30"/>
          <w:szCs w:val="30"/>
          <w:lang w:val="en-US" w:eastAsia="zh-CN"/>
        </w:rPr>
        <w:t>2019</w:t>
      </w:r>
      <w:r>
        <w:rPr>
          <w:rFonts w:hint="eastAsia" w:ascii="仿宋" w:hAnsi="仿宋" w:eastAsia="仿宋"/>
          <w:sz w:val="30"/>
          <w:szCs w:val="30"/>
        </w:rPr>
        <w:t>年有2批次2人出国，</w:t>
      </w:r>
      <w:r>
        <w:rPr>
          <w:rFonts w:hint="eastAsia" w:ascii="仿宋" w:hAnsi="仿宋" w:eastAsia="仿宋"/>
          <w:sz w:val="30"/>
          <w:szCs w:val="30"/>
          <w:lang w:val="en-US" w:eastAsia="zh-CN"/>
        </w:rPr>
        <w:t>2018年</w:t>
      </w:r>
      <w:r>
        <w:rPr>
          <w:rFonts w:hint="eastAsia" w:ascii="仿宋" w:hAnsi="仿宋" w:eastAsia="仿宋"/>
          <w:sz w:val="30"/>
          <w:szCs w:val="30"/>
        </w:rPr>
        <w:t>没有人出国。</w:t>
      </w:r>
    </w:p>
    <w:p w14:paraId="72850E4D">
      <w:pPr>
        <w:ind w:firstLine="630"/>
        <w:jc w:val="left"/>
        <w:rPr>
          <w:rFonts w:hint="eastAsia" w:ascii="仿宋" w:hAnsi="仿宋" w:eastAsia="仿宋"/>
          <w:sz w:val="30"/>
          <w:szCs w:val="30"/>
        </w:rPr>
      </w:pPr>
      <w:r>
        <w:rPr>
          <w:rFonts w:hint="eastAsia" w:ascii="仿宋" w:hAnsi="仿宋" w:eastAsia="仿宋"/>
          <w:sz w:val="30"/>
          <w:szCs w:val="30"/>
        </w:rPr>
        <w:t>（二）公务接待费支出年初预算数为</w:t>
      </w:r>
      <w:r>
        <w:rPr>
          <w:rFonts w:hint="eastAsia" w:ascii="仿宋" w:hAnsi="仿宋" w:eastAsia="仿宋"/>
          <w:sz w:val="30"/>
          <w:szCs w:val="30"/>
          <w:lang w:val="en-US" w:eastAsia="zh-CN"/>
        </w:rPr>
        <w:t>8</w:t>
      </w:r>
      <w:r>
        <w:rPr>
          <w:rFonts w:hint="eastAsia" w:ascii="仿宋" w:hAnsi="仿宋" w:eastAsia="仿宋"/>
          <w:sz w:val="30"/>
          <w:szCs w:val="30"/>
        </w:rPr>
        <w:t>万元，决算数为</w:t>
      </w:r>
      <w:r>
        <w:rPr>
          <w:rFonts w:hint="eastAsia" w:ascii="仿宋" w:hAnsi="仿宋" w:eastAsia="仿宋"/>
          <w:sz w:val="30"/>
          <w:szCs w:val="30"/>
          <w:lang w:val="en-US" w:eastAsia="zh-CN"/>
        </w:rPr>
        <w:t>4.46</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55.75</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1.17</w:t>
      </w:r>
      <w:r>
        <w:rPr>
          <w:rFonts w:hint="eastAsia" w:ascii="仿宋" w:hAnsi="仿宋" w:eastAsia="仿宋"/>
          <w:sz w:val="30"/>
          <w:szCs w:val="30"/>
        </w:rPr>
        <w:t>万元，增长</w:t>
      </w:r>
      <w:r>
        <w:rPr>
          <w:rFonts w:hint="eastAsia" w:ascii="仿宋" w:hAnsi="仿宋" w:eastAsia="仿宋"/>
          <w:sz w:val="30"/>
          <w:szCs w:val="30"/>
          <w:lang w:val="en-US" w:eastAsia="zh-CN"/>
        </w:rPr>
        <w:t>35.56</w:t>
      </w:r>
      <w:r>
        <w:rPr>
          <w:rFonts w:hint="eastAsia" w:ascii="仿宋" w:hAnsi="仿宋" w:eastAsia="仿宋"/>
          <w:sz w:val="30"/>
          <w:szCs w:val="30"/>
        </w:rPr>
        <w:t>%。决算数较年初预算数增加的主要原因是：</w:t>
      </w:r>
      <w:r>
        <w:rPr>
          <w:rFonts w:hint="eastAsia" w:ascii="仿宋" w:hAnsi="仿宋" w:eastAsia="仿宋"/>
          <w:sz w:val="30"/>
          <w:szCs w:val="30"/>
          <w:lang w:val="en-US" w:eastAsia="zh-CN"/>
        </w:rPr>
        <w:t>2019</w:t>
      </w:r>
      <w:r>
        <w:rPr>
          <w:rFonts w:hint="eastAsia" w:ascii="仿宋" w:hAnsi="仿宋" w:eastAsia="仿宋"/>
          <w:sz w:val="30"/>
          <w:szCs w:val="30"/>
        </w:rPr>
        <w:t>年培训班次及人员增加，接待次数及人数增加。</w:t>
      </w:r>
    </w:p>
    <w:p w14:paraId="295025E0">
      <w:pPr>
        <w:ind w:firstLine="630"/>
        <w:jc w:val="left"/>
        <w:rPr>
          <w:rFonts w:hint="eastAsia" w:ascii="仿宋" w:hAnsi="仿宋" w:eastAsia="仿宋"/>
          <w:sz w:val="30"/>
          <w:szCs w:val="30"/>
        </w:rPr>
      </w:pPr>
      <w:r>
        <w:rPr>
          <w:rFonts w:hint="eastAsia" w:ascii="仿宋" w:hAnsi="仿宋" w:eastAsia="仿宋"/>
          <w:sz w:val="30"/>
          <w:szCs w:val="30"/>
        </w:rPr>
        <w:t>（三）公务用车购置及运行维护费支出</w:t>
      </w:r>
      <w:r>
        <w:rPr>
          <w:rFonts w:hint="eastAsia" w:ascii="仿宋" w:hAnsi="仿宋" w:eastAsia="仿宋"/>
          <w:sz w:val="30"/>
          <w:szCs w:val="30"/>
          <w:lang w:val="en-US" w:eastAsia="zh-CN"/>
        </w:rPr>
        <w:t>2.59</w:t>
      </w:r>
      <w:r>
        <w:rPr>
          <w:rFonts w:hint="eastAsia" w:ascii="仿宋" w:hAnsi="仿宋" w:eastAsia="仿宋"/>
          <w:sz w:val="30"/>
          <w:szCs w:val="30"/>
        </w:rPr>
        <w:t>万元，其中公务用车购置年初预算数为</w:t>
      </w:r>
      <w:r>
        <w:rPr>
          <w:rFonts w:hint="eastAsia" w:ascii="仿宋" w:hAnsi="仿宋" w:eastAsia="仿宋"/>
          <w:sz w:val="30"/>
          <w:szCs w:val="30"/>
          <w:lang w:val="en-US" w:eastAsia="zh-CN"/>
        </w:rPr>
        <w:t>0</w:t>
      </w:r>
      <w:r>
        <w:rPr>
          <w:rFonts w:hint="eastAsia" w:ascii="仿宋" w:hAnsi="仿宋" w:eastAsia="仿宋"/>
          <w:sz w:val="30"/>
          <w:szCs w:val="30"/>
        </w:rPr>
        <w:t>万元，决算数为</w:t>
      </w:r>
      <w:r>
        <w:rPr>
          <w:rFonts w:hint="eastAsia" w:ascii="仿宋" w:hAnsi="仿宋" w:eastAsia="仿宋"/>
          <w:sz w:val="30"/>
          <w:szCs w:val="30"/>
          <w:lang w:val="en-US" w:eastAsia="zh-CN"/>
        </w:rPr>
        <w:t>0</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100</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eastAsia="zh-CN"/>
        </w:rPr>
        <w:t>持平</w:t>
      </w:r>
      <w:r>
        <w:rPr>
          <w:rFonts w:hint="eastAsia" w:ascii="仿宋" w:hAnsi="仿宋" w:eastAsia="仿宋"/>
          <w:sz w:val="30"/>
          <w:szCs w:val="30"/>
        </w:rPr>
        <w:t>。公务用车运行维护费支出年初预算数为</w:t>
      </w:r>
      <w:r>
        <w:rPr>
          <w:rFonts w:hint="eastAsia" w:ascii="仿宋" w:hAnsi="仿宋" w:eastAsia="仿宋"/>
          <w:sz w:val="30"/>
          <w:szCs w:val="30"/>
          <w:lang w:val="en-US" w:eastAsia="zh-CN"/>
        </w:rPr>
        <w:t>2.59</w:t>
      </w:r>
      <w:r>
        <w:rPr>
          <w:rFonts w:hint="eastAsia" w:ascii="仿宋" w:hAnsi="仿宋" w:eastAsia="仿宋"/>
          <w:sz w:val="30"/>
          <w:szCs w:val="30"/>
        </w:rPr>
        <w:t>万元，决算数为</w:t>
      </w:r>
      <w:r>
        <w:rPr>
          <w:rFonts w:hint="eastAsia" w:ascii="仿宋" w:hAnsi="仿宋" w:eastAsia="仿宋"/>
          <w:sz w:val="30"/>
          <w:szCs w:val="30"/>
          <w:lang w:val="en-US" w:eastAsia="zh-CN"/>
        </w:rPr>
        <w:t>0</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100</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eastAsia="zh-CN"/>
        </w:rPr>
        <w:t>持平</w:t>
      </w:r>
      <w:r>
        <w:rPr>
          <w:rFonts w:hint="eastAsia" w:ascii="仿宋" w:hAnsi="仿宋" w:eastAsia="仿宋"/>
          <w:sz w:val="30"/>
          <w:szCs w:val="30"/>
        </w:rPr>
        <w:t>。</w:t>
      </w:r>
    </w:p>
    <w:p w14:paraId="43317C63">
      <w:pPr>
        <w:ind w:firstLine="630"/>
        <w:jc w:val="left"/>
        <w:rPr>
          <w:rFonts w:hint="eastAsia" w:ascii="黑体" w:hAnsi="黑体" w:eastAsia="黑体"/>
          <w:sz w:val="30"/>
          <w:szCs w:val="30"/>
        </w:rPr>
      </w:pPr>
      <w:r>
        <w:rPr>
          <w:rFonts w:hint="eastAsia" w:ascii="黑体" w:hAnsi="黑体" w:eastAsia="黑体"/>
          <w:sz w:val="30"/>
          <w:szCs w:val="30"/>
        </w:rPr>
        <w:t>六、机关运行经费支出情况说明</w:t>
      </w:r>
    </w:p>
    <w:p w14:paraId="11CD7AB4">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年度机关运行经费支出</w:t>
      </w:r>
      <w:r>
        <w:rPr>
          <w:rFonts w:hint="eastAsia" w:ascii="仿宋" w:hAnsi="仿宋" w:eastAsia="仿宋"/>
          <w:sz w:val="30"/>
          <w:szCs w:val="30"/>
          <w:lang w:val="en-US" w:eastAsia="zh-CN"/>
        </w:rPr>
        <w:t>49.68</w:t>
      </w:r>
      <w:r>
        <w:rPr>
          <w:rFonts w:hint="eastAsia" w:ascii="仿宋" w:hAnsi="仿宋" w:eastAsia="仿宋"/>
          <w:sz w:val="30"/>
          <w:szCs w:val="30"/>
        </w:rPr>
        <w:t>万元，较年初预算数减少</w:t>
      </w:r>
      <w:r>
        <w:rPr>
          <w:rFonts w:hint="eastAsia" w:ascii="仿宋" w:hAnsi="仿宋" w:eastAsia="仿宋"/>
          <w:sz w:val="30"/>
          <w:szCs w:val="30"/>
          <w:lang w:val="en-US" w:eastAsia="zh-CN"/>
        </w:rPr>
        <w:t>10.9</w:t>
      </w:r>
      <w:r>
        <w:rPr>
          <w:rFonts w:hint="eastAsia" w:ascii="仿宋" w:hAnsi="仿宋" w:eastAsia="仿宋"/>
          <w:sz w:val="30"/>
          <w:szCs w:val="30"/>
        </w:rPr>
        <w:t>万元，降低</w:t>
      </w:r>
      <w:r>
        <w:rPr>
          <w:rFonts w:hint="eastAsia" w:ascii="仿宋" w:hAnsi="仿宋" w:eastAsia="仿宋"/>
          <w:sz w:val="30"/>
          <w:szCs w:val="30"/>
          <w:lang w:val="en-US" w:eastAsia="zh-CN"/>
        </w:rPr>
        <w:t>17.99</w:t>
      </w:r>
      <w:r>
        <w:rPr>
          <w:rFonts w:hint="eastAsia" w:ascii="仿宋" w:hAnsi="仿宋" w:eastAsia="仿宋"/>
          <w:sz w:val="30"/>
          <w:szCs w:val="30"/>
        </w:rPr>
        <w:t>%，主要原因是：</w:t>
      </w:r>
      <w:r>
        <w:rPr>
          <w:rFonts w:hint="eastAsia" w:ascii="仿宋" w:hAnsi="仿宋" w:eastAsia="仿宋"/>
          <w:sz w:val="30"/>
          <w:szCs w:val="30"/>
          <w:lang w:val="en-US" w:eastAsia="zh-CN"/>
        </w:rPr>
        <w:t>办公设施设备购置经费减少，厉行</w:t>
      </w:r>
      <w:bookmarkStart w:id="0" w:name="_GoBack"/>
      <w:bookmarkEnd w:id="0"/>
      <w:r>
        <w:rPr>
          <w:rFonts w:hint="eastAsia" w:ascii="仿宋" w:hAnsi="仿宋" w:eastAsia="仿宋"/>
          <w:sz w:val="30"/>
          <w:szCs w:val="30"/>
          <w:lang w:val="en-US" w:eastAsia="zh-CN"/>
        </w:rPr>
        <w:t>节约</w:t>
      </w:r>
      <w:r>
        <w:rPr>
          <w:rFonts w:hint="eastAsia" w:ascii="仿宋" w:hAnsi="仿宋" w:eastAsia="仿宋"/>
          <w:sz w:val="30"/>
          <w:szCs w:val="30"/>
        </w:rPr>
        <w:t xml:space="preserve">。 </w:t>
      </w:r>
    </w:p>
    <w:p w14:paraId="400B87B6">
      <w:pPr>
        <w:ind w:firstLine="630"/>
        <w:jc w:val="left"/>
        <w:rPr>
          <w:rFonts w:ascii="黑体" w:hAnsi="黑体" w:eastAsia="黑体"/>
          <w:sz w:val="30"/>
          <w:szCs w:val="30"/>
        </w:rPr>
      </w:pPr>
      <w:r>
        <w:rPr>
          <w:rFonts w:hint="eastAsia" w:ascii="黑体" w:hAnsi="黑体" w:eastAsia="黑体"/>
          <w:sz w:val="30"/>
          <w:szCs w:val="30"/>
        </w:rPr>
        <w:t>七、政府采购支出情况说明</w:t>
      </w:r>
    </w:p>
    <w:p w14:paraId="6EA02497">
      <w:pPr>
        <w:pStyle w:val="4"/>
        <w:spacing w:line="600" w:lineRule="atLeast"/>
        <w:ind w:firstLine="600"/>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年度政府采购支出总额</w:t>
      </w:r>
      <w:r>
        <w:rPr>
          <w:rFonts w:hint="eastAsia" w:ascii="仿宋" w:hAnsi="仿宋" w:eastAsia="仿宋"/>
          <w:sz w:val="30"/>
          <w:szCs w:val="30"/>
          <w:lang w:val="en-US" w:eastAsia="zh-CN"/>
        </w:rPr>
        <w:t>4.79</w:t>
      </w:r>
      <w:r>
        <w:rPr>
          <w:rFonts w:hint="eastAsia" w:ascii="仿宋" w:hAnsi="仿宋" w:eastAsia="仿宋"/>
          <w:sz w:val="30"/>
          <w:szCs w:val="30"/>
        </w:rPr>
        <w:t>万元，其中：政府采购货物支出</w:t>
      </w:r>
      <w:r>
        <w:rPr>
          <w:rFonts w:hint="eastAsia" w:ascii="仿宋" w:hAnsi="仿宋" w:eastAsia="仿宋"/>
          <w:sz w:val="30"/>
          <w:szCs w:val="30"/>
          <w:lang w:val="en-US" w:eastAsia="zh-CN"/>
        </w:rPr>
        <w:t>4.79</w:t>
      </w:r>
      <w:r>
        <w:rPr>
          <w:rFonts w:hint="eastAsia" w:ascii="仿宋" w:hAnsi="仿宋" w:eastAsia="仿宋"/>
          <w:sz w:val="30"/>
          <w:szCs w:val="30"/>
        </w:rPr>
        <w:t>万元、政府采购工程支出</w:t>
      </w:r>
      <w:r>
        <w:rPr>
          <w:rFonts w:hint="eastAsia" w:ascii="仿宋" w:hAnsi="仿宋" w:eastAsia="仿宋"/>
          <w:sz w:val="30"/>
          <w:szCs w:val="30"/>
          <w:lang w:val="en-US" w:eastAsia="zh-CN"/>
        </w:rPr>
        <w:t>0</w:t>
      </w:r>
      <w:r>
        <w:rPr>
          <w:rFonts w:hint="eastAsia" w:ascii="仿宋" w:hAnsi="仿宋" w:eastAsia="仿宋"/>
          <w:sz w:val="30"/>
          <w:szCs w:val="30"/>
        </w:rPr>
        <w:t>万元、政府采购服务支出</w:t>
      </w:r>
      <w:r>
        <w:rPr>
          <w:rFonts w:hint="eastAsia" w:ascii="仿宋" w:hAnsi="仿宋" w:eastAsia="仿宋"/>
          <w:sz w:val="30"/>
          <w:szCs w:val="30"/>
          <w:lang w:val="en-US" w:eastAsia="zh-CN"/>
        </w:rPr>
        <w:t>0</w:t>
      </w:r>
      <w:r>
        <w:rPr>
          <w:rFonts w:hint="eastAsia" w:ascii="仿宋" w:hAnsi="仿宋" w:eastAsia="仿宋"/>
          <w:sz w:val="30"/>
          <w:szCs w:val="30"/>
        </w:rPr>
        <w:t>万元。</w:t>
      </w:r>
    </w:p>
    <w:p w14:paraId="27BE0783">
      <w:pPr>
        <w:ind w:firstLine="630"/>
        <w:jc w:val="left"/>
        <w:rPr>
          <w:rFonts w:hint="eastAsia" w:ascii="黑体" w:hAnsi="黑体" w:eastAsia="黑体"/>
          <w:sz w:val="30"/>
          <w:szCs w:val="30"/>
        </w:rPr>
      </w:pPr>
      <w:r>
        <w:rPr>
          <w:rFonts w:hint="eastAsia" w:ascii="黑体" w:hAnsi="黑体" w:eastAsia="黑体"/>
          <w:sz w:val="30"/>
          <w:szCs w:val="30"/>
        </w:rPr>
        <w:t>八、国有资产占用情况说明。</w:t>
      </w:r>
    </w:p>
    <w:p w14:paraId="66B8308E">
      <w:pPr>
        <w:ind w:firstLine="630"/>
        <w:jc w:val="left"/>
        <w:rPr>
          <w:rFonts w:hint="eastAsia" w:ascii="仿宋" w:hAnsi="仿宋" w:eastAsia="仿宋"/>
          <w:kern w:val="0"/>
          <w:sz w:val="30"/>
          <w:szCs w:val="30"/>
        </w:rPr>
      </w:pPr>
      <w:r>
        <w:rPr>
          <w:rFonts w:hint="eastAsia" w:ascii="仿宋" w:hAnsi="仿宋" w:eastAsia="仿宋"/>
          <w:kern w:val="0"/>
          <w:sz w:val="30"/>
          <w:szCs w:val="30"/>
        </w:rPr>
        <w:t>截止201</w:t>
      </w:r>
      <w:r>
        <w:rPr>
          <w:rFonts w:hint="eastAsia" w:ascii="仿宋" w:hAnsi="仿宋" w:eastAsia="仿宋"/>
          <w:kern w:val="0"/>
          <w:sz w:val="30"/>
          <w:szCs w:val="30"/>
          <w:lang w:val="en-US" w:eastAsia="zh-CN"/>
        </w:rPr>
        <w:t>9</w:t>
      </w:r>
      <w:r>
        <w:rPr>
          <w:rFonts w:hint="eastAsia" w:ascii="仿宋" w:hAnsi="仿宋" w:eastAsia="仿宋"/>
          <w:kern w:val="0"/>
          <w:sz w:val="30"/>
          <w:szCs w:val="30"/>
        </w:rPr>
        <w:t>年12月31日，本部门</w:t>
      </w:r>
      <w:r>
        <w:rPr>
          <w:rFonts w:hint="eastAsia" w:ascii="仿宋" w:hAnsi="仿宋" w:eastAsia="仿宋"/>
          <w:kern w:val="0"/>
          <w:sz w:val="30"/>
          <w:szCs w:val="30"/>
          <w:lang w:val="en-US" w:eastAsia="zh-CN"/>
        </w:rPr>
        <w:t>国有资产占用情况见公开09表《国有资产占用情况表》，无车辆</w:t>
      </w:r>
      <w:r>
        <w:rPr>
          <w:rFonts w:hint="eastAsia" w:ascii="仿宋" w:hAnsi="仿宋" w:eastAsia="仿宋"/>
          <w:kern w:val="0"/>
          <w:sz w:val="30"/>
          <w:szCs w:val="30"/>
        </w:rPr>
        <w:t>。</w:t>
      </w:r>
    </w:p>
    <w:p w14:paraId="3509DC39">
      <w:pPr>
        <w:ind w:firstLine="630"/>
        <w:jc w:val="left"/>
        <w:rPr>
          <w:rFonts w:hint="eastAsia" w:ascii="黑体" w:hAnsi="黑体" w:eastAsia="黑体"/>
          <w:sz w:val="30"/>
          <w:szCs w:val="30"/>
        </w:rPr>
      </w:pPr>
      <w:r>
        <w:rPr>
          <w:rFonts w:hint="eastAsia" w:ascii="黑体" w:hAnsi="黑体" w:eastAsia="黑体"/>
          <w:sz w:val="30"/>
          <w:szCs w:val="30"/>
        </w:rPr>
        <w:t>九、预算绩效情况说明</w:t>
      </w:r>
    </w:p>
    <w:p w14:paraId="37A819FF">
      <w:pPr>
        <w:autoSpaceDE w:val="0"/>
        <w:autoSpaceDN w:val="0"/>
        <w:adjustRightInd w:val="0"/>
        <w:spacing w:line="360" w:lineRule="auto"/>
        <w:jc w:val="left"/>
        <w:rPr>
          <w:rFonts w:hint="eastAsia" w:ascii="仿宋" w:hAnsi="仿宋" w:eastAsia="仿宋" w:cs="仿宋_GB2312"/>
          <w:kern w:val="0"/>
          <w:sz w:val="30"/>
          <w:szCs w:val="30"/>
        </w:rPr>
      </w:pPr>
      <w:r>
        <w:rPr>
          <w:rFonts w:hint="eastAsia" w:ascii="仿宋" w:hAnsi="仿宋" w:eastAsia="仿宋" w:cs="仿宋_GB2312"/>
          <w:kern w:val="0"/>
          <w:sz w:val="30"/>
          <w:szCs w:val="30"/>
        </w:rPr>
        <w:t xml:space="preserve">   （一）绩效管理工作开展情况</w:t>
      </w:r>
    </w:p>
    <w:p w14:paraId="3A6A0907">
      <w:pPr>
        <w:autoSpaceDE w:val="0"/>
        <w:autoSpaceDN w:val="0"/>
        <w:adjustRightInd w:val="0"/>
        <w:spacing w:line="360" w:lineRule="auto"/>
        <w:ind w:firstLine="600"/>
        <w:jc w:val="left"/>
        <w:rPr>
          <w:rFonts w:hint="eastAsia" w:ascii="仿宋" w:hAnsi="仿宋" w:eastAsia="仿宋" w:cs="仿宋_GB2312"/>
          <w:kern w:val="0"/>
          <w:sz w:val="30"/>
          <w:szCs w:val="30"/>
        </w:rPr>
      </w:pPr>
      <w:r>
        <w:rPr>
          <w:rFonts w:hint="eastAsia" w:ascii="仿宋" w:hAnsi="仿宋" w:eastAsia="仿宋" w:cs="仿宋_GB2312"/>
          <w:kern w:val="0"/>
          <w:sz w:val="30"/>
          <w:szCs w:val="30"/>
        </w:rPr>
        <w:t>根据预算绩效管理要求，我部门组织对2019年度一般公共预算项目支出全面开展绩效自评，其中，一级项目1个，二级项目2个，共涉及资金</w:t>
      </w:r>
      <w:r>
        <w:rPr>
          <w:rFonts w:hint="eastAsia" w:ascii="仿宋" w:hAnsi="仿宋" w:eastAsia="仿宋" w:cs="仿宋_GB2312"/>
          <w:kern w:val="0"/>
          <w:sz w:val="30"/>
          <w:szCs w:val="30"/>
          <w:lang w:val="en-US" w:eastAsia="zh-CN"/>
        </w:rPr>
        <w:t>410</w:t>
      </w:r>
      <w:r>
        <w:rPr>
          <w:rFonts w:hint="eastAsia" w:ascii="仿宋" w:hAnsi="仿宋" w:eastAsia="仿宋" w:cs="仿宋_GB2312"/>
          <w:kern w:val="0"/>
          <w:sz w:val="30"/>
          <w:szCs w:val="30"/>
        </w:rPr>
        <w:t>万元，占一般公共预算项目支出总额的</w:t>
      </w:r>
      <w:r>
        <w:rPr>
          <w:rFonts w:hint="eastAsia" w:ascii="仿宋" w:hAnsi="仿宋" w:eastAsia="仿宋" w:cs="仿宋_GB2312"/>
          <w:kern w:val="0"/>
          <w:sz w:val="30"/>
          <w:szCs w:val="30"/>
          <w:lang w:val="en-US" w:eastAsia="zh-CN"/>
        </w:rPr>
        <w:t>100</w:t>
      </w:r>
      <w:r>
        <w:rPr>
          <w:rFonts w:hint="eastAsia" w:ascii="仿宋" w:hAnsi="仿宋" w:eastAsia="仿宋" w:cs="仿宋_GB2312"/>
          <w:kern w:val="0"/>
          <w:sz w:val="30"/>
          <w:szCs w:val="30"/>
        </w:rPr>
        <w:t xml:space="preserve"> %。</w:t>
      </w:r>
    </w:p>
    <w:p w14:paraId="6C2A884B">
      <w:pPr>
        <w:autoSpaceDE w:val="0"/>
        <w:autoSpaceDN w:val="0"/>
        <w:adjustRightInd w:val="0"/>
        <w:spacing w:line="360" w:lineRule="auto"/>
        <w:ind w:firstLine="600"/>
        <w:jc w:val="left"/>
        <w:rPr>
          <w:rFonts w:hint="eastAsia" w:ascii="仿宋" w:hAnsi="仿宋" w:eastAsia="仿宋" w:cs="仿宋_GB2312"/>
          <w:kern w:val="0"/>
          <w:sz w:val="30"/>
          <w:szCs w:val="30"/>
        </w:rPr>
      </w:pPr>
      <w:r>
        <w:rPr>
          <w:rFonts w:hint="eastAsia" w:ascii="仿宋" w:hAnsi="仿宋" w:eastAsia="仿宋" w:cs="仿宋_GB2312"/>
          <w:kern w:val="0"/>
          <w:sz w:val="30"/>
          <w:szCs w:val="30"/>
        </w:rPr>
        <w:t>组织</w:t>
      </w:r>
      <w:r>
        <w:rPr>
          <w:rFonts w:hint="eastAsia" w:ascii="仿宋" w:hAnsi="仿宋" w:eastAsia="仿宋" w:cs="仿宋_GB2312"/>
          <w:kern w:val="0"/>
          <w:sz w:val="30"/>
          <w:szCs w:val="30"/>
          <w:lang w:eastAsia="zh-CN"/>
        </w:rPr>
        <w:t>对“主体班培训费”</w:t>
      </w:r>
      <w:r>
        <w:rPr>
          <w:rFonts w:hint="eastAsia" w:ascii="仿宋" w:hAnsi="仿宋" w:eastAsia="仿宋" w:cs="仿宋_GB2312"/>
          <w:kern w:val="0"/>
          <w:sz w:val="30"/>
          <w:szCs w:val="30"/>
        </w:rPr>
        <w:t>开展整体支出绩效评价，涉及一般公共预算支出</w:t>
      </w:r>
      <w:r>
        <w:rPr>
          <w:rFonts w:hint="eastAsia" w:ascii="仿宋" w:hAnsi="仿宋" w:eastAsia="仿宋" w:cs="仿宋_GB2312"/>
          <w:kern w:val="0"/>
          <w:sz w:val="30"/>
          <w:szCs w:val="30"/>
          <w:lang w:val="en-US" w:eastAsia="zh-CN"/>
        </w:rPr>
        <w:t>410</w:t>
      </w:r>
      <w:r>
        <w:rPr>
          <w:rFonts w:hint="eastAsia" w:ascii="仿宋" w:hAnsi="仿宋" w:eastAsia="仿宋" w:cs="仿宋_GB2312"/>
          <w:kern w:val="0"/>
          <w:sz w:val="30"/>
          <w:szCs w:val="30"/>
        </w:rPr>
        <w:t>万元</w:t>
      </w:r>
      <w:r>
        <w:rPr>
          <w:rFonts w:hint="eastAsia" w:ascii="仿宋" w:hAnsi="仿宋" w:eastAsia="仿宋" w:cs="仿宋_GB2312"/>
          <w:kern w:val="0"/>
          <w:sz w:val="30"/>
          <w:szCs w:val="30"/>
          <w:lang w:eastAsia="zh-CN"/>
        </w:rPr>
        <w:t>。</w:t>
      </w:r>
      <w:r>
        <w:rPr>
          <w:rFonts w:hint="eastAsia" w:ascii="仿宋" w:hAnsi="仿宋" w:eastAsia="仿宋" w:cs="仿宋_GB2312"/>
          <w:kern w:val="0"/>
          <w:sz w:val="30"/>
          <w:szCs w:val="30"/>
        </w:rPr>
        <w:t>从评价情况来看，我部门紧紧围绕</w:t>
      </w:r>
      <w:r>
        <w:rPr>
          <w:rFonts w:hint="eastAsia" w:ascii="仿宋" w:hAnsi="仿宋" w:eastAsia="仿宋" w:cs="仿宋_GB2312"/>
          <w:kern w:val="0"/>
          <w:sz w:val="30"/>
          <w:szCs w:val="30"/>
          <w:lang w:eastAsia="zh-CN"/>
        </w:rPr>
        <w:t>市</w:t>
      </w:r>
      <w:r>
        <w:rPr>
          <w:rFonts w:hint="eastAsia" w:ascii="仿宋" w:hAnsi="仿宋" w:eastAsia="仿宋" w:cs="仿宋_GB2312"/>
          <w:kern w:val="0"/>
          <w:sz w:val="30"/>
          <w:szCs w:val="30"/>
        </w:rPr>
        <w:t>委、</w:t>
      </w:r>
      <w:r>
        <w:rPr>
          <w:rFonts w:hint="eastAsia" w:ascii="仿宋" w:hAnsi="仿宋" w:eastAsia="仿宋" w:cs="仿宋_GB2312"/>
          <w:kern w:val="0"/>
          <w:sz w:val="30"/>
          <w:szCs w:val="30"/>
          <w:lang w:eastAsia="zh-CN"/>
        </w:rPr>
        <w:t>市</w:t>
      </w:r>
      <w:r>
        <w:rPr>
          <w:rFonts w:hint="eastAsia" w:ascii="仿宋" w:hAnsi="仿宋" w:eastAsia="仿宋" w:cs="仿宋_GB2312"/>
          <w:kern w:val="0"/>
          <w:sz w:val="30"/>
          <w:szCs w:val="30"/>
        </w:rPr>
        <w:t>政府中心工作依法履职，保障了</w:t>
      </w:r>
      <w:r>
        <w:rPr>
          <w:rFonts w:hint="eastAsia" w:ascii="仿宋" w:hAnsi="仿宋" w:eastAsia="仿宋" w:cs="仿宋_GB2312"/>
          <w:kern w:val="0"/>
          <w:sz w:val="30"/>
          <w:szCs w:val="30"/>
          <w:lang w:eastAsia="zh-CN"/>
        </w:rPr>
        <w:t>市</w:t>
      </w:r>
      <w:r>
        <w:rPr>
          <w:rFonts w:hint="eastAsia" w:ascii="仿宋" w:hAnsi="仿宋" w:eastAsia="仿宋" w:cs="仿宋_GB2312"/>
          <w:kern w:val="0"/>
          <w:sz w:val="30"/>
          <w:szCs w:val="30"/>
        </w:rPr>
        <w:t>委、</w:t>
      </w:r>
      <w:r>
        <w:rPr>
          <w:rFonts w:hint="eastAsia" w:ascii="仿宋" w:hAnsi="仿宋" w:eastAsia="仿宋" w:cs="仿宋_GB2312"/>
          <w:kern w:val="0"/>
          <w:sz w:val="30"/>
          <w:szCs w:val="30"/>
          <w:lang w:eastAsia="zh-CN"/>
        </w:rPr>
        <w:t>市</w:t>
      </w:r>
      <w:r>
        <w:rPr>
          <w:rFonts w:hint="eastAsia" w:ascii="仿宋" w:hAnsi="仿宋" w:eastAsia="仿宋" w:cs="仿宋_GB2312"/>
          <w:kern w:val="0"/>
          <w:sz w:val="30"/>
          <w:szCs w:val="30"/>
        </w:rPr>
        <w:t>政府重大决策部署贯彻落实，促进了作风转变和各级政府自身建设，经费保障能力不断提高，经费投向投量科学合理，财务管理监督规范有效，经济社会效益功能明显，为维护国家财政经济秩序、提高财政资金使用效益、促进廉政建设、保障经济社会健康发展等方面发挥了重要作用。</w:t>
      </w:r>
    </w:p>
    <w:p w14:paraId="65816EFA">
      <w:pPr>
        <w:autoSpaceDE w:val="0"/>
        <w:autoSpaceDN w:val="0"/>
        <w:adjustRightInd w:val="0"/>
        <w:spacing w:line="360" w:lineRule="auto"/>
        <w:jc w:val="left"/>
        <w:rPr>
          <w:rFonts w:hint="eastAsia" w:ascii="仿宋" w:hAnsi="仿宋" w:eastAsia="仿宋" w:cs="仿宋_GB2312"/>
          <w:kern w:val="0"/>
          <w:sz w:val="30"/>
          <w:szCs w:val="30"/>
        </w:rPr>
      </w:pPr>
      <w:r>
        <w:rPr>
          <w:rFonts w:hint="eastAsia" w:ascii="仿宋" w:hAnsi="仿宋" w:eastAsia="仿宋" w:cs="仿宋_GB2312"/>
          <w:kern w:val="0"/>
          <w:sz w:val="30"/>
          <w:szCs w:val="30"/>
        </w:rPr>
        <w:t xml:space="preserve">    （二）部门决算中项目绩效自评结果</w:t>
      </w:r>
    </w:p>
    <w:p w14:paraId="3A4B6C80">
      <w:pPr>
        <w:autoSpaceDE w:val="0"/>
        <w:autoSpaceDN w:val="0"/>
        <w:adjustRightInd w:val="0"/>
        <w:spacing w:line="360" w:lineRule="auto"/>
        <w:ind w:firstLine="585"/>
        <w:jc w:val="left"/>
        <w:rPr>
          <w:rFonts w:hint="eastAsia" w:ascii="仿宋" w:hAnsi="仿宋" w:eastAsia="仿宋" w:cs="仿宋_GB2312"/>
          <w:kern w:val="0"/>
          <w:sz w:val="30"/>
          <w:szCs w:val="30"/>
        </w:rPr>
      </w:pPr>
      <w:r>
        <w:rPr>
          <w:rFonts w:hint="eastAsia" w:ascii="仿宋" w:hAnsi="仿宋" w:eastAsia="仿宋" w:cs="仿宋_GB2312"/>
          <w:kern w:val="0"/>
          <w:sz w:val="30"/>
          <w:szCs w:val="30"/>
        </w:rPr>
        <w:t>我部门今年在省级部门决算中反映</w:t>
      </w:r>
      <w:r>
        <w:rPr>
          <w:rFonts w:hint="eastAsia" w:ascii="仿宋" w:hAnsi="仿宋" w:eastAsia="仿宋" w:cs="仿宋_GB2312"/>
          <w:kern w:val="0"/>
          <w:sz w:val="30"/>
          <w:szCs w:val="30"/>
          <w:lang w:eastAsia="zh-CN"/>
        </w:rPr>
        <w:t>主体班培训费</w:t>
      </w:r>
      <w:r>
        <w:rPr>
          <w:rFonts w:hint="eastAsia" w:ascii="仿宋" w:hAnsi="仿宋" w:eastAsia="仿宋" w:cs="仿宋_GB2312"/>
          <w:kern w:val="0"/>
          <w:sz w:val="30"/>
          <w:szCs w:val="30"/>
        </w:rPr>
        <w:t>项目绩效自评结果。</w:t>
      </w:r>
    </w:p>
    <w:p w14:paraId="09B78857">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_GB2312"/>
          <w:kern w:val="0"/>
          <w:sz w:val="30"/>
          <w:szCs w:val="30"/>
          <w:lang w:eastAsia="zh-CN"/>
        </w:rPr>
      </w:pPr>
      <w:r>
        <w:rPr>
          <w:rFonts w:hint="eastAsia" w:ascii="仿宋" w:hAnsi="仿宋" w:eastAsia="仿宋" w:cs="仿宋_GB2312"/>
          <w:kern w:val="0"/>
          <w:sz w:val="30"/>
          <w:szCs w:val="30"/>
          <w:lang w:eastAsia="zh-CN"/>
        </w:rPr>
        <w:t>主体班培训费</w:t>
      </w:r>
      <w:r>
        <w:rPr>
          <w:rFonts w:hint="eastAsia" w:ascii="仿宋" w:hAnsi="仿宋" w:eastAsia="仿宋" w:cs="仿宋_GB2312"/>
          <w:kern w:val="0"/>
          <w:sz w:val="30"/>
          <w:szCs w:val="30"/>
        </w:rPr>
        <w:t>项目绩效自评综述：根据年初设定的绩效目标，</w:t>
      </w:r>
      <w:r>
        <w:rPr>
          <w:rFonts w:hint="eastAsia" w:ascii="仿宋" w:hAnsi="仿宋" w:eastAsia="仿宋" w:cs="仿宋_GB2312"/>
          <w:kern w:val="0"/>
          <w:sz w:val="30"/>
          <w:szCs w:val="30"/>
          <w:lang w:eastAsia="zh-CN"/>
        </w:rPr>
        <w:t>主体班培训费</w:t>
      </w:r>
      <w:r>
        <w:rPr>
          <w:rFonts w:hint="eastAsia" w:ascii="仿宋" w:hAnsi="仿宋" w:eastAsia="仿宋" w:cs="仿宋_GB2312"/>
          <w:kern w:val="0"/>
          <w:sz w:val="30"/>
          <w:szCs w:val="30"/>
        </w:rPr>
        <w:t>项目绩效自主评得分为</w:t>
      </w:r>
      <w:r>
        <w:rPr>
          <w:rFonts w:hint="eastAsia" w:ascii="仿宋" w:hAnsi="仿宋" w:eastAsia="仿宋" w:cs="仿宋_GB2312"/>
          <w:kern w:val="0"/>
          <w:sz w:val="30"/>
          <w:szCs w:val="30"/>
          <w:lang w:val="en-US" w:eastAsia="zh-CN"/>
        </w:rPr>
        <w:t>96</w:t>
      </w:r>
      <w:r>
        <w:rPr>
          <w:rFonts w:hint="eastAsia" w:ascii="仿宋" w:hAnsi="仿宋" w:eastAsia="仿宋" w:cs="仿宋_GB2312"/>
          <w:kern w:val="0"/>
          <w:sz w:val="30"/>
          <w:szCs w:val="30"/>
        </w:rPr>
        <w:t>分。项目全年预算数为</w:t>
      </w:r>
      <w:r>
        <w:rPr>
          <w:rFonts w:hint="eastAsia" w:ascii="仿宋" w:hAnsi="仿宋" w:eastAsia="仿宋" w:cs="仿宋_GB2312"/>
          <w:kern w:val="0"/>
          <w:sz w:val="30"/>
          <w:szCs w:val="30"/>
          <w:lang w:val="en-US" w:eastAsia="zh-CN"/>
        </w:rPr>
        <w:t>410</w:t>
      </w:r>
      <w:r>
        <w:rPr>
          <w:rFonts w:hint="eastAsia" w:ascii="仿宋" w:hAnsi="仿宋" w:eastAsia="仿宋" w:cs="仿宋_GB2312"/>
          <w:kern w:val="0"/>
          <w:sz w:val="30"/>
          <w:szCs w:val="30"/>
        </w:rPr>
        <w:t>万元，执行数为</w:t>
      </w:r>
      <w:r>
        <w:rPr>
          <w:rFonts w:hint="eastAsia" w:ascii="仿宋" w:hAnsi="仿宋" w:eastAsia="仿宋" w:cs="仿宋_GB2312"/>
          <w:kern w:val="0"/>
          <w:sz w:val="30"/>
          <w:szCs w:val="30"/>
          <w:lang w:val="en-US" w:eastAsia="zh-CN"/>
        </w:rPr>
        <w:t>410</w:t>
      </w:r>
      <w:r>
        <w:rPr>
          <w:rFonts w:hint="eastAsia" w:ascii="仿宋" w:hAnsi="仿宋" w:eastAsia="仿宋" w:cs="仿宋_GB2312"/>
          <w:kern w:val="0"/>
          <w:sz w:val="30"/>
          <w:szCs w:val="30"/>
        </w:rPr>
        <w:t>万元，完成预算的100%。</w:t>
      </w:r>
      <w:r>
        <w:rPr>
          <w:rFonts w:hint="eastAsia" w:ascii="仿宋" w:hAnsi="仿宋" w:eastAsia="仿宋" w:cs="仿宋_GB2312"/>
          <w:kern w:val="0"/>
          <w:sz w:val="30"/>
          <w:szCs w:val="30"/>
          <w:lang w:eastAsia="zh-CN"/>
        </w:rPr>
        <w:t>从评价情况来看，绩效目标指标设置合理，目标明确，项目资金到位及时，支出合规合理，年初设定的各项工作目标和绩效指标完成情况较好，项目实现预期目标，取得较好的效益。今后，我校将进一步加强对预算绩效结果的应用，强化“谁使用谁负责”的绩效评价原则。</w:t>
      </w:r>
    </w:p>
    <w:p w14:paraId="702AB17C">
      <w:pPr>
        <w:rPr>
          <w:rFonts w:hint="eastAsia" w:ascii="仿宋" w:hAnsi="仿宋" w:eastAsia="仿宋" w:cs="仿宋_GB2312"/>
          <w:kern w:val="0"/>
          <w:sz w:val="30"/>
          <w:szCs w:val="30"/>
          <w:lang w:eastAsia="zh-CN"/>
        </w:rPr>
      </w:pPr>
    </w:p>
    <w:p w14:paraId="682BC198">
      <w:pPr>
        <w:rPr>
          <w:rFonts w:hint="eastAsia" w:ascii="仿宋" w:hAnsi="仿宋" w:eastAsia="仿宋" w:cs="仿宋_GB2312"/>
          <w:kern w:val="0"/>
          <w:sz w:val="30"/>
          <w:szCs w:val="30"/>
          <w:lang w:eastAsia="zh-CN"/>
        </w:rPr>
      </w:pPr>
    </w:p>
    <w:p w14:paraId="0A4F6AAA">
      <w:pPr>
        <w:rPr>
          <w:rFonts w:hint="eastAsia" w:ascii="仿宋" w:hAnsi="仿宋" w:eastAsia="仿宋" w:cs="仿宋_GB2312"/>
          <w:kern w:val="0"/>
          <w:sz w:val="30"/>
          <w:szCs w:val="30"/>
          <w:lang w:eastAsia="zh-CN"/>
        </w:rPr>
      </w:pPr>
    </w:p>
    <w:p w14:paraId="79C2C4B2">
      <w:pPr>
        <w:rPr>
          <w:rFonts w:hint="eastAsia" w:ascii="仿宋" w:hAnsi="仿宋" w:eastAsia="仿宋" w:cs="仿宋_GB2312"/>
          <w:kern w:val="0"/>
          <w:sz w:val="30"/>
          <w:szCs w:val="30"/>
          <w:lang w:eastAsia="zh-CN"/>
        </w:rPr>
      </w:pPr>
    </w:p>
    <w:p w14:paraId="0E38ABED">
      <w:pPr>
        <w:rPr>
          <w:rFonts w:hint="eastAsia" w:ascii="仿宋" w:hAnsi="仿宋" w:eastAsia="仿宋" w:cs="仿宋_GB2312"/>
          <w:kern w:val="0"/>
          <w:sz w:val="30"/>
          <w:szCs w:val="30"/>
          <w:lang w:eastAsia="zh-CN"/>
        </w:rPr>
      </w:pPr>
    </w:p>
    <w:p w14:paraId="05C67B6E">
      <w:pPr>
        <w:rPr>
          <w:rFonts w:hint="eastAsia" w:ascii="仿宋" w:hAnsi="仿宋" w:eastAsia="仿宋" w:cs="仿宋_GB2312"/>
          <w:kern w:val="0"/>
          <w:sz w:val="30"/>
          <w:szCs w:val="30"/>
          <w:lang w:eastAsia="zh-CN"/>
        </w:rPr>
      </w:pPr>
    </w:p>
    <w:p w14:paraId="4B15A16D">
      <w:pPr>
        <w:rPr>
          <w:rFonts w:hint="eastAsia" w:ascii="仿宋" w:hAnsi="仿宋" w:eastAsia="仿宋" w:cs="仿宋_GB2312"/>
          <w:kern w:val="0"/>
          <w:sz w:val="30"/>
          <w:szCs w:val="30"/>
          <w:lang w:eastAsia="zh-CN"/>
        </w:rPr>
      </w:pPr>
    </w:p>
    <w:p w14:paraId="38144A0C">
      <w:pPr>
        <w:rPr>
          <w:rFonts w:hint="eastAsia" w:ascii="仿宋" w:hAnsi="仿宋" w:eastAsia="仿宋" w:cs="仿宋_GB2312"/>
          <w:kern w:val="0"/>
          <w:sz w:val="30"/>
          <w:szCs w:val="30"/>
          <w:lang w:eastAsia="zh-CN"/>
        </w:rPr>
      </w:pPr>
    </w:p>
    <w:p w14:paraId="66B5DD18">
      <w:pPr>
        <w:rPr>
          <w:rFonts w:hint="eastAsia" w:ascii="仿宋" w:hAnsi="仿宋" w:eastAsia="仿宋" w:cs="仿宋_GB2312"/>
          <w:kern w:val="0"/>
          <w:sz w:val="30"/>
          <w:szCs w:val="30"/>
          <w:lang w:eastAsia="zh-CN"/>
        </w:rPr>
      </w:pPr>
      <w:r>
        <w:rPr>
          <w:rFonts w:hint="eastAsia" w:ascii="仿宋" w:hAnsi="仿宋" w:eastAsia="仿宋" w:cs="仿宋_GB2312"/>
          <w:kern w:val="0"/>
          <w:sz w:val="30"/>
          <w:szCs w:val="30"/>
          <w:lang w:eastAsia="zh-CN"/>
        </w:rPr>
        <w:drawing>
          <wp:anchor distT="0" distB="0" distL="114300" distR="114300" simplePos="0" relativeHeight="251660288" behindDoc="0" locked="0" layoutInCell="1" allowOverlap="1">
            <wp:simplePos x="0" y="0"/>
            <wp:positionH relativeFrom="column">
              <wp:posOffset>-1905</wp:posOffset>
            </wp:positionH>
            <wp:positionV relativeFrom="paragraph">
              <wp:posOffset>157480</wp:posOffset>
            </wp:positionV>
            <wp:extent cx="5269865" cy="7247255"/>
            <wp:effectExtent l="0" t="0" r="6985" b="10795"/>
            <wp:wrapTopAndBottom/>
            <wp:docPr id="1" name="图片 1" descr="项目自评表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项目自评表1-1"/>
                    <pic:cNvPicPr>
                      <a:picLocks noChangeAspect="1"/>
                    </pic:cNvPicPr>
                  </pic:nvPicPr>
                  <pic:blipFill>
                    <a:blip r:embed="rId13"/>
                    <a:stretch>
                      <a:fillRect/>
                    </a:stretch>
                  </pic:blipFill>
                  <pic:spPr>
                    <a:xfrm>
                      <a:off x="0" y="0"/>
                      <a:ext cx="5269865" cy="7247255"/>
                    </a:xfrm>
                    <a:prstGeom prst="rect">
                      <a:avLst/>
                    </a:prstGeom>
                  </pic:spPr>
                </pic:pic>
              </a:graphicData>
            </a:graphic>
          </wp:anchor>
        </w:drawing>
      </w:r>
    </w:p>
    <w:p w14:paraId="176EB9C2">
      <w:pPr>
        <w:rPr>
          <w:rFonts w:hint="eastAsia" w:ascii="仿宋" w:hAnsi="仿宋" w:eastAsia="仿宋" w:cs="仿宋_GB2312"/>
          <w:kern w:val="0"/>
          <w:sz w:val="30"/>
          <w:szCs w:val="30"/>
          <w:lang w:eastAsia="zh-CN"/>
        </w:rPr>
      </w:pPr>
      <w:r>
        <w:rPr>
          <w:rFonts w:hint="eastAsia" w:ascii="仿宋" w:hAnsi="仿宋" w:eastAsia="仿宋" w:cs="仿宋_GB2312"/>
          <w:kern w:val="0"/>
          <w:sz w:val="30"/>
          <w:szCs w:val="30"/>
          <w:lang w:eastAsia="zh-CN"/>
        </w:rPr>
        <w:br w:type="textWrapping"/>
      </w:r>
    </w:p>
    <w:p w14:paraId="3BDA9BCE">
      <w:pPr>
        <w:rPr>
          <w:rFonts w:hint="eastAsia" w:ascii="仿宋" w:hAnsi="仿宋" w:eastAsia="仿宋" w:cs="仿宋_GB2312"/>
          <w:kern w:val="0"/>
          <w:sz w:val="30"/>
          <w:szCs w:val="30"/>
          <w:lang w:eastAsia="zh-CN"/>
        </w:rPr>
      </w:pPr>
      <w:r>
        <w:rPr>
          <w:rFonts w:hint="eastAsia" w:ascii="仿宋" w:hAnsi="仿宋" w:eastAsia="仿宋" w:cs="仿宋_GB2312"/>
          <w:kern w:val="0"/>
          <w:sz w:val="30"/>
          <w:szCs w:val="30"/>
          <w:lang w:eastAsia="zh-CN"/>
        </w:rPr>
        <w:drawing>
          <wp:anchor distT="0" distB="0" distL="114300" distR="114300" simplePos="0" relativeHeight="251659264" behindDoc="0" locked="0" layoutInCell="1" allowOverlap="1">
            <wp:simplePos x="0" y="0"/>
            <wp:positionH relativeFrom="column">
              <wp:posOffset>-48895</wp:posOffset>
            </wp:positionH>
            <wp:positionV relativeFrom="paragraph">
              <wp:posOffset>-266700</wp:posOffset>
            </wp:positionV>
            <wp:extent cx="5269865" cy="7247255"/>
            <wp:effectExtent l="0" t="0" r="6985" b="10795"/>
            <wp:wrapTopAndBottom/>
            <wp:docPr id="3" name="图片 3" descr="项目自评表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项目自评表1-2"/>
                    <pic:cNvPicPr>
                      <a:picLocks noChangeAspect="1"/>
                    </pic:cNvPicPr>
                  </pic:nvPicPr>
                  <pic:blipFill>
                    <a:blip r:embed="rId14"/>
                    <a:stretch>
                      <a:fillRect/>
                    </a:stretch>
                  </pic:blipFill>
                  <pic:spPr>
                    <a:xfrm>
                      <a:off x="0" y="0"/>
                      <a:ext cx="5269865" cy="7247255"/>
                    </a:xfrm>
                    <a:prstGeom prst="rect">
                      <a:avLst/>
                    </a:prstGeom>
                  </pic:spPr>
                </pic:pic>
              </a:graphicData>
            </a:graphic>
          </wp:anchor>
        </w:drawing>
      </w:r>
    </w:p>
    <w:p w14:paraId="7860DDAB">
      <w:pPr>
        <w:rPr>
          <w:rFonts w:hint="eastAsia" w:ascii="仿宋" w:hAnsi="仿宋" w:eastAsia="仿宋" w:cs="仿宋_GB2312"/>
          <w:kern w:val="0"/>
          <w:sz w:val="30"/>
          <w:szCs w:val="30"/>
          <w:lang w:eastAsia="zh-CN"/>
        </w:rPr>
      </w:pPr>
    </w:p>
    <w:p w14:paraId="3B13D907">
      <w:pPr>
        <w:rPr>
          <w:rFonts w:hint="eastAsia" w:ascii="仿宋" w:hAnsi="仿宋" w:eastAsia="仿宋" w:cs="仿宋_GB2312"/>
          <w:kern w:val="0"/>
          <w:sz w:val="30"/>
          <w:szCs w:val="30"/>
          <w:lang w:eastAsia="zh-CN"/>
        </w:rPr>
      </w:pPr>
    </w:p>
    <w:p w14:paraId="6DDECF75">
      <w:pPr>
        <w:rPr>
          <w:rFonts w:hint="eastAsia" w:ascii="仿宋" w:hAnsi="仿宋" w:eastAsia="仿宋" w:cs="仿宋_GB2312"/>
          <w:kern w:val="0"/>
          <w:sz w:val="30"/>
          <w:szCs w:val="30"/>
          <w:lang w:eastAsia="zh-CN"/>
        </w:rPr>
      </w:pPr>
    </w:p>
    <w:p w14:paraId="31BC4E90">
      <w:pPr>
        <w:widowControl/>
        <w:spacing w:line="600" w:lineRule="exact"/>
        <w:jc w:val="center"/>
        <w:rPr>
          <w:rFonts w:hint="eastAsia" w:ascii="宋体" w:hAnsi="宋体"/>
          <w:b/>
          <w:sz w:val="32"/>
          <w:szCs w:val="32"/>
        </w:rPr>
      </w:pPr>
      <w:r>
        <w:rPr>
          <w:rFonts w:hint="eastAsia" w:ascii="宋体" w:hAnsi="宋体"/>
          <w:b/>
          <w:sz w:val="32"/>
          <w:szCs w:val="32"/>
        </w:rPr>
        <w:t>第四部分  名词解释</w:t>
      </w:r>
    </w:p>
    <w:p w14:paraId="009F737B">
      <w:pPr>
        <w:pStyle w:val="4"/>
        <w:spacing w:line="600" w:lineRule="atLeast"/>
        <w:ind w:firstLine="600"/>
        <w:rPr>
          <w:rFonts w:hint="eastAsia" w:ascii="仿宋" w:hAnsi="仿宋" w:eastAsia="仿宋"/>
          <w:sz w:val="30"/>
          <w:szCs w:val="30"/>
        </w:rPr>
      </w:pPr>
    </w:p>
    <w:p w14:paraId="3DCAFBE8">
      <w:pPr>
        <w:keepNext w:val="0"/>
        <w:keepLines w:val="0"/>
        <w:pageBreakBefore w:val="0"/>
        <w:widowControl/>
        <w:numPr>
          <w:ilvl w:val="0"/>
          <w:numId w:val="2"/>
        </w:numPr>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kern w:val="0"/>
          <w:sz w:val="30"/>
          <w:szCs w:val="30"/>
        </w:rPr>
      </w:pPr>
      <w:r>
        <w:rPr>
          <w:rFonts w:hint="eastAsia" w:ascii="仿宋" w:hAnsi="仿宋" w:eastAsia="仿宋"/>
          <w:kern w:val="0"/>
          <w:sz w:val="30"/>
          <w:szCs w:val="30"/>
        </w:rPr>
        <w:t>财政拨款：指市级财政当年拨付的资金。</w:t>
      </w:r>
    </w:p>
    <w:p w14:paraId="23BB0BC8">
      <w:pPr>
        <w:keepNext w:val="0"/>
        <w:keepLines w:val="0"/>
        <w:pageBreakBefore w:val="0"/>
        <w:widowControl/>
        <w:numPr>
          <w:ilvl w:val="0"/>
          <w:numId w:val="2"/>
        </w:numPr>
        <w:kinsoku/>
        <w:wordWrap/>
        <w:overflowPunct/>
        <w:topLinePunct w:val="0"/>
        <w:autoSpaceDE/>
        <w:autoSpaceDN/>
        <w:bidi w:val="0"/>
        <w:adjustRightInd/>
        <w:snapToGrid/>
        <w:spacing w:line="580" w:lineRule="exact"/>
        <w:ind w:firstLine="600" w:firstLineChars="200"/>
        <w:jc w:val="left"/>
        <w:textAlignment w:val="auto"/>
        <w:rPr>
          <w:rFonts w:ascii="仿宋" w:hAnsi="仿宋" w:eastAsia="仿宋"/>
          <w:kern w:val="0"/>
          <w:sz w:val="30"/>
          <w:szCs w:val="30"/>
        </w:rPr>
      </w:pPr>
      <w:r>
        <w:rPr>
          <w:rFonts w:hint="eastAsia" w:ascii="仿宋" w:hAnsi="仿宋" w:eastAsia="仿宋"/>
          <w:kern w:val="0"/>
          <w:sz w:val="30"/>
          <w:szCs w:val="30"/>
        </w:rPr>
        <w:t>其他收入：指除财政拨款、事业收入、事业单位经营收入等以外的各项收入。</w:t>
      </w:r>
    </w:p>
    <w:p w14:paraId="5C841D4F">
      <w:pPr>
        <w:keepNext w:val="0"/>
        <w:keepLines w:val="0"/>
        <w:pageBreakBefore w:val="0"/>
        <w:widowControl/>
        <w:numPr>
          <w:ilvl w:val="0"/>
          <w:numId w:val="2"/>
        </w:numPr>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kern w:val="0"/>
          <w:sz w:val="30"/>
          <w:szCs w:val="30"/>
        </w:rPr>
      </w:pPr>
      <w:r>
        <w:rPr>
          <w:rFonts w:hint="eastAsia" w:ascii="仿宋" w:hAnsi="仿宋" w:eastAsia="仿宋"/>
          <w:kern w:val="0"/>
          <w:sz w:val="30"/>
          <w:szCs w:val="30"/>
        </w:rPr>
        <w:t>教育支出(类)进修及培训(款)干部教育(项) :指</w:t>
      </w:r>
      <w:r>
        <w:rPr>
          <w:rFonts w:hint="eastAsia" w:ascii="仿宋" w:hAnsi="仿宋" w:eastAsia="仿宋"/>
          <w:kern w:val="0"/>
          <w:sz w:val="30"/>
          <w:szCs w:val="30"/>
          <w:lang w:eastAsia="zh-CN"/>
        </w:rPr>
        <w:t>市委</w:t>
      </w:r>
      <w:r>
        <w:rPr>
          <w:rFonts w:hint="eastAsia" w:ascii="仿宋" w:hAnsi="仿宋" w:eastAsia="仿宋"/>
          <w:kern w:val="0"/>
          <w:sz w:val="30"/>
          <w:szCs w:val="30"/>
        </w:rPr>
        <w:t>党校、行政学院的支出。包括机构运转、招聘师资、举办各类培.训班的支出等。</w:t>
      </w:r>
    </w:p>
    <w:p w14:paraId="0E7A529C">
      <w:pPr>
        <w:keepNext w:val="0"/>
        <w:keepLines w:val="0"/>
        <w:pageBreakBefore w:val="0"/>
        <w:widowControl/>
        <w:numPr>
          <w:ilvl w:val="0"/>
          <w:numId w:val="2"/>
        </w:numPr>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kern w:val="0"/>
          <w:sz w:val="30"/>
          <w:szCs w:val="30"/>
        </w:rPr>
      </w:pPr>
      <w:r>
        <w:rPr>
          <w:rFonts w:hint="eastAsia" w:ascii="仿宋" w:hAnsi="仿宋" w:eastAsia="仿宋"/>
          <w:kern w:val="0"/>
          <w:sz w:val="30"/>
          <w:szCs w:val="30"/>
        </w:rPr>
        <w:t>社会保障和就业支出(类)行政事业单位离退休(款)机关事业单位基本养老保险缴费支出(项) :指机关事业单位实施养老保险制度由单位缴纳的基本养老保险费支出。</w:t>
      </w:r>
    </w:p>
    <w:p w14:paraId="66BC3361">
      <w:pPr>
        <w:keepNext w:val="0"/>
        <w:keepLines w:val="0"/>
        <w:pageBreakBefore w:val="0"/>
        <w:widowControl/>
        <w:numPr>
          <w:ilvl w:val="0"/>
          <w:numId w:val="2"/>
        </w:numPr>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kern w:val="0"/>
          <w:sz w:val="30"/>
          <w:szCs w:val="30"/>
        </w:rPr>
      </w:pPr>
      <w:r>
        <w:rPr>
          <w:rFonts w:hint="eastAsia" w:ascii="仿宋" w:hAnsi="仿宋" w:eastAsia="仿宋"/>
          <w:kern w:val="0"/>
          <w:sz w:val="30"/>
          <w:szCs w:val="30"/>
        </w:rPr>
        <w:t>“三公经费”：反映财政拨款安排的因公出国（境）费、公务用车购置及运行费和公务接待费。其中，因公出国（境）费反映单位公务出国（境）的国际旅费、国外城市交通费、住宿费、伙食费、培训费、公杂费等支出；公务用车购置及运行费反映单位公务车辆购置支出（含车辆购置税）及租用费、燃料费、维修费、过桥过路费、保险费、安全奖励费用等支出；公务接待费反映单位按规定开支的各类公务接待（含外宾接待）支出。</w:t>
      </w:r>
    </w:p>
    <w:p w14:paraId="38E6DF61">
      <w:pPr>
        <w:ind w:firstLine="630"/>
        <w:jc w:val="left"/>
        <w:rPr>
          <w:rFonts w:ascii="仿宋" w:hAnsi="仿宋" w:eastAsia="仿宋"/>
          <w:sz w:val="30"/>
          <w:szCs w:val="30"/>
        </w:rPr>
      </w:pPr>
    </w:p>
    <w:p w14:paraId="2C50BE04">
      <w:pPr>
        <w:rPr>
          <w:rFonts w:hint="eastAsia" w:ascii="仿宋" w:hAnsi="仿宋" w:eastAsia="仿宋" w:cs="仿宋_GB2312"/>
          <w:kern w:val="0"/>
          <w:sz w:val="30"/>
          <w:szCs w:val="30"/>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CCD26C"/>
    <w:multiLevelType w:val="singleLevel"/>
    <w:tmpl w:val="E1CCD26C"/>
    <w:lvl w:ilvl="0" w:tentative="0">
      <w:start w:val="1"/>
      <w:numFmt w:val="chineseCounting"/>
      <w:suff w:val="nothing"/>
      <w:lvlText w:val="（%1）"/>
      <w:lvlJc w:val="left"/>
      <w:rPr>
        <w:rFonts w:hint="eastAsia"/>
      </w:rPr>
    </w:lvl>
  </w:abstractNum>
  <w:abstractNum w:abstractNumId="1">
    <w:nsid w:val="5BE04177"/>
    <w:multiLevelType w:val="singleLevel"/>
    <w:tmpl w:val="5BE0417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xMmI5MTFmNWQxNWYxZTM4NTFhYzU0NDI2MDhlNTYifQ=="/>
  </w:docVars>
  <w:rsids>
    <w:rsidRoot w:val="44751D69"/>
    <w:rsid w:val="336A6D1D"/>
    <w:rsid w:val="44751D69"/>
    <w:rsid w:val="488843DD"/>
    <w:rsid w:val="50506730"/>
    <w:rsid w:val="62AC5E6D"/>
    <w:rsid w:val="68B63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0"/>
    <w:qFormat/>
    <w:uiPriority w:val="0"/>
    <w:pPr>
      <w:widowControl/>
      <w:jc w:val="both"/>
    </w:pPr>
    <w:rPr>
      <w:rFonts w:ascii="Times New Roman" w:hAnsi="Times New Roman" w:eastAsia="宋体" w:cs="Times New Roman"/>
      <w:kern w:val="0"/>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emf"/><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2988</Words>
  <Characters>3391</Characters>
  <Lines>0</Lines>
  <Paragraphs>0</Paragraphs>
  <TotalTime>1</TotalTime>
  <ScaleCrop>false</ScaleCrop>
  <LinksUpToDate>false</LinksUpToDate>
  <CharactersWithSpaces>3481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2020-10-09T02:11:00Z</dcterms:created>
  <dc:creator>WPS_1508758685</dc:creator>
  <cp:lastModifiedBy>姗</cp:lastModifiedBy>
  <dcterms:modified xsi:type="dcterms:W3CDTF">2024-11-11T02:38:42Z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6DBA8DCA31554A13AA9CBF3FD8D70882_13</vt:lpwstr>
  </property>
</Properties>
</file>