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eastAsia="黑体"/>
          <w:sz w:val="44"/>
          <w:szCs w:val="36"/>
          <w:lang w:eastAsia="zh-CN"/>
        </w:rPr>
      </w:pPr>
    </w:p>
    <w:p>
      <w:pPr>
        <w:spacing w:line="600" w:lineRule="exact"/>
        <w:jc w:val="both"/>
        <w:rPr>
          <w:rFonts w:hint="eastAsia" w:ascii="黑体" w:eastAsia="黑体"/>
          <w:sz w:val="44"/>
          <w:szCs w:val="36"/>
          <w:lang w:eastAsia="zh-CN"/>
        </w:rPr>
      </w:pPr>
    </w:p>
    <w:p>
      <w:pPr>
        <w:spacing w:line="600" w:lineRule="exact"/>
        <w:jc w:val="both"/>
        <w:rPr>
          <w:rFonts w:hint="eastAsia" w:ascii="黑体" w:eastAsia="黑体"/>
          <w:sz w:val="44"/>
          <w:szCs w:val="36"/>
        </w:rPr>
      </w:pPr>
      <w:r>
        <w:rPr>
          <w:rFonts w:hint="eastAsia" w:ascii="黑体" w:eastAsia="黑体"/>
          <w:sz w:val="44"/>
          <w:szCs w:val="36"/>
          <w:lang w:eastAsia="zh-CN"/>
        </w:rPr>
        <w:t>景德镇市广播电视台</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eastAsia="zh-CN"/>
        </w:rPr>
        <w:t>景德镇市广播电视台</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ind w:firstLine="1928" w:firstLineChars="600"/>
        <w:jc w:val="both"/>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景德镇市广播电视台</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keepNext w:val="0"/>
        <w:keepLines w:val="0"/>
        <w:widowControl w:val="0"/>
        <w:numPr>
          <w:ilvl w:val="0"/>
          <w:numId w:val="1"/>
        </w:numPr>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宣传党的路线方针和政策，把握正确舆论导向；传播科学文化知识，传递社会经济信息，活跃群众文化生活；坚守宣传阵地，抓好安全播出，完成市委、市政府下达的各项工作任务。</w:t>
      </w:r>
    </w:p>
    <w:p>
      <w:pPr>
        <w:keepNext w:val="0"/>
        <w:keepLines w:val="0"/>
        <w:widowControl w:val="0"/>
        <w:numPr>
          <w:ilvl w:val="0"/>
          <w:numId w:val="1"/>
        </w:numPr>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制定并组织实施全台广播电视事业和产业发展规划，促进广播电视发展；加快数字化步伐，推动信息化进程；负责广播电视新技术、科技成果的应用工作。</w:t>
      </w:r>
    </w:p>
    <w:p>
      <w:pPr>
        <w:keepNext w:val="0"/>
        <w:keepLines w:val="0"/>
        <w:widowControl w:val="0"/>
        <w:numPr>
          <w:ilvl w:val="0"/>
          <w:numId w:val="1"/>
        </w:numPr>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贯彻广播电视行业法规，按照上级规定要求，抓好内部管理，确保事业发展、产业经营等工作规范有序进行。</w:t>
      </w:r>
    </w:p>
    <w:p>
      <w:pPr>
        <w:keepNext w:val="0"/>
        <w:keepLines w:val="0"/>
        <w:widowControl w:val="0"/>
        <w:numPr>
          <w:ilvl w:val="0"/>
          <w:numId w:val="1"/>
        </w:numPr>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负责三套电视节目和两套广播节目的制作、播出，以及景视网站和广播电视报的经营管理；负责广播电视新媒体的开发、拓展和运营，推进事业发展。</w:t>
      </w:r>
    </w:p>
    <w:p>
      <w:pPr>
        <w:keepNext w:val="0"/>
        <w:keepLines w:val="0"/>
        <w:widowControl w:val="0"/>
        <w:numPr>
          <w:ilvl w:val="0"/>
          <w:numId w:val="1"/>
        </w:numPr>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转播和传输中央电视台、江西电视台和中央人民广播电台、江西人民广播电台第一套节目，以及上级要求的其他节目；抓好广播电视无线覆盖，负责对省广播电视网络传输有限公司的工作协调，承接地方权益，保证全台广播电视节目采编、制作、播出、传输全流程的完整统一和安全高效。</w:t>
      </w:r>
    </w:p>
    <w:p>
      <w:pPr>
        <w:keepNext w:val="0"/>
        <w:keepLines w:val="0"/>
        <w:widowControl w:val="0"/>
        <w:numPr>
          <w:ilvl w:val="0"/>
          <w:numId w:val="1"/>
        </w:numPr>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拓宽创收渠道，搞好广告、产业开发等经营创收工作；管好、用好财政拨款，经营创收（含新媒体）等各类资金，为做大做强我市广播电视事业、产业提供财力支持和经费保障。</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spacing w:line="580" w:lineRule="exact"/>
        <w:ind w:firstLine="629"/>
        <w:jc w:val="left"/>
        <w:rPr>
          <w:rFonts w:hint="eastAsia" w:ascii="仿宋" w:hAnsi="仿宋" w:eastAsia="仿宋" w:cs="仿宋"/>
          <w:sz w:val="30"/>
          <w:szCs w:val="30"/>
        </w:rPr>
      </w:pPr>
      <w:r>
        <w:rPr>
          <w:rFonts w:hint="eastAsia" w:ascii="仿宋" w:hAnsi="仿宋" w:eastAsia="仿宋"/>
          <w:sz w:val="30"/>
          <w:szCs w:val="30"/>
        </w:rPr>
        <w:t xml:space="preserve">纳入本套部门决算汇编范围的单位共 </w:t>
      </w:r>
      <w:r>
        <w:rPr>
          <w:rFonts w:hint="eastAsia" w:ascii="仿宋" w:hAnsi="仿宋" w:eastAsia="仿宋"/>
          <w:sz w:val="30"/>
          <w:szCs w:val="30"/>
          <w:lang w:val="en-US" w:eastAsia="zh-CN"/>
        </w:rPr>
        <w:t>1</w:t>
      </w:r>
      <w:r>
        <w:rPr>
          <w:rFonts w:hint="eastAsia" w:ascii="仿宋" w:hAnsi="仿宋" w:eastAsia="仿宋"/>
          <w:sz w:val="30"/>
          <w:szCs w:val="30"/>
        </w:rPr>
        <w:t xml:space="preserve"> 个，</w:t>
      </w:r>
      <w:r>
        <w:rPr>
          <w:rFonts w:hint="eastAsia" w:ascii="仿宋" w:hAnsi="仿宋" w:eastAsia="仿宋" w:cs="仿宋"/>
          <w:sz w:val="30"/>
          <w:szCs w:val="30"/>
        </w:rPr>
        <w:t>即景德镇市广播电视台。</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年年末实有人数 </w:t>
      </w:r>
      <w:r>
        <w:rPr>
          <w:rFonts w:hint="eastAsia" w:ascii="仿宋" w:hAnsi="仿宋" w:eastAsia="仿宋"/>
          <w:sz w:val="30"/>
          <w:szCs w:val="30"/>
          <w:lang w:val="en-US" w:eastAsia="zh-CN"/>
        </w:rPr>
        <w:t>151</w:t>
      </w:r>
      <w:r>
        <w:rPr>
          <w:rFonts w:hint="eastAsia" w:ascii="仿宋" w:hAnsi="仿宋" w:eastAsia="仿宋"/>
          <w:sz w:val="30"/>
          <w:szCs w:val="30"/>
        </w:rPr>
        <w:t xml:space="preserve"> 人，其中在职人员 </w:t>
      </w:r>
      <w:r>
        <w:rPr>
          <w:rFonts w:hint="eastAsia" w:ascii="仿宋" w:hAnsi="仿宋" w:eastAsia="仿宋"/>
          <w:sz w:val="30"/>
          <w:szCs w:val="30"/>
          <w:lang w:val="en-US" w:eastAsia="zh-CN"/>
        </w:rPr>
        <w:t>104</w:t>
      </w:r>
      <w:r>
        <w:rPr>
          <w:rFonts w:hint="eastAsia" w:ascii="仿宋" w:hAnsi="仿宋" w:eastAsia="仿宋"/>
          <w:sz w:val="30"/>
          <w:szCs w:val="30"/>
        </w:rPr>
        <w:t xml:space="preserve"> 人，离休人员 </w:t>
      </w:r>
      <w:r>
        <w:rPr>
          <w:rFonts w:hint="eastAsia" w:ascii="仿宋" w:hAnsi="仿宋" w:eastAsia="仿宋"/>
          <w:sz w:val="30"/>
          <w:szCs w:val="30"/>
          <w:lang w:val="en-US" w:eastAsia="zh-CN"/>
        </w:rPr>
        <w:t>0</w:t>
      </w:r>
      <w:r>
        <w:rPr>
          <w:rFonts w:hint="eastAsia" w:ascii="仿宋" w:hAnsi="仿宋" w:eastAsia="仿宋"/>
          <w:sz w:val="30"/>
          <w:szCs w:val="30"/>
        </w:rPr>
        <w:t xml:space="preserve">人，退休人员 </w:t>
      </w:r>
      <w:r>
        <w:rPr>
          <w:rFonts w:hint="eastAsia" w:ascii="仿宋" w:hAnsi="仿宋" w:eastAsia="仿宋"/>
          <w:sz w:val="30"/>
          <w:szCs w:val="30"/>
          <w:lang w:val="en-US" w:eastAsia="zh-CN"/>
        </w:rPr>
        <w:t>47</w:t>
      </w:r>
      <w:r>
        <w:rPr>
          <w:rFonts w:hint="eastAsia" w:ascii="仿宋" w:hAnsi="仿宋" w:eastAsia="仿宋"/>
          <w:sz w:val="30"/>
          <w:szCs w:val="30"/>
        </w:rPr>
        <w:t xml:space="preserve"> 人；</w:t>
      </w:r>
      <w:r>
        <w:rPr>
          <w:rFonts w:hint="eastAsia" w:ascii="仿宋" w:hAnsi="仿宋" w:eastAsia="仿宋"/>
          <w:sz w:val="30"/>
          <w:szCs w:val="30"/>
          <w:lang w:val="en-US" w:eastAsia="zh-CN"/>
        </w:rPr>
        <w:t>年末其他人员 50 人；</w:t>
      </w:r>
      <w:r>
        <w:rPr>
          <w:rFonts w:hint="eastAsia" w:ascii="仿宋" w:hAnsi="仿宋" w:eastAsia="仿宋"/>
          <w:sz w:val="30"/>
          <w:szCs w:val="30"/>
        </w:rPr>
        <w:t xml:space="preserve">年末学生人数 </w:t>
      </w:r>
      <w:r>
        <w:rPr>
          <w:rFonts w:hint="eastAsia" w:ascii="仿宋" w:hAnsi="仿宋" w:eastAsia="仿宋"/>
          <w:sz w:val="30"/>
          <w:szCs w:val="30"/>
          <w:lang w:val="en-US" w:eastAsia="zh-CN"/>
        </w:rPr>
        <w:t>0</w:t>
      </w:r>
      <w:r>
        <w:rPr>
          <w:rFonts w:hint="eastAsia" w:ascii="仿宋" w:hAnsi="仿宋" w:eastAsia="仿宋"/>
          <w:sz w:val="30"/>
          <w:szCs w:val="30"/>
        </w:rPr>
        <w:t xml:space="preserve"> 人。</w:t>
      </w:r>
    </w:p>
    <w:p>
      <w:pPr>
        <w:jc w:val="left"/>
        <w:rPr>
          <w:rFonts w:hint="eastAsia" w:ascii="仿宋" w:hAnsi="仿宋" w:eastAsia="仿宋"/>
          <w:sz w:val="30"/>
          <w:szCs w:val="30"/>
        </w:rPr>
      </w:pPr>
    </w:p>
    <w:p>
      <w:pPr>
        <w:widowControl/>
        <w:numPr>
          <w:ilvl w:val="0"/>
          <w:numId w:val="2"/>
        </w:numPr>
        <w:spacing w:line="600" w:lineRule="exact"/>
        <w:ind w:firstLine="1928" w:firstLineChars="600"/>
        <w:jc w:val="both"/>
        <w:rPr>
          <w:rFonts w:hint="eastAsia" w:ascii="宋体" w:hAnsi="宋体"/>
          <w:b/>
          <w:sz w:val="32"/>
          <w:szCs w:val="32"/>
        </w:rPr>
      </w:pPr>
      <w:r>
        <w:rPr>
          <w:rFonts w:hint="eastAsia" w:ascii="宋体" w:hAnsi="宋体"/>
          <w:b/>
          <w:sz w:val="32"/>
          <w:szCs w:val="32"/>
        </w:rPr>
        <w:t xml:space="preserve"> 201</w:t>
      </w:r>
      <w:r>
        <w:rPr>
          <w:rFonts w:hint="eastAsia" w:ascii="宋体" w:hAnsi="宋体"/>
          <w:b/>
          <w:sz w:val="32"/>
          <w:szCs w:val="32"/>
          <w:lang w:val="en-US" w:eastAsia="zh-CN"/>
        </w:rPr>
        <w:t>9</w:t>
      </w:r>
      <w:r>
        <w:rPr>
          <w:rFonts w:hint="eastAsia" w:ascii="宋体" w:hAnsi="宋体"/>
          <w:b/>
          <w:sz w:val="32"/>
          <w:szCs w:val="32"/>
        </w:rPr>
        <w:t>年度部门决算表</w:t>
      </w:r>
    </w:p>
    <w:tbl>
      <w:tblPr>
        <w:tblStyle w:val="2"/>
        <w:tblW w:w="6252" w:type="pct"/>
        <w:tblInd w:w="-1052" w:type="dxa"/>
        <w:shd w:val="clear" w:color="auto" w:fill="auto"/>
        <w:tblLayout w:type="fixed"/>
        <w:tblCellMar>
          <w:top w:w="0" w:type="dxa"/>
          <w:left w:w="0" w:type="dxa"/>
          <w:bottom w:w="0" w:type="dxa"/>
          <w:right w:w="0" w:type="dxa"/>
        </w:tblCellMar>
      </w:tblPr>
      <w:tblGrid>
        <w:gridCol w:w="180"/>
        <w:gridCol w:w="390"/>
        <w:gridCol w:w="360"/>
        <w:gridCol w:w="405"/>
        <w:gridCol w:w="2190"/>
        <w:gridCol w:w="167"/>
        <w:gridCol w:w="439"/>
        <w:gridCol w:w="414"/>
        <w:gridCol w:w="810"/>
        <w:gridCol w:w="105"/>
        <w:gridCol w:w="750"/>
        <w:gridCol w:w="675"/>
        <w:gridCol w:w="810"/>
        <w:gridCol w:w="855"/>
        <w:gridCol w:w="75"/>
        <w:gridCol w:w="585"/>
        <w:gridCol w:w="165"/>
        <w:gridCol w:w="855"/>
        <w:gridCol w:w="195"/>
      </w:tblGrid>
      <w:tr>
        <w:tblPrEx>
          <w:shd w:val="clear" w:color="auto" w:fill="auto"/>
          <w:tblCellMar>
            <w:top w:w="0" w:type="dxa"/>
            <w:left w:w="0" w:type="dxa"/>
            <w:bottom w:w="0" w:type="dxa"/>
            <w:right w:w="0" w:type="dxa"/>
          </w:tblCellMar>
        </w:tblPrEx>
        <w:trPr>
          <w:trHeight w:val="819" w:hRule="atLeast"/>
        </w:trPr>
        <w:tc>
          <w:tcPr>
            <w:tcW w:w="5000" w:type="pct"/>
            <w:gridSpan w:val="19"/>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收入支出决算总表</w:t>
            </w:r>
          </w:p>
        </w:tc>
      </w:tr>
      <w:tr>
        <w:tblPrEx>
          <w:tblCellMar>
            <w:top w:w="0" w:type="dxa"/>
            <w:left w:w="0" w:type="dxa"/>
            <w:bottom w:w="0" w:type="dxa"/>
            <w:right w:w="0" w:type="dxa"/>
          </w:tblCellMar>
        </w:tblPrEx>
        <w:trPr>
          <w:trHeight w:val="432" w:hRule="atLeast"/>
        </w:trPr>
        <w:tc>
          <w:tcPr>
            <w:tcW w:w="5000" w:type="pct"/>
            <w:gridSpan w:val="1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44" w:hRule="atLeast"/>
        </w:trPr>
        <w:tc>
          <w:tcPr>
            <w:tcW w:w="5000" w:type="pct"/>
            <w:gridSpan w:val="1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编制单位：景德镇市广播电视台</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2019年度</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公开01表</w:t>
            </w:r>
          </w:p>
        </w:tc>
      </w:tr>
      <w:tr>
        <w:tblPrEx>
          <w:tblCellMar>
            <w:top w:w="0" w:type="dxa"/>
            <w:left w:w="0" w:type="dxa"/>
            <w:bottom w:w="0" w:type="dxa"/>
            <w:right w:w="0" w:type="dxa"/>
          </w:tblCellMar>
        </w:tblPrEx>
        <w:trPr>
          <w:trHeight w:val="308" w:hRule="atLeast"/>
        </w:trPr>
        <w:tc>
          <w:tcPr>
            <w:tcW w:w="2568" w:type="pct"/>
            <w:gridSpan w:val="9"/>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2431" w:type="pct"/>
            <w:gridSpan w:val="10"/>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587"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项目（按功能分类）</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582" w:type="pct"/>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7"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2" w:type="pct"/>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2,083.74</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0.88</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2,011.12</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二十三、债务还本支出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2,084.62</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2,186.28</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用事业基金弥补收支差额</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50.52</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                 </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174.23</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                                </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123.10</w:t>
            </w: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770" w:type="pct"/>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8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2,309.38</w:t>
            </w:r>
          </w:p>
        </w:tc>
        <w:tc>
          <w:tcPr>
            <w:tcW w:w="1568"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8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8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2,309.38</w:t>
            </w:r>
          </w:p>
        </w:tc>
      </w:tr>
      <w:tr>
        <w:tblPrEx>
          <w:tblCellMar>
            <w:top w:w="0" w:type="dxa"/>
            <w:left w:w="0" w:type="dxa"/>
            <w:bottom w:w="0" w:type="dxa"/>
            <w:right w:w="0" w:type="dxa"/>
          </w:tblCellMar>
        </w:tblPrEx>
        <w:trPr>
          <w:trHeight w:val="308" w:hRule="atLeast"/>
        </w:trPr>
        <w:tc>
          <w:tcPr>
            <w:tcW w:w="5000" w:type="pct"/>
            <w:gridSpan w:val="1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r>
        <w:tblPrEx>
          <w:tblCellMar>
            <w:top w:w="0" w:type="dxa"/>
            <w:left w:w="0" w:type="dxa"/>
            <w:bottom w:w="0" w:type="dxa"/>
            <w:right w:w="0" w:type="dxa"/>
          </w:tblCellMar>
        </w:tblPrEx>
        <w:trPr>
          <w:gridBefore w:val="1"/>
          <w:gridAfter w:val="1"/>
          <w:wBefore w:w="86" w:type="pct"/>
          <w:wAfter w:w="93" w:type="pct"/>
          <w:trHeight w:val="1348" w:hRule="atLeast"/>
        </w:trPr>
        <w:tc>
          <w:tcPr>
            <w:tcW w:w="4820" w:type="pct"/>
            <w:gridSpan w:val="17"/>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i w:val="0"/>
                <w:color w:val="000000"/>
                <w:kern w:val="0"/>
                <w:sz w:val="44"/>
                <w:szCs w:val="44"/>
                <w:u w:val="none"/>
                <w:lang w:val="en-US" w:eastAsia="zh-CN" w:bidi="ar"/>
              </w:rPr>
            </w:pPr>
          </w:p>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收入决算表</w:t>
            </w:r>
          </w:p>
        </w:tc>
      </w:tr>
      <w:tr>
        <w:tblPrEx>
          <w:tblCellMar>
            <w:top w:w="0" w:type="dxa"/>
            <w:left w:w="0" w:type="dxa"/>
            <w:bottom w:w="0" w:type="dxa"/>
            <w:right w:w="0" w:type="dxa"/>
          </w:tblCellMar>
        </w:tblPrEx>
        <w:trPr>
          <w:gridBefore w:val="1"/>
          <w:gridAfter w:val="1"/>
          <w:wBefore w:w="86" w:type="pct"/>
          <w:wAfter w:w="93" w:type="pct"/>
          <w:trHeight w:val="507" w:hRule="atLeast"/>
        </w:trPr>
        <w:tc>
          <w:tcPr>
            <w:tcW w:w="4820" w:type="pct"/>
            <w:gridSpan w:val="1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gridBefore w:val="1"/>
          <w:gridAfter w:val="1"/>
          <w:wBefore w:w="86" w:type="pct"/>
          <w:wAfter w:w="93" w:type="pct"/>
          <w:trHeight w:val="507" w:hRule="atLeast"/>
        </w:trPr>
        <w:tc>
          <w:tcPr>
            <w:tcW w:w="2093" w:type="pct"/>
            <w:gridSpan w:val="7"/>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编制单位：景德镇市广播电视台</w:t>
            </w:r>
          </w:p>
        </w:tc>
        <w:tc>
          <w:tcPr>
            <w:tcW w:w="1122" w:type="pct"/>
            <w:gridSpan w:val="4"/>
            <w:tcBorders>
              <w:top w:val="nil"/>
              <w:left w:val="nil"/>
              <w:bottom w:val="nil"/>
              <w:right w:val="nil"/>
            </w:tcBorders>
            <w:shd w:val="clear" w:color="auto" w:fill="auto"/>
            <w:noWrap/>
            <w:tcMar>
              <w:top w:w="15" w:type="dxa"/>
              <w:left w:w="15" w:type="dxa"/>
              <w:right w:w="15" w:type="dxa"/>
            </w:tcMar>
            <w:vAlign w:val="bottom"/>
          </w:tcPr>
          <w:p>
            <w:pPr>
              <w:ind w:firstLine="220" w:firstLineChars="100"/>
              <w:rPr>
                <w:rFonts w:hint="default" w:ascii="Arial" w:hAnsi="Arial" w:cs="Arial"/>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38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4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805"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1604"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89" w:type="pct"/>
            <w:gridSpan w:val="3"/>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438" w:type="pct"/>
            <w:gridSpan w:val="2"/>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359" w:type="pct"/>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712"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410" w:type="pct"/>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395" w:type="pct"/>
            <w:gridSpan w:val="3"/>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410" w:type="pct"/>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1050"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489" w:type="pct"/>
            <w:gridSpan w:val="3"/>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8" w:type="pct"/>
            <w:gridSpan w:val="2"/>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9"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3"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388"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其中：教育收费</w:t>
            </w:r>
          </w:p>
        </w:tc>
        <w:tc>
          <w:tcPr>
            <w:tcW w:w="410"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5" w:type="pct"/>
            <w:gridSpan w:val="3"/>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0"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pct"/>
            <w:gridSpan w:val="3"/>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8" w:type="pct"/>
            <w:gridSpan w:val="2"/>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9"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3"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8"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0"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5" w:type="pct"/>
            <w:gridSpan w:val="3"/>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0"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pct"/>
            <w:gridSpan w:val="3"/>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8" w:type="pct"/>
            <w:gridSpan w:val="2"/>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9"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3"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8"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0"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5" w:type="pct"/>
            <w:gridSpan w:val="3"/>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0"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6" w:type="pct"/>
          <w:wAfter w:w="93" w:type="pct"/>
          <w:trHeight w:val="308" w:hRule="atLeast"/>
        </w:trPr>
        <w:tc>
          <w:tcPr>
            <w:tcW w:w="187"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172"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194"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05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89" w:type="pct"/>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8" w:type="pct"/>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2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95" w:type="pct"/>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1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gridBefore w:val="1"/>
          <w:gridAfter w:val="1"/>
          <w:wBefore w:w="86" w:type="pct"/>
          <w:wAfter w:w="93" w:type="pct"/>
          <w:trHeight w:val="323" w:hRule="atLeast"/>
        </w:trPr>
        <w:tc>
          <w:tcPr>
            <w:tcW w:w="18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2,084.62</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2,083.74</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0.88</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其他一般公共服务支出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2019999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其他一般公共服务支出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1,959.99</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1,959.99</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20706</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新闻出版电影</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2070699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其他新闻出版电影支出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20708</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1,712.24</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1,712.24</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2070804</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广播</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56.22</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56.22</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2070805</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电视</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1,258.47</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1,258.47</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2070899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其他广播电视支出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397.55</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397.55</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其他文化体育与传媒支出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241.75</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241.75</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2079903</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文化产业发展专项支出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其他文化体育与传媒支出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226.75</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226.75</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其他优抚支出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0.88</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0.88</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0.88</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0.88</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55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2299901</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48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0.88</w:t>
            </w:r>
          </w:p>
        </w:tc>
        <w:tc>
          <w:tcPr>
            <w:tcW w:w="4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9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0.88</w:t>
            </w:r>
          </w:p>
        </w:tc>
      </w:tr>
      <w:tr>
        <w:tblPrEx>
          <w:tblCellMar>
            <w:top w:w="0" w:type="dxa"/>
            <w:left w:w="0" w:type="dxa"/>
            <w:bottom w:w="0" w:type="dxa"/>
            <w:right w:w="0" w:type="dxa"/>
          </w:tblCellMar>
        </w:tblPrEx>
        <w:trPr>
          <w:gridBefore w:val="1"/>
          <w:gridAfter w:val="1"/>
          <w:wBefore w:w="86" w:type="pct"/>
          <w:wAfter w:w="93" w:type="pct"/>
          <w:trHeight w:val="308" w:hRule="atLeast"/>
        </w:trPr>
        <w:tc>
          <w:tcPr>
            <w:tcW w:w="4820" w:type="pct"/>
            <w:gridSpan w:val="1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注：本表反映部门本年度取得的各项收入情况。</w:t>
            </w:r>
          </w:p>
        </w:tc>
      </w:tr>
    </w:tbl>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pPr>
    </w:p>
    <w:tbl>
      <w:tblPr>
        <w:tblStyle w:val="2"/>
        <w:tblW w:w="6270" w:type="pct"/>
        <w:tblInd w:w="-1052" w:type="dxa"/>
        <w:shd w:val="clear" w:color="auto" w:fill="auto"/>
        <w:tblLayout w:type="fixed"/>
        <w:tblCellMar>
          <w:top w:w="0" w:type="dxa"/>
          <w:left w:w="0" w:type="dxa"/>
          <w:bottom w:w="0" w:type="dxa"/>
          <w:right w:w="0" w:type="dxa"/>
        </w:tblCellMar>
      </w:tblPr>
      <w:tblGrid>
        <w:gridCol w:w="345"/>
        <w:gridCol w:w="405"/>
        <w:gridCol w:w="405"/>
        <w:gridCol w:w="2264"/>
        <w:gridCol w:w="1140"/>
        <w:gridCol w:w="1095"/>
        <w:gridCol w:w="960"/>
        <w:gridCol w:w="1215"/>
        <w:gridCol w:w="839"/>
        <w:gridCol w:w="1785"/>
      </w:tblGrid>
      <w:tr>
        <w:tblPrEx>
          <w:shd w:val="clear" w:color="auto" w:fill="auto"/>
          <w:tblCellMar>
            <w:top w:w="0" w:type="dxa"/>
            <w:left w:w="0" w:type="dxa"/>
            <w:bottom w:w="0" w:type="dxa"/>
            <w:right w:w="0" w:type="dxa"/>
          </w:tblCellMar>
        </w:tblPrEx>
        <w:trPr>
          <w:trHeight w:val="1428"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kern w:val="0"/>
                <w:sz w:val="44"/>
                <w:szCs w:val="44"/>
                <w:u w:val="none"/>
                <w:lang w:val="en-US" w:eastAsia="zh-CN" w:bidi="ar"/>
              </w:rPr>
            </w:pPr>
          </w:p>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支出决算表</w:t>
            </w:r>
          </w:p>
        </w:tc>
      </w:tr>
      <w:tr>
        <w:tblPrEx>
          <w:tblCellMar>
            <w:top w:w="0" w:type="dxa"/>
            <w:left w:w="0" w:type="dxa"/>
            <w:bottom w:w="0" w:type="dxa"/>
            <w:right w:w="0" w:type="dxa"/>
          </w:tblCellMar>
        </w:tblPrEx>
        <w:trPr>
          <w:trHeight w:val="447" w:hRule="atLeast"/>
        </w:trPr>
        <w:tc>
          <w:tcPr>
            <w:tcW w:w="16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9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9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52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58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85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92" w:hRule="atLeast"/>
        </w:trPr>
        <w:tc>
          <w:tcPr>
            <w:tcW w:w="1635" w:type="pct"/>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编制单位：景德镇市广播电视台</w:t>
            </w:r>
          </w:p>
        </w:tc>
        <w:tc>
          <w:tcPr>
            <w:tcW w:w="1527" w:type="pct"/>
            <w:gridSpan w:val="3"/>
            <w:tcBorders>
              <w:top w:val="nil"/>
              <w:left w:val="nil"/>
              <w:bottom w:val="nil"/>
              <w:right w:val="nil"/>
            </w:tcBorders>
            <w:shd w:val="clear" w:color="auto" w:fill="auto"/>
            <w:noWrap/>
            <w:tcMar>
              <w:top w:w="15" w:type="dxa"/>
              <w:left w:w="15" w:type="dxa"/>
              <w:right w:w="15" w:type="dxa"/>
            </w:tcMar>
            <w:vAlign w:val="bottom"/>
          </w:tcPr>
          <w:p>
            <w:pPr>
              <w:ind w:firstLine="1980" w:firstLineChars="900"/>
              <w:rPr>
                <w:rFonts w:hint="default" w:ascii="Arial" w:hAnsi="Arial" w:cs="Arial"/>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58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85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tblCellMar>
            <w:top w:w="0" w:type="dxa"/>
            <w:left w:w="0" w:type="dxa"/>
            <w:bottom w:w="0" w:type="dxa"/>
            <w:right w:w="0" w:type="dxa"/>
          </w:tblCellMar>
        </w:tblPrEx>
        <w:trPr>
          <w:trHeight w:val="308" w:hRule="atLeast"/>
        </w:trPr>
        <w:tc>
          <w:tcPr>
            <w:tcW w:w="1635"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54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523"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45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81"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401"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53"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8" w:hRule="atLeast"/>
        </w:trPr>
        <w:tc>
          <w:tcPr>
            <w:tcW w:w="552"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1083"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54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552"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3"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2" w:hRule="atLeast"/>
        </w:trPr>
        <w:tc>
          <w:tcPr>
            <w:tcW w:w="552"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3"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3"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64"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193"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193"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0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4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23"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5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0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308" w:hRule="atLeast"/>
        </w:trPr>
        <w:tc>
          <w:tcPr>
            <w:tcW w:w="16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2,186.28</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1,800.71</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385.56</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20199</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其他一般公共服务支出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2019999</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其他一般公共服务支出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2,011.12</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1,625.56</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385.56</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20706</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新闻出版电影</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38.36</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38.36</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2070699</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其他新闻出版电影支出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38.36</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38.36</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20708</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1,763.70</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1,378.14</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385.56</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2070804</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广播</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56.22</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56.22</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2070805</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电视</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1,323.01</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937.44</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385.56</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2070899</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其他广播电视支出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384.48</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384.48</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其他文化体育与传媒支出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209.06</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209.06</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2079903</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文化产业发展专项支出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2079999</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其他文化体育与传媒支出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184.06</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184.06</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2080899</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其他优抚支出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51.40</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51.40</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51.40</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51.40</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5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2299901</w:t>
            </w:r>
          </w:p>
        </w:tc>
        <w:tc>
          <w:tcPr>
            <w:tcW w:w="10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51.40</w:t>
            </w:r>
          </w:p>
        </w:tc>
        <w:tc>
          <w:tcPr>
            <w:tcW w:w="5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51.40</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000" w:type="pct"/>
            <w:gridSpan w:val="10"/>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注：本表反映部门本年度各项支出情况。</w:t>
            </w:r>
          </w:p>
        </w:tc>
      </w:tr>
    </w:tbl>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tbl>
      <w:tblPr>
        <w:tblStyle w:val="2"/>
        <w:tblW w:w="6259" w:type="pct"/>
        <w:tblInd w:w="-1052" w:type="dxa"/>
        <w:shd w:val="clear" w:color="auto" w:fill="auto"/>
        <w:tblLayout w:type="fixed"/>
        <w:tblCellMar>
          <w:top w:w="0" w:type="dxa"/>
          <w:left w:w="0" w:type="dxa"/>
          <w:bottom w:w="0" w:type="dxa"/>
          <w:right w:w="0" w:type="dxa"/>
        </w:tblCellMar>
      </w:tblPr>
      <w:tblGrid>
        <w:gridCol w:w="2387"/>
        <w:gridCol w:w="392"/>
        <w:gridCol w:w="1150"/>
        <w:gridCol w:w="2669"/>
        <w:gridCol w:w="360"/>
        <w:gridCol w:w="1140"/>
        <w:gridCol w:w="1185"/>
        <w:gridCol w:w="1153"/>
      </w:tblGrid>
      <w:tr>
        <w:tblPrEx>
          <w:shd w:val="clear" w:color="auto" w:fill="auto"/>
          <w:tblCellMar>
            <w:top w:w="0" w:type="dxa"/>
            <w:left w:w="0" w:type="dxa"/>
            <w:bottom w:w="0" w:type="dxa"/>
            <w:right w:w="0" w:type="dxa"/>
          </w:tblCellMar>
        </w:tblPrEx>
        <w:trPr>
          <w:trHeight w:val="882"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ind w:firstLine="2640" w:firstLineChars="600"/>
              <w:jc w:val="both"/>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财政拨款收入支出决算总表</w:t>
            </w:r>
          </w:p>
        </w:tc>
      </w:tr>
      <w:tr>
        <w:tblPrEx>
          <w:tblCellMar>
            <w:top w:w="0" w:type="dxa"/>
            <w:left w:w="0" w:type="dxa"/>
            <w:bottom w:w="0" w:type="dxa"/>
            <w:right w:w="0" w:type="dxa"/>
          </w:tblCellMar>
        </w:tblPrEx>
        <w:trPr>
          <w:trHeight w:val="582" w:hRule="atLeast"/>
        </w:trPr>
        <w:tc>
          <w:tcPr>
            <w:tcW w:w="1143"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2"/>
                <w:szCs w:val="22"/>
                <w:u w:val="none"/>
              </w:rPr>
            </w:pPr>
          </w:p>
        </w:tc>
        <w:tc>
          <w:tcPr>
            <w:tcW w:w="18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55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2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7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666"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ind w:firstLine="1980" w:firstLineChars="90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92" w:hRule="atLeast"/>
        </w:trPr>
        <w:tc>
          <w:tcPr>
            <w:tcW w:w="3879" w:type="pct"/>
            <w:gridSpan w:val="6"/>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编制单位：景德镇市广播电视台                    2019年度</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tblCellMar>
            <w:top w:w="0" w:type="dxa"/>
            <w:left w:w="0" w:type="dxa"/>
            <w:bottom w:w="0" w:type="dxa"/>
            <w:right w:w="0" w:type="dxa"/>
          </w:tblCellMar>
        </w:tblPrEx>
        <w:trPr>
          <w:trHeight w:val="308" w:hRule="atLeast"/>
        </w:trPr>
        <w:tc>
          <w:tcPr>
            <w:tcW w:w="1882"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3117" w:type="pct"/>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308" w:hRule="atLeast"/>
        </w:trPr>
        <w:tc>
          <w:tcPr>
            <w:tcW w:w="114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87"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550"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278"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172"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66" w:type="pct"/>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5" w:hRule="atLeast"/>
        </w:trPr>
        <w:tc>
          <w:tcPr>
            <w:tcW w:w="114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8"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2"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6"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56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552"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5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2,083.74</w:t>
            </w: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122.80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2,011.12</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2,011.12</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十四、资源勘探信息等支出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二十一、灾害防治及应急管理支出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二十二、其他支出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二十三、债务还本支出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二十四、债务付息支出</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2,083.74</w:t>
            </w: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2,134.87</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2,134.87</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174.23</w:t>
            </w: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123.10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123.10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174.23</w:t>
            </w: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2,257.97</w:t>
            </w:r>
          </w:p>
        </w:tc>
        <w:tc>
          <w:tcPr>
            <w:tcW w:w="12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2,257.97</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2,257.97</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5000" w:type="pct"/>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tbl>
      <w:tblPr>
        <w:tblStyle w:val="2"/>
        <w:tblW w:w="6251" w:type="pct"/>
        <w:tblInd w:w="-1037" w:type="dxa"/>
        <w:shd w:val="clear" w:color="auto" w:fill="auto"/>
        <w:tblLayout w:type="fixed"/>
        <w:tblCellMar>
          <w:top w:w="0" w:type="dxa"/>
          <w:left w:w="0" w:type="dxa"/>
          <w:bottom w:w="0" w:type="dxa"/>
          <w:right w:w="0" w:type="dxa"/>
        </w:tblCellMar>
      </w:tblPr>
      <w:tblGrid>
        <w:gridCol w:w="375"/>
        <w:gridCol w:w="405"/>
        <w:gridCol w:w="405"/>
        <w:gridCol w:w="2955"/>
        <w:gridCol w:w="2070"/>
        <w:gridCol w:w="2260"/>
        <w:gridCol w:w="1953"/>
      </w:tblGrid>
      <w:tr>
        <w:tblPrEx>
          <w:shd w:val="clear" w:color="auto" w:fill="auto"/>
          <w:tblCellMar>
            <w:top w:w="0" w:type="dxa"/>
            <w:left w:w="0" w:type="dxa"/>
            <w:bottom w:w="0" w:type="dxa"/>
            <w:right w:w="0" w:type="dxa"/>
          </w:tblCellMar>
        </w:tblPrEx>
        <w:trPr>
          <w:trHeight w:val="939"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一般公共预算财政拨款支出决算表</w:t>
            </w:r>
          </w:p>
        </w:tc>
      </w:tr>
      <w:tr>
        <w:tblPrEx>
          <w:tblCellMar>
            <w:top w:w="0" w:type="dxa"/>
            <w:left w:w="0" w:type="dxa"/>
            <w:bottom w:w="0" w:type="dxa"/>
            <w:right w:w="0" w:type="dxa"/>
          </w:tblCellMar>
        </w:tblPrEx>
        <w:trPr>
          <w:trHeight w:val="417" w:hRule="atLeast"/>
        </w:trPr>
        <w:tc>
          <w:tcPr>
            <w:tcW w:w="17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9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9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41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9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93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77" w:hRule="atLeast"/>
        </w:trPr>
        <w:tc>
          <w:tcPr>
            <w:tcW w:w="1985" w:type="pct"/>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编制单位：景德镇市广播电视台</w:t>
            </w:r>
          </w:p>
        </w:tc>
        <w:tc>
          <w:tcPr>
            <w:tcW w:w="99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10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93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公开05表 </w:t>
            </w:r>
          </w:p>
        </w:tc>
      </w:tr>
      <w:tr>
        <w:tblPrEx>
          <w:tblCellMar>
            <w:top w:w="0" w:type="dxa"/>
            <w:left w:w="0" w:type="dxa"/>
            <w:bottom w:w="0" w:type="dxa"/>
            <w:right w:w="0" w:type="dxa"/>
          </w:tblCellMar>
        </w:tblPrEx>
        <w:trPr>
          <w:trHeight w:val="308" w:hRule="atLeast"/>
        </w:trPr>
        <w:tc>
          <w:tcPr>
            <w:tcW w:w="1985"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992" w:type="pct"/>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084" w:type="pct"/>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36" w:type="pct"/>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trPr>
        <w:tc>
          <w:tcPr>
            <w:tcW w:w="568"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1417"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92"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4"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6"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68"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4"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6"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568"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4"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6"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7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194"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194"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4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17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2,134.87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1,749.31</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385.56</w:t>
            </w:r>
          </w:p>
        </w:tc>
      </w:tr>
      <w:tr>
        <w:tblPrEx>
          <w:tblCellMar>
            <w:top w:w="0" w:type="dxa"/>
            <w:left w:w="0" w:type="dxa"/>
            <w:bottom w:w="0" w:type="dxa"/>
            <w:right w:w="0" w:type="dxa"/>
          </w:tblCellMar>
        </w:tblPrEx>
        <w:trPr>
          <w:trHeight w:val="339"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122.80</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122.80</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122.80</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1,625.56</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385.56</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20706</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新闻出版电影</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2070699</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其他新闻出版电影支出</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广播电视</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1,763.70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1,378.14</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385.56</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2070804</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广播</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56.22</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2070805</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电视</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1,323.01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937.44</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385.56</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2070899</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其他广播电视支出</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384.48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384.48</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74"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其他文化体育与传媒支出</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209.06</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2079903</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文化产业发展专项支出</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184.06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184.06</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6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1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9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9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000" w:type="pct"/>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tbl>
      <w:tblPr>
        <w:tblStyle w:val="2"/>
        <w:tblW w:w="6576" w:type="pct"/>
        <w:tblInd w:w="-1262" w:type="dxa"/>
        <w:shd w:val="clear" w:color="auto" w:fill="auto"/>
        <w:tblLayout w:type="fixed"/>
        <w:tblCellMar>
          <w:top w:w="0" w:type="dxa"/>
          <w:left w:w="0" w:type="dxa"/>
          <w:bottom w:w="0" w:type="dxa"/>
          <w:right w:w="0" w:type="dxa"/>
        </w:tblCellMar>
      </w:tblPr>
      <w:tblGrid>
        <w:gridCol w:w="645"/>
        <w:gridCol w:w="2280"/>
        <w:gridCol w:w="855"/>
        <w:gridCol w:w="690"/>
        <w:gridCol w:w="1770"/>
        <w:gridCol w:w="975"/>
        <w:gridCol w:w="630"/>
        <w:gridCol w:w="2205"/>
        <w:gridCol w:w="915"/>
      </w:tblGrid>
      <w:tr>
        <w:tblPrEx>
          <w:shd w:val="clear" w:color="auto" w:fill="auto"/>
          <w:tblCellMar>
            <w:top w:w="0" w:type="dxa"/>
            <w:left w:w="0" w:type="dxa"/>
            <w:bottom w:w="0" w:type="dxa"/>
            <w:right w:w="0" w:type="dxa"/>
          </w:tblCellMar>
        </w:tblPrEx>
        <w:trPr>
          <w:trHeight w:val="54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一般公共预算财政拨款基本支出决算表</w:t>
            </w:r>
          </w:p>
        </w:tc>
      </w:tr>
      <w:tr>
        <w:tblPrEx>
          <w:tblCellMar>
            <w:top w:w="0" w:type="dxa"/>
            <w:left w:w="0" w:type="dxa"/>
            <w:bottom w:w="0" w:type="dxa"/>
            <w:right w:w="0" w:type="dxa"/>
          </w:tblCellMar>
        </w:tblPrEx>
        <w:trPr>
          <w:trHeight w:val="255" w:hRule="atLeast"/>
        </w:trPr>
        <w:tc>
          <w:tcPr>
            <w:tcW w:w="29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03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38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31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80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28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422"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60" w:hRule="atLeast"/>
        </w:trPr>
        <w:tc>
          <w:tcPr>
            <w:tcW w:w="2038" w:type="pct"/>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编制单位：景德镇市广播电视台</w:t>
            </w:r>
          </w:p>
        </w:tc>
        <w:tc>
          <w:tcPr>
            <w:tcW w:w="80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28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1422"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tblPrEx>
          <w:tblCellMar>
            <w:top w:w="0" w:type="dxa"/>
            <w:left w:w="0" w:type="dxa"/>
            <w:bottom w:w="0" w:type="dxa"/>
            <w:right w:w="0" w:type="dxa"/>
          </w:tblCellMar>
        </w:tblPrEx>
        <w:trPr>
          <w:trHeight w:val="275" w:hRule="atLeast"/>
        </w:trPr>
        <w:tc>
          <w:tcPr>
            <w:tcW w:w="1723"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3276"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189" w:hRule="atLeast"/>
        </w:trPr>
        <w:tc>
          <w:tcPr>
            <w:tcW w:w="294"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3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314"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4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28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4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r>
      <w:tr>
        <w:tblPrEx>
          <w:tblCellMar>
            <w:top w:w="0" w:type="dxa"/>
            <w:left w:w="0" w:type="dxa"/>
            <w:bottom w:w="0" w:type="dxa"/>
            <w:right w:w="0" w:type="dxa"/>
          </w:tblCellMar>
        </w:tblPrEx>
        <w:trPr>
          <w:trHeight w:val="222"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301</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工资福利支出</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867.53</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302</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商品和服务支出</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478.14</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307</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债务利息及费用支出</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162"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245.33</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25.83</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9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18.16</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1.68</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3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0.40</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30703</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国内债务发行费用</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6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30106</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伙食补助费</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30204</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手续费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0.01</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30704</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国外债务发行费用</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9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30107</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绩效工资</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223.18</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30205</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水费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5.10</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310</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资本性支出</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82.43</w:t>
            </w:r>
          </w:p>
        </w:tc>
      </w:tr>
      <w:tr>
        <w:tblPrEx>
          <w:tblCellMar>
            <w:top w:w="0" w:type="dxa"/>
            <w:left w:w="0" w:type="dxa"/>
            <w:bottom w:w="0" w:type="dxa"/>
            <w:right w:w="0" w:type="dxa"/>
          </w:tblCellMar>
        </w:tblPrEx>
        <w:trPr>
          <w:trHeight w:val="309"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30108</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37.11</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30206</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电费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41.01</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5"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30109</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职业年金缴费</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30207</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邮电费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14.43</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82.43</w:t>
            </w:r>
          </w:p>
        </w:tc>
      </w:tr>
      <w:tr>
        <w:tblPrEx>
          <w:tblCellMar>
            <w:top w:w="0" w:type="dxa"/>
            <w:left w:w="0" w:type="dxa"/>
            <w:bottom w:w="0" w:type="dxa"/>
            <w:right w:w="0" w:type="dxa"/>
          </w:tblCellMar>
        </w:tblPrEx>
        <w:trPr>
          <w:trHeight w:val="23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30110</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59.88</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30208</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取暖费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0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30111</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公务员医疗补助缴款</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30209</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物业管理费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4.93</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31005</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基础设施建设</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17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30112</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10.82</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30211</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差旅费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3.27</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31006</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大型修缮</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6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30113</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住房公积金</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49.83</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30212</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3.39</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31007</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07"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30114</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3.00</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30213</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维修（护）费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25.17</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31008</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物资储备</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102"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30199</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219.81</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30214</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租赁费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122.80</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31009</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土地补偿</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0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303</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对个人和家庭的补助</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321.21</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30215</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会议费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31010</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安置补助</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14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0.35</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310111</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0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225.41</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2.63</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31012</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拆迁补偿</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15"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31013</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公务用车购置</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3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7.99</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31019</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75"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生活补贴</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31021</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9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5.35</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31022</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无形资产购置</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9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73.49</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15"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31.17</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312</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对企业补助</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9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37.31</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1.56</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31201</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资本金注入</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147"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个人农业生产补贴</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30231</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公务用车运行维护费</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1.60</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31203</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政府投资基金股权投资</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75"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30399</w:t>
            </w: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其他对个人和家庭的补助支出</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50.49</w:t>
            </w: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30239</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其他交通费用</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67.69</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31204</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费用补贴</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125"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30240</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税金及附加费用</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31205</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利息补贴</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17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30299</w:t>
            </w: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其他商品和服务支出</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45.68</w:t>
            </w: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31299</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其他对企业补助</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22"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399</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其他支出</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60"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39906</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赠与</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195"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39907</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国家赔偿费用支出</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99"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39908</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对民间非营利组织和群众性自治组织补贴</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15" w:hRule="atLeast"/>
        </w:trPr>
        <w:tc>
          <w:tcPr>
            <w:tcW w:w="29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3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0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2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39999</w:t>
            </w:r>
          </w:p>
        </w:tc>
        <w:tc>
          <w:tcPr>
            <w:tcW w:w="100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其他支出</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260" w:hRule="atLeast"/>
        </w:trPr>
        <w:tc>
          <w:tcPr>
            <w:tcW w:w="133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3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1,188.74</w:t>
            </w:r>
          </w:p>
        </w:tc>
        <w:tc>
          <w:tcPr>
            <w:tcW w:w="2859"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公用支出合计</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560.57</w:t>
            </w:r>
          </w:p>
        </w:tc>
      </w:tr>
      <w:tr>
        <w:tblPrEx>
          <w:tblCellMar>
            <w:top w:w="0" w:type="dxa"/>
            <w:left w:w="0" w:type="dxa"/>
            <w:bottom w:w="0" w:type="dxa"/>
            <w:right w:w="0" w:type="dxa"/>
          </w:tblCellMar>
        </w:tblPrEx>
        <w:trPr>
          <w:trHeight w:val="90" w:hRule="atLeast"/>
        </w:trPr>
        <w:tc>
          <w:tcPr>
            <w:tcW w:w="5000"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注：本表反映部门本年度一般公共预算财政拨款基本支出明细情况。</w:t>
            </w:r>
          </w:p>
        </w:tc>
      </w:tr>
    </w:tbl>
    <w:p>
      <w:pPr>
        <w:autoSpaceDE w:val="0"/>
        <w:autoSpaceDN w:val="0"/>
        <w:adjustRightInd w:val="0"/>
        <w:spacing w:line="360" w:lineRule="auto"/>
        <w:jc w:val="left"/>
      </w:pPr>
    </w:p>
    <w:p>
      <w:pPr>
        <w:autoSpaceDE w:val="0"/>
        <w:autoSpaceDN w:val="0"/>
        <w:adjustRightInd w:val="0"/>
        <w:spacing w:line="360" w:lineRule="auto"/>
        <w:jc w:val="left"/>
      </w:pPr>
    </w:p>
    <w:tbl>
      <w:tblPr>
        <w:tblStyle w:val="2"/>
        <w:tblW w:w="6082" w:type="pct"/>
        <w:tblInd w:w="-902" w:type="dxa"/>
        <w:shd w:val="clear" w:color="auto" w:fill="auto"/>
        <w:tblLayout w:type="fixed"/>
        <w:tblCellMar>
          <w:top w:w="0" w:type="dxa"/>
          <w:left w:w="0" w:type="dxa"/>
          <w:bottom w:w="0" w:type="dxa"/>
          <w:right w:w="0" w:type="dxa"/>
        </w:tblCellMar>
      </w:tblPr>
      <w:tblGrid>
        <w:gridCol w:w="4545"/>
        <w:gridCol w:w="1635"/>
        <w:gridCol w:w="2010"/>
        <w:gridCol w:w="1950"/>
      </w:tblGrid>
      <w:tr>
        <w:tblPrEx>
          <w:shd w:val="clear" w:color="auto" w:fill="auto"/>
          <w:tblCellMar>
            <w:top w:w="0" w:type="dxa"/>
            <w:left w:w="0" w:type="dxa"/>
            <w:bottom w:w="0" w:type="dxa"/>
            <w:right w:w="0" w:type="dxa"/>
          </w:tblCellMar>
        </w:tblPrEx>
        <w:trPr>
          <w:trHeight w:val="540"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567" w:hRule="atLeast"/>
        </w:trPr>
        <w:tc>
          <w:tcPr>
            <w:tcW w:w="22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8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99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96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92" w:hRule="atLeast"/>
        </w:trPr>
        <w:tc>
          <w:tcPr>
            <w:tcW w:w="224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编制单位：景德镇市广播电视台</w:t>
            </w:r>
          </w:p>
        </w:tc>
        <w:tc>
          <w:tcPr>
            <w:tcW w:w="80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99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2"/>
                <w:szCs w:val="22"/>
                <w:u w:val="none"/>
              </w:rPr>
            </w:pPr>
          </w:p>
        </w:tc>
        <w:tc>
          <w:tcPr>
            <w:tcW w:w="96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CellMar>
            <w:top w:w="0" w:type="dxa"/>
            <w:left w:w="0" w:type="dxa"/>
            <w:bottom w:w="0" w:type="dxa"/>
            <w:right w:w="0" w:type="dxa"/>
          </w:tblCellMar>
        </w:tblPrEx>
        <w:trPr>
          <w:trHeight w:val="308" w:hRule="atLeast"/>
        </w:trPr>
        <w:tc>
          <w:tcPr>
            <w:tcW w:w="224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06"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91"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961"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二、相关统计数</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22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80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5000" w:type="pct"/>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注：本表反映部门本年度“三公”经费支出预决算情况。其中：预算数为批复的年初预算数，不包含以前年度结转的资金；决算数是包括当年一般公共预算财政拨款和以前年度结转资金安排的实际支出。</w:t>
            </w:r>
          </w:p>
        </w:tc>
      </w:tr>
      <w:tr>
        <w:tblPrEx>
          <w:tblCellMar>
            <w:top w:w="0" w:type="dxa"/>
            <w:left w:w="0" w:type="dxa"/>
            <w:bottom w:w="0" w:type="dxa"/>
            <w:right w:w="0" w:type="dxa"/>
          </w:tblCellMar>
        </w:tblPrEx>
        <w:trPr>
          <w:trHeight w:val="523" w:hRule="atLeast"/>
        </w:trPr>
        <w:tc>
          <w:tcPr>
            <w:tcW w:w="5000" w:type="pct"/>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autoSpaceDE w:val="0"/>
        <w:autoSpaceDN w:val="0"/>
        <w:adjustRightInd w:val="0"/>
        <w:spacing w:line="360" w:lineRule="auto"/>
        <w:jc w:val="left"/>
        <w:rPr>
          <w:sz w:val="16"/>
          <w:szCs w:val="16"/>
        </w:rPr>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hint="eastAsia" w:ascii="仿宋" w:hAnsi="仿宋" w:eastAsia="仿宋" w:cs="仿宋_GB2312"/>
          <w:kern w:val="0"/>
          <w:sz w:val="30"/>
          <w:szCs w:val="30"/>
        </w:rPr>
      </w:pPr>
    </w:p>
    <w:tbl>
      <w:tblPr>
        <w:tblStyle w:val="2"/>
        <w:tblW w:w="6073" w:type="pct"/>
        <w:tblInd w:w="-902" w:type="dxa"/>
        <w:shd w:val="clear" w:color="auto" w:fill="auto"/>
        <w:tblLayout w:type="fixed"/>
        <w:tblCellMar>
          <w:top w:w="0" w:type="dxa"/>
          <w:left w:w="0" w:type="dxa"/>
          <w:bottom w:w="0" w:type="dxa"/>
          <w:right w:w="0" w:type="dxa"/>
        </w:tblCellMar>
      </w:tblPr>
      <w:tblGrid>
        <w:gridCol w:w="585"/>
        <w:gridCol w:w="615"/>
        <w:gridCol w:w="525"/>
        <w:gridCol w:w="1455"/>
        <w:gridCol w:w="1680"/>
        <w:gridCol w:w="1002"/>
        <w:gridCol w:w="933"/>
        <w:gridCol w:w="1080"/>
        <w:gridCol w:w="930"/>
        <w:gridCol w:w="1320"/>
      </w:tblGrid>
      <w:tr>
        <w:tblPrEx>
          <w:shd w:val="clear" w:color="auto" w:fill="auto"/>
          <w:tblCellMar>
            <w:top w:w="0" w:type="dxa"/>
            <w:left w:w="0" w:type="dxa"/>
            <w:bottom w:w="0" w:type="dxa"/>
            <w:right w:w="0" w:type="dxa"/>
          </w:tblCellMar>
        </w:tblPrEx>
        <w:trPr>
          <w:trHeight w:val="54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政府性基金预算财政拨款收入支出决算表</w:t>
            </w:r>
          </w:p>
        </w:tc>
      </w:tr>
      <w:tr>
        <w:tblPrEx>
          <w:tblCellMar>
            <w:top w:w="0" w:type="dxa"/>
            <w:left w:w="0" w:type="dxa"/>
            <w:bottom w:w="0" w:type="dxa"/>
            <w:right w:w="0" w:type="dxa"/>
          </w:tblCellMar>
        </w:tblPrEx>
        <w:trPr>
          <w:trHeight w:val="657" w:hRule="atLeast"/>
        </w:trPr>
        <w:tc>
          <w:tcPr>
            <w:tcW w:w="28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p>
        </w:tc>
        <w:tc>
          <w:tcPr>
            <w:tcW w:w="30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p>
        </w:tc>
        <w:tc>
          <w:tcPr>
            <w:tcW w:w="2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p>
        </w:tc>
        <w:tc>
          <w:tcPr>
            <w:tcW w:w="8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p>
        </w:tc>
        <w:tc>
          <w:tcPr>
            <w:tcW w:w="49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p>
        </w:tc>
        <w:tc>
          <w:tcPr>
            <w:tcW w:w="46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p>
        </w:tc>
        <w:tc>
          <w:tcPr>
            <w:tcW w:w="53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p>
        </w:tc>
        <w:tc>
          <w:tcPr>
            <w:tcW w:w="1111"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522" w:hRule="atLeast"/>
        </w:trPr>
        <w:tc>
          <w:tcPr>
            <w:tcW w:w="3888" w:type="pct"/>
            <w:gridSpan w:val="8"/>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编制单位：景德镇市广播电视台</w:t>
            </w:r>
            <w:r>
              <w:rPr>
                <w:rFonts w:hint="eastAsia" w:ascii="宋体" w:hAnsi="宋体" w:cs="宋体"/>
                <w:i w:val="0"/>
                <w:color w:val="000000"/>
                <w:kern w:val="0"/>
                <w:sz w:val="24"/>
                <w:szCs w:val="24"/>
                <w:u w:val="none"/>
                <w:lang w:val="en-US" w:eastAsia="zh-CN" w:bidi="ar"/>
              </w:rPr>
              <w:t xml:space="preserve">           2019年度</w:t>
            </w:r>
          </w:p>
        </w:tc>
        <w:tc>
          <w:tcPr>
            <w:tcW w:w="4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p>
        </w:tc>
        <w:tc>
          <w:tcPr>
            <w:tcW w:w="65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tblPrEx>
          <w:tblCellMar>
            <w:top w:w="0" w:type="dxa"/>
            <w:left w:w="0" w:type="dxa"/>
            <w:bottom w:w="0" w:type="dxa"/>
            <w:right w:w="0" w:type="dxa"/>
          </w:tblCellMar>
        </w:tblPrEx>
        <w:trPr>
          <w:trHeight w:val="308" w:hRule="atLeast"/>
        </w:trPr>
        <w:tc>
          <w:tcPr>
            <w:tcW w:w="1570"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29" w:type="pct"/>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494" w:type="pct"/>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1453" w:type="pct"/>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651" w:type="pct"/>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851"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支出功能分类科目编码</w:t>
            </w:r>
          </w:p>
        </w:tc>
        <w:tc>
          <w:tcPr>
            <w:tcW w:w="718"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829"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4"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0"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533"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459"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651"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8" w:hRule="atLeast"/>
        </w:trPr>
        <w:tc>
          <w:tcPr>
            <w:tcW w:w="851"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9"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4"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0"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33"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1"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8" w:hRule="atLeast"/>
        </w:trPr>
        <w:tc>
          <w:tcPr>
            <w:tcW w:w="851"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9"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4"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0"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33"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9"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1"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8" w:hRule="atLeast"/>
        </w:trPr>
        <w:tc>
          <w:tcPr>
            <w:tcW w:w="288"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w:t>
            </w:r>
          </w:p>
        </w:tc>
        <w:tc>
          <w:tcPr>
            <w:tcW w:w="303"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款</w:t>
            </w:r>
          </w:p>
        </w:tc>
        <w:tc>
          <w:tcPr>
            <w:tcW w:w="259"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7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8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3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5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308" w:hRule="atLeast"/>
        </w:trPr>
        <w:tc>
          <w:tcPr>
            <w:tcW w:w="28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3"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9"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8" w:hRule="atLeast"/>
        </w:trPr>
        <w:tc>
          <w:tcPr>
            <w:tcW w:w="85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8" w:hRule="atLeast"/>
        </w:trPr>
        <w:tc>
          <w:tcPr>
            <w:tcW w:w="85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8" w:hRule="atLeast"/>
        </w:trPr>
        <w:tc>
          <w:tcPr>
            <w:tcW w:w="85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8" w:hRule="atLeast"/>
        </w:trPr>
        <w:tc>
          <w:tcPr>
            <w:tcW w:w="85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8" w:hRule="atLeast"/>
        </w:trPr>
        <w:tc>
          <w:tcPr>
            <w:tcW w:w="85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8" w:hRule="atLeast"/>
        </w:trPr>
        <w:tc>
          <w:tcPr>
            <w:tcW w:w="85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8" w:hRule="atLeast"/>
        </w:trPr>
        <w:tc>
          <w:tcPr>
            <w:tcW w:w="5000" w:type="pct"/>
            <w:gridSpan w:val="10"/>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tc>
      </w:tr>
    </w:tbl>
    <w:p>
      <w:pPr>
        <w:autoSpaceDE w:val="0"/>
        <w:autoSpaceDN w:val="0"/>
        <w:adjustRightInd w:val="0"/>
        <w:spacing w:line="360" w:lineRule="auto"/>
        <w:jc w:val="left"/>
        <w:rPr>
          <w:rFonts w:hint="eastAsia"/>
          <w:sz w:val="24"/>
          <w:szCs w:val="24"/>
        </w:rPr>
      </w:pPr>
    </w:p>
    <w:p>
      <w:pPr>
        <w:autoSpaceDE w:val="0"/>
        <w:autoSpaceDN w:val="0"/>
        <w:adjustRightInd w:val="0"/>
        <w:spacing w:line="360" w:lineRule="auto"/>
        <w:jc w:val="left"/>
      </w:pPr>
    </w:p>
    <w:p>
      <w:pPr>
        <w:autoSpaceDE w:val="0"/>
        <w:autoSpaceDN w:val="0"/>
        <w:adjustRightInd w:val="0"/>
        <w:spacing w:line="360" w:lineRule="auto"/>
        <w:jc w:val="left"/>
      </w:pPr>
    </w:p>
    <w:tbl>
      <w:tblPr>
        <w:tblStyle w:val="2"/>
        <w:tblW w:w="5965" w:type="pct"/>
        <w:tblInd w:w="-737" w:type="dxa"/>
        <w:shd w:val="clear" w:color="auto" w:fill="auto"/>
        <w:tblLayout w:type="fixed"/>
        <w:tblCellMar>
          <w:top w:w="0" w:type="dxa"/>
          <w:left w:w="0" w:type="dxa"/>
          <w:bottom w:w="0" w:type="dxa"/>
          <w:right w:w="0" w:type="dxa"/>
        </w:tblCellMar>
      </w:tblPr>
      <w:tblGrid>
        <w:gridCol w:w="5325"/>
        <w:gridCol w:w="2801"/>
        <w:gridCol w:w="1819"/>
      </w:tblGrid>
      <w:tr>
        <w:tblPrEx>
          <w:shd w:val="clear" w:color="auto" w:fill="auto"/>
          <w:tblCellMar>
            <w:top w:w="0" w:type="dxa"/>
            <w:left w:w="0" w:type="dxa"/>
            <w:bottom w:w="0" w:type="dxa"/>
            <w:right w:w="0" w:type="dxa"/>
          </w:tblCellMar>
        </w:tblPrEx>
        <w:trPr>
          <w:trHeight w:val="540" w:hRule="atLeast"/>
        </w:trPr>
        <w:tc>
          <w:tcPr>
            <w:tcW w:w="5000" w:type="pct"/>
            <w:gridSpan w:val="3"/>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国有资产占用情况表</w:t>
            </w:r>
          </w:p>
        </w:tc>
      </w:tr>
      <w:tr>
        <w:tblPrEx>
          <w:tblCellMar>
            <w:top w:w="0" w:type="dxa"/>
            <w:left w:w="0" w:type="dxa"/>
            <w:bottom w:w="0" w:type="dxa"/>
            <w:right w:w="0" w:type="dxa"/>
          </w:tblCellMar>
        </w:tblPrEx>
        <w:trPr>
          <w:trHeight w:val="552" w:hRule="atLeast"/>
        </w:trPr>
        <w:tc>
          <w:tcPr>
            <w:tcW w:w="267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p>
        </w:tc>
        <w:tc>
          <w:tcPr>
            <w:tcW w:w="140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p>
        </w:tc>
        <w:tc>
          <w:tcPr>
            <w:tcW w:w="91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447" w:hRule="atLeast"/>
        </w:trPr>
        <w:tc>
          <w:tcPr>
            <w:tcW w:w="267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编制单位：景德镇市广播电视台</w:t>
            </w:r>
          </w:p>
        </w:tc>
        <w:tc>
          <w:tcPr>
            <w:tcW w:w="140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91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tblPrEx>
          <w:tblCellMar>
            <w:top w:w="0" w:type="dxa"/>
            <w:left w:w="0" w:type="dxa"/>
            <w:bottom w:w="0" w:type="dxa"/>
            <w:right w:w="0" w:type="dxa"/>
          </w:tblCellMar>
        </w:tblPrEx>
        <w:trPr>
          <w:trHeight w:val="308" w:hRule="atLeast"/>
        </w:trPr>
        <w:tc>
          <w:tcPr>
            <w:tcW w:w="26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408"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914"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CellMar>
            <w:top w:w="0" w:type="dxa"/>
            <w:left w:w="0" w:type="dxa"/>
            <w:bottom w:w="0" w:type="dxa"/>
            <w:right w:w="0" w:type="dxa"/>
          </w:tblCellMar>
        </w:tblPrEx>
        <w:trPr>
          <w:trHeight w:val="308" w:hRule="atLeast"/>
        </w:trPr>
        <w:tc>
          <w:tcPr>
            <w:tcW w:w="267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一、车辆数合计(台、辆)</w:t>
            </w:r>
          </w:p>
        </w:tc>
        <w:tc>
          <w:tcPr>
            <w:tcW w:w="14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308" w:hRule="atLeast"/>
        </w:trPr>
        <w:tc>
          <w:tcPr>
            <w:tcW w:w="267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1.副部（省）级及以上领导用车</w:t>
            </w:r>
          </w:p>
        </w:tc>
        <w:tc>
          <w:tcPr>
            <w:tcW w:w="14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08" w:hRule="atLeast"/>
        </w:trPr>
        <w:tc>
          <w:tcPr>
            <w:tcW w:w="267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2.主要领导干部用车</w:t>
            </w:r>
          </w:p>
        </w:tc>
        <w:tc>
          <w:tcPr>
            <w:tcW w:w="14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08" w:hRule="atLeast"/>
        </w:trPr>
        <w:tc>
          <w:tcPr>
            <w:tcW w:w="267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3.机要通信用车</w:t>
            </w:r>
          </w:p>
        </w:tc>
        <w:tc>
          <w:tcPr>
            <w:tcW w:w="14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08" w:hRule="atLeast"/>
        </w:trPr>
        <w:tc>
          <w:tcPr>
            <w:tcW w:w="267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4.应急保障用车</w:t>
            </w:r>
          </w:p>
        </w:tc>
        <w:tc>
          <w:tcPr>
            <w:tcW w:w="14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08" w:hRule="atLeast"/>
        </w:trPr>
        <w:tc>
          <w:tcPr>
            <w:tcW w:w="267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5.执法执勤用车</w:t>
            </w:r>
          </w:p>
        </w:tc>
        <w:tc>
          <w:tcPr>
            <w:tcW w:w="14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08" w:hRule="atLeast"/>
        </w:trPr>
        <w:tc>
          <w:tcPr>
            <w:tcW w:w="267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6.特种专业技术用车</w:t>
            </w:r>
          </w:p>
        </w:tc>
        <w:tc>
          <w:tcPr>
            <w:tcW w:w="14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9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08" w:hRule="atLeast"/>
        </w:trPr>
        <w:tc>
          <w:tcPr>
            <w:tcW w:w="267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7.离退休干部用车</w:t>
            </w:r>
          </w:p>
        </w:tc>
        <w:tc>
          <w:tcPr>
            <w:tcW w:w="14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9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08" w:hRule="atLeast"/>
        </w:trPr>
        <w:tc>
          <w:tcPr>
            <w:tcW w:w="267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8.其他用车</w:t>
            </w:r>
          </w:p>
        </w:tc>
        <w:tc>
          <w:tcPr>
            <w:tcW w:w="14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9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308" w:hRule="atLeast"/>
        </w:trPr>
        <w:tc>
          <w:tcPr>
            <w:tcW w:w="267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二、单价50万元（含）以上通用设备（台，套）</w:t>
            </w:r>
          </w:p>
        </w:tc>
        <w:tc>
          <w:tcPr>
            <w:tcW w:w="14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308" w:hRule="atLeast"/>
        </w:trPr>
        <w:tc>
          <w:tcPr>
            <w:tcW w:w="267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三、单价100万元（含）以上专用设备（台，套）</w:t>
            </w:r>
          </w:p>
        </w:tc>
        <w:tc>
          <w:tcPr>
            <w:tcW w:w="14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9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bl>
    <w:p>
      <w:pPr>
        <w:autoSpaceDE w:val="0"/>
        <w:autoSpaceDN w:val="0"/>
        <w:adjustRightInd w:val="0"/>
        <w:spacing w:line="360" w:lineRule="auto"/>
        <w:jc w:val="left"/>
        <w:rPr>
          <w:rFonts w:hint="eastAsia"/>
          <w:szCs w:val="30"/>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2309.38</w:t>
      </w:r>
      <w:r>
        <w:rPr>
          <w:rFonts w:hint="eastAsia" w:ascii="仿宋" w:hAnsi="仿宋" w:eastAsia="仿宋"/>
          <w:sz w:val="30"/>
          <w:szCs w:val="30"/>
        </w:rPr>
        <w:t xml:space="preserve">万元，其中年初结转和结余 </w:t>
      </w:r>
      <w:r>
        <w:rPr>
          <w:rFonts w:hint="eastAsia" w:ascii="仿宋" w:hAnsi="仿宋" w:eastAsia="仿宋"/>
          <w:sz w:val="30"/>
          <w:szCs w:val="30"/>
          <w:lang w:val="en-US" w:eastAsia="zh-CN"/>
        </w:rPr>
        <w:t>174.23</w:t>
      </w:r>
      <w:r>
        <w:rPr>
          <w:rFonts w:hint="eastAsia" w:ascii="仿宋" w:hAnsi="仿宋" w:eastAsia="仿宋"/>
          <w:sz w:val="30"/>
          <w:szCs w:val="30"/>
        </w:rPr>
        <w:t xml:space="preserve"> 万元，</w:t>
      </w:r>
      <w:r>
        <w:rPr>
          <w:rFonts w:hint="eastAsia" w:ascii="仿宋" w:hAnsi="仿宋" w:eastAsia="仿宋"/>
          <w:sz w:val="30"/>
          <w:szCs w:val="30"/>
          <w:lang w:eastAsia="zh-CN"/>
        </w:rPr>
        <w:t>与</w:t>
      </w:r>
      <w:r>
        <w:rPr>
          <w:rFonts w:hint="eastAsia" w:ascii="仿宋" w:hAnsi="仿宋" w:eastAsia="仿宋"/>
          <w:sz w:val="30"/>
          <w:szCs w:val="30"/>
        </w:rPr>
        <w:t>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数额大致相同</w:t>
      </w:r>
      <w:r>
        <w:rPr>
          <w:rFonts w:hint="eastAsia" w:ascii="仿宋" w:hAnsi="仿宋" w:eastAsia="仿宋"/>
          <w:sz w:val="30"/>
          <w:szCs w:val="30"/>
        </w:rPr>
        <w:t xml:space="preserve">；本年收入合计 </w:t>
      </w:r>
      <w:r>
        <w:rPr>
          <w:rFonts w:hint="eastAsia" w:ascii="仿宋" w:hAnsi="仿宋" w:eastAsia="仿宋"/>
          <w:sz w:val="30"/>
          <w:szCs w:val="30"/>
          <w:lang w:val="en-US" w:eastAsia="zh-CN"/>
        </w:rPr>
        <w:t>2084.62</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110.03</w:t>
      </w:r>
      <w:r>
        <w:rPr>
          <w:rFonts w:hint="eastAsia" w:ascii="仿宋" w:hAnsi="仿宋" w:eastAsia="仿宋"/>
          <w:sz w:val="30"/>
          <w:szCs w:val="30"/>
        </w:rPr>
        <w:t xml:space="preserve"> 万元，增长</w:t>
      </w:r>
      <w:r>
        <w:rPr>
          <w:rFonts w:hint="eastAsia" w:ascii="仿宋" w:hAnsi="仿宋" w:eastAsia="仿宋"/>
          <w:sz w:val="30"/>
          <w:szCs w:val="30"/>
          <w:lang w:val="en-US" w:eastAsia="zh-CN"/>
        </w:rPr>
        <w:t>5.57</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2019年财政增加支付国信资产管理公司租赁服务费122.8万元</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本年收入的具体构成为：财政拨款收入 </w:t>
      </w:r>
      <w:r>
        <w:rPr>
          <w:rFonts w:hint="eastAsia" w:ascii="仿宋" w:hAnsi="仿宋" w:eastAsia="仿宋"/>
          <w:sz w:val="30"/>
          <w:szCs w:val="30"/>
          <w:lang w:val="en-US" w:eastAsia="zh-CN"/>
        </w:rPr>
        <w:t>2083.74</w:t>
      </w:r>
      <w:r>
        <w:rPr>
          <w:rFonts w:hint="eastAsia" w:ascii="仿宋" w:hAnsi="仿宋" w:eastAsia="仿宋"/>
          <w:sz w:val="30"/>
          <w:szCs w:val="30"/>
        </w:rPr>
        <w:t xml:space="preserve"> 万元，占 </w:t>
      </w:r>
      <w:r>
        <w:rPr>
          <w:rFonts w:hint="eastAsia" w:ascii="仿宋" w:hAnsi="仿宋" w:eastAsia="仿宋"/>
          <w:sz w:val="30"/>
          <w:szCs w:val="30"/>
          <w:lang w:val="en-US" w:eastAsia="zh-CN"/>
        </w:rPr>
        <w:t>99.96</w:t>
      </w:r>
      <w:r>
        <w:rPr>
          <w:rFonts w:hint="eastAsia" w:ascii="仿宋" w:hAnsi="仿宋" w:eastAsia="仿宋"/>
          <w:sz w:val="30"/>
          <w:szCs w:val="30"/>
        </w:rPr>
        <w:t xml:space="preserve"> %；事业收入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 xml:space="preserve"> %；经营收入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%；其他收入 </w:t>
      </w:r>
      <w:r>
        <w:rPr>
          <w:rFonts w:hint="eastAsia" w:ascii="仿宋" w:hAnsi="仿宋" w:eastAsia="仿宋"/>
          <w:sz w:val="30"/>
          <w:szCs w:val="30"/>
          <w:lang w:val="en-US" w:eastAsia="zh-CN"/>
        </w:rPr>
        <w:t>0.88</w:t>
      </w:r>
      <w:r>
        <w:rPr>
          <w:rFonts w:hint="eastAsia" w:ascii="仿宋" w:hAnsi="仿宋" w:eastAsia="仿宋"/>
          <w:sz w:val="30"/>
          <w:szCs w:val="30"/>
        </w:rPr>
        <w:t xml:space="preserve"> 万元，占</w:t>
      </w:r>
      <w:r>
        <w:rPr>
          <w:rFonts w:hint="eastAsia" w:ascii="仿宋" w:hAnsi="仿宋" w:eastAsia="仿宋"/>
          <w:sz w:val="30"/>
          <w:szCs w:val="30"/>
          <w:lang w:val="en-US" w:eastAsia="zh-CN"/>
        </w:rPr>
        <w:t>0.04</w:t>
      </w:r>
      <w:r>
        <w:rPr>
          <w:rFonts w:hint="eastAsia" w:ascii="仿宋" w:hAnsi="仿宋" w:eastAsia="仿宋"/>
          <w:sz w:val="30"/>
          <w:szCs w:val="30"/>
        </w:rPr>
        <w:t xml:space="preserve"> %。  </w:t>
      </w:r>
    </w:p>
    <w:p>
      <w:pPr>
        <w:ind w:firstLine="630"/>
        <w:jc w:val="left"/>
        <w:rPr>
          <w:rFonts w:hint="eastAsia" w:ascii="黑体" w:hAnsi="黑体" w:eastAsia="黑体"/>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年度支出总计 </w:t>
      </w:r>
      <w:r>
        <w:rPr>
          <w:rFonts w:hint="eastAsia" w:ascii="仿宋" w:hAnsi="仿宋" w:eastAsia="仿宋"/>
          <w:sz w:val="30"/>
          <w:szCs w:val="30"/>
          <w:lang w:val="en-US" w:eastAsia="zh-CN"/>
        </w:rPr>
        <w:t>2309.38</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2186.28</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73.75</w:t>
      </w:r>
      <w:r>
        <w:rPr>
          <w:rFonts w:hint="eastAsia" w:ascii="仿宋" w:hAnsi="仿宋" w:eastAsia="仿宋"/>
          <w:sz w:val="30"/>
          <w:szCs w:val="30"/>
        </w:rPr>
        <w:t>万元，增长</w:t>
      </w:r>
      <w:r>
        <w:rPr>
          <w:rFonts w:hint="eastAsia" w:ascii="仿宋" w:hAnsi="仿宋" w:eastAsia="仿宋"/>
          <w:sz w:val="30"/>
          <w:szCs w:val="30"/>
          <w:lang w:val="en-US" w:eastAsia="zh-CN"/>
        </w:rPr>
        <w:t>3.49</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2019年公车改革完成全年发放职工公务交通补贴费67.60万元</w:t>
      </w:r>
      <w:r>
        <w:rPr>
          <w:rFonts w:hint="eastAsia" w:ascii="仿宋" w:hAnsi="仿宋" w:eastAsia="仿宋"/>
          <w:sz w:val="30"/>
          <w:szCs w:val="30"/>
        </w:rPr>
        <w:t xml:space="preserve">；年末结转和结余 </w:t>
      </w:r>
      <w:r>
        <w:rPr>
          <w:rFonts w:hint="eastAsia" w:ascii="仿宋" w:hAnsi="仿宋" w:eastAsia="仿宋"/>
          <w:sz w:val="30"/>
          <w:szCs w:val="30"/>
          <w:lang w:val="en-US" w:eastAsia="zh-CN"/>
        </w:rPr>
        <w:t>123.10</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51.13</w:t>
      </w:r>
      <w:r>
        <w:rPr>
          <w:rFonts w:hint="eastAsia" w:ascii="仿宋" w:hAnsi="仿宋" w:eastAsia="仿宋"/>
          <w:sz w:val="30"/>
          <w:szCs w:val="30"/>
        </w:rPr>
        <w:t>万元，下降</w:t>
      </w:r>
      <w:r>
        <w:rPr>
          <w:rFonts w:hint="eastAsia" w:ascii="仿宋" w:hAnsi="仿宋" w:eastAsia="仿宋"/>
          <w:sz w:val="30"/>
          <w:szCs w:val="30"/>
          <w:lang w:val="en-US" w:eastAsia="zh-CN"/>
        </w:rPr>
        <w:t>29.35</w:t>
      </w:r>
      <w:r>
        <w:rPr>
          <w:rFonts w:hint="eastAsia" w:ascii="仿宋" w:hAnsi="仿宋" w:eastAsia="仿宋"/>
          <w:sz w:val="30"/>
          <w:szCs w:val="30"/>
        </w:rPr>
        <w:t xml:space="preserve"> %，主要原因是：</w:t>
      </w:r>
      <w:r>
        <w:rPr>
          <w:rFonts w:hint="eastAsia" w:ascii="仿宋" w:hAnsi="仿宋" w:eastAsia="仿宋"/>
          <w:sz w:val="30"/>
          <w:szCs w:val="30"/>
          <w:lang w:eastAsia="zh-CN"/>
        </w:rPr>
        <w:t>广告经营收入下降导致本年非税收入入库减少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本年支出的具体构成为：基本支出 </w:t>
      </w:r>
      <w:r>
        <w:rPr>
          <w:rFonts w:hint="eastAsia" w:ascii="仿宋" w:hAnsi="仿宋" w:eastAsia="仿宋"/>
          <w:sz w:val="30"/>
          <w:szCs w:val="30"/>
          <w:lang w:val="en-US" w:eastAsia="zh-CN"/>
        </w:rPr>
        <w:t>1800.71</w:t>
      </w:r>
      <w:r>
        <w:rPr>
          <w:rFonts w:hint="eastAsia" w:ascii="仿宋" w:hAnsi="仿宋" w:eastAsia="仿宋"/>
          <w:sz w:val="30"/>
          <w:szCs w:val="30"/>
        </w:rPr>
        <w:t xml:space="preserve"> 万元，占</w:t>
      </w:r>
      <w:r>
        <w:rPr>
          <w:rFonts w:hint="eastAsia" w:ascii="仿宋" w:hAnsi="仿宋" w:eastAsia="仿宋"/>
          <w:sz w:val="30"/>
          <w:szCs w:val="30"/>
          <w:lang w:val="en-US" w:eastAsia="zh-CN"/>
        </w:rPr>
        <w:t>82.36</w:t>
      </w:r>
      <w:r>
        <w:rPr>
          <w:rFonts w:hint="eastAsia" w:ascii="仿宋" w:hAnsi="仿宋" w:eastAsia="仿宋"/>
          <w:sz w:val="30"/>
          <w:szCs w:val="30"/>
        </w:rPr>
        <w:t xml:space="preserve"> %；项目支出 </w:t>
      </w:r>
      <w:r>
        <w:rPr>
          <w:rFonts w:hint="eastAsia" w:ascii="仿宋" w:hAnsi="仿宋" w:eastAsia="仿宋"/>
          <w:sz w:val="30"/>
          <w:szCs w:val="30"/>
          <w:lang w:val="en-US" w:eastAsia="zh-CN"/>
        </w:rPr>
        <w:t>385.56</w:t>
      </w:r>
      <w:r>
        <w:rPr>
          <w:rFonts w:hint="eastAsia" w:ascii="仿宋" w:hAnsi="仿宋" w:eastAsia="仿宋"/>
          <w:sz w:val="30"/>
          <w:szCs w:val="30"/>
        </w:rPr>
        <w:t xml:space="preserve"> 万元，占 </w:t>
      </w:r>
      <w:r>
        <w:rPr>
          <w:rFonts w:hint="eastAsia" w:ascii="仿宋" w:hAnsi="仿宋" w:eastAsia="仿宋"/>
          <w:sz w:val="30"/>
          <w:szCs w:val="30"/>
          <w:lang w:val="en-US" w:eastAsia="zh-CN"/>
        </w:rPr>
        <w:t>17.64</w:t>
      </w:r>
      <w:r>
        <w:rPr>
          <w:rFonts w:hint="eastAsia" w:ascii="仿宋" w:hAnsi="仿宋" w:eastAsia="仿宋"/>
          <w:sz w:val="30"/>
          <w:szCs w:val="30"/>
        </w:rPr>
        <w:t xml:space="preserve"> %；经营支出 </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 xml:space="preserve"> %；其他支出（对附属单位补助支出、上缴上级支出）   万元，占 </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2345.76</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2134.87</w:t>
      </w:r>
      <w:r>
        <w:rPr>
          <w:rFonts w:hint="eastAsia" w:ascii="仿宋" w:hAnsi="仿宋" w:eastAsia="仿宋"/>
          <w:sz w:val="30"/>
          <w:szCs w:val="30"/>
        </w:rPr>
        <w:t xml:space="preserve">万元，完成年初预算的 </w:t>
      </w:r>
      <w:r>
        <w:rPr>
          <w:rFonts w:hint="eastAsia" w:ascii="仿宋" w:hAnsi="仿宋" w:eastAsia="仿宋"/>
          <w:sz w:val="30"/>
          <w:szCs w:val="30"/>
          <w:lang w:val="en-US" w:eastAsia="zh-CN"/>
        </w:rPr>
        <w:t>91.01</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 xml:space="preserve">（一）一般公共服务支出年初预算数为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122.8</w:t>
      </w:r>
      <w:r>
        <w:rPr>
          <w:rFonts w:hint="eastAsia" w:ascii="仿宋" w:hAnsi="仿宋" w:eastAsia="仿宋"/>
          <w:sz w:val="30"/>
          <w:szCs w:val="30"/>
        </w:rPr>
        <w:t xml:space="preserve">万元，完成年初预算的 </w:t>
      </w:r>
      <w:r>
        <w:rPr>
          <w:rFonts w:hint="eastAsia" w:ascii="仿宋" w:hAnsi="仿宋" w:eastAsia="仿宋"/>
          <w:sz w:val="30"/>
          <w:szCs w:val="30"/>
          <w:lang w:val="en-US" w:eastAsia="zh-CN"/>
        </w:rPr>
        <w:t>0</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2019年支付国信资产管理公司租赁服务费122.8万元</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文化旅游体育与传媒</w:t>
      </w:r>
      <w:r>
        <w:rPr>
          <w:rFonts w:hint="eastAsia" w:ascii="仿宋" w:hAnsi="仿宋" w:eastAsia="仿宋"/>
          <w:sz w:val="30"/>
          <w:szCs w:val="30"/>
        </w:rPr>
        <w:t>支出年初预算数为</w:t>
      </w:r>
      <w:r>
        <w:rPr>
          <w:rFonts w:hint="eastAsia" w:ascii="仿宋" w:hAnsi="仿宋" w:eastAsia="仿宋"/>
          <w:sz w:val="30"/>
          <w:szCs w:val="30"/>
          <w:lang w:val="en-US" w:eastAsia="zh-CN"/>
        </w:rPr>
        <w:t>2146.29</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2011.12</w:t>
      </w:r>
      <w:r>
        <w:rPr>
          <w:rFonts w:hint="eastAsia" w:ascii="仿宋" w:hAnsi="仿宋" w:eastAsia="仿宋"/>
          <w:sz w:val="30"/>
          <w:szCs w:val="30"/>
        </w:rPr>
        <w:t xml:space="preserve"> 万元，完成年初预算的 </w:t>
      </w:r>
      <w:r>
        <w:rPr>
          <w:rFonts w:hint="eastAsia" w:ascii="仿宋" w:hAnsi="仿宋" w:eastAsia="仿宋"/>
          <w:sz w:val="30"/>
          <w:szCs w:val="30"/>
          <w:lang w:val="en-US" w:eastAsia="zh-CN"/>
        </w:rPr>
        <w:t>93.70</w:t>
      </w:r>
      <w:r>
        <w:rPr>
          <w:rFonts w:hint="eastAsia" w:ascii="仿宋" w:hAnsi="仿宋" w:eastAsia="仿宋"/>
          <w:sz w:val="30"/>
          <w:szCs w:val="30"/>
        </w:rPr>
        <w:t xml:space="preserve"> %，主要原因是：</w:t>
      </w:r>
      <w:r>
        <w:rPr>
          <w:rFonts w:hint="eastAsia" w:ascii="仿宋" w:hAnsi="仿宋" w:eastAsia="仿宋"/>
          <w:sz w:val="30"/>
          <w:szCs w:val="30"/>
          <w:lang w:eastAsia="zh-CN"/>
        </w:rPr>
        <w:t>广告经营不景气非税收入低于预期，节约各项费用开支</w:t>
      </w:r>
      <w:r>
        <w:rPr>
          <w:rFonts w:hint="eastAsia" w:ascii="仿宋" w:hAnsi="仿宋" w:eastAsia="仿宋"/>
          <w:sz w:val="30"/>
          <w:szCs w:val="30"/>
        </w:rPr>
        <w:t>。</w:t>
      </w:r>
    </w:p>
    <w:p>
      <w:pPr>
        <w:ind w:firstLine="630"/>
        <w:jc w:val="left"/>
        <w:rPr>
          <w:rFonts w:hint="eastAsia" w:ascii="仿宋" w:hAnsi="仿宋" w:eastAsia="仿宋"/>
          <w:sz w:val="30"/>
          <w:szCs w:val="30"/>
          <w:lang w:eastAsia="zh-CN"/>
        </w:rPr>
      </w:pPr>
      <w:r>
        <w:rPr>
          <w:rFonts w:hint="eastAsia" w:ascii="仿宋" w:hAnsi="仿宋" w:eastAsia="仿宋"/>
          <w:sz w:val="30"/>
          <w:szCs w:val="30"/>
        </w:rPr>
        <w:t>（三）</w:t>
      </w:r>
      <w:r>
        <w:rPr>
          <w:rFonts w:hint="eastAsia" w:ascii="仿宋" w:hAnsi="仿宋" w:eastAsia="仿宋"/>
          <w:sz w:val="30"/>
          <w:szCs w:val="30"/>
          <w:lang w:eastAsia="zh-CN"/>
        </w:rPr>
        <w:t>社会保障和就业支出年初预算数为</w:t>
      </w:r>
      <w:r>
        <w:rPr>
          <w:rFonts w:hint="eastAsia" w:ascii="仿宋" w:hAnsi="仿宋" w:eastAsia="仿宋"/>
          <w:sz w:val="30"/>
          <w:szCs w:val="30"/>
          <w:lang w:val="en-US" w:eastAsia="zh-CN"/>
        </w:rPr>
        <w:t>43.76万元，决算数为0.95万元，完成年初预算的2.17</w:t>
      </w:r>
      <w:r>
        <w:rPr>
          <w:rFonts w:hint="eastAsia" w:ascii="仿宋" w:hAnsi="仿宋" w:eastAsia="仿宋"/>
          <w:sz w:val="30"/>
          <w:szCs w:val="30"/>
        </w:rPr>
        <w:t xml:space="preserve"> %</w:t>
      </w:r>
      <w:r>
        <w:rPr>
          <w:rFonts w:hint="eastAsia" w:ascii="仿宋" w:hAnsi="仿宋" w:eastAsia="仿宋"/>
          <w:sz w:val="30"/>
          <w:szCs w:val="30"/>
          <w:lang w:eastAsia="zh-CN"/>
        </w:rPr>
        <w:t>，主要原因是：差额拨款事业单位年初预算功能分类与指标实际下达功能代码不一致。</w:t>
      </w:r>
    </w:p>
    <w:p>
      <w:pPr>
        <w:ind w:firstLine="630"/>
        <w:jc w:val="left"/>
        <w:rPr>
          <w:rFonts w:hint="eastAsia" w:ascii="仿宋" w:hAnsi="仿宋" w:eastAsia="仿宋"/>
          <w:sz w:val="30"/>
          <w:szCs w:val="30"/>
          <w:lang w:eastAsia="zh-CN"/>
        </w:rPr>
      </w:pPr>
      <w:r>
        <w:rPr>
          <w:rFonts w:hint="eastAsia" w:ascii="仿宋" w:hAnsi="仿宋" w:eastAsia="仿宋"/>
          <w:sz w:val="30"/>
          <w:szCs w:val="30"/>
          <w:lang w:val="en-US" w:eastAsia="zh-CN"/>
        </w:rPr>
        <w:t>(四）卫生健康支出年初预算数为89万元，决算数为0万元，完成年初预算的0 %，主要原因是:</w:t>
      </w:r>
      <w:r>
        <w:rPr>
          <w:rFonts w:hint="eastAsia" w:ascii="仿宋" w:hAnsi="仿宋" w:eastAsia="仿宋"/>
          <w:sz w:val="30"/>
          <w:szCs w:val="30"/>
          <w:lang w:eastAsia="zh-CN"/>
        </w:rPr>
        <w:t>差额拨款事业单位年初预算功能分类与指标实际下达功能代码不一致。</w:t>
      </w:r>
    </w:p>
    <w:p>
      <w:pPr>
        <w:ind w:firstLine="630"/>
        <w:jc w:val="left"/>
        <w:rPr>
          <w:rFonts w:hint="default" w:ascii="仿宋" w:hAnsi="仿宋" w:eastAsia="仿宋"/>
          <w:sz w:val="30"/>
          <w:szCs w:val="30"/>
          <w:lang w:val="en-US" w:eastAsia="zh-CN"/>
        </w:rPr>
      </w:pPr>
      <w:r>
        <w:rPr>
          <w:rFonts w:hint="eastAsia" w:ascii="仿宋" w:hAnsi="仿宋" w:eastAsia="仿宋"/>
          <w:sz w:val="30"/>
          <w:szCs w:val="30"/>
          <w:lang w:val="en-US" w:eastAsia="zh-CN"/>
        </w:rPr>
        <w:t>(五）住房保障支出年初预算数为66.71万元，决算数为0万元，主要原因是：</w:t>
      </w:r>
      <w:r>
        <w:rPr>
          <w:rFonts w:hint="eastAsia" w:ascii="仿宋" w:hAnsi="仿宋" w:eastAsia="仿宋"/>
          <w:sz w:val="30"/>
          <w:szCs w:val="30"/>
          <w:lang w:eastAsia="zh-CN"/>
        </w:rPr>
        <w:t>差额拨款事业单位年初预算功能分类与指标实际下达功能代码不一致。</w:t>
      </w:r>
    </w:p>
    <w:p>
      <w:pPr>
        <w:ind w:firstLine="585"/>
        <w:jc w:val="left"/>
        <w:rPr>
          <w:rFonts w:hint="eastAsia" w:ascii="黑体" w:hAnsi="黑体" w:eastAsia="黑体"/>
          <w:sz w:val="30"/>
          <w:szCs w:val="30"/>
        </w:rPr>
      </w:pPr>
    </w:p>
    <w:p>
      <w:pPr>
        <w:ind w:firstLine="585"/>
        <w:jc w:val="left"/>
        <w:rPr>
          <w:rFonts w:hint="eastAsia" w:ascii="黑体" w:hAnsi="黑体" w:eastAsia="黑体"/>
          <w:sz w:val="30"/>
          <w:szCs w:val="30"/>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1749.31</w:t>
      </w:r>
      <w:r>
        <w:rPr>
          <w:rFonts w:hint="eastAsia" w:ascii="仿宋" w:hAnsi="仿宋" w:eastAsia="仿宋"/>
          <w:sz w:val="30"/>
          <w:szCs w:val="30"/>
        </w:rPr>
        <w:t xml:space="preserve">  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867.53</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 xml:space="preserve">年减少 </w:t>
      </w:r>
      <w:r>
        <w:rPr>
          <w:rFonts w:hint="eastAsia" w:ascii="仿宋" w:hAnsi="仿宋" w:eastAsia="仿宋"/>
          <w:sz w:val="30"/>
          <w:szCs w:val="30"/>
          <w:lang w:val="en-US" w:eastAsia="zh-CN"/>
        </w:rPr>
        <w:t>148.66</w:t>
      </w:r>
      <w:r>
        <w:rPr>
          <w:rFonts w:hint="eastAsia" w:ascii="仿宋" w:hAnsi="仿宋" w:eastAsia="仿宋"/>
          <w:sz w:val="30"/>
          <w:szCs w:val="30"/>
        </w:rPr>
        <w:t xml:space="preserve"> 万元，下降</w:t>
      </w:r>
      <w:r>
        <w:rPr>
          <w:rFonts w:hint="eastAsia" w:ascii="仿宋" w:hAnsi="仿宋" w:eastAsia="仿宋"/>
          <w:sz w:val="30"/>
          <w:szCs w:val="30"/>
          <w:lang w:val="en-US" w:eastAsia="zh-CN"/>
        </w:rPr>
        <w:t>14.63</w:t>
      </w:r>
      <w:r>
        <w:rPr>
          <w:rFonts w:hint="eastAsia" w:ascii="仿宋" w:hAnsi="仿宋" w:eastAsia="仿宋"/>
          <w:sz w:val="30"/>
          <w:szCs w:val="30"/>
        </w:rPr>
        <w:t xml:space="preserve"> %，主要原因是：</w:t>
      </w:r>
      <w:r>
        <w:rPr>
          <w:rFonts w:hint="eastAsia" w:ascii="仿宋" w:hAnsi="仿宋" w:eastAsia="仿宋"/>
          <w:sz w:val="30"/>
          <w:szCs w:val="30"/>
          <w:lang w:eastAsia="zh-CN"/>
        </w:rPr>
        <w:t>收到差额事业单位转全额事业单位专项经费，</w:t>
      </w:r>
      <w:r>
        <w:rPr>
          <w:rFonts w:hint="eastAsia" w:ascii="仿宋" w:hAnsi="仿宋" w:eastAsia="仿宋"/>
          <w:sz w:val="30"/>
          <w:szCs w:val="30"/>
          <w:lang w:val="en-US" w:eastAsia="zh-CN"/>
        </w:rPr>
        <w:t>将</w:t>
      </w:r>
      <w:r>
        <w:rPr>
          <w:rFonts w:hint="eastAsia" w:ascii="仿宋" w:hAnsi="仿宋" w:eastAsia="仿宋"/>
          <w:sz w:val="30"/>
          <w:szCs w:val="30"/>
          <w:lang w:eastAsia="zh-CN"/>
        </w:rPr>
        <w:t>部分工资福利支出列入项目支出</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478.14</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218.96</w:t>
      </w:r>
      <w:r>
        <w:rPr>
          <w:rFonts w:hint="eastAsia" w:ascii="仿宋" w:hAnsi="仿宋" w:eastAsia="仿宋"/>
          <w:sz w:val="30"/>
          <w:szCs w:val="30"/>
        </w:rPr>
        <w:t xml:space="preserve"> 万元，增长</w:t>
      </w:r>
      <w:r>
        <w:rPr>
          <w:rFonts w:hint="eastAsia" w:ascii="仿宋" w:hAnsi="仿宋" w:eastAsia="仿宋"/>
          <w:sz w:val="30"/>
          <w:szCs w:val="30"/>
          <w:lang w:val="en-US" w:eastAsia="zh-CN"/>
        </w:rPr>
        <w:t>84.48</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1.2019年支付国信资产管理公司租赁服务费122.8万元；2.2019年完成公车改革全年发放职工公务交通补贴费67.69万元。</w:t>
      </w:r>
    </w:p>
    <w:p>
      <w:pPr>
        <w:ind w:firstLine="585"/>
        <w:jc w:val="left"/>
        <w:rPr>
          <w:rFonts w:hint="eastAsia" w:ascii="仿宋" w:hAnsi="仿宋" w:eastAsia="仿宋"/>
          <w:sz w:val="30"/>
          <w:szCs w:val="30"/>
        </w:rPr>
      </w:pPr>
      <w:r>
        <w:rPr>
          <w:rFonts w:hint="eastAsia" w:ascii="仿宋" w:hAnsi="仿宋" w:eastAsia="仿宋"/>
          <w:sz w:val="30"/>
          <w:szCs w:val="30"/>
        </w:rPr>
        <w:t xml:space="preserve">（三）对个人和家庭补助支出 </w:t>
      </w:r>
      <w:r>
        <w:rPr>
          <w:rFonts w:hint="eastAsia" w:ascii="仿宋" w:hAnsi="仿宋" w:eastAsia="仿宋"/>
          <w:sz w:val="30"/>
          <w:szCs w:val="30"/>
          <w:lang w:val="en-US" w:eastAsia="zh-CN"/>
        </w:rPr>
        <w:t>321.21</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18.98</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5.58</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:2018年发放了2017年计划生育奖(半个月工资）</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 xml:space="preserve">（四）资本性支出 </w:t>
      </w:r>
      <w:r>
        <w:rPr>
          <w:rFonts w:hint="eastAsia" w:ascii="仿宋" w:hAnsi="仿宋" w:eastAsia="仿宋"/>
          <w:sz w:val="30"/>
          <w:szCs w:val="30"/>
          <w:lang w:val="en-US" w:eastAsia="zh-CN"/>
        </w:rPr>
        <w:t>82.43</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13.25</w:t>
      </w:r>
      <w:r>
        <w:rPr>
          <w:rFonts w:hint="eastAsia" w:ascii="仿宋" w:hAnsi="仿宋" w:eastAsia="仿宋"/>
          <w:sz w:val="30"/>
          <w:szCs w:val="30"/>
        </w:rPr>
        <w:t xml:space="preserve"> 万元，下</w:t>
      </w:r>
      <w:r>
        <w:rPr>
          <w:rFonts w:hint="eastAsia" w:ascii="仿宋" w:hAnsi="仿宋" w:eastAsia="仿宋"/>
          <w:sz w:val="30"/>
          <w:szCs w:val="30"/>
          <w:lang w:eastAsia="zh-CN"/>
        </w:rPr>
        <w:t>降</w:t>
      </w:r>
      <w:r>
        <w:rPr>
          <w:rFonts w:hint="eastAsia" w:ascii="仿宋" w:hAnsi="仿宋" w:eastAsia="仿宋"/>
          <w:sz w:val="30"/>
          <w:szCs w:val="30"/>
          <w:lang w:val="en-US" w:eastAsia="zh-CN"/>
        </w:rPr>
        <w:t>13.85</w:t>
      </w:r>
      <w:r>
        <w:rPr>
          <w:rFonts w:hint="eastAsia" w:ascii="仿宋" w:hAnsi="仿宋" w:eastAsia="仿宋"/>
          <w:sz w:val="30"/>
          <w:szCs w:val="30"/>
        </w:rPr>
        <w:t xml:space="preserve"> %，主要原因是：</w:t>
      </w:r>
      <w:r>
        <w:rPr>
          <w:rFonts w:hint="eastAsia" w:ascii="仿宋" w:hAnsi="仿宋" w:eastAsia="仿宋"/>
          <w:sz w:val="30"/>
          <w:szCs w:val="30"/>
          <w:lang w:eastAsia="zh-CN"/>
        </w:rPr>
        <w:t>设备采购减少</w:t>
      </w:r>
      <w:r>
        <w:rPr>
          <w:rFonts w:hint="eastAsia" w:ascii="仿宋" w:hAnsi="仿宋" w:eastAsia="仿宋"/>
          <w:sz w:val="30"/>
          <w:szCs w:val="30"/>
        </w:rPr>
        <w:t>。</w:t>
      </w:r>
    </w:p>
    <w:p>
      <w:pPr>
        <w:ind w:firstLine="630"/>
        <w:jc w:val="left"/>
        <w:rPr>
          <w:rFonts w:hint="eastAsia" w:ascii="黑体" w:hAnsi="黑体" w:eastAsia="黑体"/>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年度一般公共预算财政拨款“三公”经费支出年初预算数为 </w:t>
      </w:r>
      <w:r>
        <w:rPr>
          <w:rFonts w:hint="eastAsia" w:ascii="仿宋" w:hAnsi="仿宋" w:eastAsia="仿宋"/>
          <w:sz w:val="30"/>
          <w:szCs w:val="30"/>
          <w:lang w:val="en-US" w:eastAsia="zh-CN"/>
        </w:rPr>
        <w:t>18.97</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7.62</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40.17</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21.06</w:t>
      </w:r>
      <w:r>
        <w:rPr>
          <w:rFonts w:hint="eastAsia" w:ascii="仿宋" w:hAnsi="仿宋" w:eastAsia="仿宋"/>
          <w:sz w:val="30"/>
          <w:szCs w:val="30"/>
        </w:rPr>
        <w:t xml:space="preserve"> 万元，下降</w:t>
      </w:r>
      <w:r>
        <w:rPr>
          <w:rFonts w:hint="eastAsia" w:ascii="仿宋" w:hAnsi="仿宋" w:eastAsia="仿宋"/>
          <w:sz w:val="30"/>
          <w:szCs w:val="30"/>
          <w:lang w:val="en-US" w:eastAsia="zh-CN"/>
        </w:rPr>
        <w:t>73.43</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 xml:space="preserve">（一）因公出国（境）支出年初预算数为 </w:t>
      </w:r>
      <w:r>
        <w:rPr>
          <w:rFonts w:hint="eastAsia" w:ascii="仿宋" w:hAnsi="仿宋" w:eastAsia="仿宋"/>
          <w:sz w:val="30"/>
          <w:szCs w:val="30"/>
          <w:lang w:val="en-US" w:eastAsia="zh-CN"/>
        </w:rPr>
        <w:t>2.5</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3.39</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135.6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3.39</w:t>
      </w:r>
      <w:r>
        <w:rPr>
          <w:rFonts w:hint="eastAsia" w:ascii="仿宋" w:hAnsi="仿宋" w:eastAsia="仿宋"/>
          <w:sz w:val="30"/>
          <w:szCs w:val="30"/>
        </w:rPr>
        <w:t>万元，增长</w:t>
      </w:r>
      <w:r>
        <w:rPr>
          <w:rFonts w:hint="eastAsia" w:ascii="仿宋" w:hAnsi="仿宋" w:eastAsia="仿宋"/>
          <w:sz w:val="30"/>
          <w:szCs w:val="30"/>
          <w:lang w:val="en-US" w:eastAsia="zh-CN"/>
        </w:rPr>
        <w:t>100</w:t>
      </w:r>
      <w:r>
        <w:rPr>
          <w:rFonts w:hint="eastAsia" w:ascii="仿宋" w:hAnsi="仿宋" w:eastAsia="仿宋"/>
          <w:sz w:val="30"/>
          <w:szCs w:val="30"/>
        </w:rPr>
        <w:t xml:space="preserve"> %。决算数较年初预算数增加的主要原因是：</w:t>
      </w:r>
      <w:r>
        <w:rPr>
          <w:rFonts w:hint="eastAsia" w:ascii="仿宋" w:hAnsi="仿宋" w:eastAsia="仿宋"/>
          <w:sz w:val="30"/>
          <w:szCs w:val="30"/>
          <w:lang w:eastAsia="zh-CN"/>
        </w:rPr>
        <w:t>三公经费支出预算安排只减不增，实际发生费用超过年初预算安排</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（二）公务接待费支出年初预算数为 </w:t>
      </w:r>
      <w:r>
        <w:rPr>
          <w:rFonts w:hint="eastAsia" w:ascii="仿宋" w:hAnsi="仿宋" w:eastAsia="仿宋"/>
          <w:sz w:val="30"/>
          <w:szCs w:val="30"/>
          <w:lang w:val="en-US" w:eastAsia="zh-CN"/>
        </w:rPr>
        <w:t>2.63</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2.63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0.82</w:t>
      </w:r>
      <w:r>
        <w:rPr>
          <w:rFonts w:hint="eastAsia" w:ascii="仿宋" w:hAnsi="仿宋" w:eastAsia="仿宋"/>
          <w:sz w:val="30"/>
          <w:szCs w:val="30"/>
        </w:rPr>
        <w:t xml:space="preserve">  万元，下降</w:t>
      </w:r>
      <w:r>
        <w:rPr>
          <w:rFonts w:hint="eastAsia" w:ascii="仿宋" w:hAnsi="仿宋" w:eastAsia="仿宋"/>
          <w:sz w:val="30"/>
          <w:szCs w:val="30"/>
          <w:lang w:val="en-US" w:eastAsia="zh-CN"/>
        </w:rPr>
        <w:t>23.77</w:t>
      </w:r>
      <w:r>
        <w:rPr>
          <w:rFonts w:hint="eastAsia" w:ascii="仿宋" w:hAnsi="仿宋" w:eastAsia="仿宋"/>
          <w:sz w:val="30"/>
          <w:szCs w:val="30"/>
        </w:rPr>
        <w:t xml:space="preserve"> %。决算数</w:t>
      </w:r>
      <w:r>
        <w:rPr>
          <w:rFonts w:hint="eastAsia" w:ascii="仿宋" w:hAnsi="仿宋" w:eastAsia="仿宋"/>
          <w:sz w:val="30"/>
          <w:szCs w:val="30"/>
          <w:lang w:eastAsia="zh-CN"/>
        </w:rPr>
        <w:t>完全执行了</w:t>
      </w:r>
      <w:r>
        <w:rPr>
          <w:rFonts w:hint="eastAsia" w:ascii="仿宋" w:hAnsi="仿宋" w:eastAsia="仿宋"/>
          <w:sz w:val="30"/>
          <w:szCs w:val="30"/>
        </w:rPr>
        <w:t>年初预算。</w:t>
      </w:r>
    </w:p>
    <w:p>
      <w:pPr>
        <w:ind w:firstLine="630"/>
        <w:jc w:val="left"/>
        <w:rPr>
          <w:rFonts w:hint="eastAsia" w:ascii="仿宋" w:hAnsi="仿宋" w:eastAsia="仿宋"/>
          <w:sz w:val="30"/>
          <w:szCs w:val="30"/>
        </w:rPr>
      </w:pPr>
      <w:r>
        <w:rPr>
          <w:rFonts w:hint="eastAsia" w:ascii="仿宋" w:hAnsi="仿宋" w:eastAsia="仿宋"/>
          <w:sz w:val="30"/>
          <w:szCs w:val="30"/>
        </w:rPr>
        <w:t xml:space="preserve">（三）公务用车购置及运行维护费支出 </w:t>
      </w:r>
      <w:r>
        <w:rPr>
          <w:rFonts w:hint="eastAsia" w:ascii="仿宋" w:hAnsi="仿宋" w:eastAsia="仿宋"/>
          <w:sz w:val="30"/>
          <w:szCs w:val="30"/>
          <w:lang w:val="en-US" w:eastAsia="zh-CN"/>
        </w:rPr>
        <w:t>1.60</w:t>
      </w:r>
      <w:r>
        <w:rPr>
          <w:rFonts w:hint="eastAsia" w:ascii="仿宋" w:hAnsi="仿宋" w:eastAsia="仿宋"/>
          <w:sz w:val="30"/>
          <w:szCs w:val="30"/>
        </w:rPr>
        <w:t xml:space="preserve"> 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无增减变动</w:t>
      </w:r>
      <w:r>
        <w:rPr>
          <w:rFonts w:hint="eastAsia" w:ascii="仿宋" w:hAnsi="仿宋" w:eastAsia="仿宋"/>
          <w:sz w:val="30"/>
          <w:szCs w:val="30"/>
        </w:rPr>
        <w:t>。决算数</w:t>
      </w:r>
      <w:r>
        <w:rPr>
          <w:rFonts w:hint="eastAsia" w:ascii="仿宋" w:hAnsi="仿宋" w:eastAsia="仿宋"/>
          <w:sz w:val="30"/>
          <w:szCs w:val="30"/>
          <w:lang w:eastAsia="zh-CN"/>
        </w:rPr>
        <w:t>符合</w:t>
      </w:r>
      <w:r>
        <w:rPr>
          <w:rFonts w:hint="eastAsia" w:ascii="仿宋" w:hAnsi="仿宋" w:eastAsia="仿宋"/>
          <w:sz w:val="30"/>
          <w:szCs w:val="30"/>
        </w:rPr>
        <w:t>年初预算数；公务用车运行维护费支出年初预算数为</w:t>
      </w:r>
      <w:r>
        <w:rPr>
          <w:rFonts w:hint="eastAsia" w:ascii="仿宋" w:hAnsi="仿宋" w:eastAsia="仿宋"/>
          <w:sz w:val="30"/>
          <w:szCs w:val="30"/>
          <w:lang w:val="en-US" w:eastAsia="zh-CN"/>
        </w:rPr>
        <w:t>13.84</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1.60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11.56</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23.63</w:t>
      </w:r>
      <w:r>
        <w:rPr>
          <w:rFonts w:hint="eastAsia" w:ascii="仿宋" w:hAnsi="仿宋" w:eastAsia="仿宋"/>
          <w:sz w:val="30"/>
          <w:szCs w:val="30"/>
        </w:rPr>
        <w:t xml:space="preserve"> 万元，下降</w:t>
      </w:r>
      <w:r>
        <w:rPr>
          <w:rFonts w:hint="eastAsia" w:ascii="仿宋" w:hAnsi="仿宋" w:eastAsia="仿宋"/>
          <w:sz w:val="30"/>
          <w:szCs w:val="30"/>
          <w:lang w:val="en-US" w:eastAsia="zh-CN"/>
        </w:rPr>
        <w:t>93.66</w:t>
      </w:r>
      <w:r>
        <w:rPr>
          <w:rFonts w:hint="eastAsia" w:ascii="仿宋" w:hAnsi="仿宋" w:eastAsia="仿宋"/>
          <w:sz w:val="30"/>
          <w:szCs w:val="30"/>
        </w:rPr>
        <w:t xml:space="preserve"> %。决算数较年初预算数减少的主要原因是：</w:t>
      </w:r>
      <w:r>
        <w:rPr>
          <w:rFonts w:hint="eastAsia" w:ascii="仿宋" w:hAnsi="仿宋" w:eastAsia="仿宋"/>
          <w:sz w:val="30"/>
          <w:szCs w:val="30"/>
          <w:lang w:val="en-US" w:eastAsia="zh-CN"/>
        </w:rPr>
        <w:t>2019年完成公车改革，单位保留车辆2辆</w:t>
      </w:r>
      <w:r>
        <w:rPr>
          <w:rFonts w:hint="eastAsia" w:ascii="仿宋" w:hAnsi="仿宋" w:eastAsia="仿宋"/>
          <w:sz w:val="30"/>
          <w:szCs w:val="30"/>
        </w:rPr>
        <w:t>。</w:t>
      </w:r>
    </w:p>
    <w:p>
      <w:pPr>
        <w:ind w:firstLine="630"/>
        <w:jc w:val="left"/>
        <w:rPr>
          <w:rFonts w:hint="eastAsia" w:ascii="黑体" w:hAnsi="黑体" w:eastAsia="黑体"/>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年度机关运行经费支出 </w:t>
      </w:r>
      <w:r>
        <w:rPr>
          <w:rFonts w:hint="eastAsia" w:ascii="仿宋" w:hAnsi="仿宋" w:eastAsia="仿宋"/>
          <w:sz w:val="30"/>
          <w:szCs w:val="30"/>
          <w:lang w:val="en-US" w:eastAsia="zh-CN"/>
        </w:rPr>
        <w:t>0</w:t>
      </w:r>
      <w:r>
        <w:rPr>
          <w:rFonts w:hint="eastAsia" w:ascii="仿宋" w:hAnsi="仿宋" w:eastAsia="仿宋"/>
          <w:sz w:val="30"/>
          <w:szCs w:val="30"/>
        </w:rPr>
        <w:t xml:space="preserve"> 万元（与部门决算中行政单位和参照公务员法管理事业单位一般公共预算财政拨款基本支出中公用经费之和保持一致），较年初预算数增加（减少）  </w:t>
      </w:r>
      <w:r>
        <w:rPr>
          <w:rFonts w:hint="eastAsia" w:ascii="仿宋" w:hAnsi="仿宋" w:eastAsia="仿宋"/>
          <w:sz w:val="30"/>
          <w:szCs w:val="30"/>
          <w:lang w:val="en-US" w:eastAsia="zh-CN"/>
        </w:rPr>
        <w:t>0</w:t>
      </w:r>
      <w:r>
        <w:rPr>
          <w:rFonts w:hint="eastAsia" w:ascii="仿宋" w:hAnsi="仿宋" w:eastAsia="仿宋"/>
          <w:sz w:val="30"/>
          <w:szCs w:val="30"/>
        </w:rPr>
        <w:t>万元，增长（降低）</w:t>
      </w:r>
      <w:r>
        <w:rPr>
          <w:rFonts w:hint="eastAsia" w:ascii="仿宋" w:hAnsi="仿宋" w:eastAsia="仿宋"/>
          <w:sz w:val="30"/>
          <w:szCs w:val="30"/>
          <w:lang w:val="en-US" w:eastAsia="zh-CN"/>
        </w:rPr>
        <w:t>0</w:t>
      </w:r>
      <w:r>
        <w:rPr>
          <w:rFonts w:hint="eastAsia" w:ascii="仿宋" w:hAnsi="仿宋" w:eastAsia="仿宋"/>
          <w:sz w:val="30"/>
          <w:szCs w:val="30"/>
        </w:rPr>
        <w:t xml:space="preserve"> %，主要原因是：</w:t>
      </w:r>
      <w:r>
        <w:rPr>
          <w:rFonts w:hint="eastAsia" w:ascii="仿宋" w:hAnsi="仿宋" w:eastAsia="仿宋"/>
          <w:sz w:val="30"/>
          <w:szCs w:val="30"/>
          <w:lang w:eastAsia="zh-CN"/>
        </w:rPr>
        <w:t>本部门为事业单位，无机关运行经费。</w:t>
      </w:r>
    </w:p>
    <w:p>
      <w:pPr>
        <w:ind w:firstLine="630"/>
        <w:jc w:val="left"/>
        <w:rPr>
          <w:rFonts w:hint="eastAsia" w:ascii="黑体" w:hAnsi="黑体" w:eastAsia="黑体"/>
          <w:sz w:val="30"/>
          <w:szCs w:val="30"/>
        </w:rPr>
      </w:pP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年度政府采购支出总额 </w:t>
      </w:r>
      <w:r>
        <w:rPr>
          <w:rFonts w:hint="eastAsia" w:ascii="仿宋" w:hAnsi="仿宋" w:eastAsia="仿宋"/>
          <w:sz w:val="30"/>
          <w:szCs w:val="30"/>
          <w:lang w:val="en-US" w:eastAsia="zh-CN"/>
        </w:rPr>
        <w:t>138.50</w:t>
      </w:r>
      <w:r>
        <w:rPr>
          <w:rFonts w:hint="eastAsia" w:ascii="仿宋" w:hAnsi="仿宋" w:eastAsia="仿宋"/>
          <w:sz w:val="30"/>
          <w:szCs w:val="30"/>
        </w:rPr>
        <w:t xml:space="preserve"> 万元，其中：政府采购货物支出 </w:t>
      </w:r>
      <w:r>
        <w:rPr>
          <w:rFonts w:hint="eastAsia" w:ascii="仿宋" w:hAnsi="仿宋" w:eastAsia="仿宋"/>
          <w:sz w:val="30"/>
          <w:szCs w:val="30"/>
          <w:lang w:val="en-US" w:eastAsia="zh-CN"/>
        </w:rPr>
        <w:t>138.50</w:t>
      </w:r>
      <w:r>
        <w:rPr>
          <w:rFonts w:hint="eastAsia" w:ascii="仿宋" w:hAnsi="仿宋" w:eastAsia="仿宋"/>
          <w:sz w:val="30"/>
          <w:szCs w:val="30"/>
        </w:rPr>
        <w:t xml:space="preserve"> 万元、政府采购工程支出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万元、政府采购服务支出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万元。授予中小企业合同金额 </w:t>
      </w:r>
      <w:r>
        <w:rPr>
          <w:rFonts w:hint="eastAsia" w:ascii="仿宋" w:hAnsi="仿宋" w:eastAsia="仿宋"/>
          <w:sz w:val="30"/>
          <w:szCs w:val="30"/>
          <w:lang w:val="en-US" w:eastAsia="zh-CN"/>
        </w:rPr>
        <w:t>3.61</w:t>
      </w:r>
      <w:r>
        <w:rPr>
          <w:rFonts w:hint="eastAsia" w:ascii="仿宋" w:hAnsi="仿宋" w:eastAsia="仿宋"/>
          <w:sz w:val="30"/>
          <w:szCs w:val="30"/>
        </w:rPr>
        <w:t xml:space="preserve"> 万元，占政府采购支出总额的</w:t>
      </w:r>
      <w:r>
        <w:rPr>
          <w:rFonts w:hint="eastAsia" w:ascii="仿宋" w:hAnsi="仿宋" w:eastAsia="仿宋"/>
          <w:sz w:val="30"/>
          <w:szCs w:val="30"/>
          <w:lang w:val="en-US" w:eastAsia="zh-CN"/>
        </w:rPr>
        <w:t>2.61</w:t>
      </w:r>
      <w:r>
        <w:rPr>
          <w:rFonts w:hint="eastAsia" w:ascii="仿宋" w:hAnsi="仿宋" w:eastAsia="仿宋"/>
          <w:sz w:val="30"/>
          <w:szCs w:val="30"/>
        </w:rPr>
        <w:t xml:space="preserve"> %，其中：授予小微企业合同金额  </w:t>
      </w:r>
      <w:r>
        <w:rPr>
          <w:rFonts w:hint="eastAsia" w:ascii="仿宋" w:hAnsi="仿宋" w:eastAsia="仿宋"/>
          <w:sz w:val="30"/>
          <w:szCs w:val="30"/>
          <w:lang w:val="en-US" w:eastAsia="zh-CN"/>
        </w:rPr>
        <w:t>3.61</w:t>
      </w:r>
      <w:r>
        <w:rPr>
          <w:rFonts w:hint="eastAsia" w:ascii="仿宋" w:hAnsi="仿宋" w:eastAsia="仿宋"/>
          <w:sz w:val="30"/>
          <w:szCs w:val="30"/>
        </w:rPr>
        <w:t xml:space="preserve">万元，占政府采购支出总额的 </w:t>
      </w:r>
      <w:r>
        <w:rPr>
          <w:rFonts w:hint="eastAsia" w:ascii="仿宋" w:hAnsi="仿宋" w:eastAsia="仿宋"/>
          <w:sz w:val="30"/>
          <w:szCs w:val="30"/>
          <w:lang w:val="en-US" w:eastAsia="zh-CN"/>
        </w:rPr>
        <w:t>2.61</w:t>
      </w:r>
      <w:r>
        <w:rPr>
          <w:rFonts w:hint="eastAsia" w:ascii="仿宋" w:hAnsi="仿宋" w:eastAsia="仿宋"/>
          <w:sz w:val="30"/>
          <w:szCs w:val="30"/>
        </w:rPr>
        <w:t xml:space="preserve"> %。</w:t>
      </w:r>
      <w:r>
        <w:rPr>
          <w:rFonts w:ascii="仿宋" w:hAnsi="仿宋" w:eastAsia="仿宋" w:cs="仿宋"/>
          <w:color w:val="000000"/>
          <w:kern w:val="0"/>
          <w:sz w:val="30"/>
          <w:szCs w:val="30"/>
          <w:lang w:val="en-US" w:eastAsia="zh-CN" w:bidi="ar"/>
        </w:rPr>
        <w:t>在实施采购过程</w:t>
      </w:r>
      <w:r>
        <w:rPr>
          <w:rFonts w:hint="eastAsia" w:ascii="仿宋" w:hAnsi="仿宋" w:eastAsia="仿宋" w:cs="仿宋"/>
          <w:color w:val="000000"/>
          <w:kern w:val="0"/>
          <w:sz w:val="30"/>
          <w:szCs w:val="30"/>
          <w:lang w:val="en-US" w:eastAsia="zh-CN" w:bidi="ar"/>
        </w:rPr>
        <w:t>中</w:t>
      </w:r>
      <w:r>
        <w:rPr>
          <w:rFonts w:ascii="仿宋" w:hAnsi="仿宋" w:eastAsia="仿宋" w:cs="仿宋"/>
          <w:color w:val="000000"/>
          <w:kern w:val="0"/>
          <w:sz w:val="30"/>
          <w:szCs w:val="30"/>
          <w:lang w:val="en-US" w:eastAsia="zh-CN" w:bidi="ar"/>
        </w:rPr>
        <w:t>，按政策规定</w:t>
      </w:r>
      <w:r>
        <w:rPr>
          <w:rFonts w:hint="eastAsia" w:ascii="仿宋" w:hAnsi="仿宋" w:eastAsia="仿宋" w:cs="仿宋"/>
          <w:color w:val="000000"/>
          <w:kern w:val="0"/>
          <w:sz w:val="30"/>
          <w:szCs w:val="30"/>
          <w:lang w:val="en-US" w:eastAsia="zh-CN" w:bidi="ar"/>
        </w:rPr>
        <w:t>向中小企业、小微企业倾斜。</w:t>
      </w:r>
    </w:p>
    <w:p>
      <w:pPr>
        <w:ind w:firstLine="630"/>
        <w:jc w:val="left"/>
        <w:rPr>
          <w:rFonts w:hint="eastAsia" w:ascii="黑体" w:hAnsi="黑体" w:eastAsia="黑体"/>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电视转播车</w:t>
      </w:r>
      <w:r>
        <w:rPr>
          <w:rFonts w:hint="eastAsia" w:ascii="仿宋" w:hAnsi="仿宋" w:eastAsia="仿宋"/>
          <w:kern w:val="0"/>
          <w:sz w:val="30"/>
          <w:szCs w:val="30"/>
        </w:rPr>
        <w:t>。</w:t>
      </w:r>
    </w:p>
    <w:p>
      <w:pPr>
        <w:ind w:firstLine="630"/>
        <w:jc w:val="left"/>
        <w:rPr>
          <w:rFonts w:hint="eastAsia" w:ascii="黑体" w:hAnsi="黑体" w:eastAsia="黑体"/>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 xml:space="preserve">年度一般公共预算项目支出全面开展绩效自评，其中，一级项目 </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个，二级项目</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lang w:val="en-US" w:eastAsia="zh-CN"/>
        </w:rPr>
        <w:t>3</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385.56</w:t>
      </w:r>
      <w:r>
        <w:rPr>
          <w:rFonts w:hint="eastAsia" w:ascii="仿宋" w:hAnsi="仿宋" w:eastAsia="仿宋" w:cs="仿宋_GB2312"/>
          <w:kern w:val="0"/>
          <w:sz w:val="30"/>
          <w:szCs w:val="30"/>
        </w:rPr>
        <w:t xml:space="preserve"> 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 xml:space="preserve"> %。</w:t>
      </w:r>
    </w:p>
    <w:p>
      <w:pPr>
        <w:autoSpaceDE w:val="0"/>
        <w:autoSpaceDN w:val="0"/>
        <w:adjustRightInd w:val="0"/>
        <w:spacing w:line="360" w:lineRule="auto"/>
        <w:ind w:firstLine="600"/>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eastAsia="zh-CN"/>
        </w:rPr>
        <w:t>电视教育补助经费</w:t>
      </w:r>
      <w:r>
        <w:rPr>
          <w:rFonts w:hint="eastAsia" w:ascii="仿宋" w:hAnsi="仿宋" w:eastAsia="仿宋" w:cs="仿宋_GB2312"/>
          <w:kern w:val="0"/>
          <w:sz w:val="30"/>
          <w:szCs w:val="30"/>
        </w:rPr>
        <w:t>”、“</w:t>
      </w:r>
      <w:r>
        <w:rPr>
          <w:rFonts w:hint="eastAsia" w:ascii="仿宋" w:hAnsi="仿宋" w:eastAsia="仿宋" w:cs="仿宋_GB2312"/>
          <w:kern w:val="0"/>
          <w:sz w:val="30"/>
          <w:szCs w:val="30"/>
          <w:lang w:eastAsia="zh-CN"/>
        </w:rPr>
        <w:t>差额事业单位转全额事业单位专项经费</w:t>
      </w: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2</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 xml:space="preserve">评价，涉及一般公共预算支出 </w:t>
      </w:r>
      <w:r>
        <w:rPr>
          <w:rFonts w:hint="eastAsia" w:ascii="仿宋" w:hAnsi="仿宋" w:eastAsia="仿宋" w:cs="仿宋_GB2312"/>
          <w:kern w:val="0"/>
          <w:sz w:val="30"/>
          <w:szCs w:val="30"/>
          <w:lang w:val="en-US" w:eastAsia="zh-CN"/>
        </w:rPr>
        <w:t>318</w:t>
      </w:r>
      <w:r>
        <w:rPr>
          <w:rFonts w:hint="eastAsia" w:ascii="仿宋" w:hAnsi="仿宋" w:eastAsia="仿宋" w:cs="仿宋_GB2312"/>
          <w:kern w:val="0"/>
          <w:sz w:val="30"/>
          <w:szCs w:val="30"/>
        </w:rPr>
        <w:t>万元。</w:t>
      </w:r>
      <w:r>
        <w:rPr>
          <w:rFonts w:hint="eastAsia" w:ascii="仿宋" w:hAnsi="仿宋" w:eastAsia="仿宋" w:cs="仿宋_GB2312"/>
          <w:kern w:val="0"/>
          <w:sz w:val="30"/>
          <w:szCs w:val="30"/>
          <w:lang w:eastAsia="zh-CN"/>
        </w:rPr>
        <w:t>我部门高度重视财政资金的使用和管理，项目实施得到了落实，总体情况良好。</w:t>
      </w:r>
    </w:p>
    <w:p>
      <w:pPr>
        <w:autoSpaceDE w:val="0"/>
        <w:autoSpaceDN w:val="0"/>
        <w:adjustRightInd w:val="0"/>
        <w:spacing w:line="360" w:lineRule="auto"/>
        <w:ind w:firstLine="600"/>
        <w:jc w:val="left"/>
        <w:rPr>
          <w:rFonts w:hint="eastAsia" w:ascii="仿宋" w:hAnsi="仿宋" w:eastAsia="仿宋" w:cs="仿宋_GB2312"/>
          <w:kern w:val="0"/>
          <w:sz w:val="30"/>
          <w:szCs w:val="30"/>
          <w:lang w:eastAsia="zh-CN"/>
        </w:rPr>
      </w:pP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级部门决算中反映</w:t>
      </w:r>
      <w:r>
        <w:rPr>
          <w:rFonts w:hint="eastAsia" w:ascii="仿宋" w:hAnsi="仿宋" w:eastAsia="仿宋" w:cs="仿宋_GB2312"/>
          <w:kern w:val="0"/>
          <w:sz w:val="30"/>
          <w:szCs w:val="30"/>
          <w:lang w:eastAsia="zh-CN"/>
        </w:rPr>
        <w:t>电视教育补助经费</w:t>
      </w:r>
      <w:r>
        <w:rPr>
          <w:rFonts w:hint="eastAsia" w:ascii="仿宋" w:hAnsi="仿宋" w:eastAsia="仿宋" w:cs="仿宋_GB2312"/>
          <w:kern w:val="0"/>
          <w:sz w:val="30"/>
          <w:szCs w:val="30"/>
        </w:rPr>
        <w:t>及</w:t>
      </w:r>
      <w:r>
        <w:rPr>
          <w:rFonts w:hint="eastAsia" w:ascii="仿宋" w:hAnsi="仿宋" w:eastAsia="仿宋" w:cs="仿宋_GB2312"/>
          <w:kern w:val="0"/>
          <w:sz w:val="30"/>
          <w:szCs w:val="30"/>
          <w:lang w:eastAsia="zh-CN"/>
        </w:rPr>
        <w:t>差额事业单位转全额事业单位专项经费</w:t>
      </w:r>
      <w:r>
        <w:rPr>
          <w:rFonts w:hint="eastAsia" w:ascii="仿宋" w:hAnsi="仿宋" w:eastAsia="仿宋" w:cs="仿宋_GB2312"/>
          <w:kern w:val="0"/>
          <w:sz w:val="30"/>
          <w:szCs w:val="30"/>
        </w:rPr>
        <w:t>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eastAsia="zh-CN"/>
        </w:rPr>
        <w:t>电视教育补助经费</w:t>
      </w:r>
      <w:r>
        <w:rPr>
          <w:rFonts w:hint="eastAsia" w:ascii="仿宋" w:hAnsi="仿宋" w:eastAsia="仿宋" w:cs="仿宋_GB2312"/>
          <w:kern w:val="0"/>
          <w:sz w:val="30"/>
          <w:szCs w:val="30"/>
        </w:rPr>
        <w:t>项目绩效自评综述：根据年初设定的绩效目标，</w:t>
      </w:r>
      <w:r>
        <w:rPr>
          <w:rFonts w:hint="eastAsia" w:ascii="仿宋" w:hAnsi="仿宋" w:eastAsia="仿宋" w:cs="仿宋_GB2312"/>
          <w:kern w:val="0"/>
          <w:sz w:val="30"/>
          <w:szCs w:val="30"/>
          <w:lang w:eastAsia="zh-CN"/>
        </w:rPr>
        <w:t>电视教育补助经费</w:t>
      </w:r>
      <w:r>
        <w:rPr>
          <w:rFonts w:hint="eastAsia" w:ascii="仿宋" w:hAnsi="仿宋" w:eastAsia="仿宋" w:cs="仿宋_GB2312"/>
          <w:kern w:val="0"/>
          <w:sz w:val="30"/>
          <w:szCs w:val="30"/>
        </w:rPr>
        <w:t>项目绩效自评得分为</w:t>
      </w:r>
      <w:r>
        <w:rPr>
          <w:rFonts w:hint="eastAsia" w:ascii="仿宋" w:hAnsi="仿宋" w:eastAsia="仿宋" w:cs="仿宋_GB2312"/>
          <w:kern w:val="0"/>
          <w:sz w:val="30"/>
          <w:szCs w:val="30"/>
          <w:lang w:val="en-US" w:eastAsia="zh-CN"/>
        </w:rPr>
        <w:t>94.5</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12</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12</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 xml:space="preserve"> %。主要产出和效果：一</w:t>
      </w:r>
      <w:r>
        <w:rPr>
          <w:rFonts w:hint="eastAsia" w:ascii="仿宋" w:hAnsi="仿宋" w:eastAsia="仿宋" w:cs="仿宋_GB2312"/>
          <w:kern w:val="0"/>
          <w:sz w:val="30"/>
          <w:szCs w:val="30"/>
          <w:lang w:eastAsia="zh-CN"/>
        </w:rPr>
        <w:t>是丰富了广播电视节目内容</w:t>
      </w:r>
      <w:r>
        <w:rPr>
          <w:rFonts w:hint="eastAsia" w:ascii="仿宋" w:hAnsi="仿宋" w:eastAsia="仿宋" w:cs="仿宋_GB2312"/>
          <w:kern w:val="0"/>
          <w:sz w:val="30"/>
          <w:szCs w:val="30"/>
        </w:rPr>
        <w:t>；二</w:t>
      </w:r>
      <w:r>
        <w:rPr>
          <w:rFonts w:hint="eastAsia" w:ascii="仿宋" w:hAnsi="仿宋" w:eastAsia="仿宋" w:cs="仿宋_GB2312"/>
          <w:kern w:val="0"/>
          <w:sz w:val="30"/>
          <w:szCs w:val="30"/>
          <w:lang w:eastAsia="zh-CN"/>
        </w:rPr>
        <w:t>是宣传了党和政府的方针政策，把握正确的舆论导向</w:t>
      </w:r>
      <w:r>
        <w:rPr>
          <w:rFonts w:hint="eastAsia" w:ascii="仿宋" w:hAnsi="仿宋" w:eastAsia="仿宋" w:cs="仿宋_GB2312"/>
          <w:kern w:val="0"/>
          <w:sz w:val="30"/>
          <w:szCs w:val="30"/>
        </w:rPr>
        <w:t>。发现的问题</w:t>
      </w:r>
      <w:r>
        <w:rPr>
          <w:rFonts w:hint="eastAsia" w:ascii="仿宋" w:hAnsi="仿宋" w:eastAsia="仿宋" w:cs="仿宋_GB2312"/>
          <w:kern w:val="0"/>
          <w:sz w:val="30"/>
          <w:szCs w:val="30"/>
          <w:lang w:eastAsia="zh-CN"/>
        </w:rPr>
        <w:t>及改进措施</w:t>
      </w:r>
      <w:r>
        <w:rPr>
          <w:rFonts w:hint="eastAsia" w:ascii="仿宋" w:hAnsi="仿宋" w:eastAsia="仿宋" w:cs="仿宋_GB2312"/>
          <w:kern w:val="0"/>
          <w:sz w:val="30"/>
          <w:szCs w:val="30"/>
          <w:lang w:val="en-US" w:eastAsia="zh-CN"/>
        </w:rPr>
        <w:t>:为了可能极大地满足观众对节目收听收看日益增长的需求和期待,为人民群众提供更加美好的精神文化享受,后期需要进一步得到政府相关部门在政策上的扶持和资金上的投入。</w:t>
      </w:r>
    </w:p>
    <w:p>
      <w:pPr>
        <w:autoSpaceDE w:val="0"/>
        <w:autoSpaceDN w:val="0"/>
        <w:adjustRightInd w:val="0"/>
        <w:spacing w:line="360" w:lineRule="auto"/>
        <w:ind w:firstLine="585"/>
        <w:jc w:val="left"/>
        <w:rPr>
          <w:rFonts w:hint="eastAsia" w:ascii="仿宋" w:hAnsi="仿宋" w:eastAsia="仿宋" w:cs="仿宋_GB2312"/>
          <w:kern w:val="0"/>
          <w:sz w:val="30"/>
          <w:szCs w:val="30"/>
          <w:lang w:val="en-US" w:eastAsia="zh-CN"/>
        </w:rPr>
      </w:pPr>
    </w:p>
    <w:p>
      <w:pPr>
        <w:autoSpaceDE w:val="0"/>
        <w:autoSpaceDN w:val="0"/>
        <w:adjustRightInd w:val="0"/>
        <w:spacing w:line="360" w:lineRule="auto"/>
        <w:jc w:val="left"/>
        <w:rPr>
          <w:rFonts w:hint="eastAsia" w:ascii="仿宋" w:hAnsi="仿宋" w:eastAsia="仿宋" w:cs="仿宋_GB2312"/>
          <w:kern w:val="0"/>
          <w:sz w:val="30"/>
          <w:szCs w:val="30"/>
          <w:lang w:val="en-US" w:eastAsia="zh-CN"/>
        </w:rPr>
      </w:pPr>
    </w:p>
    <w:tbl>
      <w:tblPr>
        <w:tblStyle w:val="2"/>
        <w:tblW w:w="6244" w:type="pct"/>
        <w:tblInd w:w="-1172" w:type="dxa"/>
        <w:shd w:val="clear" w:color="auto" w:fill="auto"/>
        <w:tblLayout w:type="fixed"/>
        <w:tblCellMar>
          <w:top w:w="0" w:type="dxa"/>
          <w:left w:w="0" w:type="dxa"/>
          <w:bottom w:w="0" w:type="dxa"/>
          <w:right w:w="0" w:type="dxa"/>
        </w:tblCellMar>
      </w:tblPr>
      <w:tblGrid>
        <w:gridCol w:w="675"/>
        <w:gridCol w:w="570"/>
        <w:gridCol w:w="915"/>
        <w:gridCol w:w="1659"/>
        <w:gridCol w:w="816"/>
        <w:gridCol w:w="1290"/>
        <w:gridCol w:w="1095"/>
        <w:gridCol w:w="375"/>
        <w:gridCol w:w="621"/>
        <w:gridCol w:w="279"/>
        <w:gridCol w:w="900"/>
        <w:gridCol w:w="150"/>
        <w:gridCol w:w="1065"/>
      </w:tblGrid>
      <w:tr>
        <w:tblPrEx>
          <w:shd w:val="clear" w:color="auto" w:fill="auto"/>
          <w:tblCellMar>
            <w:top w:w="0" w:type="dxa"/>
            <w:left w:w="0" w:type="dxa"/>
            <w:bottom w:w="0" w:type="dxa"/>
            <w:right w:w="0" w:type="dxa"/>
          </w:tblCellMar>
        </w:tblPrEx>
        <w:trPr>
          <w:trHeight w:val="375" w:hRule="atLeast"/>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项目支出绩效自评表</w:t>
            </w:r>
          </w:p>
        </w:tc>
      </w:tr>
      <w:tr>
        <w:tblPrEx>
          <w:tblCellMar>
            <w:top w:w="0" w:type="dxa"/>
            <w:left w:w="0" w:type="dxa"/>
            <w:bottom w:w="0" w:type="dxa"/>
            <w:right w:w="0" w:type="dxa"/>
          </w:tblCellMar>
        </w:tblPrEx>
        <w:trPr>
          <w:trHeight w:val="270" w:hRule="atLeast"/>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(2019年度）</w:t>
            </w:r>
          </w:p>
        </w:tc>
      </w:tr>
      <w:tr>
        <w:tblPrEx>
          <w:tblCellMar>
            <w:top w:w="0" w:type="dxa"/>
            <w:left w:w="0" w:type="dxa"/>
            <w:bottom w:w="0" w:type="dxa"/>
            <w:right w:w="0" w:type="dxa"/>
          </w:tblCellMar>
        </w:tblPrEx>
        <w:trPr>
          <w:trHeight w:val="270" w:hRule="atLeast"/>
        </w:trPr>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402"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电视教育补助经费</w:t>
            </w:r>
          </w:p>
        </w:tc>
      </w:tr>
      <w:tr>
        <w:tblPrEx>
          <w:tblCellMar>
            <w:top w:w="0" w:type="dxa"/>
            <w:left w:w="0" w:type="dxa"/>
            <w:bottom w:w="0" w:type="dxa"/>
            <w:right w:w="0" w:type="dxa"/>
          </w:tblCellMar>
        </w:tblPrEx>
        <w:trPr>
          <w:trHeight w:val="270" w:hRule="atLeast"/>
        </w:trPr>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24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景德镇市广播电视台</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628"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景德镇市广播电视台</w:t>
            </w:r>
          </w:p>
        </w:tc>
      </w:tr>
      <w:tr>
        <w:tblPrEx>
          <w:tblCellMar>
            <w:top w:w="0" w:type="dxa"/>
            <w:left w:w="0" w:type="dxa"/>
            <w:bottom w:w="0" w:type="dxa"/>
            <w:right w:w="0" w:type="dxa"/>
          </w:tblCellMar>
        </w:tblPrEx>
        <w:trPr>
          <w:trHeight w:val="270" w:hRule="atLeast"/>
        </w:trPr>
        <w:tc>
          <w:tcPr>
            <w:tcW w:w="5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项目资金             </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(万元）</w:t>
            </w: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4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3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CellMar>
            <w:top w:w="0" w:type="dxa"/>
            <w:left w:w="0" w:type="dxa"/>
            <w:bottom w:w="0" w:type="dxa"/>
            <w:right w:w="0" w:type="dxa"/>
          </w:tblCellMar>
        </w:tblPrEx>
        <w:trPr>
          <w:trHeight w:val="270" w:hRule="atLeast"/>
        </w:trPr>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270" w:hRule="atLeast"/>
        </w:trPr>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w:t>
            </w:r>
          </w:p>
        </w:tc>
        <w:tc>
          <w:tcPr>
            <w:tcW w:w="63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270" w:hRule="atLeast"/>
        </w:trPr>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63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0" w:hRule="atLeast"/>
        </w:trPr>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63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0"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252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15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围绕大局、服务群众、改革创新，高扬主旋律，同时提供给广大电视观众质量优秀、内容丰富的电视节目。</w:t>
            </w:r>
          </w:p>
        </w:tc>
        <w:tc>
          <w:tcPr>
            <w:tcW w:w="215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本年度预算执行完成良好，电视节目购买及时，播放有序，丰富了市民的生活，正确引领了社会导向。</w:t>
            </w:r>
          </w:p>
        </w:tc>
      </w:tr>
      <w:tr>
        <w:tblPrEx>
          <w:tblCellMar>
            <w:top w:w="0" w:type="dxa"/>
            <w:left w:w="0" w:type="dxa"/>
            <w:bottom w:w="0" w:type="dxa"/>
            <w:right w:w="0" w:type="dxa"/>
          </w:tblCellMar>
        </w:tblPrEx>
        <w:trPr>
          <w:trHeight w:val="450"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标     </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指标1：新增优质电视节目</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指标1：节目优质度</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w:t>
            </w:r>
            <w:r>
              <w:rPr>
                <w:rFonts w:hint="eastAsia" w:ascii="宋体" w:hAnsi="宋体" w:cs="宋体"/>
                <w:i w:val="0"/>
                <w:color w:val="000000"/>
                <w:kern w:val="0"/>
                <w:sz w:val="18"/>
                <w:szCs w:val="18"/>
                <w:u w:val="none"/>
                <w:lang w:val="en-US" w:eastAsia="zh-CN" w:bidi="ar"/>
              </w:rPr>
              <w:t>.5</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指标1：完成及时性</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指标1：是否在项目预算控制范围内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标     </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    指标</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指标1：项目实施是否产生经济价值，促进区域经济增长</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不产生经济效益</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未产生经济效益</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    指标</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指标1：项目实施是否对区域人文产生影响</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2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    指标</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指标1：项目实施是否对周边生态环境产生影响</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生态公益节目宣传，为提升环境效益做出努力。</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播放节能环保节目，大力宣传节能前沿节能环保理念。</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指标1：项目实施后在一定时期持续有效</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长效</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较长效</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满意度指标     </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    满意度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指标1：项目受益人以及项目实施地域周边民众满意度</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满意度90%</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满意度85%</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551"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5</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autoSpaceDE w:val="0"/>
        <w:autoSpaceDN w:val="0"/>
        <w:adjustRightInd w:val="0"/>
        <w:spacing w:line="360" w:lineRule="auto"/>
        <w:ind w:firstLine="585"/>
        <w:jc w:val="left"/>
        <w:rPr>
          <w:rFonts w:hint="default" w:ascii="仿宋" w:hAnsi="仿宋" w:eastAsia="仿宋" w:cs="仿宋_GB2312"/>
          <w:kern w:val="0"/>
          <w:sz w:val="30"/>
          <w:szCs w:val="30"/>
          <w:lang w:val="en-US" w:eastAsia="zh-CN"/>
        </w:rPr>
      </w:pPr>
    </w:p>
    <w:p>
      <w:pPr>
        <w:keepNext w:val="0"/>
        <w:keepLines w:val="0"/>
        <w:widowControl/>
        <w:suppressLineNumbers w:val="0"/>
        <w:ind w:firstLine="6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eastAsia="zh-CN"/>
        </w:rPr>
        <w:t>差额事业单位转全额事业单位专项经费</w:t>
      </w:r>
      <w:r>
        <w:rPr>
          <w:rFonts w:hint="eastAsia" w:ascii="仿宋" w:hAnsi="仿宋" w:eastAsia="仿宋" w:cs="仿宋_GB2312"/>
          <w:kern w:val="0"/>
          <w:sz w:val="30"/>
          <w:szCs w:val="30"/>
        </w:rPr>
        <w:t>项目绩效自评综述：</w:t>
      </w:r>
      <w:r>
        <w:rPr>
          <w:rFonts w:ascii="仿宋" w:hAnsi="仿宋" w:eastAsia="仿宋" w:cs="仿宋"/>
          <w:color w:val="000000"/>
          <w:kern w:val="0"/>
          <w:sz w:val="30"/>
          <w:szCs w:val="30"/>
          <w:lang w:val="en-US" w:eastAsia="zh-CN" w:bidi="ar"/>
        </w:rPr>
        <w:t>传统广告市场萎缩，</w:t>
      </w:r>
      <w:r>
        <w:rPr>
          <w:rFonts w:hint="eastAsia" w:ascii="仿宋" w:hAnsi="仿宋" w:eastAsia="仿宋" w:cs="仿宋"/>
          <w:color w:val="000000"/>
          <w:kern w:val="0"/>
          <w:sz w:val="30"/>
          <w:szCs w:val="30"/>
          <w:lang w:val="en-US" w:eastAsia="zh-CN" w:bidi="ar"/>
        </w:rPr>
        <w:t>新媒体冲击加剧的严峻形势下，广播电视广告非税收入下滑，为确保2018年度职工工资的正常发放和部门的正常运行，财政增加</w:t>
      </w:r>
      <w:r>
        <w:rPr>
          <w:rFonts w:hint="eastAsia" w:ascii="仿宋" w:hAnsi="仿宋" w:eastAsia="仿宋" w:cs="仿宋_GB2312"/>
          <w:kern w:val="0"/>
          <w:sz w:val="30"/>
          <w:szCs w:val="30"/>
          <w:lang w:eastAsia="zh-CN"/>
        </w:rPr>
        <w:t>差额事业单位转全额事业单位专项经费</w:t>
      </w:r>
      <w:r>
        <w:rPr>
          <w:rFonts w:hint="eastAsia" w:ascii="仿宋" w:hAnsi="仿宋" w:eastAsia="仿宋" w:cs="仿宋_GB2312"/>
          <w:kern w:val="0"/>
          <w:sz w:val="30"/>
          <w:szCs w:val="30"/>
          <w:lang w:val="en-US" w:eastAsia="zh-CN"/>
        </w:rPr>
        <w:t>306万元。</w:t>
      </w:r>
      <w:r>
        <w:rPr>
          <w:rFonts w:hint="eastAsia" w:ascii="仿宋" w:hAnsi="仿宋" w:eastAsia="仿宋" w:cs="仿宋_GB2312"/>
          <w:kern w:val="0"/>
          <w:sz w:val="30"/>
          <w:szCs w:val="30"/>
        </w:rPr>
        <w:t>根据年初设定的绩效目标，</w:t>
      </w:r>
      <w:r>
        <w:rPr>
          <w:rFonts w:hint="eastAsia" w:ascii="仿宋" w:hAnsi="仿宋" w:eastAsia="仿宋" w:cs="仿宋_GB2312"/>
          <w:kern w:val="0"/>
          <w:sz w:val="30"/>
          <w:szCs w:val="30"/>
          <w:lang w:eastAsia="zh-CN"/>
        </w:rPr>
        <w:t>差额事业单位转全额事业单位专项经费项目</w:t>
      </w:r>
      <w:r>
        <w:rPr>
          <w:rFonts w:hint="eastAsia" w:ascii="仿宋" w:hAnsi="仿宋" w:eastAsia="仿宋" w:cs="仿宋_GB2312"/>
          <w:kern w:val="0"/>
          <w:sz w:val="30"/>
          <w:szCs w:val="30"/>
        </w:rPr>
        <w:t>绩效自评得分为</w:t>
      </w:r>
      <w:r>
        <w:rPr>
          <w:rFonts w:hint="eastAsia" w:ascii="仿宋" w:hAnsi="仿宋" w:eastAsia="仿宋" w:cs="仿宋_GB2312"/>
          <w:kern w:val="0"/>
          <w:sz w:val="30"/>
          <w:szCs w:val="30"/>
          <w:lang w:val="en-US" w:eastAsia="zh-CN"/>
        </w:rPr>
        <w:t>96</w:t>
      </w:r>
      <w:r>
        <w:rPr>
          <w:rFonts w:hint="eastAsia" w:ascii="仿宋" w:hAnsi="仿宋" w:eastAsia="仿宋" w:cs="仿宋_GB2312"/>
          <w:kern w:val="0"/>
          <w:sz w:val="30"/>
          <w:szCs w:val="30"/>
        </w:rPr>
        <w:t>分。</w:t>
      </w:r>
      <w:r>
        <w:rPr>
          <w:rFonts w:hint="eastAsia" w:ascii="仿宋" w:hAnsi="仿宋" w:eastAsia="仿宋" w:cs="仿宋_GB2312"/>
          <w:kern w:val="0"/>
          <w:sz w:val="30"/>
          <w:szCs w:val="30"/>
          <w:lang w:val="en-US" w:eastAsia="zh-CN"/>
        </w:rPr>
        <w:t>项目全年预算数为306万元，执行数为306万元，完成预算的100%。主要产出和效果:一是保证本部门人员经费和公用经费的开支,提升职工幸福指数；二是促进本部门生产更多优秀节目，促进社会和谐稳定。</w:t>
      </w:r>
    </w:p>
    <w:tbl>
      <w:tblPr>
        <w:tblStyle w:val="2"/>
        <w:tblW w:w="6341" w:type="pct"/>
        <w:tblInd w:w="-1112" w:type="dxa"/>
        <w:shd w:val="clear" w:color="auto" w:fill="auto"/>
        <w:tblLayout w:type="autofit"/>
        <w:tblCellMar>
          <w:top w:w="0" w:type="dxa"/>
          <w:left w:w="0" w:type="dxa"/>
          <w:bottom w:w="0" w:type="dxa"/>
          <w:right w:w="0" w:type="dxa"/>
        </w:tblCellMar>
      </w:tblPr>
      <w:tblGrid>
        <w:gridCol w:w="573"/>
        <w:gridCol w:w="626"/>
        <w:gridCol w:w="753"/>
        <w:gridCol w:w="1491"/>
        <w:gridCol w:w="1275"/>
        <w:gridCol w:w="146"/>
        <w:gridCol w:w="1865"/>
        <w:gridCol w:w="1596"/>
        <w:gridCol w:w="326"/>
        <w:gridCol w:w="228"/>
        <w:gridCol w:w="340"/>
        <w:gridCol w:w="235"/>
        <w:gridCol w:w="467"/>
        <w:gridCol w:w="651"/>
      </w:tblGrid>
      <w:tr>
        <w:tblPrEx>
          <w:shd w:val="clear" w:color="auto" w:fill="auto"/>
          <w:tblCellMar>
            <w:top w:w="0" w:type="dxa"/>
            <w:left w:w="0" w:type="dxa"/>
            <w:bottom w:w="0" w:type="dxa"/>
            <w:right w:w="0" w:type="dxa"/>
          </w:tblCellMar>
        </w:tblPrEx>
        <w:trPr>
          <w:trHeight w:val="375" w:hRule="atLeast"/>
        </w:trPr>
        <w:tc>
          <w:tcPr>
            <w:tcW w:w="5000" w:type="pct"/>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项目支出绩效自评表</w:t>
            </w:r>
          </w:p>
        </w:tc>
      </w:tr>
      <w:tr>
        <w:tblPrEx>
          <w:tblCellMar>
            <w:top w:w="0" w:type="dxa"/>
            <w:left w:w="0" w:type="dxa"/>
            <w:bottom w:w="0" w:type="dxa"/>
            <w:right w:w="0" w:type="dxa"/>
          </w:tblCellMar>
        </w:tblPrEx>
        <w:trPr>
          <w:trHeight w:val="270" w:hRule="atLeast"/>
        </w:trPr>
        <w:tc>
          <w:tcPr>
            <w:tcW w:w="5000" w:type="pct"/>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(2019年度）</w:t>
            </w:r>
          </w:p>
        </w:tc>
      </w:tr>
      <w:tr>
        <w:tblPrEx>
          <w:tblCellMar>
            <w:top w:w="0" w:type="dxa"/>
            <w:left w:w="0" w:type="dxa"/>
            <w:bottom w:w="0" w:type="dxa"/>
            <w:right w:w="0" w:type="dxa"/>
          </w:tblCellMar>
        </w:tblPrEx>
        <w:trPr>
          <w:trHeight w:val="270" w:hRule="atLeast"/>
        </w:trPr>
        <w:tc>
          <w:tcPr>
            <w:tcW w:w="56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432"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差额事业单位转全额事业单位专项经费</w:t>
            </w:r>
          </w:p>
        </w:tc>
      </w:tr>
      <w:tr>
        <w:tblPrEx>
          <w:tblCellMar>
            <w:top w:w="0" w:type="dxa"/>
            <w:left w:w="0" w:type="dxa"/>
            <w:bottom w:w="0" w:type="dxa"/>
            <w:right w:w="0" w:type="dxa"/>
          </w:tblCellMar>
        </w:tblPrEx>
        <w:trPr>
          <w:trHeight w:val="270" w:hRule="atLeast"/>
        </w:trPr>
        <w:tc>
          <w:tcPr>
            <w:tcW w:w="56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615"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景德镇市广播电视台</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90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景德镇市广播电视台</w:t>
            </w:r>
          </w:p>
        </w:tc>
      </w:tr>
      <w:tr>
        <w:tblPrEx>
          <w:tblCellMar>
            <w:top w:w="0" w:type="dxa"/>
            <w:left w:w="0" w:type="dxa"/>
            <w:bottom w:w="0" w:type="dxa"/>
            <w:right w:w="0" w:type="dxa"/>
          </w:tblCellMar>
        </w:tblPrEx>
        <w:trPr>
          <w:trHeight w:val="270" w:hRule="atLeast"/>
        </w:trPr>
        <w:tc>
          <w:tcPr>
            <w:tcW w:w="5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             (万元）</w:t>
            </w: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3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CellMar>
            <w:top w:w="0" w:type="dxa"/>
            <w:left w:w="0" w:type="dxa"/>
            <w:bottom w:w="0" w:type="dxa"/>
            <w:right w:w="0" w:type="dxa"/>
          </w:tblCellMar>
        </w:tblPrEx>
        <w:trPr>
          <w:trHeight w:val="270" w:hRule="atLeast"/>
        </w:trPr>
        <w:tc>
          <w:tcPr>
            <w:tcW w:w="5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270" w:hRule="atLeast"/>
        </w:trPr>
        <w:tc>
          <w:tcPr>
            <w:tcW w:w="5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270" w:hRule="atLeast"/>
        </w:trPr>
        <w:tc>
          <w:tcPr>
            <w:tcW w:w="5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0" w:hRule="atLeast"/>
        </w:trPr>
        <w:tc>
          <w:tcPr>
            <w:tcW w:w="5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291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1817"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1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财政投入专项经费306万元弥补单位经费不足，确保2019年度职工工资的正常发放</w:t>
            </w:r>
            <w:r>
              <w:rPr>
                <w:rFonts w:hint="eastAsia" w:ascii="宋体" w:hAnsi="宋体" w:cs="宋体"/>
                <w:i w:val="0"/>
                <w:color w:val="000000"/>
                <w:kern w:val="0"/>
                <w:sz w:val="18"/>
                <w:szCs w:val="18"/>
                <w:u w:val="none"/>
                <w:lang w:val="en-US" w:eastAsia="zh-CN" w:bidi="ar"/>
              </w:rPr>
              <w:t>及部门日常事务的开展</w:t>
            </w:r>
            <w:r>
              <w:rPr>
                <w:rFonts w:hint="eastAsia" w:ascii="宋体" w:hAnsi="宋体" w:eastAsia="宋体" w:cs="宋体"/>
                <w:i w:val="0"/>
                <w:color w:val="000000"/>
                <w:kern w:val="0"/>
                <w:sz w:val="18"/>
                <w:szCs w:val="18"/>
                <w:u w:val="none"/>
                <w:lang w:val="en-US" w:eastAsia="zh-CN" w:bidi="ar"/>
              </w:rPr>
              <w:t>，提升职工幸福感</w:t>
            </w:r>
            <w:r>
              <w:rPr>
                <w:rFonts w:hint="eastAsia" w:ascii="宋体" w:hAnsi="宋体" w:cs="宋体"/>
                <w:i w:val="0"/>
                <w:color w:val="000000"/>
                <w:kern w:val="0"/>
                <w:sz w:val="18"/>
                <w:szCs w:val="18"/>
                <w:u w:val="none"/>
                <w:lang w:val="en-US" w:eastAsia="zh-CN" w:bidi="ar"/>
              </w:rPr>
              <w:t>和工作热情</w:t>
            </w:r>
            <w:r>
              <w:rPr>
                <w:rFonts w:hint="eastAsia" w:ascii="宋体" w:hAnsi="宋体" w:eastAsia="宋体" w:cs="宋体"/>
                <w:i w:val="0"/>
                <w:color w:val="000000"/>
                <w:kern w:val="0"/>
                <w:sz w:val="18"/>
                <w:szCs w:val="18"/>
                <w:u w:val="none"/>
                <w:lang w:val="en-US" w:eastAsia="zh-CN" w:bidi="ar"/>
              </w:rPr>
              <w:t>。</w:t>
            </w:r>
          </w:p>
        </w:tc>
        <w:tc>
          <w:tcPr>
            <w:tcW w:w="1817"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圆满完成了2019年</w:t>
            </w:r>
            <w:r>
              <w:rPr>
                <w:rFonts w:hint="eastAsia" w:ascii="宋体" w:hAnsi="宋体" w:cs="宋体"/>
                <w:i w:val="0"/>
                <w:color w:val="000000"/>
                <w:kern w:val="0"/>
                <w:sz w:val="18"/>
                <w:szCs w:val="18"/>
                <w:u w:val="none"/>
                <w:lang w:val="en-US" w:eastAsia="zh-CN" w:bidi="ar"/>
              </w:rPr>
              <w:t>部门各项工作的开展</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5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标     </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r>
              <w:rPr>
                <w:rFonts w:hint="eastAsia" w:ascii="宋体" w:hAnsi="宋体" w:cs="宋体"/>
                <w:i w:val="0"/>
                <w:color w:val="000000"/>
                <w:kern w:val="0"/>
                <w:sz w:val="18"/>
                <w:szCs w:val="18"/>
                <w:u w:val="none"/>
                <w:lang w:val="en-US" w:eastAsia="zh-CN" w:bidi="ar"/>
              </w:rPr>
              <w:t>保证人员经费和公用经费的开支，确保部门各项事务的正常开展</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指标1：完成准确率</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准确</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准确</w:t>
            </w: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指标1：完成及时性</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指标1：是否在项目预算控制范围内</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标     </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    指标</w:t>
            </w: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指标1：项目实施是否产生经济价值，促进区域经济增长</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不产生经济效益</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未产生经济效益</w:t>
            </w: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3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    指标</w:t>
            </w: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指标1：项目实施是否对区域人文产生影响</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保证日常工作顺利开展，激发创作更多优质电视节目。</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日常工作正常有序进行，助力创建文明城市，电视《问政》贴近民生。</w:t>
            </w: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9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    指标</w:t>
            </w: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指标1：项目实施是否对周边生态环境产生影响</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生态公益节目宣传，为提升环境效益做出努力。</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播放节能环保节目，大力宣传节能前沿节能环保理念。</w:t>
            </w: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1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  指标</w:t>
            </w: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指标1：项目实施后在一定时期持续有效</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创造良好的工作生活环境，提升职工的获得感和幸福感。</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日常工作有序，职工生活安定，激发大众的工作热情。</w:t>
            </w: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6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满意度指标     </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    满意度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指标1：项目受益人以及项目实施地域周边民众满意度</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满意度95%</w:t>
            </w: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满意度90%</w:t>
            </w: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937"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2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widowControl/>
        <w:suppressLineNumbers w:val="0"/>
        <w:ind w:firstLine="600"/>
        <w:jc w:val="left"/>
        <w:rPr>
          <w:rFonts w:hint="eastAsia" w:ascii="仿宋" w:hAnsi="仿宋" w:eastAsia="仿宋" w:cs="仿宋_GB2312"/>
          <w:kern w:val="0"/>
          <w:sz w:val="30"/>
          <w:szCs w:val="30"/>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keepNext w:val="0"/>
        <w:keepLines w:val="0"/>
        <w:widowControl/>
        <w:suppressLineNumbers w:val="0"/>
        <w:jc w:val="left"/>
      </w:pPr>
      <w:r>
        <w:rPr>
          <w:rFonts w:hint="eastAsia" w:ascii="仿宋" w:hAnsi="仿宋" w:eastAsia="仿宋"/>
          <w:kern w:val="0"/>
          <w:sz w:val="30"/>
          <w:szCs w:val="30"/>
        </w:rPr>
        <w:t xml:space="preserve">   </w:t>
      </w:r>
      <w:r>
        <w:rPr>
          <w:rFonts w:ascii="仿宋" w:hAnsi="仿宋" w:eastAsia="仿宋" w:cs="仿宋"/>
          <w:color w:val="000000"/>
          <w:kern w:val="0"/>
          <w:sz w:val="28"/>
          <w:szCs w:val="28"/>
          <w:lang w:val="en-US" w:eastAsia="zh-CN" w:bidi="ar"/>
        </w:rPr>
        <w:t>文化体育与传媒（类）文化（款）其他文化支出（项）：指用于除</w:t>
      </w:r>
      <w:r>
        <w:rPr>
          <w:rFonts w:hint="eastAsia" w:ascii="仿宋" w:hAnsi="仿宋" w:eastAsia="仿宋" w:cs="仿宋"/>
          <w:color w:val="000000"/>
          <w:kern w:val="0"/>
          <w:sz w:val="28"/>
          <w:szCs w:val="28"/>
          <w:lang w:val="en-US" w:eastAsia="zh-CN" w:bidi="ar"/>
        </w:rPr>
        <w:t>文化</w:t>
      </w:r>
      <w:r>
        <w:rPr>
          <w:rFonts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val="en-US" w:eastAsia="zh-CN" w:bidi="ar"/>
        </w:rPr>
        <w:t>机构行政运行、一般行政管理事务、机关服务、图书馆、文化展示及纪念机 构、艺术表演场所、艺术表演团体、文化活动、群众文化、文化交流与合作 、文化创作与保护、文化市场管理等以外的其他文化方面的支出。</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文化体育与传媒（类）新闻出版广播影视（款）广播（项）：指国家和地方广播电台、广播发射台、广播转播台等机构日常运行管理的支出。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文化体育与传媒（类）新闻出版广播影视（款）电视（项）：指国家和 地方电视台、电视发射台、电视转播台等机构日常运行管理的支出。</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文化体育与传媒（类）新闻出版广播影视（款）其他新闻出版广播影视（项）：指除新闻出版广播影视机关服务、广播、电视、电影、新闻通讯、出版发行、版权管理等以外的其他新闻出版广播影视支出。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文化体育与传媒（类）其他文化体育与传媒支出（款）宣传文化发展专项支出（项）：指反映按照国家有关政策支持宣传文化单位发展 的专项支出。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文化体育与传媒（类）其他文化体育与传媒支出（款）文化产业发展专项（项）：指由中央财政安排,专项用于提高文化产业整体实力，促进经济发展方式转变和结构战略性调整，推动文化产业跨越式发展</w:t>
      </w:r>
      <w:bookmarkStart w:id="0" w:name="_GoBack"/>
      <w:bookmarkEnd w:id="0"/>
      <w:r>
        <w:rPr>
          <w:rFonts w:hint="eastAsia" w:ascii="仿宋" w:hAnsi="仿宋" w:eastAsia="仿宋" w:cs="仿宋"/>
          <w:color w:val="000000"/>
          <w:kern w:val="0"/>
          <w:sz w:val="28"/>
          <w:szCs w:val="28"/>
          <w:lang w:val="en-US" w:eastAsia="zh-CN" w:bidi="ar"/>
        </w:rPr>
        <w:t xml:space="preserve">的支出。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文化体育教育与传媒（类）其他文化体育与传媒（款）其他文化体育与传媒（项）：指除宣传文化发展专项支出、文化产业发展专项支出以外的其他文化体育与传媒的支出。</w:t>
      </w:r>
    </w:p>
    <w:p>
      <w:pPr>
        <w:keepNext w:val="0"/>
        <w:keepLines w:val="0"/>
        <w:widowControl/>
        <w:suppressLineNumbers w:val="0"/>
        <w:ind w:firstLine="560" w:firstLineChars="200"/>
        <w:jc w:val="left"/>
      </w:pPr>
      <w:r>
        <w:rPr>
          <w:rFonts w:ascii="仿宋" w:hAnsi="仿宋" w:eastAsia="仿宋" w:cs="仿宋"/>
          <w:color w:val="000000"/>
          <w:kern w:val="0"/>
          <w:sz w:val="28"/>
          <w:szCs w:val="28"/>
          <w:lang w:val="en-US" w:eastAsia="zh-CN" w:bidi="ar"/>
        </w:rPr>
        <w:t>“三公”经费支出：指因公出国（境）经费、公务车购置及运行维</w:t>
      </w:r>
      <w:r>
        <w:rPr>
          <w:rFonts w:hint="eastAsia" w:ascii="仿宋" w:hAnsi="仿宋" w:eastAsia="仿宋" w:cs="仿宋"/>
          <w:color w:val="000000"/>
          <w:kern w:val="0"/>
          <w:sz w:val="28"/>
          <w:szCs w:val="28"/>
          <w:lang w:val="en-US" w:eastAsia="zh-CN" w:bidi="ar"/>
        </w:rPr>
        <w:t xml:space="preserve">护费、公务接待费，其中：因公出国（境）经费反映公务出国（境）的国际旅费、国外城市间交通费、住宿费、伙食费、培训费、公杂费 等支出；公务车购置经费反映购买公务车的支出；公务车运行维护费反映公务用车燃料费、维修费、过桥过路费、保险费、安全奖励费用等支出；公务接待费反映按规定开支的各类公务接待（含外宾接待）费用。 </w:t>
      </w:r>
    </w:p>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1F380"/>
    <w:multiLevelType w:val="singleLevel"/>
    <w:tmpl w:val="98F1F380"/>
    <w:lvl w:ilvl="0" w:tentative="0">
      <w:start w:val="2"/>
      <w:numFmt w:val="chineseCounting"/>
      <w:suff w:val="space"/>
      <w:lvlText w:val="第%1部分"/>
      <w:lvlJc w:val="left"/>
      <w:rPr>
        <w:rFonts w:hint="eastAsia"/>
      </w:rPr>
    </w:lvl>
  </w:abstractNum>
  <w:abstractNum w:abstractNumId="1">
    <w:nsid w:val="589C07E5"/>
    <w:multiLevelType w:val="multilevel"/>
    <w:tmpl w:val="589C07E5"/>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3F6F"/>
    <w:rsid w:val="0B47432E"/>
    <w:rsid w:val="23EF4C40"/>
    <w:rsid w:val="2CDE1489"/>
    <w:rsid w:val="352A495A"/>
    <w:rsid w:val="47283747"/>
    <w:rsid w:val="4BA6232D"/>
    <w:rsid w:val="4C0149EB"/>
    <w:rsid w:val="640E0AFE"/>
    <w:rsid w:val="6B9A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 w:type="character" w:customStyle="1" w:styleId="5">
    <w:name w:val="font0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Administrator</cp:lastModifiedBy>
  <dcterms:modified xsi:type="dcterms:W3CDTF">2020-10-13T03:10:03Z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