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3A6DE">
      <w:pPr>
        <w:spacing w:line="600" w:lineRule="exact"/>
        <w:jc w:val="center"/>
        <w:rPr>
          <w:rFonts w:ascii="黑体" w:eastAsia="黑体"/>
          <w:sz w:val="44"/>
          <w:szCs w:val="36"/>
        </w:rPr>
      </w:pPr>
      <w:r>
        <w:rPr>
          <w:rFonts w:hint="eastAsia" w:ascii="黑体" w:hAnsi="黑体" w:eastAsia="黑体"/>
          <w:sz w:val="44"/>
          <w:szCs w:val="36"/>
        </w:rPr>
        <w:t>景德镇市社联</w:t>
      </w:r>
      <w:r>
        <w:rPr>
          <w:rFonts w:ascii="黑体" w:eastAsia="黑体"/>
          <w:sz w:val="44"/>
          <w:szCs w:val="36"/>
        </w:rPr>
        <w:t>2019</w:t>
      </w:r>
      <w:r>
        <w:rPr>
          <w:rFonts w:hint="eastAsia" w:ascii="黑体" w:eastAsia="黑体"/>
          <w:sz w:val="44"/>
          <w:szCs w:val="36"/>
        </w:rPr>
        <w:t>年度部门决算</w:t>
      </w:r>
    </w:p>
    <w:p w14:paraId="4E7CAE7E">
      <w:pPr>
        <w:spacing w:line="600" w:lineRule="exact"/>
        <w:jc w:val="center"/>
        <w:rPr>
          <w:rFonts w:ascii="黑体" w:eastAsia="黑体"/>
          <w:sz w:val="44"/>
          <w:szCs w:val="36"/>
        </w:rPr>
      </w:pPr>
    </w:p>
    <w:p w14:paraId="5B262B89">
      <w:pPr>
        <w:spacing w:line="600" w:lineRule="exact"/>
        <w:jc w:val="center"/>
        <w:rPr>
          <w:rFonts w:ascii="黑体" w:eastAsia="黑体"/>
          <w:sz w:val="40"/>
          <w:szCs w:val="36"/>
        </w:rPr>
      </w:pPr>
      <w:r>
        <w:rPr>
          <w:rFonts w:hint="eastAsia" w:ascii="黑体" w:eastAsia="黑体"/>
          <w:sz w:val="40"/>
          <w:szCs w:val="36"/>
        </w:rPr>
        <w:t>目</w:t>
      </w:r>
      <w:r>
        <w:rPr>
          <w:rFonts w:ascii="黑体" w:eastAsia="黑体"/>
          <w:sz w:val="40"/>
          <w:szCs w:val="36"/>
        </w:rPr>
        <w:t xml:space="preserve">    </w:t>
      </w:r>
      <w:r>
        <w:rPr>
          <w:rFonts w:hint="eastAsia" w:ascii="黑体" w:eastAsia="黑体"/>
          <w:sz w:val="40"/>
          <w:szCs w:val="36"/>
        </w:rPr>
        <w:t>录</w:t>
      </w:r>
    </w:p>
    <w:p w14:paraId="0ED9A6B1">
      <w:pPr>
        <w:widowControl/>
        <w:spacing w:line="600" w:lineRule="exact"/>
        <w:ind w:firstLine="640"/>
        <w:jc w:val="left"/>
        <w:rPr>
          <w:rFonts w:ascii="仿宋_GB2312" w:eastAsia="仿宋_GB2312"/>
          <w:sz w:val="32"/>
          <w:szCs w:val="30"/>
        </w:rPr>
      </w:pPr>
    </w:p>
    <w:p w14:paraId="078909FC">
      <w:pPr>
        <w:widowControl/>
        <w:spacing w:line="600" w:lineRule="exact"/>
        <w:ind w:firstLine="640"/>
        <w:jc w:val="left"/>
        <w:rPr>
          <w:rFonts w:ascii="黑体" w:hAnsi="黑体" w:eastAsia="黑体"/>
          <w:b/>
          <w:sz w:val="32"/>
          <w:szCs w:val="32"/>
        </w:rPr>
      </w:pPr>
      <w:r>
        <w:rPr>
          <w:rFonts w:hint="eastAsia" w:ascii="黑体" w:hAnsi="黑体" w:eastAsia="黑体"/>
          <w:b/>
          <w:sz w:val="32"/>
          <w:szCs w:val="32"/>
        </w:rPr>
        <w:t>第一部分</w:t>
      </w:r>
      <w:r>
        <w:rPr>
          <w:rFonts w:ascii="黑体" w:hAnsi="黑体" w:eastAsia="黑体"/>
          <w:b/>
          <w:sz w:val="32"/>
          <w:szCs w:val="32"/>
        </w:rPr>
        <w:t xml:space="preserve">  </w:t>
      </w:r>
      <w:r>
        <w:rPr>
          <w:rFonts w:hint="eastAsia" w:ascii="黑体" w:hAnsi="黑体" w:eastAsia="黑体"/>
          <w:sz w:val="32"/>
          <w:szCs w:val="32"/>
        </w:rPr>
        <w:t>景德镇市社联部门</w:t>
      </w:r>
      <w:r>
        <w:rPr>
          <w:rFonts w:hint="eastAsia" w:ascii="黑体" w:hAnsi="黑体" w:eastAsia="黑体"/>
          <w:b/>
          <w:sz w:val="32"/>
          <w:szCs w:val="32"/>
        </w:rPr>
        <w:t>概况</w:t>
      </w:r>
    </w:p>
    <w:p w14:paraId="631B9A0D">
      <w:pPr>
        <w:widowControl/>
        <w:spacing w:line="600" w:lineRule="exact"/>
        <w:ind w:firstLine="640"/>
        <w:jc w:val="left"/>
        <w:rPr>
          <w:rFonts w:ascii="仿宋" w:hAnsi="仿宋" w:eastAsia="仿宋"/>
          <w:sz w:val="32"/>
          <w:szCs w:val="30"/>
        </w:rPr>
      </w:pPr>
      <w:r>
        <w:rPr>
          <w:rFonts w:ascii="仿宋_GB2312" w:eastAsia="仿宋_GB2312"/>
          <w:b/>
          <w:sz w:val="32"/>
          <w:szCs w:val="30"/>
        </w:rPr>
        <w:t xml:space="preserve">    </w:t>
      </w:r>
      <w:r>
        <w:rPr>
          <w:rFonts w:hint="eastAsia" w:ascii="仿宋" w:hAnsi="仿宋" w:eastAsia="仿宋"/>
          <w:sz w:val="32"/>
          <w:szCs w:val="30"/>
        </w:rPr>
        <w:t>一、部门主要职责</w:t>
      </w:r>
    </w:p>
    <w:p w14:paraId="3AA41C7E">
      <w:pPr>
        <w:widowControl/>
        <w:spacing w:line="600" w:lineRule="exact"/>
        <w:ind w:firstLine="640"/>
        <w:jc w:val="left"/>
        <w:rPr>
          <w:rFonts w:ascii="仿宋" w:hAnsi="仿宋" w:eastAsia="仿宋" w:cs="宋体"/>
          <w:kern w:val="0"/>
          <w:sz w:val="32"/>
          <w:szCs w:val="32"/>
        </w:rPr>
      </w:pPr>
      <w:r>
        <w:rPr>
          <w:rFonts w:ascii="仿宋" w:hAnsi="仿宋" w:eastAsia="仿宋" w:cs="宋体"/>
          <w:kern w:val="0"/>
          <w:sz w:val="32"/>
          <w:szCs w:val="32"/>
        </w:rPr>
        <w:t xml:space="preserve">    </w:t>
      </w:r>
      <w:r>
        <w:rPr>
          <w:rFonts w:hint="eastAsia" w:ascii="仿宋" w:hAnsi="仿宋" w:eastAsia="仿宋" w:cs="宋体"/>
          <w:kern w:val="0"/>
          <w:sz w:val="32"/>
          <w:szCs w:val="32"/>
        </w:rPr>
        <w:t>二、部门基本情况</w:t>
      </w:r>
    </w:p>
    <w:p w14:paraId="57F0C771">
      <w:pPr>
        <w:widowControl/>
        <w:spacing w:line="600" w:lineRule="exact"/>
        <w:ind w:firstLine="640"/>
        <w:jc w:val="left"/>
        <w:rPr>
          <w:rFonts w:ascii="黑体" w:hAnsi="黑体" w:eastAsia="黑体"/>
          <w:sz w:val="32"/>
          <w:szCs w:val="32"/>
        </w:rPr>
      </w:pPr>
      <w:r>
        <w:rPr>
          <w:rFonts w:hint="eastAsia" w:ascii="黑体" w:hAnsi="黑体" w:eastAsia="黑体"/>
          <w:sz w:val="32"/>
          <w:szCs w:val="32"/>
        </w:rPr>
        <w:t>第二部分</w:t>
      </w:r>
      <w:r>
        <w:rPr>
          <w:rFonts w:ascii="黑体" w:hAnsi="黑体" w:eastAsia="黑体"/>
          <w:sz w:val="32"/>
          <w:szCs w:val="32"/>
        </w:rPr>
        <w:t xml:space="preserve">  2019</w:t>
      </w:r>
      <w:r>
        <w:rPr>
          <w:rFonts w:hint="eastAsia" w:ascii="黑体" w:hAnsi="黑体" w:eastAsia="黑体"/>
          <w:sz w:val="32"/>
          <w:szCs w:val="32"/>
        </w:rPr>
        <w:t>年度部门决算表</w:t>
      </w:r>
    </w:p>
    <w:p w14:paraId="79290687">
      <w:pPr>
        <w:widowControl/>
        <w:spacing w:line="600" w:lineRule="exact"/>
        <w:ind w:firstLine="1280" w:firstLineChars="400"/>
        <w:jc w:val="left"/>
        <w:rPr>
          <w:rFonts w:ascii="仿宋" w:hAnsi="仿宋" w:eastAsia="仿宋"/>
          <w:sz w:val="32"/>
          <w:szCs w:val="30"/>
        </w:rPr>
      </w:pPr>
      <w:r>
        <w:rPr>
          <w:rFonts w:hint="eastAsia" w:ascii="仿宋" w:hAnsi="仿宋" w:eastAsia="仿宋"/>
          <w:sz w:val="32"/>
          <w:szCs w:val="30"/>
        </w:rPr>
        <w:t>一、收入支出决算总表</w:t>
      </w:r>
    </w:p>
    <w:p w14:paraId="7C46F5B6">
      <w:pPr>
        <w:widowControl/>
        <w:spacing w:line="600" w:lineRule="exact"/>
        <w:ind w:firstLine="1280" w:firstLineChars="400"/>
        <w:jc w:val="left"/>
        <w:rPr>
          <w:rFonts w:ascii="仿宋" w:hAnsi="仿宋" w:eastAsia="仿宋"/>
          <w:sz w:val="32"/>
          <w:szCs w:val="30"/>
        </w:rPr>
      </w:pPr>
      <w:r>
        <w:rPr>
          <w:rFonts w:hint="eastAsia" w:ascii="仿宋" w:hAnsi="仿宋" w:eastAsia="仿宋"/>
          <w:sz w:val="32"/>
          <w:szCs w:val="30"/>
        </w:rPr>
        <w:t>二、收入决算表</w:t>
      </w:r>
    </w:p>
    <w:p w14:paraId="5E836068">
      <w:pPr>
        <w:widowControl/>
        <w:spacing w:line="600" w:lineRule="exact"/>
        <w:ind w:firstLine="640"/>
        <w:jc w:val="left"/>
        <w:rPr>
          <w:rFonts w:ascii="仿宋" w:hAnsi="仿宋" w:eastAsia="仿宋" w:cs="宋体"/>
          <w:kern w:val="0"/>
          <w:sz w:val="32"/>
          <w:szCs w:val="32"/>
        </w:rPr>
      </w:pPr>
      <w:r>
        <w:rPr>
          <w:rFonts w:ascii="仿宋" w:hAnsi="仿宋" w:eastAsia="仿宋" w:cs="宋体"/>
          <w:kern w:val="0"/>
          <w:sz w:val="32"/>
          <w:szCs w:val="32"/>
        </w:rPr>
        <w:t xml:space="preserve">    </w:t>
      </w:r>
      <w:r>
        <w:rPr>
          <w:rFonts w:hint="eastAsia" w:ascii="仿宋" w:hAnsi="仿宋" w:eastAsia="仿宋" w:cs="宋体"/>
          <w:kern w:val="0"/>
          <w:sz w:val="32"/>
          <w:szCs w:val="32"/>
        </w:rPr>
        <w:t>三、支出决算表</w:t>
      </w:r>
    </w:p>
    <w:p w14:paraId="21FE9212">
      <w:pPr>
        <w:widowControl/>
        <w:spacing w:line="600" w:lineRule="exact"/>
        <w:ind w:firstLine="640"/>
        <w:jc w:val="left"/>
        <w:rPr>
          <w:rFonts w:ascii="仿宋" w:hAnsi="仿宋" w:eastAsia="仿宋" w:cs="宋体"/>
          <w:kern w:val="0"/>
          <w:sz w:val="32"/>
          <w:szCs w:val="32"/>
        </w:rPr>
      </w:pPr>
      <w:r>
        <w:rPr>
          <w:rFonts w:ascii="仿宋" w:hAnsi="仿宋" w:eastAsia="仿宋" w:cs="宋体"/>
          <w:kern w:val="0"/>
          <w:sz w:val="32"/>
          <w:szCs w:val="32"/>
        </w:rPr>
        <w:t xml:space="preserve">    </w:t>
      </w:r>
      <w:r>
        <w:rPr>
          <w:rFonts w:hint="eastAsia" w:ascii="仿宋" w:hAnsi="仿宋" w:eastAsia="仿宋" w:cs="宋体"/>
          <w:kern w:val="0"/>
          <w:sz w:val="32"/>
          <w:szCs w:val="32"/>
        </w:rPr>
        <w:t>四、财政拨款收入支出决算总表</w:t>
      </w:r>
    </w:p>
    <w:p w14:paraId="0F2AA6DF">
      <w:pPr>
        <w:widowControl/>
        <w:spacing w:line="600" w:lineRule="exact"/>
        <w:ind w:firstLine="640"/>
        <w:jc w:val="left"/>
        <w:rPr>
          <w:rFonts w:ascii="仿宋" w:hAnsi="仿宋" w:eastAsia="仿宋" w:cs="宋体"/>
          <w:kern w:val="0"/>
          <w:sz w:val="32"/>
          <w:szCs w:val="32"/>
        </w:rPr>
      </w:pPr>
      <w:r>
        <w:rPr>
          <w:rFonts w:ascii="仿宋" w:hAnsi="仿宋" w:eastAsia="仿宋" w:cs="宋体"/>
          <w:kern w:val="0"/>
          <w:sz w:val="32"/>
          <w:szCs w:val="32"/>
        </w:rPr>
        <w:t xml:space="preserve">    </w:t>
      </w:r>
      <w:r>
        <w:rPr>
          <w:rFonts w:hint="eastAsia" w:ascii="仿宋" w:hAnsi="仿宋" w:eastAsia="仿宋" w:cs="宋体"/>
          <w:kern w:val="0"/>
          <w:sz w:val="32"/>
          <w:szCs w:val="32"/>
        </w:rPr>
        <w:t>五、一般公共预算财政拨款支出决算表</w:t>
      </w:r>
    </w:p>
    <w:p w14:paraId="36779107">
      <w:pPr>
        <w:widowControl/>
        <w:spacing w:line="600" w:lineRule="exact"/>
        <w:ind w:firstLine="640"/>
        <w:jc w:val="left"/>
        <w:rPr>
          <w:rFonts w:ascii="仿宋" w:hAnsi="仿宋" w:eastAsia="仿宋" w:cs="宋体"/>
          <w:kern w:val="0"/>
          <w:sz w:val="32"/>
          <w:szCs w:val="32"/>
        </w:rPr>
      </w:pPr>
      <w:r>
        <w:rPr>
          <w:rFonts w:ascii="仿宋" w:hAnsi="仿宋" w:eastAsia="仿宋" w:cs="宋体"/>
          <w:kern w:val="0"/>
          <w:sz w:val="32"/>
          <w:szCs w:val="32"/>
        </w:rPr>
        <w:t xml:space="preserve">    </w:t>
      </w:r>
      <w:r>
        <w:rPr>
          <w:rFonts w:hint="eastAsia" w:ascii="仿宋" w:hAnsi="仿宋" w:eastAsia="仿宋" w:cs="宋体"/>
          <w:kern w:val="0"/>
          <w:sz w:val="32"/>
          <w:szCs w:val="32"/>
        </w:rPr>
        <w:t>六、一般公共预算财政拨款基本支出决算表</w:t>
      </w:r>
    </w:p>
    <w:p w14:paraId="01F50EA8">
      <w:pPr>
        <w:widowControl/>
        <w:spacing w:line="600" w:lineRule="exact"/>
        <w:ind w:firstLine="640"/>
        <w:jc w:val="left"/>
        <w:rPr>
          <w:rFonts w:ascii="仿宋" w:hAnsi="仿宋" w:eastAsia="仿宋" w:cs="宋体"/>
          <w:kern w:val="0"/>
          <w:sz w:val="32"/>
          <w:szCs w:val="32"/>
        </w:rPr>
      </w:pPr>
      <w:r>
        <w:rPr>
          <w:rFonts w:ascii="仿宋" w:hAnsi="仿宋" w:eastAsia="仿宋" w:cs="宋体"/>
          <w:kern w:val="0"/>
          <w:sz w:val="32"/>
          <w:szCs w:val="32"/>
        </w:rPr>
        <w:t xml:space="preserve">    </w:t>
      </w:r>
      <w:r>
        <w:rPr>
          <w:rFonts w:hint="eastAsia" w:ascii="仿宋" w:hAnsi="仿宋" w:eastAsia="仿宋" w:cs="宋体"/>
          <w:kern w:val="0"/>
          <w:sz w:val="32"/>
          <w:szCs w:val="32"/>
        </w:rPr>
        <w:t>七、一般公共预算财政拨款“三公”经费支出决算</w:t>
      </w:r>
    </w:p>
    <w:p w14:paraId="54128C79">
      <w:pPr>
        <w:widowControl/>
        <w:spacing w:line="600" w:lineRule="exact"/>
        <w:ind w:firstLine="640"/>
        <w:jc w:val="left"/>
        <w:rPr>
          <w:rFonts w:ascii="仿宋" w:hAnsi="仿宋" w:eastAsia="仿宋" w:cs="宋体"/>
          <w:kern w:val="0"/>
          <w:sz w:val="32"/>
          <w:szCs w:val="32"/>
        </w:rPr>
      </w:pPr>
      <w:r>
        <w:rPr>
          <w:rFonts w:hint="eastAsia" w:ascii="仿宋" w:hAnsi="仿宋" w:eastAsia="仿宋" w:cs="宋体"/>
          <w:kern w:val="0"/>
          <w:sz w:val="32"/>
          <w:szCs w:val="32"/>
        </w:rPr>
        <w:t>表</w:t>
      </w:r>
    </w:p>
    <w:p w14:paraId="3BF3DC6D">
      <w:pPr>
        <w:widowControl/>
        <w:spacing w:line="600" w:lineRule="exact"/>
        <w:ind w:firstLine="640"/>
        <w:jc w:val="left"/>
        <w:rPr>
          <w:rFonts w:ascii="仿宋" w:hAnsi="仿宋" w:eastAsia="仿宋" w:cs="宋体"/>
          <w:kern w:val="0"/>
          <w:sz w:val="32"/>
          <w:szCs w:val="32"/>
        </w:rPr>
      </w:pPr>
      <w:r>
        <w:rPr>
          <w:rFonts w:ascii="仿宋" w:hAnsi="仿宋" w:eastAsia="仿宋" w:cs="宋体"/>
          <w:kern w:val="0"/>
          <w:sz w:val="32"/>
          <w:szCs w:val="32"/>
        </w:rPr>
        <w:t xml:space="preserve">    </w:t>
      </w:r>
      <w:r>
        <w:rPr>
          <w:rFonts w:hint="eastAsia" w:ascii="仿宋" w:hAnsi="仿宋" w:eastAsia="仿宋" w:cs="宋体"/>
          <w:kern w:val="0"/>
          <w:sz w:val="32"/>
          <w:szCs w:val="32"/>
        </w:rPr>
        <w:t>八、政府性基金预算财政拨款收入支出决算表</w:t>
      </w:r>
    </w:p>
    <w:p w14:paraId="75F4BB23">
      <w:pPr>
        <w:widowControl/>
        <w:spacing w:line="600" w:lineRule="exact"/>
        <w:ind w:firstLine="640"/>
        <w:jc w:val="left"/>
        <w:rPr>
          <w:rFonts w:ascii="仿宋" w:hAnsi="仿宋" w:eastAsia="仿宋" w:cs="宋体"/>
          <w:kern w:val="0"/>
          <w:sz w:val="32"/>
          <w:szCs w:val="32"/>
        </w:rPr>
      </w:pPr>
      <w:r>
        <w:rPr>
          <w:rFonts w:ascii="仿宋" w:hAnsi="仿宋" w:eastAsia="仿宋" w:cs="宋体"/>
          <w:kern w:val="0"/>
          <w:sz w:val="32"/>
          <w:szCs w:val="32"/>
        </w:rPr>
        <w:t xml:space="preserve">    </w:t>
      </w:r>
      <w:r>
        <w:rPr>
          <w:rFonts w:hint="eastAsia" w:ascii="仿宋" w:hAnsi="仿宋" w:eastAsia="仿宋" w:cs="宋体"/>
          <w:kern w:val="0"/>
          <w:sz w:val="32"/>
          <w:szCs w:val="32"/>
        </w:rPr>
        <w:t>九、国有资产占用情况表</w:t>
      </w:r>
    </w:p>
    <w:p w14:paraId="6D4322B9">
      <w:pPr>
        <w:widowControl/>
        <w:spacing w:line="600" w:lineRule="exact"/>
        <w:jc w:val="left"/>
        <w:rPr>
          <w:rFonts w:ascii="黑体" w:hAnsi="黑体" w:eastAsia="黑体"/>
          <w:sz w:val="32"/>
          <w:szCs w:val="32"/>
        </w:rPr>
      </w:pPr>
      <w:r>
        <w:rPr>
          <w:rFonts w:ascii="仿宋" w:hAnsi="仿宋" w:eastAsia="仿宋" w:cs="宋体"/>
          <w:kern w:val="0"/>
          <w:sz w:val="32"/>
          <w:szCs w:val="32"/>
        </w:rPr>
        <w:t xml:space="preserve">    </w:t>
      </w:r>
      <w:r>
        <w:rPr>
          <w:rFonts w:hint="eastAsia" w:ascii="黑体" w:hAnsi="黑体" w:eastAsia="黑体"/>
          <w:sz w:val="32"/>
          <w:szCs w:val="32"/>
        </w:rPr>
        <w:t>第三部分</w:t>
      </w:r>
      <w:r>
        <w:rPr>
          <w:rFonts w:ascii="黑体" w:hAnsi="黑体" w:eastAsia="黑体"/>
          <w:sz w:val="32"/>
          <w:szCs w:val="32"/>
        </w:rPr>
        <w:t xml:space="preserve">  2019</w:t>
      </w:r>
      <w:r>
        <w:rPr>
          <w:rFonts w:hint="eastAsia" w:ascii="黑体" w:hAnsi="黑体" w:eastAsia="黑体"/>
          <w:sz w:val="32"/>
          <w:szCs w:val="32"/>
        </w:rPr>
        <w:t>年度部门决算情况说明</w:t>
      </w:r>
    </w:p>
    <w:p w14:paraId="11114947">
      <w:pPr>
        <w:widowControl/>
        <w:spacing w:line="600" w:lineRule="exact"/>
        <w:ind w:firstLine="1280" w:firstLineChars="400"/>
        <w:jc w:val="left"/>
        <w:rPr>
          <w:rFonts w:ascii="仿宋" w:hAnsi="仿宋" w:eastAsia="仿宋"/>
          <w:sz w:val="32"/>
          <w:szCs w:val="30"/>
        </w:rPr>
      </w:pPr>
      <w:r>
        <w:rPr>
          <w:rFonts w:hint="eastAsia" w:ascii="仿宋" w:hAnsi="仿宋" w:eastAsia="仿宋"/>
          <w:sz w:val="32"/>
          <w:szCs w:val="30"/>
        </w:rPr>
        <w:t>一、收入决算情况说明</w:t>
      </w:r>
    </w:p>
    <w:p w14:paraId="7E7B1ECD">
      <w:pPr>
        <w:widowControl/>
        <w:spacing w:line="600" w:lineRule="exact"/>
        <w:ind w:firstLine="1280" w:firstLineChars="400"/>
        <w:jc w:val="left"/>
        <w:rPr>
          <w:rFonts w:ascii="仿宋" w:hAnsi="仿宋" w:eastAsia="仿宋"/>
          <w:sz w:val="32"/>
          <w:szCs w:val="30"/>
        </w:rPr>
      </w:pPr>
      <w:r>
        <w:rPr>
          <w:rFonts w:hint="eastAsia" w:ascii="仿宋" w:hAnsi="仿宋" w:eastAsia="仿宋"/>
          <w:sz w:val="32"/>
          <w:szCs w:val="30"/>
        </w:rPr>
        <w:t>二、支出决算情况说明</w:t>
      </w:r>
    </w:p>
    <w:p w14:paraId="620D7563">
      <w:pPr>
        <w:widowControl/>
        <w:spacing w:line="600" w:lineRule="exact"/>
        <w:ind w:firstLine="1280" w:firstLineChars="400"/>
        <w:jc w:val="left"/>
        <w:rPr>
          <w:rFonts w:ascii="仿宋" w:hAnsi="仿宋" w:eastAsia="仿宋"/>
          <w:sz w:val="32"/>
          <w:szCs w:val="30"/>
        </w:rPr>
      </w:pPr>
      <w:r>
        <w:rPr>
          <w:rFonts w:hint="eastAsia" w:ascii="仿宋" w:hAnsi="仿宋" w:eastAsia="仿宋"/>
          <w:sz w:val="32"/>
          <w:szCs w:val="30"/>
        </w:rPr>
        <w:t>三、财政拨款支出决算情况说明</w:t>
      </w:r>
    </w:p>
    <w:p w14:paraId="660F5998">
      <w:pPr>
        <w:widowControl/>
        <w:spacing w:line="600" w:lineRule="exact"/>
        <w:ind w:firstLine="1280" w:firstLineChars="400"/>
        <w:jc w:val="left"/>
        <w:rPr>
          <w:rFonts w:ascii="仿宋" w:hAnsi="仿宋" w:eastAsia="仿宋"/>
          <w:sz w:val="32"/>
          <w:szCs w:val="30"/>
        </w:rPr>
      </w:pPr>
      <w:r>
        <w:rPr>
          <w:rFonts w:hint="eastAsia" w:ascii="仿宋" w:hAnsi="仿宋" w:eastAsia="仿宋"/>
          <w:sz w:val="32"/>
          <w:szCs w:val="30"/>
        </w:rPr>
        <w:t>四、一般公共预算财政拨款基本支出决算情况说明</w:t>
      </w:r>
    </w:p>
    <w:p w14:paraId="4092A5BC">
      <w:pPr>
        <w:widowControl/>
        <w:spacing w:line="600" w:lineRule="exact"/>
        <w:ind w:firstLine="1280" w:firstLineChars="400"/>
        <w:jc w:val="left"/>
        <w:rPr>
          <w:rFonts w:ascii="仿宋" w:hAnsi="仿宋" w:eastAsia="仿宋"/>
          <w:sz w:val="32"/>
          <w:szCs w:val="30"/>
        </w:rPr>
      </w:pPr>
      <w:r>
        <w:rPr>
          <w:rFonts w:hint="eastAsia" w:ascii="仿宋" w:hAnsi="仿宋" w:eastAsia="仿宋"/>
          <w:sz w:val="32"/>
          <w:szCs w:val="30"/>
        </w:rPr>
        <w:t>五、一般公共预算财政拨款“三公”经费支出决算</w:t>
      </w:r>
    </w:p>
    <w:p w14:paraId="7A3F35FD">
      <w:pPr>
        <w:widowControl/>
        <w:spacing w:line="600" w:lineRule="exact"/>
        <w:jc w:val="left"/>
        <w:rPr>
          <w:rFonts w:ascii="仿宋" w:hAnsi="仿宋" w:eastAsia="仿宋"/>
          <w:sz w:val="32"/>
          <w:szCs w:val="30"/>
        </w:rPr>
      </w:pPr>
      <w:r>
        <w:rPr>
          <w:rFonts w:ascii="仿宋" w:hAnsi="仿宋" w:eastAsia="仿宋"/>
          <w:sz w:val="32"/>
          <w:szCs w:val="30"/>
        </w:rPr>
        <w:t xml:space="preserve">    </w:t>
      </w:r>
      <w:r>
        <w:rPr>
          <w:rFonts w:hint="eastAsia" w:ascii="仿宋" w:hAnsi="仿宋" w:eastAsia="仿宋"/>
          <w:sz w:val="32"/>
          <w:szCs w:val="30"/>
        </w:rPr>
        <w:t>情况说明</w:t>
      </w:r>
    </w:p>
    <w:p w14:paraId="2400CE16">
      <w:pPr>
        <w:widowControl/>
        <w:spacing w:line="600" w:lineRule="exact"/>
        <w:ind w:firstLine="1280" w:firstLineChars="400"/>
        <w:jc w:val="left"/>
        <w:rPr>
          <w:rFonts w:ascii="仿宋" w:hAnsi="仿宋" w:eastAsia="仿宋"/>
          <w:sz w:val="32"/>
          <w:szCs w:val="30"/>
        </w:rPr>
      </w:pPr>
      <w:r>
        <w:rPr>
          <w:rFonts w:hint="eastAsia" w:ascii="仿宋" w:hAnsi="仿宋" w:eastAsia="仿宋"/>
          <w:sz w:val="32"/>
          <w:szCs w:val="30"/>
        </w:rPr>
        <w:t>六、机关运行经费支出情况说明</w:t>
      </w:r>
    </w:p>
    <w:p w14:paraId="3F08CF44">
      <w:pPr>
        <w:widowControl/>
        <w:spacing w:line="600" w:lineRule="exact"/>
        <w:ind w:firstLine="640"/>
        <w:jc w:val="left"/>
        <w:rPr>
          <w:rFonts w:ascii="仿宋" w:hAnsi="仿宋" w:eastAsia="仿宋"/>
          <w:sz w:val="32"/>
          <w:szCs w:val="30"/>
        </w:rPr>
      </w:pPr>
      <w:r>
        <w:rPr>
          <w:rFonts w:ascii="仿宋" w:hAnsi="仿宋" w:eastAsia="仿宋"/>
          <w:sz w:val="32"/>
          <w:szCs w:val="30"/>
        </w:rPr>
        <w:t xml:space="preserve">    </w:t>
      </w:r>
      <w:r>
        <w:rPr>
          <w:rFonts w:hint="eastAsia" w:ascii="仿宋" w:hAnsi="仿宋" w:eastAsia="仿宋"/>
          <w:sz w:val="32"/>
          <w:szCs w:val="30"/>
        </w:rPr>
        <w:t>七、政府采购支出情况说明</w:t>
      </w:r>
    </w:p>
    <w:p w14:paraId="51FFD606">
      <w:pPr>
        <w:widowControl/>
        <w:spacing w:line="600" w:lineRule="exact"/>
        <w:ind w:firstLine="640"/>
        <w:jc w:val="left"/>
        <w:rPr>
          <w:rFonts w:ascii="仿宋" w:hAnsi="仿宋" w:eastAsia="仿宋"/>
          <w:sz w:val="32"/>
          <w:szCs w:val="30"/>
        </w:rPr>
      </w:pPr>
      <w:r>
        <w:rPr>
          <w:rFonts w:ascii="仿宋" w:hAnsi="仿宋" w:eastAsia="仿宋"/>
          <w:sz w:val="32"/>
          <w:szCs w:val="30"/>
        </w:rPr>
        <w:t xml:space="preserve">    </w:t>
      </w:r>
      <w:r>
        <w:rPr>
          <w:rFonts w:hint="eastAsia" w:ascii="仿宋" w:hAnsi="仿宋" w:eastAsia="仿宋"/>
          <w:sz w:val="32"/>
          <w:szCs w:val="30"/>
        </w:rPr>
        <w:t>八、国有资产占用情况说明</w:t>
      </w:r>
    </w:p>
    <w:p w14:paraId="0249462A">
      <w:pPr>
        <w:widowControl/>
        <w:spacing w:line="600" w:lineRule="exact"/>
        <w:ind w:firstLine="640"/>
        <w:jc w:val="left"/>
        <w:rPr>
          <w:rFonts w:ascii="仿宋" w:hAnsi="仿宋" w:eastAsia="仿宋"/>
          <w:sz w:val="32"/>
          <w:szCs w:val="30"/>
        </w:rPr>
      </w:pPr>
      <w:r>
        <w:rPr>
          <w:rFonts w:ascii="仿宋" w:hAnsi="仿宋" w:eastAsia="仿宋"/>
          <w:sz w:val="32"/>
          <w:szCs w:val="30"/>
        </w:rPr>
        <w:t xml:space="preserve">    </w:t>
      </w:r>
      <w:r>
        <w:rPr>
          <w:rFonts w:hint="eastAsia" w:ascii="仿宋" w:hAnsi="仿宋" w:eastAsia="仿宋"/>
          <w:sz w:val="32"/>
          <w:szCs w:val="30"/>
        </w:rPr>
        <w:t>九、预算绩效情况说明</w:t>
      </w:r>
    </w:p>
    <w:p w14:paraId="56BC4280">
      <w:pPr>
        <w:widowControl/>
        <w:spacing w:line="600" w:lineRule="exact"/>
        <w:ind w:firstLine="640"/>
        <w:jc w:val="left"/>
        <w:rPr>
          <w:rFonts w:ascii="仿宋" w:hAnsi="仿宋" w:eastAsia="仿宋"/>
          <w:sz w:val="32"/>
          <w:szCs w:val="30"/>
        </w:rPr>
      </w:pPr>
      <w:r>
        <w:rPr>
          <w:rFonts w:hint="eastAsia" w:ascii="黑体" w:hAnsi="黑体" w:eastAsia="黑体"/>
          <w:sz w:val="32"/>
          <w:szCs w:val="32"/>
        </w:rPr>
        <w:t>第四部分</w:t>
      </w:r>
      <w:r>
        <w:rPr>
          <w:rFonts w:ascii="黑体" w:hAnsi="黑体" w:eastAsia="黑体"/>
          <w:sz w:val="32"/>
          <w:szCs w:val="32"/>
        </w:rPr>
        <w:t xml:space="preserve">  </w:t>
      </w:r>
      <w:r>
        <w:rPr>
          <w:rFonts w:hint="eastAsia" w:ascii="黑体" w:hAnsi="黑体" w:eastAsia="黑体"/>
          <w:sz w:val="32"/>
          <w:szCs w:val="32"/>
        </w:rPr>
        <w:t>名词解释</w:t>
      </w:r>
    </w:p>
    <w:p w14:paraId="52A4D624">
      <w:pPr>
        <w:ind w:firstLine="630"/>
        <w:jc w:val="center"/>
        <w:rPr>
          <w:rFonts w:ascii="宋体"/>
          <w:b/>
          <w:sz w:val="36"/>
          <w:szCs w:val="36"/>
        </w:rPr>
      </w:pPr>
    </w:p>
    <w:p w14:paraId="432E632F">
      <w:pPr>
        <w:ind w:firstLine="630"/>
        <w:jc w:val="center"/>
        <w:rPr>
          <w:rFonts w:ascii="宋体"/>
          <w:b/>
          <w:sz w:val="36"/>
          <w:szCs w:val="36"/>
        </w:rPr>
      </w:pPr>
    </w:p>
    <w:p w14:paraId="4D6C315A">
      <w:pPr>
        <w:ind w:firstLine="630"/>
        <w:jc w:val="center"/>
        <w:rPr>
          <w:rFonts w:ascii="宋体"/>
          <w:b/>
          <w:sz w:val="36"/>
          <w:szCs w:val="36"/>
        </w:rPr>
      </w:pPr>
    </w:p>
    <w:p w14:paraId="498168D3">
      <w:pPr>
        <w:ind w:firstLine="630"/>
        <w:jc w:val="center"/>
        <w:rPr>
          <w:rFonts w:ascii="宋体"/>
          <w:b/>
          <w:sz w:val="36"/>
          <w:szCs w:val="36"/>
        </w:rPr>
      </w:pPr>
    </w:p>
    <w:p w14:paraId="48AEC5CF">
      <w:pPr>
        <w:ind w:firstLine="630"/>
        <w:jc w:val="center"/>
        <w:rPr>
          <w:rFonts w:ascii="宋体"/>
          <w:b/>
          <w:sz w:val="36"/>
          <w:szCs w:val="36"/>
        </w:rPr>
      </w:pPr>
    </w:p>
    <w:p w14:paraId="476A9CFA">
      <w:pPr>
        <w:ind w:firstLine="630"/>
        <w:jc w:val="center"/>
        <w:rPr>
          <w:rFonts w:ascii="宋体"/>
          <w:b/>
          <w:sz w:val="36"/>
          <w:szCs w:val="36"/>
        </w:rPr>
      </w:pPr>
    </w:p>
    <w:p w14:paraId="75E148D0">
      <w:pPr>
        <w:ind w:firstLine="630"/>
        <w:jc w:val="center"/>
        <w:rPr>
          <w:rFonts w:ascii="宋体"/>
          <w:b/>
          <w:sz w:val="36"/>
          <w:szCs w:val="36"/>
        </w:rPr>
      </w:pPr>
    </w:p>
    <w:p w14:paraId="27FA6498">
      <w:pPr>
        <w:ind w:firstLine="630"/>
        <w:jc w:val="center"/>
        <w:rPr>
          <w:rFonts w:ascii="宋体"/>
          <w:b/>
          <w:sz w:val="36"/>
          <w:szCs w:val="36"/>
        </w:rPr>
      </w:pPr>
    </w:p>
    <w:p w14:paraId="739BFE5F">
      <w:pPr>
        <w:rPr>
          <w:rFonts w:ascii="宋体"/>
          <w:b/>
          <w:sz w:val="36"/>
          <w:szCs w:val="36"/>
        </w:rPr>
      </w:pPr>
    </w:p>
    <w:p w14:paraId="56BC0AA8">
      <w:pPr>
        <w:ind w:firstLine="630"/>
        <w:jc w:val="center"/>
        <w:rPr>
          <w:rFonts w:ascii="宋体"/>
          <w:b/>
          <w:sz w:val="36"/>
          <w:szCs w:val="36"/>
        </w:rPr>
      </w:pPr>
    </w:p>
    <w:p w14:paraId="59AC3030">
      <w:pPr>
        <w:ind w:firstLine="630"/>
        <w:jc w:val="center"/>
        <w:rPr>
          <w:rFonts w:ascii="宋体"/>
          <w:b/>
          <w:sz w:val="36"/>
          <w:szCs w:val="36"/>
        </w:rPr>
      </w:pPr>
    </w:p>
    <w:p w14:paraId="3D91737B">
      <w:pPr>
        <w:ind w:firstLine="630"/>
        <w:jc w:val="center"/>
        <w:rPr>
          <w:rFonts w:ascii="宋体"/>
          <w:b/>
          <w:sz w:val="36"/>
          <w:szCs w:val="36"/>
        </w:rPr>
      </w:pPr>
    </w:p>
    <w:p w14:paraId="4FB412FA">
      <w:pPr>
        <w:ind w:firstLine="630"/>
        <w:jc w:val="center"/>
        <w:rPr>
          <w:rFonts w:ascii="宋体"/>
          <w:b/>
          <w:sz w:val="36"/>
          <w:szCs w:val="36"/>
        </w:rPr>
      </w:pPr>
    </w:p>
    <w:p w14:paraId="285DE2CB">
      <w:pPr>
        <w:widowControl/>
        <w:spacing w:line="580" w:lineRule="exact"/>
        <w:jc w:val="center"/>
        <w:rPr>
          <w:rFonts w:ascii="宋体"/>
          <w:b/>
          <w:sz w:val="32"/>
          <w:szCs w:val="30"/>
        </w:rPr>
      </w:pPr>
    </w:p>
    <w:p w14:paraId="083C7120">
      <w:pPr>
        <w:widowControl/>
        <w:spacing w:line="580" w:lineRule="exact"/>
        <w:jc w:val="center"/>
        <w:rPr>
          <w:rFonts w:ascii="宋体"/>
          <w:b/>
          <w:sz w:val="32"/>
          <w:szCs w:val="30"/>
        </w:rPr>
      </w:pPr>
    </w:p>
    <w:p w14:paraId="551E1E23">
      <w:pPr>
        <w:widowControl/>
        <w:spacing w:line="580" w:lineRule="exact"/>
        <w:jc w:val="center"/>
        <w:rPr>
          <w:rFonts w:ascii="宋体"/>
          <w:b/>
          <w:sz w:val="32"/>
          <w:szCs w:val="30"/>
        </w:rPr>
      </w:pPr>
      <w:r>
        <w:rPr>
          <w:rFonts w:hint="eastAsia" w:ascii="宋体" w:hAnsi="宋体"/>
          <w:b/>
          <w:sz w:val="32"/>
          <w:szCs w:val="30"/>
        </w:rPr>
        <w:t>第一部分</w:t>
      </w:r>
      <w:r>
        <w:rPr>
          <w:rFonts w:ascii="宋体" w:hAnsi="宋体"/>
          <w:b/>
          <w:sz w:val="32"/>
          <w:szCs w:val="30"/>
        </w:rPr>
        <w:t xml:space="preserve">  </w:t>
      </w:r>
      <w:r>
        <w:rPr>
          <w:rFonts w:hint="eastAsia" w:ascii="宋体" w:hAnsi="宋体"/>
          <w:b/>
          <w:sz w:val="32"/>
          <w:szCs w:val="30"/>
        </w:rPr>
        <w:t>景德镇市社联</w:t>
      </w:r>
      <w:r>
        <w:rPr>
          <w:rFonts w:hint="eastAsia" w:ascii="宋体" w:hAnsi="宋体"/>
          <w:b/>
          <w:sz w:val="32"/>
          <w:szCs w:val="32"/>
        </w:rPr>
        <w:t>部门</w:t>
      </w:r>
      <w:r>
        <w:rPr>
          <w:rFonts w:hint="eastAsia" w:ascii="宋体" w:hAnsi="宋体"/>
          <w:b/>
          <w:sz w:val="32"/>
          <w:szCs w:val="30"/>
        </w:rPr>
        <w:t>概况</w:t>
      </w:r>
    </w:p>
    <w:p w14:paraId="0EFFF56B">
      <w:pPr>
        <w:ind w:firstLine="630"/>
        <w:jc w:val="center"/>
        <w:rPr>
          <w:sz w:val="32"/>
          <w:szCs w:val="32"/>
        </w:rPr>
      </w:pPr>
    </w:p>
    <w:p w14:paraId="54F19AAA">
      <w:pPr>
        <w:numPr>
          <w:ilvl w:val="0"/>
          <w:numId w:val="1"/>
        </w:numPr>
        <w:ind w:firstLine="630"/>
        <w:jc w:val="left"/>
        <w:rPr>
          <w:rFonts w:ascii="黑体" w:hAnsi="黑体" w:eastAsia="黑体"/>
          <w:sz w:val="30"/>
          <w:szCs w:val="30"/>
        </w:rPr>
      </w:pPr>
      <w:r>
        <w:rPr>
          <w:rFonts w:hint="eastAsia" w:ascii="黑体" w:hAnsi="黑体" w:eastAsia="黑体"/>
          <w:sz w:val="30"/>
          <w:szCs w:val="30"/>
        </w:rPr>
        <w:t>部门主要职能</w:t>
      </w:r>
    </w:p>
    <w:p w14:paraId="00499006">
      <w:pPr>
        <w:pStyle w:val="2"/>
        <w:widowControl/>
        <w:shd w:val="clear" w:color="auto" w:fill="FFFFFF"/>
        <w:spacing w:beforeAutospacing="0" w:afterAutospacing="0"/>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shd w:val="clear" w:color="auto" w:fill="FFFFFF"/>
        </w:rPr>
        <w:t>（一）组织科研人员进行社会科学的基础理论研究和应用对策研究，重点研究马列主义、毛泽东思想、邓小平理论、习近平新时代中国特色社会主义思想及其在当代的发展。</w:t>
      </w:r>
    </w:p>
    <w:p w14:paraId="255E7E48">
      <w:pPr>
        <w:pStyle w:val="2"/>
        <w:widowControl/>
        <w:shd w:val="clear" w:color="auto" w:fill="FFFFFF"/>
        <w:spacing w:beforeAutospacing="0" w:afterAutospacing="0"/>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shd w:val="clear" w:color="auto" w:fill="FFFFFF"/>
        </w:rPr>
        <w:t>（二）指导所属各学会以景德镇地区的经济、政治、文化、历史等研究为立足点，把改革开放和现代化建设的重大理论和实践问题作为主攻方向，为兴景富民、领导决策提供科学依据和建议，为社会提供咨询服务。</w:t>
      </w:r>
    </w:p>
    <w:p w14:paraId="340B4447">
      <w:pPr>
        <w:pStyle w:val="2"/>
        <w:widowControl/>
        <w:shd w:val="clear" w:color="auto" w:fill="FFFFFF"/>
        <w:spacing w:beforeAutospacing="0" w:afterAutospacing="0"/>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shd w:val="clear" w:color="auto" w:fill="FFFFFF"/>
        </w:rPr>
        <w:t>（三）负责对市属社会科学学术团体及县（市、区）社联的联系、协调和业务指导。</w:t>
      </w:r>
    </w:p>
    <w:p w14:paraId="0B76C253">
      <w:pPr>
        <w:pStyle w:val="2"/>
        <w:widowControl/>
        <w:shd w:val="clear" w:color="auto" w:fill="FFFFFF"/>
        <w:spacing w:beforeAutospacing="0" w:afterAutospacing="0"/>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shd w:val="clear" w:color="auto" w:fill="FFFFFF"/>
        </w:rPr>
        <w:t>（四）组织学术活动与交流，普及社会科学知识，开展全市社会科学优秀成果的评奖活动。</w:t>
      </w:r>
    </w:p>
    <w:p w14:paraId="62891EBC">
      <w:pPr>
        <w:pStyle w:val="2"/>
        <w:widowControl/>
        <w:shd w:val="clear" w:color="auto" w:fill="FFFFFF"/>
        <w:spacing w:beforeAutospacing="0" w:afterAutospacing="0"/>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shd w:val="clear" w:color="auto" w:fill="FFFFFF"/>
        </w:rPr>
        <w:t>（五）在市社会科学规划领导小组的指导下具体负责制定和实施全市社会科学规划，负责全市和省级社会科学课题的申报、管理。</w:t>
      </w:r>
    </w:p>
    <w:p w14:paraId="7DFAF466">
      <w:pPr>
        <w:pStyle w:val="2"/>
        <w:widowControl/>
        <w:shd w:val="clear" w:color="auto" w:fill="FFFFFF"/>
        <w:spacing w:beforeAutospacing="0" w:afterAutospacing="0"/>
        <w:ind w:firstLine="600" w:firstLineChars="200"/>
        <w:rPr>
          <w:rFonts w:ascii="仿宋" w:hAnsi="仿宋" w:eastAsia="仿宋" w:cs="仿宋"/>
          <w:color w:val="000000"/>
          <w:sz w:val="30"/>
          <w:szCs w:val="30"/>
        </w:rPr>
      </w:pPr>
      <w:r>
        <w:rPr>
          <w:rFonts w:hint="eastAsia" w:ascii="仿宋" w:hAnsi="仿宋" w:eastAsia="仿宋" w:cs="仿宋"/>
          <w:color w:val="000000"/>
          <w:sz w:val="30"/>
          <w:szCs w:val="30"/>
          <w:shd w:val="clear" w:color="auto" w:fill="FFFFFF"/>
        </w:rPr>
        <w:t>（六）承办市委、市政府交办的其他事项。</w:t>
      </w:r>
    </w:p>
    <w:p w14:paraId="371DD577">
      <w:pPr>
        <w:ind w:firstLine="630"/>
        <w:jc w:val="left"/>
        <w:rPr>
          <w:rFonts w:ascii="黑体" w:hAnsi="黑体" w:eastAsia="黑体"/>
          <w:sz w:val="30"/>
          <w:szCs w:val="30"/>
        </w:rPr>
      </w:pPr>
      <w:r>
        <w:rPr>
          <w:rFonts w:hint="eastAsia" w:ascii="黑体" w:hAnsi="黑体" w:eastAsia="黑体"/>
          <w:sz w:val="30"/>
          <w:szCs w:val="30"/>
        </w:rPr>
        <w:t>二、部门基本情况</w:t>
      </w:r>
    </w:p>
    <w:p w14:paraId="742E18D5">
      <w:pPr>
        <w:ind w:firstLine="630"/>
        <w:jc w:val="left"/>
        <w:rPr>
          <w:rFonts w:ascii="仿宋" w:hAnsi="仿宋" w:eastAsia="仿宋"/>
          <w:sz w:val="30"/>
          <w:szCs w:val="30"/>
        </w:rPr>
      </w:pPr>
      <w:r>
        <w:rPr>
          <w:rFonts w:hint="eastAsia" w:ascii="仿宋" w:hAnsi="仿宋" w:eastAsia="仿宋"/>
          <w:sz w:val="30"/>
          <w:szCs w:val="30"/>
        </w:rPr>
        <w:t>纳入本套部门决算汇编范围的单位共</w:t>
      </w:r>
      <w:r>
        <w:rPr>
          <w:rFonts w:ascii="仿宋" w:hAnsi="仿宋" w:eastAsia="仿宋"/>
          <w:sz w:val="30"/>
          <w:szCs w:val="30"/>
        </w:rPr>
        <w:t>1</w:t>
      </w:r>
      <w:r>
        <w:rPr>
          <w:rFonts w:hint="eastAsia" w:ascii="仿宋" w:hAnsi="仿宋" w:eastAsia="仿宋"/>
          <w:sz w:val="30"/>
          <w:szCs w:val="30"/>
        </w:rPr>
        <w:t>个。</w:t>
      </w:r>
    </w:p>
    <w:p w14:paraId="1D9FA632">
      <w:pPr>
        <w:ind w:firstLine="630"/>
        <w:jc w:val="left"/>
        <w:rPr>
          <w:rFonts w:ascii="仿宋" w:hAnsi="仿宋" w:eastAsia="仿宋"/>
          <w:sz w:val="30"/>
          <w:szCs w:val="30"/>
        </w:rPr>
      </w:pPr>
      <w:r>
        <w:rPr>
          <w:rFonts w:hint="eastAsia" w:ascii="仿宋" w:hAnsi="仿宋" w:eastAsia="仿宋"/>
          <w:sz w:val="30"/>
          <w:szCs w:val="30"/>
        </w:rPr>
        <w:t>本部门</w:t>
      </w:r>
      <w:r>
        <w:rPr>
          <w:rFonts w:ascii="仿宋" w:hAnsi="仿宋" w:eastAsia="仿宋"/>
          <w:sz w:val="30"/>
          <w:szCs w:val="30"/>
        </w:rPr>
        <w:t>2019</w:t>
      </w:r>
      <w:r>
        <w:rPr>
          <w:rFonts w:hint="eastAsia" w:ascii="仿宋" w:hAnsi="仿宋" w:eastAsia="仿宋"/>
          <w:sz w:val="30"/>
          <w:szCs w:val="30"/>
        </w:rPr>
        <w:t>年年末实有人数</w:t>
      </w:r>
      <w:r>
        <w:rPr>
          <w:rFonts w:ascii="仿宋" w:hAnsi="仿宋" w:eastAsia="仿宋"/>
          <w:sz w:val="30"/>
          <w:szCs w:val="30"/>
        </w:rPr>
        <w:t>12</w:t>
      </w:r>
      <w:r>
        <w:rPr>
          <w:rFonts w:hint="eastAsia" w:ascii="仿宋" w:hAnsi="仿宋" w:eastAsia="仿宋"/>
          <w:sz w:val="30"/>
          <w:szCs w:val="30"/>
        </w:rPr>
        <w:t>人，其中在职人员</w:t>
      </w:r>
      <w:r>
        <w:rPr>
          <w:rFonts w:ascii="仿宋" w:hAnsi="仿宋" w:eastAsia="仿宋"/>
          <w:sz w:val="30"/>
          <w:szCs w:val="30"/>
        </w:rPr>
        <w:t>8</w:t>
      </w:r>
      <w:r>
        <w:rPr>
          <w:rFonts w:hint="eastAsia" w:ascii="仿宋" w:hAnsi="仿宋" w:eastAsia="仿宋"/>
          <w:sz w:val="30"/>
          <w:szCs w:val="30"/>
        </w:rPr>
        <w:t>人，退休人员</w:t>
      </w:r>
      <w:r>
        <w:rPr>
          <w:rFonts w:ascii="仿宋" w:hAnsi="仿宋" w:eastAsia="仿宋"/>
          <w:sz w:val="30"/>
          <w:szCs w:val="30"/>
        </w:rPr>
        <w:t>4</w:t>
      </w:r>
      <w:r>
        <w:rPr>
          <w:rFonts w:hint="eastAsia" w:ascii="仿宋" w:hAnsi="仿宋" w:eastAsia="仿宋"/>
          <w:sz w:val="30"/>
          <w:szCs w:val="30"/>
        </w:rPr>
        <w:t>人。</w:t>
      </w:r>
    </w:p>
    <w:p w14:paraId="49394F33">
      <w:pPr>
        <w:widowControl/>
        <w:spacing w:line="600" w:lineRule="exact"/>
        <w:rPr>
          <w:rFonts w:ascii="宋体"/>
          <w:b/>
          <w:sz w:val="32"/>
          <w:szCs w:val="32"/>
        </w:rPr>
      </w:pPr>
    </w:p>
    <w:p w14:paraId="6920673C">
      <w:pPr>
        <w:widowControl/>
        <w:spacing w:line="600" w:lineRule="exact"/>
        <w:ind w:firstLine="640"/>
        <w:jc w:val="center"/>
        <w:rPr>
          <w:rFonts w:ascii="宋体"/>
          <w:b/>
          <w:sz w:val="32"/>
          <w:szCs w:val="32"/>
        </w:rPr>
      </w:pPr>
      <w:r>
        <w:rPr>
          <w:rFonts w:hint="eastAsia" w:ascii="宋体" w:hAnsi="宋体"/>
          <w:b/>
          <w:sz w:val="32"/>
          <w:szCs w:val="32"/>
        </w:rPr>
        <w:t>第二部分</w:t>
      </w:r>
      <w:r>
        <w:rPr>
          <w:rFonts w:ascii="宋体" w:hAnsi="宋体"/>
          <w:b/>
          <w:sz w:val="32"/>
          <w:szCs w:val="32"/>
        </w:rPr>
        <w:t xml:space="preserve">  2019</w:t>
      </w:r>
      <w:r>
        <w:rPr>
          <w:rFonts w:hint="eastAsia" w:ascii="宋体" w:hAnsi="宋体"/>
          <w:b/>
          <w:sz w:val="32"/>
          <w:szCs w:val="32"/>
        </w:rPr>
        <w:t>年度部门决算表</w:t>
      </w:r>
    </w:p>
    <w:p w14:paraId="2C4EA3FE">
      <w:pPr>
        <w:autoSpaceDE w:val="0"/>
        <w:autoSpaceDN w:val="0"/>
        <w:adjustRightInd w:val="0"/>
        <w:spacing w:line="360" w:lineRule="auto"/>
        <w:jc w:val="left"/>
        <w:rPr>
          <w:szCs w:val="30"/>
        </w:rPr>
      </w:pPr>
    </w:p>
    <w:p w14:paraId="43383E8E">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25" o:spt="75" alt="1" type="#_x0000_t75" style="height:366.75pt;width:414.75pt;" filled="f" o:preferrelative="t" stroked="f" coordsize="21600,21600">
            <v:path/>
            <v:fill on="f" focussize="0,0"/>
            <v:stroke on="f" joinstyle="miter"/>
            <v:imagedata r:id="rId4" o:title=""/>
            <o:lock v:ext="edit" aspectratio="t"/>
            <w10:wrap type="none"/>
            <w10:anchorlock/>
          </v:shape>
        </w:pict>
      </w:r>
    </w:p>
    <w:p w14:paraId="29CE2054">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26" o:spt="75" alt="2" type="#_x0000_t75" style="height:207pt;width:414pt;" filled="f" o:preferrelative="t" stroked="f" coordsize="21600,21600">
            <v:path/>
            <v:fill on="f" focussize="0,0"/>
            <v:stroke on="f" joinstyle="miter"/>
            <v:imagedata r:id="rId5" o:title=""/>
            <o:lock v:ext="edit" aspectratio="t"/>
            <w10:wrap type="none"/>
            <w10:anchorlock/>
          </v:shape>
        </w:pict>
      </w:r>
    </w:p>
    <w:p w14:paraId="3219DE5A">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27" o:spt="75" alt="3" type="#_x0000_t75" style="height:252pt;width:411pt;" filled="f" o:preferrelative="t" stroked="f" coordsize="21600,21600">
            <v:path/>
            <v:fill on="f" focussize="0,0"/>
            <v:stroke on="f" joinstyle="miter"/>
            <v:imagedata r:id="rId6" o:title=""/>
            <o:lock v:ext="edit" aspectratio="t"/>
            <w10:wrap type="none"/>
            <w10:anchorlock/>
          </v:shape>
        </w:pict>
      </w:r>
    </w:p>
    <w:p w14:paraId="0162FF74">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28" o:spt="75" alt="4" type="#_x0000_t75" style="height:314.25pt;width:411.75pt;" filled="f" o:preferrelative="t" stroked="f" coordsize="21600,21600">
            <v:path/>
            <v:fill on="f" focussize="0,0"/>
            <v:stroke on="f" joinstyle="miter"/>
            <v:imagedata r:id="rId7" o:title=""/>
            <o:lock v:ext="edit" aspectratio="t"/>
            <w10:wrap type="none"/>
            <w10:anchorlock/>
          </v:shape>
        </w:pict>
      </w:r>
    </w:p>
    <w:p w14:paraId="32F69AE9">
      <w:pPr>
        <w:autoSpaceDE w:val="0"/>
        <w:autoSpaceDN w:val="0"/>
        <w:adjustRightInd w:val="0"/>
        <w:spacing w:line="360" w:lineRule="auto"/>
        <w:jc w:val="left"/>
        <w:rPr>
          <w:rFonts w:ascii="仿宋" w:hAnsi="仿宋" w:eastAsia="仿宋" w:cs="仿宋_GB2312"/>
          <w:kern w:val="0"/>
          <w:sz w:val="30"/>
          <w:szCs w:val="30"/>
        </w:rPr>
      </w:pPr>
    </w:p>
    <w:p w14:paraId="16FB1684">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29" o:spt="75" alt="5" type="#_x0000_t75" style="height:378pt;width:414.75pt;" filled="f" o:preferrelative="t" stroked="f" coordsize="21600,21600">
            <v:path/>
            <v:fill on="f" focussize="0,0"/>
            <v:stroke on="f" joinstyle="miter"/>
            <v:imagedata r:id="rId8" o:title=""/>
            <o:lock v:ext="edit" aspectratio="t"/>
            <w10:wrap type="none"/>
            <w10:anchorlock/>
          </v:shape>
        </w:pict>
      </w:r>
    </w:p>
    <w:p w14:paraId="13458E39">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30" o:spt="75" alt="6" type="#_x0000_t75" style="height:681.75pt;width:412.5pt;" filled="f" o:preferrelative="t" stroked="f" coordsize="21600,21600">
            <v:path/>
            <v:fill on="f" focussize="0,0"/>
            <v:stroke on="f" joinstyle="miter"/>
            <v:imagedata r:id="rId9" o:title=""/>
            <o:lock v:ext="edit" aspectratio="t"/>
            <w10:wrap type="none"/>
            <w10:anchorlock/>
          </v:shape>
        </w:pict>
      </w:r>
    </w:p>
    <w:p w14:paraId="2C3F2492">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31" o:spt="75" alt="7" type="#_x0000_t75" style="height:344.25pt;width:414.75pt;" filled="f" o:preferrelative="t" stroked="f" coordsize="21600,21600">
            <v:path/>
            <v:fill on="f" focussize="0,0"/>
            <v:stroke on="f" joinstyle="miter"/>
            <v:imagedata r:id="rId10" o:title=""/>
            <o:lock v:ext="edit" aspectratio="t"/>
            <w10:wrap type="none"/>
            <w10:anchorlock/>
          </v:shape>
        </w:pict>
      </w:r>
    </w:p>
    <w:p w14:paraId="174AE304">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32" o:spt="75" alt="8" type="#_x0000_t75" style="height:124.5pt;width:413.25pt;" filled="f" o:preferrelative="t" stroked="f" coordsize="21600,21600">
            <v:path/>
            <v:fill on="f" focussize="0,0"/>
            <v:stroke on="f" joinstyle="miter"/>
            <v:imagedata r:id="rId11" o:title=""/>
            <o:lock v:ext="edit" aspectratio="t"/>
            <w10:wrap type="none"/>
            <w10:anchorlock/>
          </v:shape>
        </w:pict>
      </w:r>
    </w:p>
    <w:p w14:paraId="52A56D3F">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33" o:spt="75" alt="9" type="#_x0000_t75" style="height:219.75pt;width:407.25pt;" filled="f" o:preferrelative="t" stroked="f" coordsize="21600,21600">
            <v:path/>
            <v:fill on="f" focussize="0,0"/>
            <v:stroke on="f" joinstyle="miter"/>
            <v:imagedata r:id="rId12" o:title=""/>
            <o:lock v:ext="edit" aspectratio="t"/>
            <w10:wrap type="none"/>
            <w10:anchorlock/>
          </v:shape>
        </w:pict>
      </w:r>
    </w:p>
    <w:p w14:paraId="3FA8E80E">
      <w:pPr>
        <w:widowControl/>
        <w:spacing w:line="600" w:lineRule="exact"/>
        <w:ind w:firstLine="640"/>
        <w:jc w:val="center"/>
        <w:rPr>
          <w:rFonts w:ascii="宋体"/>
          <w:b/>
          <w:sz w:val="32"/>
          <w:szCs w:val="32"/>
        </w:rPr>
      </w:pPr>
    </w:p>
    <w:p w14:paraId="68A01BB7">
      <w:pPr>
        <w:widowControl/>
        <w:spacing w:line="600" w:lineRule="exact"/>
        <w:jc w:val="center"/>
        <w:rPr>
          <w:rFonts w:ascii="宋体"/>
          <w:b/>
          <w:sz w:val="32"/>
          <w:szCs w:val="32"/>
        </w:rPr>
      </w:pPr>
      <w:r>
        <w:rPr>
          <w:rFonts w:hint="eastAsia" w:ascii="宋体" w:hAnsi="宋体"/>
          <w:b/>
          <w:sz w:val="32"/>
          <w:szCs w:val="32"/>
        </w:rPr>
        <w:t>第三部分</w:t>
      </w:r>
      <w:r>
        <w:rPr>
          <w:rFonts w:ascii="宋体" w:hAnsi="宋体"/>
          <w:b/>
          <w:sz w:val="32"/>
          <w:szCs w:val="32"/>
        </w:rPr>
        <w:t xml:space="preserve">  2019</w:t>
      </w:r>
      <w:r>
        <w:rPr>
          <w:rFonts w:hint="eastAsia" w:ascii="宋体" w:hAnsi="宋体"/>
          <w:b/>
          <w:sz w:val="32"/>
          <w:szCs w:val="32"/>
        </w:rPr>
        <w:t>年度部门决算情况说明</w:t>
      </w:r>
    </w:p>
    <w:p w14:paraId="0FFD88D0">
      <w:pPr>
        <w:ind w:firstLine="630"/>
        <w:jc w:val="left"/>
        <w:rPr>
          <w:rFonts w:ascii="仿宋" w:hAnsi="仿宋" w:eastAsia="仿宋"/>
          <w:sz w:val="30"/>
          <w:szCs w:val="30"/>
        </w:rPr>
      </w:pPr>
    </w:p>
    <w:p w14:paraId="0FDBAF06">
      <w:pPr>
        <w:ind w:firstLine="630"/>
        <w:jc w:val="left"/>
        <w:rPr>
          <w:rFonts w:ascii="黑体" w:hAnsi="黑体" w:eastAsia="黑体"/>
          <w:sz w:val="30"/>
          <w:szCs w:val="30"/>
        </w:rPr>
      </w:pPr>
      <w:r>
        <w:rPr>
          <w:rFonts w:hint="eastAsia" w:ascii="黑体" w:hAnsi="黑体" w:eastAsia="黑体"/>
          <w:sz w:val="30"/>
          <w:szCs w:val="30"/>
        </w:rPr>
        <w:t>一、收入决算情况说明</w:t>
      </w:r>
    </w:p>
    <w:p w14:paraId="2EDD44F1">
      <w:pPr>
        <w:ind w:firstLine="630"/>
        <w:jc w:val="left"/>
        <w:rPr>
          <w:rFonts w:hint="eastAsia" w:ascii="仿宋" w:hAnsi="仿宋" w:eastAsia="仿宋" w:cs="仿宋"/>
          <w:sz w:val="30"/>
          <w:szCs w:val="30"/>
        </w:rPr>
      </w:pPr>
      <w:r>
        <w:rPr>
          <w:rFonts w:hint="eastAsia" w:ascii="仿宋" w:hAnsi="仿宋" w:eastAsia="仿宋" w:cs="仿宋"/>
          <w:sz w:val="30"/>
          <w:szCs w:val="30"/>
        </w:rPr>
        <w:t>本部门2019年度收入总计203.12万元，其中年初结转和结余19.42万元，较2018年增加7.77万元，增长67%；本年收入合计</w:t>
      </w:r>
      <w:r>
        <w:rPr>
          <w:rFonts w:hint="eastAsia" w:ascii="仿宋" w:hAnsi="仿宋" w:eastAsia="仿宋" w:cs="仿宋"/>
          <w:color w:val="000000"/>
          <w:sz w:val="30"/>
          <w:szCs w:val="30"/>
        </w:rPr>
        <w:t>183.7</w:t>
      </w:r>
      <w:r>
        <w:rPr>
          <w:rFonts w:hint="eastAsia" w:ascii="仿宋" w:hAnsi="仿宋" w:eastAsia="仿宋" w:cs="仿宋"/>
          <w:sz w:val="30"/>
          <w:szCs w:val="30"/>
        </w:rPr>
        <w:t>万元，较2018年</w:t>
      </w:r>
      <w:r>
        <w:rPr>
          <w:rFonts w:hint="eastAsia" w:ascii="仿宋" w:hAnsi="仿宋" w:eastAsia="仿宋" w:cs="仿宋"/>
          <w:color w:val="000000"/>
          <w:sz w:val="30"/>
          <w:szCs w:val="30"/>
        </w:rPr>
        <w:t>减少6.3</w:t>
      </w:r>
      <w:r>
        <w:rPr>
          <w:rFonts w:hint="eastAsia" w:ascii="仿宋" w:hAnsi="仿宋" w:eastAsia="仿宋" w:cs="仿宋"/>
          <w:sz w:val="30"/>
          <w:szCs w:val="30"/>
        </w:rPr>
        <w:t>万元，</w:t>
      </w:r>
      <w:r>
        <w:rPr>
          <w:rFonts w:hint="eastAsia" w:ascii="仿宋" w:hAnsi="仿宋" w:eastAsia="仿宋" w:cs="仿宋"/>
          <w:color w:val="000000"/>
          <w:sz w:val="30"/>
          <w:szCs w:val="30"/>
        </w:rPr>
        <w:t>下降3.35</w:t>
      </w:r>
      <w:r>
        <w:rPr>
          <w:rFonts w:hint="eastAsia" w:ascii="仿宋" w:hAnsi="仿宋" w:eastAsia="仿宋" w:cs="仿宋"/>
          <w:sz w:val="30"/>
          <w:szCs w:val="30"/>
        </w:rPr>
        <w:t xml:space="preserve"> %，主要原因是：</w:t>
      </w:r>
      <w:r>
        <w:rPr>
          <w:rFonts w:hint="eastAsia" w:ascii="仿宋" w:hAnsi="仿宋" w:eastAsia="仿宋" w:cs="仿宋"/>
          <w:color w:val="000000"/>
          <w:sz w:val="30"/>
          <w:szCs w:val="30"/>
        </w:rPr>
        <w:t>其他经费减少</w:t>
      </w:r>
      <w:r>
        <w:rPr>
          <w:rFonts w:hint="eastAsia" w:ascii="仿宋" w:hAnsi="仿宋" w:eastAsia="仿宋" w:cs="仿宋"/>
          <w:sz w:val="30"/>
          <w:szCs w:val="30"/>
        </w:rPr>
        <w:t>。</w:t>
      </w:r>
    </w:p>
    <w:p w14:paraId="21233931">
      <w:pPr>
        <w:ind w:firstLine="630"/>
        <w:jc w:val="left"/>
        <w:rPr>
          <w:rFonts w:hint="eastAsia" w:ascii="仿宋" w:hAnsi="仿宋" w:eastAsia="仿宋" w:cs="仿宋"/>
          <w:sz w:val="30"/>
          <w:szCs w:val="30"/>
        </w:rPr>
      </w:pPr>
      <w:r>
        <w:rPr>
          <w:rFonts w:hint="eastAsia" w:ascii="仿宋" w:hAnsi="仿宋" w:eastAsia="仿宋" w:cs="仿宋"/>
          <w:sz w:val="30"/>
          <w:szCs w:val="30"/>
        </w:rPr>
        <w:t>本年收入的具体构成为：财政拨款收入</w:t>
      </w:r>
      <w:r>
        <w:rPr>
          <w:rFonts w:hint="eastAsia" w:ascii="仿宋" w:hAnsi="仿宋" w:eastAsia="仿宋" w:cs="仿宋"/>
          <w:color w:val="000000"/>
          <w:sz w:val="30"/>
          <w:szCs w:val="30"/>
        </w:rPr>
        <w:t>160.2</w:t>
      </w:r>
      <w:r>
        <w:rPr>
          <w:rFonts w:hint="eastAsia" w:ascii="仿宋" w:hAnsi="仿宋" w:eastAsia="仿宋" w:cs="仿宋"/>
          <w:sz w:val="30"/>
          <w:szCs w:val="30"/>
        </w:rPr>
        <w:t>万元，占87%；其他收入</w:t>
      </w:r>
      <w:r>
        <w:rPr>
          <w:rFonts w:hint="eastAsia" w:ascii="仿宋" w:hAnsi="仿宋" w:eastAsia="仿宋" w:cs="仿宋"/>
          <w:color w:val="000000"/>
          <w:sz w:val="30"/>
          <w:szCs w:val="30"/>
        </w:rPr>
        <w:t>23.5</w:t>
      </w:r>
      <w:r>
        <w:rPr>
          <w:rFonts w:hint="eastAsia" w:ascii="仿宋" w:hAnsi="仿宋" w:eastAsia="仿宋" w:cs="仿宋"/>
          <w:sz w:val="30"/>
          <w:szCs w:val="30"/>
        </w:rPr>
        <w:t xml:space="preserve">万元，占13%。  </w:t>
      </w:r>
    </w:p>
    <w:p w14:paraId="10CEF0F6">
      <w:pPr>
        <w:ind w:firstLine="630"/>
        <w:jc w:val="left"/>
        <w:rPr>
          <w:rFonts w:ascii="黑体" w:hAnsi="黑体" w:eastAsia="黑体"/>
          <w:sz w:val="30"/>
          <w:szCs w:val="30"/>
        </w:rPr>
      </w:pPr>
      <w:r>
        <w:rPr>
          <w:rFonts w:hint="eastAsia" w:ascii="黑体" w:hAnsi="黑体" w:eastAsia="黑体"/>
          <w:sz w:val="30"/>
          <w:szCs w:val="30"/>
        </w:rPr>
        <w:t>二、支出决算情况说明</w:t>
      </w:r>
    </w:p>
    <w:p w14:paraId="775EA0F6">
      <w:pPr>
        <w:ind w:firstLine="630"/>
        <w:jc w:val="left"/>
        <w:rPr>
          <w:rFonts w:ascii="仿宋" w:hAnsi="仿宋" w:eastAsia="仿宋"/>
          <w:sz w:val="30"/>
          <w:szCs w:val="30"/>
        </w:rPr>
      </w:pPr>
      <w:r>
        <w:rPr>
          <w:rFonts w:hint="eastAsia" w:ascii="仿宋" w:hAnsi="仿宋" w:eastAsia="仿宋" w:cs="仿宋"/>
          <w:sz w:val="30"/>
          <w:szCs w:val="30"/>
        </w:rPr>
        <w:t>本部门2019年度支出总计203.12万元，其中本年支出合计   181.18万元，较2018年</w:t>
      </w:r>
      <w:r>
        <w:rPr>
          <w:rFonts w:hint="eastAsia" w:ascii="仿宋" w:hAnsi="仿宋" w:eastAsia="仿宋" w:cs="仿宋"/>
          <w:color w:val="000000"/>
          <w:sz w:val="30"/>
          <w:szCs w:val="30"/>
        </w:rPr>
        <w:t>减少1.1万元</w:t>
      </w:r>
      <w:r>
        <w:rPr>
          <w:rFonts w:hint="eastAsia" w:ascii="仿宋" w:hAnsi="仿宋" w:eastAsia="仿宋" w:cs="仿宋"/>
          <w:sz w:val="30"/>
          <w:szCs w:val="30"/>
        </w:rPr>
        <w:t>，</w:t>
      </w:r>
      <w:r>
        <w:rPr>
          <w:rFonts w:hint="eastAsia" w:ascii="仿宋" w:hAnsi="仿宋" w:eastAsia="仿宋" w:cs="仿宋"/>
          <w:color w:val="000000"/>
          <w:sz w:val="30"/>
          <w:szCs w:val="30"/>
        </w:rPr>
        <w:t>下降0.61%</w:t>
      </w:r>
      <w:r>
        <w:rPr>
          <w:rFonts w:hint="eastAsia" w:ascii="仿宋" w:hAnsi="仿宋" w:eastAsia="仿宋" w:cs="仿宋"/>
          <w:sz w:val="30"/>
          <w:szCs w:val="30"/>
        </w:rPr>
        <w:t>，主要原因是：经费支出略减；年末结转和结余21.94万元，较2018年增加2.25万元，增长12.9%，主要原因是：有经费夸年度支付，</w:t>
      </w:r>
      <w:r>
        <w:rPr>
          <w:rFonts w:hint="eastAsia" w:ascii="仿宋" w:hAnsi="仿宋" w:eastAsia="仿宋"/>
          <w:sz w:val="30"/>
          <w:szCs w:val="30"/>
        </w:rPr>
        <w:t>职工养老保险和医保资金待支付。</w:t>
      </w:r>
    </w:p>
    <w:p w14:paraId="1306244A">
      <w:pPr>
        <w:ind w:firstLine="630"/>
        <w:jc w:val="left"/>
        <w:rPr>
          <w:rFonts w:ascii="仿宋" w:hAnsi="仿宋" w:eastAsia="仿宋"/>
          <w:sz w:val="30"/>
          <w:szCs w:val="30"/>
        </w:rPr>
      </w:pPr>
      <w:r>
        <w:rPr>
          <w:rFonts w:hint="eastAsia" w:ascii="仿宋" w:hAnsi="仿宋" w:eastAsia="仿宋"/>
          <w:sz w:val="30"/>
          <w:szCs w:val="30"/>
        </w:rPr>
        <w:t>本年支出的具体构成为：基本支出</w:t>
      </w:r>
      <w:r>
        <w:rPr>
          <w:rFonts w:ascii="仿宋" w:hAnsi="仿宋" w:eastAsia="仿宋"/>
          <w:sz w:val="30"/>
          <w:szCs w:val="30"/>
        </w:rPr>
        <w:t>139</w:t>
      </w:r>
      <w:r>
        <w:rPr>
          <w:rFonts w:hint="eastAsia" w:ascii="仿宋" w:hAnsi="仿宋" w:eastAsia="仿宋"/>
          <w:sz w:val="30"/>
          <w:szCs w:val="30"/>
        </w:rPr>
        <w:t>万元，占</w:t>
      </w:r>
      <w:r>
        <w:rPr>
          <w:rFonts w:ascii="仿宋" w:hAnsi="仿宋" w:eastAsia="仿宋"/>
          <w:sz w:val="30"/>
          <w:szCs w:val="30"/>
        </w:rPr>
        <w:t>76.72%</w:t>
      </w:r>
      <w:r>
        <w:rPr>
          <w:rFonts w:hint="eastAsia" w:ascii="仿宋" w:hAnsi="仿宋" w:eastAsia="仿宋"/>
          <w:sz w:val="30"/>
          <w:szCs w:val="30"/>
        </w:rPr>
        <w:t>；项目支出</w:t>
      </w:r>
      <w:r>
        <w:rPr>
          <w:rFonts w:ascii="仿宋" w:hAnsi="仿宋" w:eastAsia="仿宋"/>
          <w:sz w:val="30"/>
          <w:szCs w:val="30"/>
        </w:rPr>
        <w:t>42.18</w:t>
      </w:r>
      <w:r>
        <w:rPr>
          <w:rFonts w:hint="eastAsia" w:ascii="仿宋" w:hAnsi="仿宋" w:eastAsia="仿宋"/>
          <w:sz w:val="30"/>
          <w:szCs w:val="30"/>
        </w:rPr>
        <w:t>万元，占</w:t>
      </w:r>
      <w:r>
        <w:rPr>
          <w:rFonts w:ascii="仿宋" w:hAnsi="仿宋" w:eastAsia="仿宋"/>
          <w:sz w:val="30"/>
          <w:szCs w:val="30"/>
        </w:rPr>
        <w:t>23.28%</w:t>
      </w:r>
      <w:r>
        <w:rPr>
          <w:rFonts w:hint="eastAsia" w:ascii="仿宋" w:hAnsi="仿宋" w:eastAsia="仿宋"/>
          <w:sz w:val="30"/>
          <w:szCs w:val="30"/>
        </w:rPr>
        <w:t>。</w:t>
      </w:r>
    </w:p>
    <w:p w14:paraId="658D1849">
      <w:pPr>
        <w:ind w:firstLine="630"/>
        <w:jc w:val="left"/>
        <w:rPr>
          <w:rFonts w:ascii="黑体" w:hAnsi="黑体" w:eastAsia="黑体"/>
          <w:sz w:val="30"/>
          <w:szCs w:val="30"/>
        </w:rPr>
      </w:pPr>
      <w:r>
        <w:rPr>
          <w:rFonts w:hint="eastAsia" w:ascii="黑体" w:hAnsi="黑体" w:eastAsia="黑体"/>
          <w:sz w:val="30"/>
          <w:szCs w:val="30"/>
        </w:rPr>
        <w:t>三、财政拨款支出决算情况说明</w:t>
      </w:r>
    </w:p>
    <w:p w14:paraId="490A165F">
      <w:pPr>
        <w:ind w:firstLine="630"/>
        <w:jc w:val="left"/>
        <w:rPr>
          <w:rFonts w:hint="eastAsia" w:ascii="仿宋" w:hAnsi="仿宋" w:eastAsia="仿宋" w:cs="仿宋"/>
          <w:sz w:val="30"/>
          <w:szCs w:val="30"/>
        </w:rPr>
      </w:pPr>
      <w:r>
        <w:rPr>
          <w:rFonts w:hint="eastAsia" w:ascii="仿宋" w:hAnsi="仿宋" w:eastAsia="仿宋" w:cs="仿宋"/>
          <w:sz w:val="30"/>
          <w:szCs w:val="30"/>
        </w:rPr>
        <w:t>本部门2019年度财政拨款本年支出年初预算数为</w:t>
      </w:r>
      <w:r>
        <w:rPr>
          <w:rFonts w:hint="eastAsia" w:ascii="仿宋" w:hAnsi="仿宋" w:eastAsia="仿宋" w:cs="仿宋"/>
          <w:color w:val="000000"/>
          <w:sz w:val="30"/>
          <w:szCs w:val="30"/>
        </w:rPr>
        <w:t>121.66</w:t>
      </w:r>
      <w:r>
        <w:rPr>
          <w:rFonts w:hint="eastAsia" w:ascii="仿宋" w:hAnsi="仿宋" w:eastAsia="仿宋" w:cs="仿宋"/>
          <w:sz w:val="30"/>
          <w:szCs w:val="30"/>
        </w:rPr>
        <w:t>万元，决算数为</w:t>
      </w:r>
      <w:r>
        <w:rPr>
          <w:rFonts w:hint="eastAsia" w:ascii="仿宋" w:hAnsi="仿宋" w:eastAsia="仿宋" w:cs="仿宋"/>
          <w:color w:val="000000"/>
          <w:sz w:val="30"/>
          <w:szCs w:val="30"/>
        </w:rPr>
        <w:t>157.68</w:t>
      </w:r>
      <w:r>
        <w:rPr>
          <w:rFonts w:hint="eastAsia" w:ascii="仿宋" w:hAnsi="仿宋" w:eastAsia="仿宋" w:cs="仿宋"/>
          <w:sz w:val="30"/>
          <w:szCs w:val="30"/>
        </w:rPr>
        <w:t>万元，完成年初预算的</w:t>
      </w:r>
      <w:r>
        <w:rPr>
          <w:rFonts w:hint="eastAsia" w:ascii="仿宋" w:hAnsi="仿宋" w:eastAsia="仿宋" w:cs="仿宋"/>
          <w:color w:val="000000"/>
          <w:sz w:val="30"/>
          <w:szCs w:val="30"/>
        </w:rPr>
        <w:t>129%</w:t>
      </w:r>
      <w:r>
        <w:rPr>
          <w:rFonts w:hint="eastAsia" w:ascii="仿宋" w:hAnsi="仿宋" w:eastAsia="仿宋" w:cs="仿宋"/>
          <w:sz w:val="30"/>
          <w:szCs w:val="30"/>
        </w:rPr>
        <w:t>。其中：</w:t>
      </w:r>
    </w:p>
    <w:p w14:paraId="32F1FCA5">
      <w:pPr>
        <w:ind w:firstLine="630"/>
        <w:jc w:val="left"/>
        <w:rPr>
          <w:rFonts w:hint="eastAsia" w:ascii="仿宋" w:hAnsi="仿宋" w:eastAsia="仿宋" w:cs="仿宋"/>
          <w:sz w:val="30"/>
          <w:szCs w:val="30"/>
        </w:rPr>
      </w:pPr>
      <w:r>
        <w:rPr>
          <w:rFonts w:hint="eastAsia" w:ascii="仿宋" w:hAnsi="仿宋" w:eastAsia="仿宋" w:cs="仿宋"/>
          <w:sz w:val="30"/>
          <w:szCs w:val="30"/>
        </w:rPr>
        <w:t>（一）</w:t>
      </w:r>
      <w:r>
        <w:rPr>
          <w:rFonts w:hint="eastAsia" w:ascii="仿宋" w:hAnsi="仿宋" w:eastAsia="仿宋" w:cs="仿宋"/>
          <w:color w:val="000000"/>
          <w:sz w:val="30"/>
          <w:szCs w:val="30"/>
        </w:rPr>
        <w:t>社会科学</w:t>
      </w:r>
      <w:r>
        <w:rPr>
          <w:rFonts w:hint="eastAsia" w:ascii="仿宋" w:hAnsi="仿宋" w:eastAsia="仿宋" w:cs="仿宋"/>
          <w:sz w:val="30"/>
          <w:szCs w:val="30"/>
        </w:rPr>
        <w:t>支出年初预算数为</w:t>
      </w:r>
      <w:r>
        <w:rPr>
          <w:rFonts w:hint="eastAsia" w:ascii="仿宋" w:hAnsi="仿宋" w:eastAsia="仿宋" w:cs="仿宋"/>
          <w:color w:val="000000"/>
          <w:sz w:val="30"/>
          <w:szCs w:val="30"/>
        </w:rPr>
        <w:t> 103.7</w:t>
      </w:r>
      <w:r>
        <w:rPr>
          <w:rFonts w:hint="eastAsia" w:ascii="仿宋" w:hAnsi="仿宋" w:eastAsia="仿宋" w:cs="仿宋"/>
          <w:sz w:val="30"/>
          <w:szCs w:val="30"/>
        </w:rPr>
        <w:t>万元，决算数为</w:t>
      </w:r>
      <w:r>
        <w:rPr>
          <w:rFonts w:hint="eastAsia" w:ascii="仿宋" w:hAnsi="仿宋" w:eastAsia="仿宋" w:cs="仿宋"/>
          <w:color w:val="000000"/>
          <w:sz w:val="30"/>
          <w:szCs w:val="30"/>
        </w:rPr>
        <w:t>136.61</w:t>
      </w:r>
      <w:r>
        <w:rPr>
          <w:rFonts w:hint="eastAsia" w:ascii="仿宋" w:hAnsi="仿宋" w:eastAsia="仿宋" w:cs="仿宋"/>
          <w:sz w:val="30"/>
          <w:szCs w:val="30"/>
        </w:rPr>
        <w:t>万元，完成年初预算的</w:t>
      </w:r>
      <w:r>
        <w:rPr>
          <w:rFonts w:hint="eastAsia" w:ascii="仿宋" w:hAnsi="仿宋" w:eastAsia="仿宋" w:cs="仿宋"/>
          <w:color w:val="000000"/>
          <w:sz w:val="30"/>
          <w:szCs w:val="30"/>
        </w:rPr>
        <w:t>131.7</w:t>
      </w:r>
      <w:r>
        <w:rPr>
          <w:rFonts w:hint="eastAsia" w:ascii="仿宋" w:hAnsi="仿宋" w:eastAsia="仿宋" w:cs="仿宋"/>
          <w:sz w:val="30"/>
          <w:szCs w:val="30"/>
        </w:rPr>
        <w:t>%，主要原因是：在职人员增加，福利及活动支出增多。</w:t>
      </w:r>
    </w:p>
    <w:p w14:paraId="5C4466BA">
      <w:pPr>
        <w:ind w:firstLine="630"/>
        <w:jc w:val="left"/>
        <w:rPr>
          <w:rFonts w:hint="eastAsia" w:ascii="仿宋" w:hAnsi="仿宋" w:eastAsia="仿宋" w:cs="仿宋"/>
          <w:sz w:val="30"/>
          <w:szCs w:val="30"/>
        </w:rPr>
      </w:pPr>
      <w:r>
        <w:rPr>
          <w:rFonts w:hint="eastAsia" w:ascii="仿宋" w:hAnsi="仿宋" w:eastAsia="仿宋" w:cs="仿宋"/>
          <w:sz w:val="30"/>
          <w:szCs w:val="30"/>
        </w:rPr>
        <w:t>（二）社会保障和就业支出支出年初预算数为</w:t>
      </w:r>
      <w:r>
        <w:rPr>
          <w:rFonts w:hint="eastAsia" w:ascii="仿宋" w:hAnsi="仿宋" w:eastAsia="仿宋" w:cs="仿宋"/>
          <w:color w:val="000000"/>
          <w:sz w:val="30"/>
          <w:szCs w:val="30"/>
        </w:rPr>
        <w:t>7.88</w:t>
      </w:r>
      <w:r>
        <w:rPr>
          <w:rFonts w:hint="eastAsia" w:ascii="仿宋" w:hAnsi="仿宋" w:eastAsia="仿宋" w:cs="仿宋"/>
          <w:sz w:val="30"/>
          <w:szCs w:val="30"/>
        </w:rPr>
        <w:t>万元，决算数为</w:t>
      </w:r>
      <w:r>
        <w:rPr>
          <w:rFonts w:hint="eastAsia" w:ascii="仿宋" w:hAnsi="仿宋" w:eastAsia="仿宋" w:cs="仿宋"/>
          <w:color w:val="000000"/>
          <w:sz w:val="30"/>
          <w:szCs w:val="30"/>
        </w:rPr>
        <w:t>7.88</w:t>
      </w:r>
      <w:r>
        <w:rPr>
          <w:rFonts w:hint="eastAsia" w:ascii="仿宋" w:hAnsi="仿宋" w:eastAsia="仿宋" w:cs="仿宋"/>
          <w:sz w:val="30"/>
          <w:szCs w:val="30"/>
        </w:rPr>
        <w:t>万元，完成年初预算的100%，主要原因是：按规定支出。</w:t>
      </w:r>
    </w:p>
    <w:p w14:paraId="41966584">
      <w:pPr>
        <w:ind w:firstLine="630"/>
        <w:jc w:val="left"/>
        <w:rPr>
          <w:rFonts w:hint="eastAsia" w:ascii="仿宋" w:hAnsi="仿宋" w:eastAsia="仿宋" w:cs="仿宋"/>
          <w:sz w:val="30"/>
          <w:szCs w:val="30"/>
        </w:rPr>
      </w:pPr>
      <w:r>
        <w:rPr>
          <w:rFonts w:hint="eastAsia" w:ascii="仿宋" w:hAnsi="仿宋" w:eastAsia="仿宋" w:cs="仿宋"/>
          <w:sz w:val="30"/>
          <w:szCs w:val="30"/>
        </w:rPr>
        <w:t>（三）卫生健康支出支出年初预算数为</w:t>
      </w:r>
      <w:r>
        <w:rPr>
          <w:rFonts w:hint="eastAsia" w:ascii="仿宋" w:hAnsi="仿宋" w:eastAsia="仿宋" w:cs="仿宋"/>
          <w:color w:val="000000"/>
          <w:sz w:val="30"/>
          <w:szCs w:val="30"/>
        </w:rPr>
        <w:t>5.55</w:t>
      </w:r>
      <w:r>
        <w:rPr>
          <w:rFonts w:hint="eastAsia" w:ascii="仿宋" w:hAnsi="仿宋" w:eastAsia="仿宋" w:cs="仿宋"/>
          <w:sz w:val="30"/>
          <w:szCs w:val="30"/>
        </w:rPr>
        <w:t>万元，决算数为</w:t>
      </w:r>
      <w:r>
        <w:rPr>
          <w:rFonts w:hint="eastAsia" w:ascii="仿宋" w:hAnsi="仿宋" w:eastAsia="仿宋" w:cs="仿宋"/>
          <w:color w:val="000000"/>
          <w:sz w:val="30"/>
          <w:szCs w:val="30"/>
        </w:rPr>
        <w:t>5.55</w:t>
      </w:r>
      <w:r>
        <w:rPr>
          <w:rFonts w:hint="eastAsia" w:ascii="仿宋" w:hAnsi="仿宋" w:eastAsia="仿宋" w:cs="仿宋"/>
          <w:sz w:val="30"/>
          <w:szCs w:val="30"/>
        </w:rPr>
        <w:t>万元，完成年初预算的100%，主要原因是：按规定支出。</w:t>
      </w:r>
    </w:p>
    <w:p w14:paraId="77EAE2E4">
      <w:pPr>
        <w:ind w:firstLine="630"/>
        <w:jc w:val="left"/>
        <w:rPr>
          <w:rFonts w:hint="eastAsia" w:ascii="仿宋" w:hAnsi="仿宋" w:eastAsia="仿宋" w:cs="仿宋"/>
          <w:sz w:val="30"/>
          <w:szCs w:val="30"/>
        </w:rPr>
      </w:pPr>
      <w:r>
        <w:rPr>
          <w:rFonts w:hint="eastAsia" w:ascii="仿宋" w:hAnsi="仿宋" w:eastAsia="仿宋" w:cs="仿宋"/>
          <w:sz w:val="30"/>
          <w:szCs w:val="30"/>
        </w:rPr>
        <w:t>（四）住房保障支出支出支出年初预算数为</w:t>
      </w:r>
      <w:r>
        <w:rPr>
          <w:rFonts w:hint="eastAsia" w:ascii="仿宋" w:hAnsi="仿宋" w:eastAsia="仿宋" w:cs="仿宋"/>
          <w:color w:val="000000"/>
          <w:sz w:val="30"/>
          <w:szCs w:val="30"/>
        </w:rPr>
        <w:t>4.5</w:t>
      </w:r>
      <w:r>
        <w:rPr>
          <w:rFonts w:hint="eastAsia" w:ascii="仿宋" w:hAnsi="仿宋" w:eastAsia="仿宋" w:cs="仿宋"/>
          <w:sz w:val="30"/>
          <w:szCs w:val="30"/>
        </w:rPr>
        <w:t>万元，决算数为</w:t>
      </w:r>
      <w:r>
        <w:rPr>
          <w:rFonts w:hint="eastAsia" w:ascii="仿宋" w:hAnsi="仿宋" w:eastAsia="仿宋" w:cs="仿宋"/>
          <w:color w:val="000000"/>
          <w:sz w:val="30"/>
          <w:szCs w:val="30"/>
        </w:rPr>
        <w:t>4.5</w:t>
      </w:r>
      <w:r>
        <w:rPr>
          <w:rFonts w:hint="eastAsia" w:ascii="仿宋" w:hAnsi="仿宋" w:eastAsia="仿宋" w:cs="仿宋"/>
          <w:sz w:val="30"/>
          <w:szCs w:val="30"/>
        </w:rPr>
        <w:t>万元，完成年初预算的100%，主要原因是：按规定支出。</w:t>
      </w:r>
    </w:p>
    <w:p w14:paraId="65FF29C5">
      <w:pPr>
        <w:ind w:firstLine="585"/>
        <w:jc w:val="left"/>
        <w:rPr>
          <w:rFonts w:ascii="黑体" w:hAnsi="黑体" w:eastAsia="黑体"/>
          <w:sz w:val="30"/>
          <w:szCs w:val="30"/>
        </w:rPr>
      </w:pPr>
      <w:r>
        <w:rPr>
          <w:rFonts w:hint="eastAsia" w:ascii="黑体" w:hAnsi="黑体" w:eastAsia="黑体"/>
          <w:sz w:val="30"/>
          <w:szCs w:val="30"/>
        </w:rPr>
        <w:t>四、一般公共预算财政拨款基本支出决算情况说明</w:t>
      </w:r>
    </w:p>
    <w:p w14:paraId="0CF09E7F">
      <w:pPr>
        <w:ind w:firstLine="585"/>
        <w:jc w:val="left"/>
        <w:rPr>
          <w:rFonts w:ascii="仿宋" w:hAnsi="仿宋" w:eastAsia="仿宋"/>
          <w:sz w:val="30"/>
          <w:szCs w:val="30"/>
        </w:rPr>
      </w:pPr>
      <w:r>
        <w:rPr>
          <w:rFonts w:hint="eastAsia" w:ascii="仿宋" w:hAnsi="仿宋" w:eastAsia="仿宋"/>
          <w:sz w:val="30"/>
          <w:szCs w:val="30"/>
        </w:rPr>
        <w:t>本部门</w:t>
      </w:r>
      <w:r>
        <w:rPr>
          <w:rFonts w:ascii="仿宋" w:hAnsi="仿宋" w:eastAsia="仿宋"/>
          <w:sz w:val="30"/>
          <w:szCs w:val="30"/>
        </w:rPr>
        <w:t>2019</w:t>
      </w:r>
      <w:r>
        <w:rPr>
          <w:rFonts w:hint="eastAsia" w:ascii="仿宋" w:hAnsi="仿宋" w:eastAsia="仿宋"/>
          <w:sz w:val="30"/>
          <w:szCs w:val="30"/>
        </w:rPr>
        <w:t>年度一般公共预算财政拨款基本支出</w:t>
      </w:r>
      <w:r>
        <w:rPr>
          <w:rFonts w:ascii="仿宋" w:hAnsi="仿宋" w:eastAsia="仿宋"/>
          <w:sz w:val="30"/>
          <w:szCs w:val="30"/>
        </w:rPr>
        <w:t>115.47</w:t>
      </w:r>
      <w:r>
        <w:rPr>
          <w:rFonts w:hint="eastAsia" w:ascii="仿宋" w:hAnsi="仿宋" w:eastAsia="仿宋"/>
          <w:sz w:val="30"/>
          <w:szCs w:val="30"/>
        </w:rPr>
        <w:t>万元，其中：</w:t>
      </w:r>
    </w:p>
    <w:p w14:paraId="0C10C914">
      <w:pPr>
        <w:ind w:firstLine="585"/>
        <w:jc w:val="left"/>
        <w:rPr>
          <w:rFonts w:ascii="仿宋" w:hAnsi="仿宋" w:eastAsia="仿宋"/>
          <w:sz w:val="30"/>
          <w:szCs w:val="30"/>
        </w:rPr>
      </w:pPr>
      <w:r>
        <w:rPr>
          <w:rFonts w:hint="eastAsia" w:ascii="仿宋" w:hAnsi="仿宋" w:eastAsia="仿宋"/>
          <w:sz w:val="30"/>
          <w:szCs w:val="30"/>
        </w:rPr>
        <w:t>（一）工资福利支出</w:t>
      </w:r>
      <w:r>
        <w:rPr>
          <w:rFonts w:ascii="仿宋" w:hAnsi="仿宋" w:eastAsia="仿宋"/>
          <w:sz w:val="30"/>
          <w:szCs w:val="30"/>
        </w:rPr>
        <w:t>89</w:t>
      </w:r>
      <w:r>
        <w:rPr>
          <w:rFonts w:hint="eastAsia" w:ascii="仿宋" w:hAnsi="仿宋" w:eastAsia="仿宋"/>
          <w:sz w:val="30"/>
          <w:szCs w:val="30"/>
        </w:rPr>
        <w:t>万元，较</w:t>
      </w:r>
      <w:r>
        <w:rPr>
          <w:rFonts w:ascii="仿宋" w:hAnsi="仿宋" w:eastAsia="仿宋"/>
          <w:sz w:val="30"/>
          <w:szCs w:val="30"/>
        </w:rPr>
        <w:t>2018</w:t>
      </w:r>
      <w:r>
        <w:rPr>
          <w:rFonts w:hint="eastAsia" w:ascii="仿宋" w:hAnsi="仿宋" w:eastAsia="仿宋"/>
          <w:sz w:val="30"/>
          <w:szCs w:val="30"/>
        </w:rPr>
        <w:t>年增加</w:t>
      </w:r>
      <w:r>
        <w:rPr>
          <w:rFonts w:ascii="仿宋" w:hAnsi="仿宋" w:eastAsia="仿宋"/>
          <w:sz w:val="30"/>
          <w:szCs w:val="30"/>
        </w:rPr>
        <w:t>30.8</w:t>
      </w:r>
      <w:r>
        <w:rPr>
          <w:rFonts w:hint="eastAsia" w:ascii="仿宋" w:hAnsi="仿宋" w:eastAsia="仿宋"/>
          <w:sz w:val="30"/>
          <w:szCs w:val="30"/>
        </w:rPr>
        <w:t>万元，增长</w:t>
      </w:r>
      <w:r>
        <w:rPr>
          <w:rFonts w:ascii="仿宋" w:hAnsi="仿宋" w:eastAsia="仿宋"/>
          <w:sz w:val="30"/>
          <w:szCs w:val="30"/>
        </w:rPr>
        <w:t>52.9%</w:t>
      </w:r>
      <w:r>
        <w:rPr>
          <w:rFonts w:hint="eastAsia" w:ascii="仿宋" w:hAnsi="仿宋" w:eastAsia="仿宋"/>
          <w:sz w:val="30"/>
          <w:szCs w:val="30"/>
        </w:rPr>
        <w:t>，主要原因是：人员增加及工资福利增加。</w:t>
      </w:r>
    </w:p>
    <w:p w14:paraId="2944819B">
      <w:pPr>
        <w:ind w:firstLine="585"/>
        <w:jc w:val="left"/>
        <w:rPr>
          <w:rFonts w:ascii="仿宋" w:hAnsi="仿宋" w:eastAsia="仿宋"/>
          <w:sz w:val="30"/>
          <w:szCs w:val="30"/>
        </w:rPr>
      </w:pPr>
      <w:r>
        <w:rPr>
          <w:rFonts w:hint="eastAsia" w:ascii="仿宋" w:hAnsi="仿宋" w:eastAsia="仿宋"/>
          <w:sz w:val="30"/>
          <w:szCs w:val="30"/>
        </w:rPr>
        <w:t>（二）商品和服务支出</w:t>
      </w:r>
      <w:r>
        <w:rPr>
          <w:rFonts w:ascii="仿宋" w:hAnsi="仿宋" w:eastAsia="仿宋"/>
          <w:sz w:val="30"/>
          <w:szCs w:val="30"/>
        </w:rPr>
        <w:t>19.79</w:t>
      </w:r>
      <w:r>
        <w:rPr>
          <w:rFonts w:hint="eastAsia" w:ascii="仿宋" w:hAnsi="仿宋" w:eastAsia="仿宋"/>
          <w:sz w:val="30"/>
          <w:szCs w:val="30"/>
        </w:rPr>
        <w:t>万元，较</w:t>
      </w:r>
      <w:r>
        <w:rPr>
          <w:rFonts w:ascii="仿宋" w:hAnsi="仿宋" w:eastAsia="仿宋"/>
          <w:sz w:val="30"/>
          <w:szCs w:val="30"/>
        </w:rPr>
        <w:t>2018</w:t>
      </w:r>
      <w:r>
        <w:rPr>
          <w:rFonts w:hint="eastAsia" w:ascii="仿宋" w:hAnsi="仿宋" w:eastAsia="仿宋"/>
          <w:sz w:val="30"/>
          <w:szCs w:val="30"/>
        </w:rPr>
        <w:t>年减少</w:t>
      </w:r>
      <w:r>
        <w:rPr>
          <w:rFonts w:ascii="仿宋" w:hAnsi="仿宋" w:eastAsia="仿宋"/>
          <w:sz w:val="30"/>
          <w:szCs w:val="30"/>
        </w:rPr>
        <w:t xml:space="preserve">1.86 </w:t>
      </w:r>
      <w:r>
        <w:rPr>
          <w:rFonts w:hint="eastAsia" w:ascii="仿宋" w:hAnsi="仿宋" w:eastAsia="仿宋"/>
          <w:sz w:val="30"/>
          <w:szCs w:val="30"/>
        </w:rPr>
        <w:t>万元，下降</w:t>
      </w:r>
      <w:r>
        <w:rPr>
          <w:rFonts w:ascii="仿宋" w:hAnsi="仿宋" w:eastAsia="仿宋"/>
          <w:sz w:val="30"/>
          <w:szCs w:val="30"/>
        </w:rPr>
        <w:t>8.6%</w:t>
      </w:r>
      <w:r>
        <w:rPr>
          <w:rFonts w:hint="eastAsia" w:ascii="仿宋" w:hAnsi="仿宋" w:eastAsia="仿宋"/>
          <w:sz w:val="30"/>
          <w:szCs w:val="30"/>
        </w:rPr>
        <w:t>，主要原因是：日常活动经费减少。</w:t>
      </w:r>
    </w:p>
    <w:p w14:paraId="38B831A4">
      <w:pPr>
        <w:ind w:firstLine="585"/>
        <w:jc w:val="left"/>
        <w:rPr>
          <w:rFonts w:ascii="仿宋" w:hAnsi="仿宋" w:eastAsia="仿宋"/>
          <w:sz w:val="30"/>
          <w:szCs w:val="30"/>
        </w:rPr>
      </w:pPr>
      <w:r>
        <w:rPr>
          <w:rFonts w:hint="eastAsia" w:ascii="仿宋" w:hAnsi="仿宋" w:eastAsia="仿宋"/>
          <w:sz w:val="30"/>
          <w:szCs w:val="30"/>
        </w:rPr>
        <w:t>（三）对个人和家庭补助支出</w:t>
      </w:r>
      <w:r>
        <w:rPr>
          <w:rFonts w:ascii="仿宋" w:hAnsi="仿宋" w:eastAsia="仿宋"/>
          <w:sz w:val="30"/>
          <w:szCs w:val="30"/>
        </w:rPr>
        <w:t>6.71</w:t>
      </w:r>
      <w:r>
        <w:rPr>
          <w:rFonts w:hint="eastAsia" w:ascii="仿宋" w:hAnsi="仿宋" w:eastAsia="仿宋"/>
          <w:sz w:val="30"/>
          <w:szCs w:val="30"/>
        </w:rPr>
        <w:t>万元，较</w:t>
      </w:r>
      <w:r>
        <w:rPr>
          <w:rFonts w:ascii="仿宋" w:hAnsi="仿宋" w:eastAsia="仿宋"/>
          <w:sz w:val="30"/>
          <w:szCs w:val="30"/>
        </w:rPr>
        <w:t>2018</w:t>
      </w:r>
      <w:r>
        <w:rPr>
          <w:rFonts w:hint="eastAsia" w:ascii="仿宋" w:hAnsi="仿宋" w:eastAsia="仿宋"/>
          <w:sz w:val="30"/>
          <w:szCs w:val="30"/>
        </w:rPr>
        <w:t>年减少</w:t>
      </w:r>
      <w:r>
        <w:rPr>
          <w:rFonts w:ascii="仿宋" w:hAnsi="仿宋" w:eastAsia="仿宋"/>
          <w:sz w:val="30"/>
          <w:szCs w:val="30"/>
        </w:rPr>
        <w:t>21.66</w:t>
      </w:r>
      <w:r>
        <w:rPr>
          <w:rFonts w:hint="eastAsia" w:ascii="仿宋" w:hAnsi="仿宋" w:eastAsia="仿宋"/>
          <w:sz w:val="30"/>
          <w:szCs w:val="30"/>
        </w:rPr>
        <w:t>万元，下降</w:t>
      </w:r>
      <w:r>
        <w:rPr>
          <w:rFonts w:ascii="仿宋" w:hAnsi="仿宋" w:eastAsia="仿宋"/>
          <w:sz w:val="30"/>
          <w:szCs w:val="30"/>
        </w:rPr>
        <w:t>76.34%</w:t>
      </w:r>
      <w:r>
        <w:rPr>
          <w:rFonts w:hint="eastAsia" w:ascii="仿宋" w:hAnsi="仿宋" w:eastAsia="仿宋"/>
          <w:sz w:val="30"/>
          <w:szCs w:val="30"/>
        </w:rPr>
        <w:t>，主要原因是：职工的个人的奖励支出减少。</w:t>
      </w:r>
    </w:p>
    <w:p w14:paraId="4D983A5D">
      <w:pPr>
        <w:ind w:firstLine="585"/>
        <w:jc w:val="left"/>
        <w:rPr>
          <w:rFonts w:ascii="仿宋" w:hAnsi="仿宋" w:eastAsia="仿宋"/>
          <w:sz w:val="30"/>
          <w:szCs w:val="30"/>
        </w:rPr>
      </w:pPr>
      <w:r>
        <w:rPr>
          <w:rFonts w:hint="eastAsia" w:ascii="仿宋" w:hAnsi="仿宋" w:eastAsia="仿宋"/>
          <w:sz w:val="30"/>
          <w:szCs w:val="30"/>
        </w:rPr>
        <w:t>（四）资本性支出</w:t>
      </w:r>
      <w:r>
        <w:rPr>
          <w:rFonts w:ascii="仿宋" w:hAnsi="仿宋" w:eastAsia="仿宋"/>
          <w:sz w:val="30"/>
          <w:szCs w:val="30"/>
        </w:rPr>
        <w:t>0</w:t>
      </w:r>
      <w:r>
        <w:rPr>
          <w:rFonts w:hint="eastAsia" w:ascii="仿宋" w:hAnsi="仿宋" w:eastAsia="仿宋"/>
          <w:sz w:val="30"/>
          <w:szCs w:val="30"/>
        </w:rPr>
        <w:t>万元。</w:t>
      </w:r>
    </w:p>
    <w:p w14:paraId="0A2F419D">
      <w:pPr>
        <w:ind w:firstLine="630"/>
        <w:jc w:val="left"/>
        <w:rPr>
          <w:rFonts w:ascii="黑体" w:hAnsi="黑体" w:eastAsia="黑体"/>
          <w:sz w:val="30"/>
          <w:szCs w:val="30"/>
        </w:rPr>
      </w:pPr>
      <w:r>
        <w:rPr>
          <w:rFonts w:hint="eastAsia" w:ascii="黑体" w:hAnsi="黑体" w:eastAsia="黑体"/>
          <w:sz w:val="30"/>
          <w:szCs w:val="30"/>
        </w:rPr>
        <w:t>五、一般公共预算财政拨款“三公”经费支出决算情况说明</w:t>
      </w:r>
    </w:p>
    <w:p w14:paraId="0C739943">
      <w:pPr>
        <w:ind w:firstLine="630"/>
        <w:jc w:val="left"/>
        <w:rPr>
          <w:rFonts w:ascii="仿宋" w:hAnsi="仿宋" w:eastAsia="仿宋"/>
          <w:sz w:val="30"/>
          <w:szCs w:val="30"/>
        </w:rPr>
      </w:pPr>
      <w:r>
        <w:rPr>
          <w:rFonts w:hint="eastAsia" w:ascii="仿宋" w:hAnsi="仿宋" w:eastAsia="仿宋"/>
          <w:sz w:val="30"/>
          <w:szCs w:val="30"/>
        </w:rPr>
        <w:t>本部门</w:t>
      </w:r>
      <w:r>
        <w:rPr>
          <w:rFonts w:ascii="仿宋" w:hAnsi="仿宋" w:eastAsia="仿宋"/>
          <w:sz w:val="30"/>
          <w:szCs w:val="30"/>
        </w:rPr>
        <w:t>2019</w:t>
      </w:r>
      <w:r>
        <w:rPr>
          <w:rFonts w:hint="eastAsia" w:ascii="仿宋" w:hAnsi="仿宋" w:eastAsia="仿宋"/>
          <w:sz w:val="30"/>
          <w:szCs w:val="30"/>
        </w:rPr>
        <w:t>年度一般公共预算财政拨款“三公”经费支出年初预算数为</w:t>
      </w:r>
      <w:r>
        <w:rPr>
          <w:rFonts w:ascii="仿宋" w:hAnsi="仿宋" w:eastAsia="仿宋"/>
          <w:sz w:val="30"/>
          <w:szCs w:val="30"/>
        </w:rPr>
        <w:t>0.6</w:t>
      </w:r>
      <w:r>
        <w:rPr>
          <w:rFonts w:hint="eastAsia" w:ascii="仿宋" w:hAnsi="仿宋" w:eastAsia="仿宋"/>
          <w:sz w:val="30"/>
          <w:szCs w:val="30"/>
        </w:rPr>
        <w:t>万元，决算数为</w:t>
      </w:r>
      <w:r>
        <w:rPr>
          <w:rFonts w:ascii="仿宋" w:hAnsi="仿宋" w:eastAsia="仿宋"/>
          <w:sz w:val="30"/>
          <w:szCs w:val="30"/>
        </w:rPr>
        <w:t>0.43</w:t>
      </w:r>
      <w:r>
        <w:rPr>
          <w:rFonts w:hint="eastAsia" w:ascii="仿宋" w:hAnsi="仿宋" w:eastAsia="仿宋"/>
          <w:sz w:val="30"/>
          <w:szCs w:val="30"/>
        </w:rPr>
        <w:t>万元，完成年初预算的</w:t>
      </w:r>
      <w:r>
        <w:rPr>
          <w:rFonts w:ascii="仿宋" w:hAnsi="仿宋" w:eastAsia="仿宋"/>
          <w:sz w:val="30"/>
          <w:szCs w:val="30"/>
        </w:rPr>
        <w:t>71.7%</w:t>
      </w:r>
      <w:r>
        <w:rPr>
          <w:rFonts w:hint="eastAsia" w:ascii="仿宋" w:hAnsi="仿宋" w:eastAsia="仿宋"/>
          <w:sz w:val="30"/>
          <w:szCs w:val="30"/>
        </w:rPr>
        <w:t>，决算数较</w:t>
      </w:r>
      <w:r>
        <w:rPr>
          <w:rFonts w:ascii="仿宋" w:hAnsi="仿宋" w:eastAsia="仿宋"/>
          <w:sz w:val="30"/>
          <w:szCs w:val="30"/>
        </w:rPr>
        <w:t>2018</w:t>
      </w:r>
      <w:r>
        <w:rPr>
          <w:rFonts w:hint="eastAsia" w:ascii="仿宋" w:hAnsi="仿宋" w:eastAsia="仿宋"/>
          <w:sz w:val="30"/>
          <w:szCs w:val="30"/>
        </w:rPr>
        <w:t>年增加</w:t>
      </w:r>
      <w:r>
        <w:rPr>
          <w:rFonts w:ascii="仿宋" w:hAnsi="仿宋" w:eastAsia="仿宋"/>
          <w:sz w:val="30"/>
          <w:szCs w:val="30"/>
        </w:rPr>
        <w:t>0.32</w:t>
      </w:r>
      <w:r>
        <w:rPr>
          <w:rFonts w:hint="eastAsia" w:ascii="仿宋" w:hAnsi="仿宋" w:eastAsia="仿宋"/>
          <w:sz w:val="30"/>
          <w:szCs w:val="30"/>
        </w:rPr>
        <w:t>万元，增长</w:t>
      </w:r>
      <w:r>
        <w:rPr>
          <w:rFonts w:ascii="仿宋" w:hAnsi="仿宋" w:eastAsia="仿宋"/>
          <w:sz w:val="30"/>
          <w:szCs w:val="30"/>
        </w:rPr>
        <w:t>283%</w:t>
      </w:r>
      <w:r>
        <w:rPr>
          <w:rFonts w:hint="eastAsia" w:ascii="仿宋" w:hAnsi="仿宋" w:eastAsia="仿宋"/>
          <w:sz w:val="30"/>
          <w:szCs w:val="30"/>
        </w:rPr>
        <w:t>，其中：</w:t>
      </w:r>
    </w:p>
    <w:p w14:paraId="4F62AB70">
      <w:pPr>
        <w:ind w:firstLine="630"/>
        <w:jc w:val="left"/>
        <w:rPr>
          <w:rFonts w:ascii="仿宋" w:hAnsi="仿宋" w:eastAsia="仿宋"/>
          <w:sz w:val="30"/>
          <w:szCs w:val="30"/>
        </w:rPr>
      </w:pPr>
      <w:r>
        <w:rPr>
          <w:rFonts w:hint="eastAsia" w:ascii="仿宋" w:hAnsi="仿宋" w:eastAsia="仿宋"/>
          <w:sz w:val="30"/>
          <w:szCs w:val="30"/>
        </w:rPr>
        <w:t>（一）因公出国（境）支出年初预算数为</w:t>
      </w:r>
      <w:r>
        <w:rPr>
          <w:rFonts w:ascii="仿宋" w:hAnsi="仿宋" w:eastAsia="仿宋"/>
          <w:sz w:val="30"/>
          <w:szCs w:val="30"/>
        </w:rPr>
        <w:t>0</w:t>
      </w:r>
      <w:r>
        <w:rPr>
          <w:rFonts w:hint="eastAsia" w:ascii="仿宋" w:hAnsi="仿宋" w:eastAsia="仿宋"/>
          <w:sz w:val="30"/>
          <w:szCs w:val="30"/>
        </w:rPr>
        <w:t>万元，决算数为</w:t>
      </w:r>
      <w:r>
        <w:rPr>
          <w:rFonts w:ascii="仿宋" w:hAnsi="仿宋" w:eastAsia="仿宋"/>
          <w:sz w:val="30"/>
          <w:szCs w:val="30"/>
        </w:rPr>
        <w:t xml:space="preserve">  0</w:t>
      </w:r>
      <w:r>
        <w:rPr>
          <w:rFonts w:hint="eastAsia" w:ascii="仿宋" w:hAnsi="仿宋" w:eastAsia="仿宋"/>
          <w:sz w:val="30"/>
          <w:szCs w:val="30"/>
        </w:rPr>
        <w:t>万元。</w:t>
      </w:r>
    </w:p>
    <w:p w14:paraId="45047541">
      <w:pPr>
        <w:ind w:firstLine="630"/>
        <w:jc w:val="left"/>
        <w:rPr>
          <w:rFonts w:ascii="仿宋" w:hAnsi="仿宋" w:eastAsia="仿宋"/>
          <w:sz w:val="30"/>
          <w:szCs w:val="30"/>
        </w:rPr>
      </w:pPr>
      <w:r>
        <w:rPr>
          <w:rFonts w:hint="eastAsia" w:ascii="仿宋" w:hAnsi="仿宋" w:eastAsia="仿宋"/>
          <w:sz w:val="30"/>
          <w:szCs w:val="30"/>
        </w:rPr>
        <w:t>（二）公务接待费支出年初预算数为</w:t>
      </w:r>
      <w:r>
        <w:rPr>
          <w:rFonts w:ascii="仿宋" w:hAnsi="仿宋" w:eastAsia="仿宋"/>
          <w:sz w:val="30"/>
          <w:szCs w:val="30"/>
        </w:rPr>
        <w:t>0.6</w:t>
      </w:r>
      <w:r>
        <w:rPr>
          <w:rFonts w:hint="eastAsia" w:ascii="仿宋" w:hAnsi="仿宋" w:eastAsia="仿宋"/>
          <w:sz w:val="30"/>
          <w:szCs w:val="30"/>
        </w:rPr>
        <w:t>万元，决算数为</w:t>
      </w:r>
      <w:r>
        <w:rPr>
          <w:rFonts w:ascii="仿宋" w:hAnsi="仿宋" w:eastAsia="仿宋"/>
          <w:sz w:val="30"/>
          <w:szCs w:val="30"/>
        </w:rPr>
        <w:t>0.43</w:t>
      </w:r>
      <w:r>
        <w:rPr>
          <w:rFonts w:hint="eastAsia" w:ascii="仿宋" w:hAnsi="仿宋" w:eastAsia="仿宋"/>
          <w:sz w:val="30"/>
          <w:szCs w:val="30"/>
        </w:rPr>
        <w:t>万元，完成年初预算的</w:t>
      </w:r>
      <w:r>
        <w:rPr>
          <w:rFonts w:ascii="仿宋" w:hAnsi="仿宋" w:eastAsia="仿宋"/>
          <w:sz w:val="30"/>
          <w:szCs w:val="30"/>
        </w:rPr>
        <w:t>71.7%</w:t>
      </w:r>
      <w:r>
        <w:rPr>
          <w:rFonts w:hint="eastAsia" w:ascii="仿宋" w:hAnsi="仿宋" w:eastAsia="仿宋"/>
          <w:sz w:val="30"/>
          <w:szCs w:val="30"/>
        </w:rPr>
        <w:t>，决算数较</w:t>
      </w:r>
      <w:r>
        <w:rPr>
          <w:rFonts w:ascii="仿宋" w:hAnsi="仿宋" w:eastAsia="仿宋"/>
          <w:sz w:val="30"/>
          <w:szCs w:val="30"/>
        </w:rPr>
        <w:t>2018</w:t>
      </w:r>
      <w:r>
        <w:rPr>
          <w:rFonts w:hint="eastAsia" w:ascii="仿宋" w:hAnsi="仿宋" w:eastAsia="仿宋"/>
          <w:sz w:val="30"/>
          <w:szCs w:val="30"/>
        </w:rPr>
        <w:t>年增加</w:t>
      </w:r>
      <w:r>
        <w:rPr>
          <w:rFonts w:ascii="仿宋" w:hAnsi="仿宋" w:eastAsia="仿宋"/>
          <w:sz w:val="30"/>
          <w:szCs w:val="30"/>
        </w:rPr>
        <w:t>0.32</w:t>
      </w:r>
      <w:r>
        <w:rPr>
          <w:rFonts w:hint="eastAsia" w:ascii="仿宋" w:hAnsi="仿宋" w:eastAsia="仿宋"/>
          <w:sz w:val="30"/>
          <w:szCs w:val="30"/>
        </w:rPr>
        <w:t>万元，增长</w:t>
      </w:r>
      <w:r>
        <w:rPr>
          <w:rFonts w:ascii="仿宋" w:hAnsi="仿宋" w:eastAsia="仿宋"/>
          <w:sz w:val="30"/>
          <w:szCs w:val="30"/>
        </w:rPr>
        <w:t>283%</w:t>
      </w:r>
      <w:r>
        <w:rPr>
          <w:rFonts w:hint="eastAsia" w:ascii="仿宋" w:hAnsi="仿宋" w:eastAsia="仿宋"/>
          <w:sz w:val="30"/>
          <w:szCs w:val="30"/>
        </w:rPr>
        <w:t>。决算数较年初预算数增加的主要原因是：外地来人交流增多。</w:t>
      </w:r>
    </w:p>
    <w:p w14:paraId="11B4EDC8">
      <w:pPr>
        <w:ind w:firstLine="630"/>
        <w:jc w:val="left"/>
        <w:rPr>
          <w:rFonts w:ascii="仿宋" w:hAnsi="仿宋" w:eastAsia="仿宋"/>
          <w:sz w:val="30"/>
          <w:szCs w:val="30"/>
        </w:rPr>
      </w:pPr>
      <w:r>
        <w:rPr>
          <w:rFonts w:hint="eastAsia" w:ascii="仿宋" w:hAnsi="仿宋" w:eastAsia="仿宋"/>
          <w:sz w:val="30"/>
          <w:szCs w:val="30"/>
        </w:rPr>
        <w:t>（三）公务用车购置及运行维护费支出</w:t>
      </w:r>
      <w:r>
        <w:rPr>
          <w:rFonts w:ascii="仿宋" w:hAnsi="仿宋" w:eastAsia="仿宋"/>
          <w:sz w:val="30"/>
          <w:szCs w:val="30"/>
        </w:rPr>
        <w:t>0</w:t>
      </w:r>
      <w:r>
        <w:rPr>
          <w:rFonts w:hint="eastAsia" w:ascii="仿宋" w:hAnsi="仿宋" w:eastAsia="仿宋"/>
          <w:sz w:val="30"/>
          <w:szCs w:val="30"/>
        </w:rPr>
        <w:t>万元，其中公务用车购置年初预算数为</w:t>
      </w:r>
      <w:r>
        <w:rPr>
          <w:rFonts w:ascii="仿宋" w:hAnsi="仿宋" w:eastAsia="仿宋"/>
          <w:sz w:val="30"/>
          <w:szCs w:val="30"/>
        </w:rPr>
        <w:t>0</w:t>
      </w:r>
      <w:r>
        <w:rPr>
          <w:rFonts w:hint="eastAsia" w:ascii="仿宋" w:hAnsi="仿宋" w:eastAsia="仿宋"/>
          <w:sz w:val="30"/>
          <w:szCs w:val="30"/>
        </w:rPr>
        <w:t>万元，决算数为</w:t>
      </w:r>
      <w:r>
        <w:rPr>
          <w:rFonts w:ascii="仿宋" w:hAnsi="仿宋" w:eastAsia="仿宋"/>
          <w:sz w:val="30"/>
          <w:szCs w:val="30"/>
        </w:rPr>
        <w:t>0</w:t>
      </w:r>
      <w:r>
        <w:rPr>
          <w:rFonts w:hint="eastAsia" w:ascii="仿宋" w:hAnsi="仿宋" w:eastAsia="仿宋"/>
          <w:sz w:val="30"/>
          <w:szCs w:val="30"/>
        </w:rPr>
        <w:t>万元。</w:t>
      </w:r>
    </w:p>
    <w:p w14:paraId="6656211B">
      <w:pPr>
        <w:ind w:firstLine="630"/>
        <w:jc w:val="left"/>
        <w:rPr>
          <w:rFonts w:ascii="黑体" w:hAnsi="黑体" w:eastAsia="黑体"/>
          <w:sz w:val="30"/>
          <w:szCs w:val="30"/>
        </w:rPr>
      </w:pPr>
      <w:r>
        <w:rPr>
          <w:rFonts w:hint="eastAsia" w:ascii="黑体" w:hAnsi="黑体" w:eastAsia="黑体"/>
          <w:sz w:val="30"/>
          <w:szCs w:val="30"/>
        </w:rPr>
        <w:t>六、机关运行经费支出情况说明</w:t>
      </w:r>
    </w:p>
    <w:p w14:paraId="7E31E184">
      <w:pPr>
        <w:ind w:firstLine="630"/>
        <w:jc w:val="left"/>
        <w:rPr>
          <w:rFonts w:ascii="仿宋" w:hAnsi="仿宋" w:eastAsia="仿宋"/>
          <w:sz w:val="30"/>
          <w:szCs w:val="30"/>
        </w:rPr>
      </w:pPr>
      <w:r>
        <w:rPr>
          <w:rFonts w:hint="eastAsia" w:ascii="仿宋" w:hAnsi="仿宋" w:eastAsia="仿宋"/>
          <w:sz w:val="30"/>
          <w:szCs w:val="30"/>
        </w:rPr>
        <w:t>本部门</w:t>
      </w:r>
      <w:r>
        <w:rPr>
          <w:rFonts w:ascii="仿宋" w:hAnsi="仿宋" w:eastAsia="仿宋"/>
          <w:sz w:val="30"/>
          <w:szCs w:val="30"/>
        </w:rPr>
        <w:t>2019</w:t>
      </w:r>
      <w:r>
        <w:rPr>
          <w:rFonts w:hint="eastAsia" w:ascii="仿宋" w:hAnsi="仿宋" w:eastAsia="仿宋"/>
          <w:sz w:val="30"/>
          <w:szCs w:val="30"/>
        </w:rPr>
        <w:t>年度机关运行经费支出</w:t>
      </w:r>
      <w:r>
        <w:rPr>
          <w:rFonts w:ascii="仿宋" w:hAnsi="仿宋" w:eastAsia="仿宋"/>
          <w:sz w:val="30"/>
          <w:szCs w:val="30"/>
        </w:rPr>
        <w:t>19.79</w:t>
      </w:r>
      <w:r>
        <w:rPr>
          <w:rFonts w:hint="eastAsia" w:ascii="仿宋" w:hAnsi="仿宋" w:eastAsia="仿宋"/>
          <w:sz w:val="30"/>
          <w:szCs w:val="30"/>
        </w:rPr>
        <w:t>万元（与部门决算中行政单位和参照公务员法管理事业单位一般公共预算财政拨款基本支出中公用经费之和保持一致），较年初预算数减少</w:t>
      </w:r>
      <w:r>
        <w:rPr>
          <w:rFonts w:ascii="仿宋" w:hAnsi="仿宋" w:eastAsia="仿宋"/>
          <w:sz w:val="30"/>
          <w:szCs w:val="30"/>
        </w:rPr>
        <w:t>2.4</w:t>
      </w:r>
      <w:r>
        <w:rPr>
          <w:rFonts w:hint="eastAsia" w:ascii="仿宋" w:hAnsi="仿宋" w:eastAsia="仿宋"/>
          <w:sz w:val="30"/>
          <w:szCs w:val="30"/>
        </w:rPr>
        <w:t>万元，下降</w:t>
      </w:r>
      <w:r>
        <w:rPr>
          <w:rFonts w:ascii="仿宋" w:hAnsi="仿宋" w:eastAsia="仿宋"/>
          <w:sz w:val="30"/>
          <w:szCs w:val="30"/>
        </w:rPr>
        <w:t>10.8%</w:t>
      </w:r>
      <w:r>
        <w:rPr>
          <w:rFonts w:hint="eastAsia" w:ascii="仿宋" w:hAnsi="仿宋" w:eastAsia="仿宋"/>
          <w:sz w:val="30"/>
          <w:szCs w:val="30"/>
        </w:rPr>
        <w:t>，主要原因是：日常活动经费减少。</w:t>
      </w:r>
      <w:r>
        <w:rPr>
          <w:rFonts w:ascii="仿宋" w:hAnsi="仿宋" w:eastAsia="仿宋"/>
          <w:sz w:val="30"/>
          <w:szCs w:val="30"/>
        </w:rPr>
        <w:t xml:space="preserve"> </w:t>
      </w:r>
    </w:p>
    <w:p w14:paraId="08DB539E">
      <w:pPr>
        <w:ind w:firstLine="630"/>
        <w:jc w:val="left"/>
        <w:rPr>
          <w:rFonts w:ascii="黑体" w:hAnsi="黑体" w:eastAsia="黑体"/>
          <w:sz w:val="30"/>
          <w:szCs w:val="30"/>
        </w:rPr>
      </w:pPr>
      <w:r>
        <w:rPr>
          <w:rFonts w:hint="eastAsia" w:ascii="黑体" w:hAnsi="黑体" w:eastAsia="黑体"/>
          <w:sz w:val="30"/>
          <w:szCs w:val="30"/>
        </w:rPr>
        <w:t>七、政府采购支出情况说明</w:t>
      </w:r>
    </w:p>
    <w:p w14:paraId="0E6373B6">
      <w:pPr>
        <w:pStyle w:val="5"/>
        <w:spacing w:line="600" w:lineRule="atLeast"/>
        <w:ind w:firstLine="600"/>
        <w:rPr>
          <w:rFonts w:ascii="仿宋" w:hAnsi="仿宋" w:eastAsia="仿宋"/>
          <w:sz w:val="30"/>
          <w:szCs w:val="30"/>
        </w:rPr>
      </w:pPr>
      <w:r>
        <w:rPr>
          <w:rFonts w:hint="eastAsia" w:ascii="仿宋" w:hAnsi="仿宋" w:eastAsia="仿宋"/>
          <w:sz w:val="30"/>
          <w:szCs w:val="30"/>
        </w:rPr>
        <w:t>本部门</w:t>
      </w:r>
      <w:r>
        <w:rPr>
          <w:rFonts w:ascii="仿宋" w:hAnsi="仿宋" w:eastAsia="仿宋"/>
          <w:sz w:val="30"/>
          <w:szCs w:val="30"/>
        </w:rPr>
        <w:t>2019</w:t>
      </w:r>
      <w:r>
        <w:rPr>
          <w:rFonts w:hint="eastAsia" w:ascii="仿宋" w:hAnsi="仿宋" w:eastAsia="仿宋"/>
          <w:sz w:val="30"/>
          <w:szCs w:val="30"/>
        </w:rPr>
        <w:t>年度政府采购支出总额</w:t>
      </w:r>
      <w:r>
        <w:rPr>
          <w:rFonts w:ascii="仿宋" w:hAnsi="仿宋" w:eastAsia="仿宋"/>
          <w:sz w:val="30"/>
          <w:szCs w:val="30"/>
        </w:rPr>
        <w:t>2.1</w:t>
      </w:r>
      <w:r>
        <w:rPr>
          <w:rFonts w:hint="eastAsia" w:ascii="仿宋" w:hAnsi="仿宋" w:eastAsia="仿宋"/>
          <w:sz w:val="30"/>
          <w:szCs w:val="30"/>
        </w:rPr>
        <w:t>万元，其中：政府采购货物支出</w:t>
      </w:r>
      <w:r>
        <w:rPr>
          <w:rFonts w:ascii="仿宋" w:hAnsi="仿宋" w:eastAsia="仿宋"/>
          <w:sz w:val="30"/>
          <w:szCs w:val="30"/>
        </w:rPr>
        <w:t>2.1</w:t>
      </w:r>
      <w:r>
        <w:rPr>
          <w:rFonts w:hint="eastAsia" w:ascii="仿宋" w:hAnsi="仿宋" w:eastAsia="仿宋"/>
          <w:sz w:val="30"/>
          <w:szCs w:val="30"/>
        </w:rPr>
        <w:t>万元、政府采购工程支出</w:t>
      </w:r>
      <w:r>
        <w:rPr>
          <w:rFonts w:ascii="仿宋" w:hAnsi="仿宋" w:eastAsia="仿宋"/>
          <w:sz w:val="30"/>
          <w:szCs w:val="30"/>
        </w:rPr>
        <w:t>0</w:t>
      </w:r>
      <w:r>
        <w:rPr>
          <w:rFonts w:hint="eastAsia" w:ascii="仿宋" w:hAnsi="仿宋" w:eastAsia="仿宋"/>
          <w:sz w:val="30"/>
          <w:szCs w:val="30"/>
        </w:rPr>
        <w:t>万元、政府采购服务支出</w:t>
      </w:r>
      <w:r>
        <w:rPr>
          <w:rFonts w:ascii="仿宋" w:hAnsi="仿宋" w:eastAsia="仿宋"/>
          <w:sz w:val="30"/>
          <w:szCs w:val="30"/>
        </w:rPr>
        <w:t>0</w:t>
      </w:r>
      <w:r>
        <w:rPr>
          <w:rFonts w:hint="eastAsia" w:ascii="仿宋" w:hAnsi="仿宋" w:eastAsia="仿宋"/>
          <w:sz w:val="30"/>
          <w:szCs w:val="30"/>
        </w:rPr>
        <w:t>万元。</w:t>
      </w:r>
    </w:p>
    <w:p w14:paraId="43C1FD52">
      <w:pPr>
        <w:ind w:firstLine="630"/>
        <w:jc w:val="left"/>
        <w:rPr>
          <w:rFonts w:ascii="黑体" w:hAnsi="黑体" w:eastAsia="黑体"/>
          <w:sz w:val="30"/>
          <w:szCs w:val="30"/>
        </w:rPr>
      </w:pPr>
      <w:r>
        <w:rPr>
          <w:rFonts w:hint="eastAsia" w:ascii="黑体" w:hAnsi="黑体" w:eastAsia="黑体"/>
          <w:sz w:val="30"/>
          <w:szCs w:val="30"/>
        </w:rPr>
        <w:t>八、国有资产占用情况说明。</w:t>
      </w:r>
    </w:p>
    <w:p w14:paraId="5B6323F2">
      <w:pPr>
        <w:ind w:firstLine="630"/>
        <w:jc w:val="left"/>
        <w:rPr>
          <w:rFonts w:ascii="仿宋" w:hAnsi="仿宋" w:eastAsia="仿宋"/>
          <w:kern w:val="0"/>
          <w:sz w:val="30"/>
          <w:szCs w:val="30"/>
        </w:rPr>
      </w:pPr>
      <w:r>
        <w:rPr>
          <w:rFonts w:hint="eastAsia" w:ascii="仿宋" w:hAnsi="仿宋" w:eastAsia="仿宋"/>
          <w:kern w:val="0"/>
          <w:sz w:val="30"/>
          <w:szCs w:val="30"/>
        </w:rPr>
        <w:t>截至</w:t>
      </w:r>
      <w:bookmarkStart w:id="0" w:name="_GoBack"/>
      <w:bookmarkEnd w:id="0"/>
      <w:r>
        <w:rPr>
          <w:rFonts w:ascii="仿宋" w:hAnsi="仿宋" w:eastAsia="仿宋"/>
          <w:kern w:val="0"/>
          <w:sz w:val="30"/>
          <w:szCs w:val="30"/>
        </w:rPr>
        <w:t>2019</w:t>
      </w:r>
      <w:r>
        <w:rPr>
          <w:rFonts w:hint="eastAsia" w:ascii="仿宋" w:hAnsi="仿宋" w:eastAsia="仿宋"/>
          <w:kern w:val="0"/>
          <w:sz w:val="30"/>
          <w:szCs w:val="30"/>
        </w:rPr>
        <w:t>年</w:t>
      </w:r>
      <w:r>
        <w:rPr>
          <w:rFonts w:ascii="仿宋" w:hAnsi="仿宋" w:eastAsia="仿宋"/>
          <w:kern w:val="0"/>
          <w:sz w:val="30"/>
          <w:szCs w:val="30"/>
        </w:rPr>
        <w:t>12</w:t>
      </w:r>
      <w:r>
        <w:rPr>
          <w:rFonts w:hint="eastAsia" w:ascii="仿宋" w:hAnsi="仿宋" w:eastAsia="仿宋"/>
          <w:kern w:val="0"/>
          <w:sz w:val="30"/>
          <w:szCs w:val="30"/>
        </w:rPr>
        <w:t>月</w:t>
      </w:r>
      <w:r>
        <w:rPr>
          <w:rFonts w:ascii="仿宋" w:hAnsi="仿宋" w:eastAsia="仿宋"/>
          <w:kern w:val="0"/>
          <w:sz w:val="30"/>
          <w:szCs w:val="30"/>
        </w:rPr>
        <w:t>31</w:t>
      </w:r>
      <w:r>
        <w:rPr>
          <w:rFonts w:hint="eastAsia" w:ascii="仿宋" w:hAnsi="仿宋" w:eastAsia="仿宋"/>
          <w:kern w:val="0"/>
          <w:sz w:val="30"/>
          <w:szCs w:val="30"/>
        </w:rPr>
        <w:t>日，本部门国有资产占用情况见公开</w:t>
      </w:r>
      <w:r>
        <w:rPr>
          <w:rFonts w:ascii="仿宋" w:hAnsi="仿宋" w:eastAsia="仿宋"/>
          <w:kern w:val="0"/>
          <w:sz w:val="30"/>
          <w:szCs w:val="30"/>
        </w:rPr>
        <w:t>09</w:t>
      </w:r>
      <w:r>
        <w:rPr>
          <w:rFonts w:hint="eastAsia" w:ascii="仿宋" w:hAnsi="仿宋" w:eastAsia="仿宋"/>
          <w:kern w:val="0"/>
          <w:sz w:val="30"/>
          <w:szCs w:val="30"/>
        </w:rPr>
        <w:t>表《国有资产占用情况表》。</w:t>
      </w:r>
    </w:p>
    <w:p w14:paraId="665303E8">
      <w:pPr>
        <w:ind w:firstLine="630"/>
        <w:jc w:val="left"/>
        <w:rPr>
          <w:rFonts w:ascii="黑体" w:hAnsi="黑体" w:eastAsia="黑体"/>
          <w:sz w:val="30"/>
          <w:szCs w:val="30"/>
        </w:rPr>
      </w:pPr>
      <w:r>
        <w:rPr>
          <w:rFonts w:hint="eastAsia" w:ascii="黑体" w:hAnsi="黑体" w:eastAsia="黑体"/>
          <w:sz w:val="30"/>
          <w:szCs w:val="30"/>
        </w:rPr>
        <w:t>九、预算绩效情况说明</w:t>
      </w:r>
    </w:p>
    <w:p w14:paraId="332EB973">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t xml:space="preserve">   </w:t>
      </w:r>
      <w:r>
        <w:rPr>
          <w:rFonts w:hint="eastAsia" w:ascii="仿宋" w:hAnsi="仿宋" w:eastAsia="仿宋" w:cs="仿宋_GB2312"/>
          <w:kern w:val="0"/>
          <w:sz w:val="30"/>
          <w:szCs w:val="30"/>
        </w:rPr>
        <w:t>（一）绩效管理工作开展情况。</w:t>
      </w:r>
    </w:p>
    <w:p w14:paraId="216990F0">
      <w:pPr>
        <w:autoSpaceDE w:val="0"/>
        <w:autoSpaceDN w:val="0"/>
        <w:adjustRightInd w:val="0"/>
        <w:spacing w:line="360" w:lineRule="auto"/>
        <w:ind w:firstLine="600" w:firstLineChars="200"/>
        <w:jc w:val="left"/>
        <w:rPr>
          <w:rFonts w:ascii="仿宋" w:hAnsi="仿宋" w:eastAsia="仿宋" w:cs="仿宋_GB2312"/>
          <w:kern w:val="0"/>
          <w:sz w:val="30"/>
          <w:szCs w:val="30"/>
        </w:rPr>
      </w:pPr>
      <w:r>
        <w:rPr>
          <w:rFonts w:hint="eastAsia" w:ascii="仿宋" w:hAnsi="仿宋" w:eastAsia="仿宋" w:cs="仿宋_GB2312"/>
          <w:kern w:val="0"/>
          <w:sz w:val="30"/>
          <w:szCs w:val="30"/>
        </w:rPr>
        <w:t>根据预算绩效管理要求，我部门组织对</w:t>
      </w:r>
      <w:r>
        <w:rPr>
          <w:rFonts w:ascii="仿宋" w:hAnsi="仿宋" w:eastAsia="仿宋" w:cs="仿宋_GB2312"/>
          <w:kern w:val="0"/>
          <w:sz w:val="30"/>
          <w:szCs w:val="30"/>
        </w:rPr>
        <w:t>2019</w:t>
      </w:r>
      <w:r>
        <w:rPr>
          <w:rFonts w:hint="eastAsia" w:ascii="仿宋" w:hAnsi="仿宋" w:eastAsia="仿宋" w:cs="仿宋_GB2312"/>
          <w:kern w:val="0"/>
          <w:sz w:val="30"/>
          <w:szCs w:val="30"/>
        </w:rPr>
        <w:t>年度一般公共预算项目支出全面开展绩效自评，其中，一级项目</w:t>
      </w:r>
      <w:r>
        <w:rPr>
          <w:rFonts w:ascii="仿宋" w:hAnsi="仿宋" w:eastAsia="仿宋" w:cs="仿宋_GB2312"/>
          <w:kern w:val="0"/>
          <w:sz w:val="30"/>
          <w:szCs w:val="30"/>
        </w:rPr>
        <w:t>1</w:t>
      </w:r>
      <w:r>
        <w:rPr>
          <w:rFonts w:hint="eastAsia" w:ascii="仿宋" w:hAnsi="仿宋" w:eastAsia="仿宋" w:cs="仿宋_GB2312"/>
          <w:kern w:val="0"/>
          <w:sz w:val="30"/>
          <w:szCs w:val="30"/>
        </w:rPr>
        <w:t>个，共涉及资金</w:t>
      </w:r>
      <w:r>
        <w:rPr>
          <w:rFonts w:ascii="仿宋" w:hAnsi="仿宋" w:eastAsia="仿宋" w:cs="仿宋_GB2312"/>
          <w:kern w:val="0"/>
          <w:sz w:val="30"/>
          <w:szCs w:val="30"/>
        </w:rPr>
        <w:t>29</w:t>
      </w:r>
      <w:r>
        <w:rPr>
          <w:rFonts w:hint="eastAsia" w:ascii="仿宋" w:hAnsi="仿宋" w:eastAsia="仿宋" w:cs="仿宋_GB2312"/>
          <w:kern w:val="0"/>
          <w:sz w:val="30"/>
          <w:szCs w:val="30"/>
        </w:rPr>
        <w:t>万元，占一般公共预算项目支出总额的</w:t>
      </w:r>
      <w:r>
        <w:rPr>
          <w:rFonts w:ascii="仿宋" w:hAnsi="仿宋" w:eastAsia="仿宋" w:cs="仿宋_GB2312"/>
          <w:kern w:val="0"/>
          <w:sz w:val="30"/>
          <w:szCs w:val="30"/>
        </w:rPr>
        <w:t>100%</w:t>
      </w:r>
      <w:r>
        <w:rPr>
          <w:rFonts w:hint="eastAsia" w:ascii="仿宋" w:hAnsi="仿宋" w:eastAsia="仿宋" w:cs="仿宋_GB2312"/>
          <w:kern w:val="0"/>
          <w:sz w:val="30"/>
          <w:szCs w:val="30"/>
        </w:rPr>
        <w:t>。</w:t>
      </w:r>
    </w:p>
    <w:p w14:paraId="6089738A">
      <w:pPr>
        <w:autoSpaceDE w:val="0"/>
        <w:autoSpaceDN w:val="0"/>
        <w:adjustRightInd w:val="0"/>
        <w:spacing w:line="360" w:lineRule="auto"/>
        <w:ind w:firstLine="600"/>
        <w:jc w:val="left"/>
        <w:rPr>
          <w:rFonts w:ascii="仿宋" w:hAnsi="仿宋" w:eastAsia="仿宋" w:cs="仿宋_GB2312"/>
          <w:kern w:val="0"/>
          <w:sz w:val="30"/>
          <w:szCs w:val="30"/>
        </w:rPr>
      </w:pPr>
      <w:r>
        <w:rPr>
          <w:rFonts w:hint="eastAsia" w:ascii="仿宋" w:hAnsi="仿宋" w:eastAsia="仿宋" w:cs="仿宋_GB2312"/>
          <w:kern w:val="0"/>
          <w:sz w:val="30"/>
          <w:szCs w:val="30"/>
        </w:rPr>
        <w:t>组织对“景德镇市社联专项工作经费”项目开展了部门评价，涉及一般公共预算支出</w:t>
      </w:r>
      <w:r>
        <w:rPr>
          <w:rFonts w:ascii="仿宋" w:hAnsi="仿宋" w:eastAsia="仿宋" w:cs="仿宋_GB2312"/>
          <w:kern w:val="0"/>
          <w:sz w:val="30"/>
          <w:szCs w:val="30"/>
        </w:rPr>
        <w:t>42.18</w:t>
      </w:r>
      <w:r>
        <w:rPr>
          <w:rFonts w:hint="eastAsia" w:ascii="仿宋" w:hAnsi="仿宋" w:eastAsia="仿宋" w:cs="仿宋_GB2312"/>
          <w:kern w:val="0"/>
          <w:sz w:val="30"/>
          <w:szCs w:val="30"/>
        </w:rPr>
        <w:t>万元，完成项目绩效工作。</w:t>
      </w:r>
    </w:p>
    <w:p w14:paraId="1E6A8FA9">
      <w:pPr>
        <w:autoSpaceDE w:val="0"/>
        <w:autoSpaceDN w:val="0"/>
        <w:adjustRightInd w:val="0"/>
        <w:spacing w:line="360" w:lineRule="auto"/>
        <w:ind w:firstLine="600"/>
        <w:jc w:val="left"/>
        <w:rPr>
          <w:rFonts w:ascii="仿宋" w:hAnsi="仿宋" w:eastAsia="仿宋" w:cs="仿宋_GB2312"/>
          <w:kern w:val="0"/>
          <w:sz w:val="30"/>
          <w:szCs w:val="30"/>
        </w:rPr>
      </w:pPr>
      <w:r>
        <w:rPr>
          <w:rFonts w:hint="eastAsia" w:ascii="仿宋" w:hAnsi="仿宋" w:eastAsia="仿宋" w:cs="仿宋_GB2312"/>
          <w:kern w:val="0"/>
          <w:sz w:val="30"/>
          <w:szCs w:val="30"/>
        </w:rPr>
        <w:t>（二）部门决算中项目绩效自评结果。</w:t>
      </w:r>
    </w:p>
    <w:p w14:paraId="53516831">
      <w:pPr>
        <w:autoSpaceDE w:val="0"/>
        <w:autoSpaceDN w:val="0"/>
        <w:adjustRightInd w:val="0"/>
        <w:spacing w:line="360" w:lineRule="auto"/>
        <w:ind w:firstLine="585"/>
        <w:jc w:val="left"/>
        <w:rPr>
          <w:rFonts w:ascii="仿宋" w:hAnsi="仿宋" w:eastAsia="仿宋" w:cs="仿宋_GB2312"/>
          <w:kern w:val="0"/>
          <w:sz w:val="30"/>
          <w:szCs w:val="30"/>
        </w:rPr>
      </w:pPr>
      <w:r>
        <w:rPr>
          <w:rFonts w:hint="eastAsia" w:ascii="仿宋" w:hAnsi="仿宋" w:eastAsia="仿宋" w:cs="仿宋_GB2312"/>
          <w:kern w:val="0"/>
          <w:sz w:val="30"/>
          <w:szCs w:val="30"/>
        </w:rPr>
        <w:t>我部门今年在市级部门决算中反映“景德镇市社联专项工作经费”项目绩效自评结果。</w:t>
      </w:r>
    </w:p>
    <w:p w14:paraId="38479B09">
      <w:pPr>
        <w:ind w:firstLine="600" w:firstLineChars="200"/>
        <w:rPr>
          <w:rFonts w:ascii="仿宋" w:hAnsi="仿宋" w:eastAsia="仿宋" w:cs="仿宋_GB2312"/>
          <w:kern w:val="0"/>
          <w:sz w:val="30"/>
          <w:szCs w:val="30"/>
        </w:rPr>
      </w:pPr>
      <w:r>
        <w:rPr>
          <w:rFonts w:hint="eastAsia" w:ascii="仿宋" w:hAnsi="仿宋" w:eastAsia="仿宋" w:cs="仿宋_GB2312"/>
          <w:kern w:val="0"/>
          <w:sz w:val="30"/>
          <w:szCs w:val="30"/>
        </w:rPr>
        <w:t>“景德镇市社联专项工作经费”项目绩效自评综述：根据年初设定的绩效目标，“景德镇市社联专项工作经费”项目绩效自评得分为</w:t>
      </w:r>
      <w:r>
        <w:rPr>
          <w:rFonts w:ascii="仿宋" w:hAnsi="仿宋" w:eastAsia="仿宋" w:cs="仿宋_GB2312"/>
          <w:kern w:val="0"/>
          <w:sz w:val="30"/>
          <w:szCs w:val="30"/>
        </w:rPr>
        <w:t>96</w:t>
      </w:r>
      <w:r>
        <w:rPr>
          <w:rFonts w:hint="eastAsia" w:ascii="仿宋" w:hAnsi="仿宋" w:eastAsia="仿宋" w:cs="仿宋_GB2312"/>
          <w:kern w:val="0"/>
          <w:sz w:val="30"/>
          <w:szCs w:val="30"/>
        </w:rPr>
        <w:t>分。项目全年预算数为</w:t>
      </w:r>
      <w:r>
        <w:rPr>
          <w:rFonts w:ascii="仿宋" w:hAnsi="仿宋" w:eastAsia="仿宋" w:cs="仿宋_GB2312"/>
          <w:kern w:val="0"/>
          <w:sz w:val="30"/>
          <w:szCs w:val="30"/>
        </w:rPr>
        <w:t>53</w:t>
      </w:r>
      <w:r>
        <w:rPr>
          <w:rFonts w:hint="eastAsia" w:ascii="仿宋" w:hAnsi="仿宋" w:eastAsia="仿宋" w:cs="仿宋_GB2312"/>
          <w:kern w:val="0"/>
          <w:sz w:val="30"/>
          <w:szCs w:val="30"/>
        </w:rPr>
        <w:t>万元，执行数为</w:t>
      </w:r>
      <w:r>
        <w:rPr>
          <w:rFonts w:ascii="仿宋" w:hAnsi="仿宋" w:eastAsia="仿宋" w:cs="仿宋_GB2312"/>
          <w:kern w:val="0"/>
          <w:sz w:val="30"/>
          <w:szCs w:val="30"/>
        </w:rPr>
        <w:t xml:space="preserve">42.18 </w:t>
      </w:r>
      <w:r>
        <w:rPr>
          <w:rFonts w:hint="eastAsia" w:ascii="仿宋" w:hAnsi="仿宋" w:eastAsia="仿宋" w:cs="仿宋_GB2312"/>
          <w:kern w:val="0"/>
          <w:sz w:val="30"/>
          <w:szCs w:val="30"/>
        </w:rPr>
        <w:t>万元，完成预算的</w:t>
      </w:r>
      <w:r>
        <w:rPr>
          <w:rFonts w:ascii="仿宋" w:hAnsi="仿宋" w:eastAsia="仿宋" w:cs="仿宋_GB2312"/>
          <w:kern w:val="0"/>
          <w:sz w:val="30"/>
          <w:szCs w:val="30"/>
        </w:rPr>
        <w:t>79%</w:t>
      </w:r>
      <w:r>
        <w:rPr>
          <w:rFonts w:hint="eastAsia" w:ascii="仿宋" w:hAnsi="仿宋" w:eastAsia="仿宋" w:cs="仿宋_GB2312"/>
          <w:kern w:val="0"/>
          <w:sz w:val="30"/>
          <w:szCs w:val="30"/>
        </w:rPr>
        <w:t>。</w:t>
      </w:r>
    </w:p>
    <w:p w14:paraId="52209805">
      <w:pPr>
        <w:ind w:firstLine="600" w:firstLineChars="200"/>
        <w:rPr>
          <w:rFonts w:ascii="仿宋" w:hAnsi="仿宋" w:eastAsia="仿宋" w:cs="仿宋"/>
          <w:sz w:val="30"/>
          <w:szCs w:val="30"/>
        </w:rPr>
      </w:pPr>
      <w:r>
        <w:rPr>
          <w:rFonts w:ascii="仿宋" w:hAnsi="仿宋" w:eastAsia="仿宋" w:cs="仿宋"/>
          <w:sz w:val="30"/>
          <w:szCs w:val="30"/>
        </w:rPr>
        <w:t>2019</w:t>
      </w:r>
      <w:r>
        <w:rPr>
          <w:rFonts w:hint="eastAsia" w:ascii="仿宋" w:hAnsi="仿宋" w:eastAsia="仿宋" w:cs="仿宋"/>
          <w:sz w:val="30"/>
          <w:szCs w:val="30"/>
        </w:rPr>
        <w:t>年，市社联在市委市政府领导下，在省社联、市委宣传部指导下，围绕中心，服务大局，在理论武装、“双创双修”、课题研究、成果评价、社科普及、学会建设、扶贫攻坚上下功夫，取得较好成效。</w:t>
      </w:r>
    </w:p>
    <w:p w14:paraId="199C127B">
      <w:pPr>
        <w:autoSpaceDE w:val="0"/>
        <w:autoSpaceDN w:val="0"/>
        <w:adjustRightInd w:val="0"/>
        <w:spacing w:line="360" w:lineRule="auto"/>
        <w:ind w:firstLine="585"/>
        <w:jc w:val="left"/>
        <w:rPr>
          <w:rFonts w:ascii="仿宋" w:hAnsi="仿宋" w:eastAsia="仿宋" w:cs="仿宋_GB2312"/>
          <w:kern w:val="0"/>
          <w:sz w:val="30"/>
          <w:szCs w:val="30"/>
        </w:rPr>
      </w:pPr>
    </w:p>
    <w:p w14:paraId="6E921BEC">
      <w:pPr>
        <w:autoSpaceDE w:val="0"/>
        <w:autoSpaceDN w:val="0"/>
        <w:adjustRightInd w:val="0"/>
        <w:spacing w:line="360" w:lineRule="auto"/>
        <w:ind w:firstLine="585"/>
        <w:jc w:val="left"/>
        <w:rPr>
          <w:rFonts w:ascii="仿宋" w:hAnsi="仿宋" w:eastAsia="仿宋" w:cs="仿宋_GB2312"/>
          <w:kern w:val="0"/>
          <w:sz w:val="30"/>
          <w:szCs w:val="30"/>
        </w:rPr>
      </w:pPr>
    </w:p>
    <w:p w14:paraId="014FCEA3">
      <w:pPr>
        <w:autoSpaceDE w:val="0"/>
        <w:autoSpaceDN w:val="0"/>
        <w:adjustRightInd w:val="0"/>
        <w:spacing w:line="360" w:lineRule="auto"/>
        <w:ind w:firstLine="585"/>
        <w:jc w:val="left"/>
        <w:rPr>
          <w:rFonts w:ascii="仿宋" w:hAnsi="仿宋" w:eastAsia="仿宋" w:cs="仿宋_GB2312"/>
          <w:kern w:val="0"/>
          <w:sz w:val="30"/>
          <w:szCs w:val="30"/>
        </w:rPr>
      </w:pPr>
    </w:p>
    <w:p w14:paraId="72717E8E">
      <w:pPr>
        <w:autoSpaceDE w:val="0"/>
        <w:autoSpaceDN w:val="0"/>
        <w:adjustRightInd w:val="0"/>
        <w:spacing w:line="360" w:lineRule="auto"/>
        <w:ind w:firstLine="585"/>
        <w:jc w:val="left"/>
        <w:rPr>
          <w:rFonts w:ascii="仿宋" w:hAnsi="仿宋" w:eastAsia="仿宋" w:cs="仿宋_GB2312"/>
          <w:kern w:val="0"/>
          <w:sz w:val="30"/>
          <w:szCs w:val="30"/>
        </w:rPr>
      </w:pPr>
    </w:p>
    <w:p w14:paraId="1E0FEC78">
      <w:pPr>
        <w:autoSpaceDE w:val="0"/>
        <w:autoSpaceDN w:val="0"/>
        <w:adjustRightInd w:val="0"/>
        <w:spacing w:line="360" w:lineRule="auto"/>
        <w:ind w:firstLine="585"/>
        <w:jc w:val="left"/>
        <w:rPr>
          <w:rFonts w:ascii="仿宋" w:hAnsi="仿宋" w:eastAsia="仿宋" w:cs="仿宋_GB2312"/>
          <w:kern w:val="0"/>
          <w:sz w:val="30"/>
          <w:szCs w:val="30"/>
        </w:rPr>
      </w:pPr>
    </w:p>
    <w:p w14:paraId="532FBFC1">
      <w:pPr>
        <w:autoSpaceDE w:val="0"/>
        <w:autoSpaceDN w:val="0"/>
        <w:adjustRightInd w:val="0"/>
        <w:spacing w:line="360" w:lineRule="auto"/>
        <w:ind w:firstLine="585"/>
        <w:jc w:val="left"/>
        <w:rPr>
          <w:rFonts w:ascii="仿宋" w:hAnsi="仿宋" w:eastAsia="仿宋" w:cs="仿宋_GB2312"/>
          <w:kern w:val="0"/>
          <w:sz w:val="30"/>
          <w:szCs w:val="30"/>
        </w:rPr>
      </w:pPr>
    </w:p>
    <w:p w14:paraId="60574C43">
      <w:pPr>
        <w:autoSpaceDE w:val="0"/>
        <w:autoSpaceDN w:val="0"/>
        <w:adjustRightInd w:val="0"/>
        <w:spacing w:line="360" w:lineRule="auto"/>
        <w:ind w:firstLine="585"/>
        <w:jc w:val="left"/>
        <w:rPr>
          <w:rFonts w:ascii="仿宋" w:hAnsi="仿宋" w:eastAsia="仿宋" w:cs="仿宋_GB2312"/>
          <w:kern w:val="0"/>
          <w:sz w:val="30"/>
          <w:szCs w:val="30"/>
        </w:rPr>
      </w:pPr>
    </w:p>
    <w:p w14:paraId="0C4CB171">
      <w:pPr>
        <w:autoSpaceDE w:val="0"/>
        <w:autoSpaceDN w:val="0"/>
        <w:adjustRightInd w:val="0"/>
        <w:spacing w:line="360" w:lineRule="auto"/>
        <w:ind w:firstLine="585"/>
        <w:jc w:val="left"/>
        <w:rPr>
          <w:rFonts w:ascii="仿宋" w:hAnsi="仿宋" w:eastAsia="仿宋" w:cs="仿宋_GB2312"/>
          <w:kern w:val="0"/>
          <w:sz w:val="30"/>
          <w:szCs w:val="30"/>
        </w:rPr>
      </w:pPr>
    </w:p>
    <w:p w14:paraId="5C57E4BE">
      <w:pPr>
        <w:autoSpaceDE w:val="0"/>
        <w:autoSpaceDN w:val="0"/>
        <w:adjustRightInd w:val="0"/>
        <w:spacing w:line="360" w:lineRule="auto"/>
        <w:ind w:firstLine="585"/>
        <w:jc w:val="left"/>
        <w:rPr>
          <w:rFonts w:ascii="仿宋" w:hAnsi="仿宋" w:eastAsia="仿宋" w:cs="仿宋_GB2312"/>
          <w:kern w:val="0"/>
          <w:sz w:val="30"/>
          <w:szCs w:val="30"/>
        </w:rPr>
      </w:pPr>
    </w:p>
    <w:p w14:paraId="590963A9">
      <w:pPr>
        <w:autoSpaceDE w:val="0"/>
        <w:autoSpaceDN w:val="0"/>
        <w:adjustRightInd w:val="0"/>
        <w:spacing w:line="360" w:lineRule="auto"/>
        <w:ind w:firstLine="585"/>
        <w:jc w:val="left"/>
        <w:rPr>
          <w:rFonts w:ascii="仿宋" w:hAnsi="仿宋" w:eastAsia="仿宋" w:cs="仿宋_GB2312"/>
          <w:kern w:val="0"/>
          <w:sz w:val="30"/>
          <w:szCs w:val="30"/>
        </w:rPr>
      </w:pPr>
    </w:p>
    <w:p w14:paraId="03A32322">
      <w:pPr>
        <w:autoSpaceDE w:val="0"/>
        <w:autoSpaceDN w:val="0"/>
        <w:adjustRightInd w:val="0"/>
        <w:spacing w:line="360" w:lineRule="auto"/>
        <w:ind w:firstLine="585"/>
        <w:jc w:val="left"/>
        <w:rPr>
          <w:rFonts w:ascii="仿宋" w:hAnsi="仿宋" w:eastAsia="仿宋" w:cs="仿宋_GB2312"/>
          <w:kern w:val="0"/>
          <w:sz w:val="30"/>
          <w:szCs w:val="30"/>
        </w:rPr>
      </w:pPr>
    </w:p>
    <w:p w14:paraId="66747760">
      <w:pPr>
        <w:autoSpaceDE w:val="0"/>
        <w:autoSpaceDN w:val="0"/>
        <w:adjustRightInd w:val="0"/>
        <w:spacing w:line="360" w:lineRule="auto"/>
        <w:ind w:firstLine="585"/>
        <w:jc w:val="left"/>
        <w:rPr>
          <w:rFonts w:ascii="仿宋" w:hAnsi="仿宋" w:eastAsia="仿宋" w:cs="仿宋_GB2312"/>
          <w:kern w:val="0"/>
          <w:sz w:val="30"/>
          <w:szCs w:val="30"/>
        </w:rPr>
      </w:pPr>
    </w:p>
    <w:p w14:paraId="72D71722">
      <w:pPr>
        <w:autoSpaceDE w:val="0"/>
        <w:autoSpaceDN w:val="0"/>
        <w:adjustRightInd w:val="0"/>
        <w:spacing w:line="360" w:lineRule="auto"/>
        <w:ind w:firstLine="585"/>
        <w:jc w:val="left"/>
        <w:rPr>
          <w:rFonts w:ascii="仿宋" w:hAnsi="仿宋" w:eastAsia="仿宋" w:cs="仿宋_GB2312"/>
          <w:kern w:val="0"/>
          <w:sz w:val="30"/>
          <w:szCs w:val="30"/>
        </w:rPr>
      </w:pPr>
    </w:p>
    <w:p w14:paraId="7FEBA002">
      <w:pPr>
        <w:autoSpaceDE w:val="0"/>
        <w:autoSpaceDN w:val="0"/>
        <w:adjustRightInd w:val="0"/>
        <w:spacing w:line="360" w:lineRule="auto"/>
        <w:ind w:firstLine="585"/>
        <w:jc w:val="left"/>
        <w:rPr>
          <w:rFonts w:ascii="仿宋" w:hAnsi="仿宋" w:eastAsia="仿宋" w:cs="仿宋_GB2312"/>
          <w:kern w:val="0"/>
          <w:sz w:val="30"/>
          <w:szCs w:val="30"/>
        </w:rPr>
      </w:pPr>
    </w:p>
    <w:p w14:paraId="0B4D6C83">
      <w:pPr>
        <w:autoSpaceDE w:val="0"/>
        <w:autoSpaceDN w:val="0"/>
        <w:adjustRightInd w:val="0"/>
        <w:spacing w:line="360" w:lineRule="auto"/>
        <w:ind w:firstLine="585"/>
        <w:jc w:val="left"/>
        <w:rPr>
          <w:rFonts w:ascii="仿宋" w:hAnsi="仿宋" w:eastAsia="仿宋" w:cs="仿宋_GB2312"/>
          <w:kern w:val="0"/>
          <w:sz w:val="30"/>
          <w:szCs w:val="30"/>
        </w:rPr>
      </w:pPr>
    </w:p>
    <w:p w14:paraId="493B12BA">
      <w:pPr>
        <w:autoSpaceDE w:val="0"/>
        <w:autoSpaceDN w:val="0"/>
        <w:adjustRightInd w:val="0"/>
        <w:spacing w:line="360" w:lineRule="auto"/>
        <w:ind w:firstLine="585"/>
        <w:jc w:val="left"/>
        <w:rPr>
          <w:rFonts w:ascii="仿宋" w:hAnsi="仿宋" w:eastAsia="仿宋" w:cs="仿宋_GB2312"/>
          <w:kern w:val="0"/>
          <w:sz w:val="30"/>
          <w:szCs w:val="30"/>
        </w:rPr>
      </w:pPr>
    </w:p>
    <w:p w14:paraId="5CCECFED">
      <w:pPr>
        <w:autoSpaceDE w:val="0"/>
        <w:autoSpaceDN w:val="0"/>
        <w:adjustRightInd w:val="0"/>
        <w:spacing w:line="360" w:lineRule="auto"/>
        <w:ind w:firstLine="585"/>
        <w:jc w:val="left"/>
        <w:rPr>
          <w:rFonts w:ascii="仿宋" w:hAnsi="仿宋" w:eastAsia="仿宋" w:cs="仿宋_GB2312"/>
          <w:kern w:val="0"/>
          <w:sz w:val="30"/>
          <w:szCs w:val="30"/>
        </w:rPr>
      </w:pPr>
    </w:p>
    <w:p w14:paraId="249122F8">
      <w:pPr>
        <w:autoSpaceDE w:val="0"/>
        <w:autoSpaceDN w:val="0"/>
        <w:adjustRightInd w:val="0"/>
        <w:spacing w:line="360" w:lineRule="auto"/>
        <w:ind w:firstLine="585"/>
        <w:jc w:val="left"/>
        <w:rPr>
          <w:rFonts w:ascii="仿宋" w:hAnsi="仿宋" w:eastAsia="仿宋" w:cs="仿宋_GB2312"/>
          <w:kern w:val="0"/>
          <w:sz w:val="30"/>
          <w:szCs w:val="30"/>
        </w:rPr>
      </w:pPr>
    </w:p>
    <w:tbl>
      <w:tblPr>
        <w:tblStyle w:val="3"/>
        <w:tblW w:w="9080" w:type="dxa"/>
        <w:jc w:val="center"/>
        <w:tblLayout w:type="fixed"/>
        <w:tblCellMar>
          <w:top w:w="0" w:type="dxa"/>
          <w:left w:w="108" w:type="dxa"/>
          <w:bottom w:w="0" w:type="dxa"/>
          <w:right w:w="108" w:type="dxa"/>
        </w:tblCellMar>
      </w:tblPr>
      <w:tblGrid>
        <w:gridCol w:w="588"/>
        <w:gridCol w:w="980"/>
        <w:gridCol w:w="1112"/>
        <w:gridCol w:w="730"/>
        <w:gridCol w:w="1114"/>
        <w:gridCol w:w="20"/>
        <w:gridCol w:w="1134"/>
        <w:gridCol w:w="851"/>
        <w:gridCol w:w="283"/>
        <w:gridCol w:w="284"/>
        <w:gridCol w:w="425"/>
        <w:gridCol w:w="142"/>
        <w:gridCol w:w="709"/>
        <w:gridCol w:w="708"/>
      </w:tblGrid>
      <w:tr w14:paraId="56EF9592">
        <w:tblPrEx>
          <w:tblCellMar>
            <w:top w:w="0" w:type="dxa"/>
            <w:left w:w="108" w:type="dxa"/>
            <w:bottom w:w="0" w:type="dxa"/>
            <w:right w:w="108" w:type="dxa"/>
          </w:tblCellMar>
        </w:tblPrEx>
        <w:trPr>
          <w:trHeight w:val="623" w:hRule="exact"/>
          <w:jc w:val="center"/>
        </w:trPr>
        <w:tc>
          <w:tcPr>
            <w:tcW w:w="9080" w:type="dxa"/>
            <w:gridSpan w:val="14"/>
            <w:tcBorders>
              <w:top w:val="nil"/>
              <w:left w:val="nil"/>
              <w:bottom w:val="nil"/>
              <w:right w:val="nil"/>
            </w:tcBorders>
            <w:vAlign w:val="center"/>
          </w:tcPr>
          <w:p w14:paraId="00CB5916">
            <w:pPr>
              <w:widowControl/>
              <w:spacing w:line="320" w:lineRule="exact"/>
              <w:jc w:val="center"/>
              <w:rPr>
                <w:rFonts w:ascii="宋体" w:cs="宋体"/>
                <w:b/>
                <w:bCs/>
                <w:kern w:val="0"/>
                <w:sz w:val="32"/>
                <w:szCs w:val="32"/>
              </w:rPr>
            </w:pPr>
            <w:r>
              <w:rPr>
                <w:rFonts w:hint="eastAsia" w:ascii="黑体" w:hAnsi="黑体" w:eastAsia="黑体" w:cs="黑体"/>
                <w:b w:val="0"/>
                <w:bCs w:val="0"/>
                <w:kern w:val="0"/>
                <w:sz w:val="32"/>
                <w:szCs w:val="32"/>
              </w:rPr>
              <w:t>项目支出绩效自评表</w:t>
            </w:r>
          </w:p>
        </w:tc>
      </w:tr>
      <w:tr w14:paraId="3EB15312">
        <w:tblPrEx>
          <w:tblCellMar>
            <w:top w:w="0" w:type="dxa"/>
            <w:left w:w="108" w:type="dxa"/>
            <w:bottom w:w="0" w:type="dxa"/>
            <w:right w:w="108" w:type="dxa"/>
          </w:tblCellMar>
        </w:tblPrEx>
        <w:trPr>
          <w:trHeight w:val="201" w:hRule="atLeast"/>
          <w:jc w:val="center"/>
        </w:trPr>
        <w:tc>
          <w:tcPr>
            <w:tcW w:w="9080" w:type="dxa"/>
            <w:gridSpan w:val="14"/>
            <w:tcBorders>
              <w:top w:val="nil"/>
              <w:left w:val="nil"/>
              <w:bottom w:val="nil"/>
              <w:right w:val="nil"/>
            </w:tcBorders>
          </w:tcPr>
          <w:p w14:paraId="7FA9DCEB">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 2019 年度）</w:t>
            </w:r>
          </w:p>
        </w:tc>
      </w:tr>
      <w:tr w14:paraId="3C88F594">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vAlign w:val="center"/>
          </w:tcPr>
          <w:p w14:paraId="74820E19">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项目名称</w:t>
            </w:r>
          </w:p>
        </w:tc>
        <w:tc>
          <w:tcPr>
            <w:tcW w:w="7512" w:type="dxa"/>
            <w:gridSpan w:val="12"/>
            <w:tcBorders>
              <w:top w:val="single" w:color="auto" w:sz="4" w:space="0"/>
              <w:left w:val="nil"/>
              <w:bottom w:val="single" w:color="auto" w:sz="4" w:space="0"/>
              <w:right w:val="single" w:color="auto" w:sz="4" w:space="0"/>
            </w:tcBorders>
            <w:vAlign w:val="center"/>
          </w:tcPr>
          <w:p w14:paraId="548B73D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社科课题研究经费</w:t>
            </w:r>
          </w:p>
        </w:tc>
      </w:tr>
      <w:tr w14:paraId="43061EA5">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vAlign w:val="center"/>
          </w:tcPr>
          <w:p w14:paraId="7753E09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主管部门</w:t>
            </w:r>
          </w:p>
        </w:tc>
        <w:tc>
          <w:tcPr>
            <w:tcW w:w="4110" w:type="dxa"/>
            <w:gridSpan w:val="5"/>
            <w:tcBorders>
              <w:top w:val="single" w:color="auto" w:sz="4" w:space="0"/>
              <w:left w:val="nil"/>
              <w:bottom w:val="single" w:color="auto" w:sz="4" w:space="0"/>
              <w:right w:val="single" w:color="auto" w:sz="4" w:space="0"/>
            </w:tcBorders>
            <w:vAlign w:val="center"/>
          </w:tcPr>
          <w:p w14:paraId="1DDFE90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景德镇市社会科学界联合会</w:t>
            </w:r>
          </w:p>
        </w:tc>
        <w:tc>
          <w:tcPr>
            <w:tcW w:w="1134" w:type="dxa"/>
            <w:gridSpan w:val="2"/>
            <w:tcBorders>
              <w:top w:val="nil"/>
              <w:left w:val="nil"/>
              <w:bottom w:val="single" w:color="auto" w:sz="4" w:space="0"/>
              <w:right w:val="single" w:color="auto" w:sz="4" w:space="0"/>
            </w:tcBorders>
            <w:vAlign w:val="center"/>
          </w:tcPr>
          <w:p w14:paraId="5D9DFC81">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实施单位</w:t>
            </w:r>
          </w:p>
        </w:tc>
        <w:tc>
          <w:tcPr>
            <w:tcW w:w="2268" w:type="dxa"/>
            <w:gridSpan w:val="5"/>
            <w:tcBorders>
              <w:top w:val="single" w:color="auto" w:sz="4" w:space="0"/>
              <w:left w:val="nil"/>
              <w:bottom w:val="single" w:color="auto" w:sz="4" w:space="0"/>
              <w:right w:val="single" w:color="auto" w:sz="4" w:space="0"/>
            </w:tcBorders>
            <w:vAlign w:val="center"/>
          </w:tcPr>
          <w:p w14:paraId="44B26EA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景德镇市社联</w:t>
            </w:r>
          </w:p>
        </w:tc>
      </w:tr>
      <w:tr w14:paraId="482560FA">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vAlign w:val="center"/>
          </w:tcPr>
          <w:p w14:paraId="4EA9810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项目资金</w:t>
            </w:r>
            <w:r>
              <w:rPr>
                <w:rFonts w:hint="eastAsia" w:ascii="仿宋" w:hAnsi="仿宋" w:eastAsia="仿宋" w:cs="仿宋"/>
                <w:kern w:val="0"/>
                <w:sz w:val="18"/>
                <w:szCs w:val="18"/>
              </w:rPr>
              <w:br w:type="textWrapping"/>
            </w:r>
            <w:r>
              <w:rPr>
                <w:rFonts w:hint="eastAsia" w:ascii="仿宋" w:hAnsi="仿宋" w:eastAsia="仿宋" w:cs="仿宋"/>
                <w:kern w:val="0"/>
                <w:sz w:val="18"/>
                <w:szCs w:val="18"/>
              </w:rPr>
              <w:t>（万元）</w:t>
            </w:r>
          </w:p>
        </w:tc>
        <w:tc>
          <w:tcPr>
            <w:tcW w:w="1842" w:type="dxa"/>
            <w:gridSpan w:val="2"/>
            <w:tcBorders>
              <w:top w:val="single" w:color="auto" w:sz="4" w:space="0"/>
              <w:left w:val="nil"/>
              <w:bottom w:val="single" w:color="auto" w:sz="4" w:space="0"/>
              <w:right w:val="single" w:color="auto" w:sz="4" w:space="0"/>
            </w:tcBorders>
            <w:vAlign w:val="center"/>
          </w:tcPr>
          <w:p w14:paraId="03839878">
            <w:pPr>
              <w:widowControl/>
              <w:spacing w:line="240" w:lineRule="exact"/>
              <w:jc w:val="center"/>
              <w:rPr>
                <w:rFonts w:hint="eastAsia" w:ascii="仿宋" w:hAnsi="仿宋" w:eastAsia="仿宋" w:cs="仿宋"/>
                <w:kern w:val="0"/>
                <w:sz w:val="18"/>
                <w:szCs w:val="18"/>
              </w:rPr>
            </w:pPr>
          </w:p>
        </w:tc>
        <w:tc>
          <w:tcPr>
            <w:tcW w:w="1134" w:type="dxa"/>
            <w:gridSpan w:val="2"/>
            <w:tcBorders>
              <w:top w:val="nil"/>
              <w:left w:val="nil"/>
              <w:bottom w:val="single" w:color="auto" w:sz="4" w:space="0"/>
              <w:right w:val="single" w:color="auto" w:sz="4" w:space="0"/>
            </w:tcBorders>
            <w:vAlign w:val="center"/>
          </w:tcPr>
          <w:p w14:paraId="50E9B31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年初预算数</w:t>
            </w:r>
          </w:p>
        </w:tc>
        <w:tc>
          <w:tcPr>
            <w:tcW w:w="1134" w:type="dxa"/>
            <w:tcBorders>
              <w:top w:val="nil"/>
              <w:left w:val="nil"/>
              <w:bottom w:val="single" w:color="auto" w:sz="4" w:space="0"/>
              <w:right w:val="single" w:color="auto" w:sz="4" w:space="0"/>
            </w:tcBorders>
            <w:vAlign w:val="center"/>
          </w:tcPr>
          <w:p w14:paraId="34F69C6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全年预算数</w:t>
            </w:r>
          </w:p>
        </w:tc>
        <w:tc>
          <w:tcPr>
            <w:tcW w:w="1134" w:type="dxa"/>
            <w:gridSpan w:val="2"/>
            <w:tcBorders>
              <w:top w:val="nil"/>
              <w:left w:val="nil"/>
              <w:bottom w:val="single" w:color="auto" w:sz="4" w:space="0"/>
              <w:right w:val="single" w:color="auto" w:sz="4" w:space="0"/>
            </w:tcBorders>
            <w:vAlign w:val="center"/>
          </w:tcPr>
          <w:p w14:paraId="0F0283E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全年执行数</w:t>
            </w:r>
          </w:p>
        </w:tc>
        <w:tc>
          <w:tcPr>
            <w:tcW w:w="709" w:type="dxa"/>
            <w:gridSpan w:val="2"/>
            <w:tcBorders>
              <w:top w:val="nil"/>
              <w:left w:val="nil"/>
              <w:bottom w:val="single" w:color="auto" w:sz="4" w:space="0"/>
              <w:right w:val="single" w:color="auto" w:sz="4" w:space="0"/>
            </w:tcBorders>
            <w:vAlign w:val="center"/>
          </w:tcPr>
          <w:p w14:paraId="6284650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分值</w:t>
            </w:r>
          </w:p>
        </w:tc>
        <w:tc>
          <w:tcPr>
            <w:tcW w:w="851" w:type="dxa"/>
            <w:gridSpan w:val="2"/>
            <w:tcBorders>
              <w:top w:val="single" w:color="auto" w:sz="4" w:space="0"/>
              <w:left w:val="nil"/>
              <w:bottom w:val="single" w:color="auto" w:sz="4" w:space="0"/>
              <w:right w:val="single" w:color="auto" w:sz="4" w:space="0"/>
            </w:tcBorders>
            <w:vAlign w:val="center"/>
          </w:tcPr>
          <w:p w14:paraId="0D3BD3F1">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执行率</w:t>
            </w:r>
          </w:p>
        </w:tc>
        <w:tc>
          <w:tcPr>
            <w:tcW w:w="708" w:type="dxa"/>
            <w:tcBorders>
              <w:top w:val="nil"/>
              <w:left w:val="nil"/>
              <w:bottom w:val="single" w:color="auto" w:sz="4" w:space="0"/>
              <w:right w:val="single" w:color="auto" w:sz="4" w:space="0"/>
            </w:tcBorders>
            <w:vAlign w:val="center"/>
          </w:tcPr>
          <w:p w14:paraId="09966879">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得分</w:t>
            </w:r>
          </w:p>
        </w:tc>
      </w:tr>
      <w:tr w14:paraId="786307B3">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vAlign w:val="center"/>
          </w:tcPr>
          <w:p w14:paraId="729BB0B9">
            <w:pPr>
              <w:widowControl/>
              <w:spacing w:line="240" w:lineRule="exact"/>
              <w:jc w:val="center"/>
              <w:rPr>
                <w:rFonts w:hint="eastAsia" w:ascii="仿宋" w:hAnsi="仿宋" w:eastAsia="仿宋" w:cs="仿宋"/>
                <w:kern w:val="0"/>
                <w:sz w:val="18"/>
                <w:szCs w:val="18"/>
              </w:rPr>
            </w:pPr>
          </w:p>
        </w:tc>
        <w:tc>
          <w:tcPr>
            <w:tcW w:w="1842" w:type="dxa"/>
            <w:gridSpan w:val="2"/>
            <w:tcBorders>
              <w:top w:val="single" w:color="auto" w:sz="4" w:space="0"/>
              <w:left w:val="nil"/>
              <w:bottom w:val="single" w:color="auto" w:sz="4" w:space="0"/>
              <w:right w:val="single" w:color="auto" w:sz="4" w:space="0"/>
            </w:tcBorders>
            <w:vAlign w:val="center"/>
          </w:tcPr>
          <w:p w14:paraId="58257104">
            <w:pPr>
              <w:widowControl/>
              <w:spacing w:line="240" w:lineRule="exact"/>
              <w:rPr>
                <w:rFonts w:hint="eastAsia" w:ascii="仿宋" w:hAnsi="仿宋" w:eastAsia="仿宋" w:cs="仿宋"/>
                <w:kern w:val="0"/>
                <w:sz w:val="18"/>
                <w:szCs w:val="18"/>
              </w:rPr>
            </w:pPr>
            <w:r>
              <w:rPr>
                <w:rFonts w:hint="eastAsia" w:ascii="仿宋" w:hAnsi="仿宋" w:eastAsia="仿宋" w:cs="仿宋"/>
                <w:kern w:val="0"/>
                <w:sz w:val="18"/>
                <w:szCs w:val="18"/>
              </w:rPr>
              <w:t>年度资金总额</w:t>
            </w:r>
          </w:p>
        </w:tc>
        <w:tc>
          <w:tcPr>
            <w:tcW w:w="1134" w:type="dxa"/>
            <w:gridSpan w:val="2"/>
            <w:tcBorders>
              <w:top w:val="nil"/>
              <w:left w:val="nil"/>
              <w:bottom w:val="single" w:color="auto" w:sz="4" w:space="0"/>
              <w:right w:val="single" w:color="auto" w:sz="4" w:space="0"/>
            </w:tcBorders>
            <w:vAlign w:val="center"/>
          </w:tcPr>
          <w:p w14:paraId="6BBB44C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53</w:t>
            </w:r>
          </w:p>
        </w:tc>
        <w:tc>
          <w:tcPr>
            <w:tcW w:w="1134" w:type="dxa"/>
            <w:tcBorders>
              <w:top w:val="nil"/>
              <w:left w:val="nil"/>
              <w:bottom w:val="single" w:color="auto" w:sz="4" w:space="0"/>
              <w:right w:val="single" w:color="auto" w:sz="4" w:space="0"/>
            </w:tcBorders>
            <w:vAlign w:val="center"/>
          </w:tcPr>
          <w:p w14:paraId="64FFEAD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53</w:t>
            </w:r>
          </w:p>
        </w:tc>
        <w:tc>
          <w:tcPr>
            <w:tcW w:w="1134" w:type="dxa"/>
            <w:gridSpan w:val="2"/>
            <w:tcBorders>
              <w:top w:val="nil"/>
              <w:left w:val="nil"/>
              <w:bottom w:val="single" w:color="auto" w:sz="4" w:space="0"/>
              <w:right w:val="single" w:color="auto" w:sz="4" w:space="0"/>
            </w:tcBorders>
            <w:vAlign w:val="center"/>
          </w:tcPr>
          <w:p w14:paraId="18862FA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42.18</w:t>
            </w:r>
          </w:p>
        </w:tc>
        <w:tc>
          <w:tcPr>
            <w:tcW w:w="709" w:type="dxa"/>
            <w:gridSpan w:val="2"/>
            <w:tcBorders>
              <w:top w:val="nil"/>
              <w:left w:val="nil"/>
              <w:bottom w:val="single" w:color="auto" w:sz="4" w:space="0"/>
              <w:right w:val="single" w:color="auto" w:sz="4" w:space="0"/>
            </w:tcBorders>
            <w:vAlign w:val="center"/>
          </w:tcPr>
          <w:p w14:paraId="2A6CDE3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100</w:t>
            </w:r>
          </w:p>
        </w:tc>
        <w:tc>
          <w:tcPr>
            <w:tcW w:w="851" w:type="dxa"/>
            <w:gridSpan w:val="2"/>
            <w:tcBorders>
              <w:top w:val="single" w:color="auto" w:sz="4" w:space="0"/>
              <w:left w:val="nil"/>
              <w:bottom w:val="single" w:color="auto" w:sz="4" w:space="0"/>
              <w:right w:val="single" w:color="auto" w:sz="4" w:space="0"/>
            </w:tcBorders>
            <w:vAlign w:val="center"/>
          </w:tcPr>
          <w:p w14:paraId="2FEAF103">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100%</w:t>
            </w:r>
          </w:p>
        </w:tc>
        <w:tc>
          <w:tcPr>
            <w:tcW w:w="708" w:type="dxa"/>
            <w:tcBorders>
              <w:top w:val="nil"/>
              <w:left w:val="nil"/>
              <w:bottom w:val="single" w:color="auto" w:sz="4" w:space="0"/>
              <w:right w:val="single" w:color="auto" w:sz="4" w:space="0"/>
            </w:tcBorders>
            <w:vAlign w:val="center"/>
          </w:tcPr>
          <w:p w14:paraId="0044727C">
            <w:pPr>
              <w:widowControl/>
              <w:spacing w:line="240" w:lineRule="exact"/>
              <w:jc w:val="center"/>
              <w:rPr>
                <w:rFonts w:hint="eastAsia" w:ascii="仿宋" w:hAnsi="仿宋" w:eastAsia="仿宋" w:cs="仿宋"/>
                <w:kern w:val="0"/>
                <w:sz w:val="18"/>
                <w:szCs w:val="18"/>
                <w:lang w:val="en-US" w:eastAsia="zh-CN"/>
              </w:rPr>
            </w:pPr>
            <w:r>
              <w:rPr>
                <w:rFonts w:hint="eastAsia" w:ascii="仿宋" w:hAnsi="仿宋" w:eastAsia="仿宋" w:cs="仿宋"/>
                <w:kern w:val="0"/>
                <w:sz w:val="18"/>
                <w:szCs w:val="18"/>
              </w:rPr>
              <w:t>9</w:t>
            </w:r>
            <w:r>
              <w:rPr>
                <w:rFonts w:hint="eastAsia" w:ascii="仿宋" w:hAnsi="仿宋" w:eastAsia="仿宋" w:cs="仿宋"/>
                <w:kern w:val="0"/>
                <w:sz w:val="18"/>
                <w:szCs w:val="18"/>
                <w:lang w:val="en-US" w:eastAsia="zh-CN"/>
              </w:rPr>
              <w:t>6</w:t>
            </w:r>
          </w:p>
        </w:tc>
      </w:tr>
      <w:tr w14:paraId="3CEF9E2A">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vAlign w:val="center"/>
          </w:tcPr>
          <w:p w14:paraId="7C70D4EB">
            <w:pPr>
              <w:widowControl/>
              <w:spacing w:line="240" w:lineRule="exact"/>
              <w:jc w:val="center"/>
              <w:rPr>
                <w:rFonts w:hint="eastAsia" w:ascii="仿宋" w:hAnsi="仿宋" w:eastAsia="仿宋" w:cs="仿宋"/>
                <w:kern w:val="0"/>
                <w:sz w:val="18"/>
                <w:szCs w:val="18"/>
              </w:rPr>
            </w:pPr>
          </w:p>
        </w:tc>
        <w:tc>
          <w:tcPr>
            <w:tcW w:w="1842" w:type="dxa"/>
            <w:gridSpan w:val="2"/>
            <w:tcBorders>
              <w:top w:val="single" w:color="auto" w:sz="4" w:space="0"/>
              <w:left w:val="nil"/>
              <w:bottom w:val="single" w:color="auto" w:sz="4" w:space="0"/>
              <w:right w:val="single" w:color="auto" w:sz="4" w:space="0"/>
            </w:tcBorders>
            <w:vAlign w:val="center"/>
          </w:tcPr>
          <w:p w14:paraId="5486256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其中：当年财政拨款</w:t>
            </w:r>
          </w:p>
        </w:tc>
        <w:tc>
          <w:tcPr>
            <w:tcW w:w="1134" w:type="dxa"/>
            <w:gridSpan w:val="2"/>
            <w:tcBorders>
              <w:top w:val="nil"/>
              <w:left w:val="nil"/>
              <w:bottom w:val="single" w:color="auto" w:sz="4" w:space="0"/>
              <w:right w:val="single" w:color="auto" w:sz="4" w:space="0"/>
            </w:tcBorders>
            <w:vAlign w:val="center"/>
          </w:tcPr>
          <w:p w14:paraId="740BE84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53</w:t>
            </w:r>
          </w:p>
        </w:tc>
        <w:tc>
          <w:tcPr>
            <w:tcW w:w="1134" w:type="dxa"/>
            <w:tcBorders>
              <w:top w:val="nil"/>
              <w:left w:val="nil"/>
              <w:bottom w:val="single" w:color="auto" w:sz="4" w:space="0"/>
              <w:right w:val="single" w:color="auto" w:sz="4" w:space="0"/>
            </w:tcBorders>
            <w:vAlign w:val="center"/>
          </w:tcPr>
          <w:p w14:paraId="29CF9B7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53</w:t>
            </w:r>
          </w:p>
        </w:tc>
        <w:tc>
          <w:tcPr>
            <w:tcW w:w="1134" w:type="dxa"/>
            <w:gridSpan w:val="2"/>
            <w:tcBorders>
              <w:top w:val="nil"/>
              <w:left w:val="nil"/>
              <w:bottom w:val="single" w:color="auto" w:sz="4" w:space="0"/>
              <w:right w:val="single" w:color="auto" w:sz="4" w:space="0"/>
            </w:tcBorders>
            <w:vAlign w:val="center"/>
          </w:tcPr>
          <w:p w14:paraId="0D88663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42.18</w:t>
            </w:r>
          </w:p>
        </w:tc>
        <w:tc>
          <w:tcPr>
            <w:tcW w:w="709" w:type="dxa"/>
            <w:gridSpan w:val="2"/>
            <w:tcBorders>
              <w:top w:val="nil"/>
              <w:left w:val="nil"/>
              <w:bottom w:val="single" w:color="auto" w:sz="4" w:space="0"/>
              <w:right w:val="single" w:color="auto" w:sz="4" w:space="0"/>
            </w:tcBorders>
            <w:vAlign w:val="center"/>
          </w:tcPr>
          <w:p w14:paraId="6BEE5F73">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154440E3">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100%</w:t>
            </w:r>
          </w:p>
        </w:tc>
        <w:tc>
          <w:tcPr>
            <w:tcW w:w="708" w:type="dxa"/>
            <w:tcBorders>
              <w:top w:val="nil"/>
              <w:left w:val="nil"/>
              <w:bottom w:val="single" w:color="auto" w:sz="4" w:space="0"/>
              <w:right w:val="single" w:color="auto" w:sz="4" w:space="0"/>
            </w:tcBorders>
            <w:vAlign w:val="center"/>
          </w:tcPr>
          <w:p w14:paraId="283DBA2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w:t>
            </w:r>
          </w:p>
        </w:tc>
      </w:tr>
      <w:tr w14:paraId="4E1C9CB6">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vAlign w:val="center"/>
          </w:tcPr>
          <w:p w14:paraId="7C80FC5B">
            <w:pPr>
              <w:widowControl/>
              <w:spacing w:line="240" w:lineRule="exact"/>
              <w:jc w:val="center"/>
              <w:rPr>
                <w:rFonts w:hint="eastAsia" w:ascii="仿宋" w:hAnsi="仿宋" w:eastAsia="仿宋" w:cs="仿宋"/>
                <w:kern w:val="0"/>
                <w:sz w:val="18"/>
                <w:szCs w:val="18"/>
              </w:rPr>
            </w:pPr>
          </w:p>
        </w:tc>
        <w:tc>
          <w:tcPr>
            <w:tcW w:w="1842" w:type="dxa"/>
            <w:gridSpan w:val="2"/>
            <w:tcBorders>
              <w:top w:val="single" w:color="auto" w:sz="4" w:space="0"/>
              <w:left w:val="nil"/>
              <w:bottom w:val="single" w:color="auto" w:sz="4" w:space="0"/>
              <w:right w:val="single" w:color="auto" w:sz="4" w:space="0"/>
            </w:tcBorders>
            <w:vAlign w:val="center"/>
          </w:tcPr>
          <w:p w14:paraId="5ADD609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 xml:space="preserve">      上年结转资金</w:t>
            </w:r>
          </w:p>
        </w:tc>
        <w:tc>
          <w:tcPr>
            <w:tcW w:w="1134" w:type="dxa"/>
            <w:gridSpan w:val="2"/>
            <w:tcBorders>
              <w:top w:val="nil"/>
              <w:left w:val="nil"/>
              <w:bottom w:val="single" w:color="auto" w:sz="4" w:space="0"/>
              <w:right w:val="single" w:color="auto" w:sz="4" w:space="0"/>
            </w:tcBorders>
            <w:vAlign w:val="center"/>
          </w:tcPr>
          <w:p w14:paraId="25326AF8">
            <w:pPr>
              <w:widowControl/>
              <w:spacing w:line="240" w:lineRule="exact"/>
              <w:jc w:val="center"/>
              <w:rPr>
                <w:rFonts w:hint="eastAsia" w:ascii="仿宋" w:hAnsi="仿宋" w:eastAsia="仿宋" w:cs="仿宋"/>
                <w:kern w:val="0"/>
                <w:sz w:val="18"/>
                <w:szCs w:val="18"/>
              </w:rPr>
            </w:pPr>
          </w:p>
        </w:tc>
        <w:tc>
          <w:tcPr>
            <w:tcW w:w="1134" w:type="dxa"/>
            <w:tcBorders>
              <w:top w:val="nil"/>
              <w:left w:val="nil"/>
              <w:bottom w:val="single" w:color="auto" w:sz="4" w:space="0"/>
              <w:right w:val="single" w:color="auto" w:sz="4" w:space="0"/>
            </w:tcBorders>
            <w:vAlign w:val="center"/>
          </w:tcPr>
          <w:p w14:paraId="4A5FE60E">
            <w:pPr>
              <w:widowControl/>
              <w:spacing w:line="240" w:lineRule="exact"/>
              <w:jc w:val="center"/>
              <w:rPr>
                <w:rFonts w:hint="eastAsia" w:ascii="仿宋" w:hAnsi="仿宋" w:eastAsia="仿宋" w:cs="仿宋"/>
                <w:kern w:val="0"/>
                <w:sz w:val="18"/>
                <w:szCs w:val="18"/>
              </w:rPr>
            </w:pPr>
          </w:p>
        </w:tc>
        <w:tc>
          <w:tcPr>
            <w:tcW w:w="1134" w:type="dxa"/>
            <w:gridSpan w:val="2"/>
            <w:tcBorders>
              <w:top w:val="nil"/>
              <w:left w:val="nil"/>
              <w:bottom w:val="single" w:color="auto" w:sz="4" w:space="0"/>
              <w:right w:val="single" w:color="auto" w:sz="4" w:space="0"/>
            </w:tcBorders>
            <w:vAlign w:val="center"/>
          </w:tcPr>
          <w:p w14:paraId="175F10D1">
            <w:pPr>
              <w:widowControl/>
              <w:spacing w:line="240" w:lineRule="exact"/>
              <w:jc w:val="center"/>
              <w:rPr>
                <w:rFonts w:hint="eastAsia" w:ascii="仿宋" w:hAnsi="仿宋" w:eastAsia="仿宋" w:cs="仿宋"/>
                <w:kern w:val="0"/>
                <w:sz w:val="18"/>
                <w:szCs w:val="18"/>
              </w:rPr>
            </w:pPr>
          </w:p>
        </w:tc>
        <w:tc>
          <w:tcPr>
            <w:tcW w:w="709" w:type="dxa"/>
            <w:gridSpan w:val="2"/>
            <w:tcBorders>
              <w:top w:val="nil"/>
              <w:left w:val="nil"/>
              <w:bottom w:val="single" w:color="auto" w:sz="4" w:space="0"/>
              <w:right w:val="single" w:color="auto" w:sz="4" w:space="0"/>
            </w:tcBorders>
            <w:vAlign w:val="center"/>
          </w:tcPr>
          <w:p w14:paraId="077BEEBE">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28D0A14F">
            <w:pPr>
              <w:widowControl/>
              <w:spacing w:line="240" w:lineRule="exact"/>
              <w:jc w:val="center"/>
              <w:rPr>
                <w:rFonts w:hint="eastAsia" w:ascii="仿宋" w:hAnsi="仿宋" w:eastAsia="仿宋" w:cs="仿宋"/>
                <w:kern w:val="0"/>
                <w:sz w:val="18"/>
                <w:szCs w:val="18"/>
              </w:rPr>
            </w:pPr>
          </w:p>
        </w:tc>
        <w:tc>
          <w:tcPr>
            <w:tcW w:w="708" w:type="dxa"/>
            <w:tcBorders>
              <w:top w:val="nil"/>
              <w:left w:val="nil"/>
              <w:bottom w:val="single" w:color="auto" w:sz="4" w:space="0"/>
              <w:right w:val="single" w:color="auto" w:sz="4" w:space="0"/>
            </w:tcBorders>
            <w:vAlign w:val="center"/>
          </w:tcPr>
          <w:p w14:paraId="215FC8E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w:t>
            </w:r>
          </w:p>
        </w:tc>
      </w:tr>
      <w:tr w14:paraId="6D909E7B">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vAlign w:val="center"/>
          </w:tcPr>
          <w:p w14:paraId="3350B79D">
            <w:pPr>
              <w:widowControl/>
              <w:spacing w:line="240" w:lineRule="exact"/>
              <w:jc w:val="center"/>
              <w:rPr>
                <w:rFonts w:hint="eastAsia" w:ascii="仿宋" w:hAnsi="仿宋" w:eastAsia="仿宋" w:cs="仿宋"/>
                <w:kern w:val="0"/>
                <w:sz w:val="18"/>
                <w:szCs w:val="18"/>
              </w:rPr>
            </w:pPr>
          </w:p>
        </w:tc>
        <w:tc>
          <w:tcPr>
            <w:tcW w:w="1842" w:type="dxa"/>
            <w:gridSpan w:val="2"/>
            <w:tcBorders>
              <w:top w:val="single" w:color="auto" w:sz="4" w:space="0"/>
              <w:left w:val="nil"/>
              <w:bottom w:val="single" w:color="auto" w:sz="4" w:space="0"/>
              <w:right w:val="single" w:color="auto" w:sz="4" w:space="0"/>
            </w:tcBorders>
            <w:vAlign w:val="center"/>
          </w:tcPr>
          <w:p w14:paraId="6EE1422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 xml:space="preserve">  其他资金</w:t>
            </w:r>
          </w:p>
        </w:tc>
        <w:tc>
          <w:tcPr>
            <w:tcW w:w="1134" w:type="dxa"/>
            <w:gridSpan w:val="2"/>
            <w:tcBorders>
              <w:top w:val="nil"/>
              <w:left w:val="nil"/>
              <w:bottom w:val="single" w:color="auto" w:sz="4" w:space="0"/>
              <w:right w:val="single" w:color="auto" w:sz="4" w:space="0"/>
            </w:tcBorders>
            <w:vAlign w:val="center"/>
          </w:tcPr>
          <w:p w14:paraId="3139B094">
            <w:pPr>
              <w:widowControl/>
              <w:spacing w:line="240" w:lineRule="exact"/>
              <w:jc w:val="center"/>
              <w:rPr>
                <w:rFonts w:hint="eastAsia" w:ascii="仿宋" w:hAnsi="仿宋" w:eastAsia="仿宋" w:cs="仿宋"/>
                <w:kern w:val="0"/>
                <w:sz w:val="18"/>
                <w:szCs w:val="18"/>
              </w:rPr>
            </w:pPr>
          </w:p>
        </w:tc>
        <w:tc>
          <w:tcPr>
            <w:tcW w:w="1134" w:type="dxa"/>
            <w:tcBorders>
              <w:top w:val="nil"/>
              <w:left w:val="nil"/>
              <w:bottom w:val="single" w:color="auto" w:sz="4" w:space="0"/>
              <w:right w:val="single" w:color="auto" w:sz="4" w:space="0"/>
            </w:tcBorders>
            <w:vAlign w:val="center"/>
          </w:tcPr>
          <w:p w14:paraId="522DF79D">
            <w:pPr>
              <w:widowControl/>
              <w:spacing w:line="240" w:lineRule="exact"/>
              <w:jc w:val="center"/>
              <w:rPr>
                <w:rFonts w:hint="eastAsia" w:ascii="仿宋" w:hAnsi="仿宋" w:eastAsia="仿宋" w:cs="仿宋"/>
                <w:kern w:val="0"/>
                <w:sz w:val="18"/>
                <w:szCs w:val="18"/>
              </w:rPr>
            </w:pPr>
          </w:p>
        </w:tc>
        <w:tc>
          <w:tcPr>
            <w:tcW w:w="1134" w:type="dxa"/>
            <w:gridSpan w:val="2"/>
            <w:tcBorders>
              <w:top w:val="nil"/>
              <w:left w:val="nil"/>
              <w:bottom w:val="single" w:color="auto" w:sz="4" w:space="0"/>
              <w:right w:val="single" w:color="auto" w:sz="4" w:space="0"/>
            </w:tcBorders>
            <w:vAlign w:val="center"/>
          </w:tcPr>
          <w:p w14:paraId="762796FD">
            <w:pPr>
              <w:widowControl/>
              <w:spacing w:line="240" w:lineRule="exact"/>
              <w:jc w:val="center"/>
              <w:rPr>
                <w:rFonts w:hint="eastAsia" w:ascii="仿宋" w:hAnsi="仿宋" w:eastAsia="仿宋" w:cs="仿宋"/>
                <w:kern w:val="0"/>
                <w:sz w:val="18"/>
                <w:szCs w:val="18"/>
              </w:rPr>
            </w:pPr>
          </w:p>
        </w:tc>
        <w:tc>
          <w:tcPr>
            <w:tcW w:w="709" w:type="dxa"/>
            <w:gridSpan w:val="2"/>
            <w:tcBorders>
              <w:top w:val="nil"/>
              <w:left w:val="nil"/>
              <w:bottom w:val="single" w:color="auto" w:sz="4" w:space="0"/>
              <w:right w:val="single" w:color="auto" w:sz="4" w:space="0"/>
            </w:tcBorders>
            <w:vAlign w:val="center"/>
          </w:tcPr>
          <w:p w14:paraId="150B812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0BE42514">
            <w:pPr>
              <w:widowControl/>
              <w:spacing w:line="240" w:lineRule="exact"/>
              <w:jc w:val="center"/>
              <w:rPr>
                <w:rFonts w:hint="eastAsia" w:ascii="仿宋" w:hAnsi="仿宋" w:eastAsia="仿宋" w:cs="仿宋"/>
                <w:kern w:val="0"/>
                <w:sz w:val="18"/>
                <w:szCs w:val="18"/>
              </w:rPr>
            </w:pPr>
          </w:p>
        </w:tc>
        <w:tc>
          <w:tcPr>
            <w:tcW w:w="708" w:type="dxa"/>
            <w:tcBorders>
              <w:top w:val="nil"/>
              <w:left w:val="nil"/>
              <w:bottom w:val="single" w:color="auto" w:sz="4" w:space="0"/>
              <w:right w:val="single" w:color="auto" w:sz="4" w:space="0"/>
            </w:tcBorders>
            <w:vAlign w:val="center"/>
          </w:tcPr>
          <w:p w14:paraId="211B4EE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w:t>
            </w:r>
          </w:p>
        </w:tc>
      </w:tr>
      <w:tr w14:paraId="4DCD57EE">
        <w:tblPrEx>
          <w:tblCellMar>
            <w:top w:w="0" w:type="dxa"/>
            <w:left w:w="108" w:type="dxa"/>
            <w:bottom w:w="0" w:type="dxa"/>
            <w:right w:w="108" w:type="dxa"/>
          </w:tblCellMar>
        </w:tblPrEx>
        <w:trPr>
          <w:trHeight w:val="300" w:hRule="exact"/>
          <w:jc w:val="center"/>
        </w:trPr>
        <w:tc>
          <w:tcPr>
            <w:tcW w:w="588" w:type="dxa"/>
            <w:vMerge w:val="restart"/>
            <w:tcBorders>
              <w:top w:val="nil"/>
              <w:left w:val="single" w:color="auto" w:sz="4" w:space="0"/>
              <w:bottom w:val="single" w:color="auto" w:sz="4" w:space="0"/>
              <w:right w:val="single" w:color="auto" w:sz="4" w:space="0"/>
            </w:tcBorders>
            <w:vAlign w:val="center"/>
          </w:tcPr>
          <w:p w14:paraId="2EBA4D5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vAlign w:val="center"/>
          </w:tcPr>
          <w:p w14:paraId="4D73D11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预期目标</w:t>
            </w:r>
          </w:p>
        </w:tc>
        <w:tc>
          <w:tcPr>
            <w:tcW w:w="3402" w:type="dxa"/>
            <w:gridSpan w:val="7"/>
            <w:tcBorders>
              <w:top w:val="single" w:color="auto" w:sz="4" w:space="0"/>
              <w:left w:val="nil"/>
              <w:bottom w:val="single" w:color="auto" w:sz="4" w:space="0"/>
              <w:right w:val="single" w:color="auto" w:sz="4" w:space="0"/>
            </w:tcBorders>
            <w:vAlign w:val="center"/>
          </w:tcPr>
          <w:p w14:paraId="3DB7A81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实际完成情况</w:t>
            </w:r>
          </w:p>
        </w:tc>
      </w:tr>
      <w:tr w14:paraId="3BFA6707">
        <w:tblPrEx>
          <w:tblCellMar>
            <w:top w:w="0" w:type="dxa"/>
            <w:left w:w="108" w:type="dxa"/>
            <w:bottom w:w="0" w:type="dxa"/>
            <w:right w:w="108" w:type="dxa"/>
          </w:tblCellMar>
        </w:tblPrEx>
        <w:trPr>
          <w:trHeight w:val="1523" w:hRule="exact"/>
          <w:jc w:val="center"/>
        </w:trPr>
        <w:tc>
          <w:tcPr>
            <w:tcW w:w="588" w:type="dxa"/>
            <w:vMerge w:val="continue"/>
            <w:tcBorders>
              <w:top w:val="nil"/>
              <w:left w:val="single" w:color="auto" w:sz="4" w:space="0"/>
              <w:bottom w:val="single" w:color="auto" w:sz="4" w:space="0"/>
              <w:right w:val="single" w:color="auto" w:sz="4" w:space="0"/>
            </w:tcBorders>
            <w:vAlign w:val="center"/>
          </w:tcPr>
          <w:p w14:paraId="2F67B19A">
            <w:pPr>
              <w:widowControl/>
              <w:spacing w:line="240" w:lineRule="exact"/>
              <w:jc w:val="center"/>
              <w:rPr>
                <w:rFonts w:hint="eastAsia" w:ascii="仿宋" w:hAnsi="仿宋" w:eastAsia="仿宋" w:cs="仿宋"/>
                <w:kern w:val="0"/>
                <w:sz w:val="18"/>
                <w:szCs w:val="18"/>
              </w:rPr>
            </w:pPr>
          </w:p>
        </w:tc>
        <w:tc>
          <w:tcPr>
            <w:tcW w:w="5090" w:type="dxa"/>
            <w:gridSpan w:val="6"/>
            <w:tcBorders>
              <w:top w:val="single" w:color="auto" w:sz="4" w:space="0"/>
              <w:left w:val="nil"/>
              <w:bottom w:val="single" w:color="auto" w:sz="4" w:space="0"/>
              <w:right w:val="single" w:color="auto" w:sz="4" w:space="0"/>
            </w:tcBorders>
            <w:vAlign w:val="center"/>
          </w:tcPr>
          <w:p w14:paraId="439B7C03">
            <w:pPr>
              <w:rPr>
                <w:rFonts w:hint="eastAsia" w:ascii="仿宋" w:hAnsi="仿宋" w:eastAsia="仿宋" w:cs="仿宋"/>
                <w:sz w:val="18"/>
                <w:szCs w:val="18"/>
              </w:rPr>
            </w:pPr>
            <w:r>
              <w:rPr>
                <w:rFonts w:hint="eastAsia" w:ascii="仿宋" w:hAnsi="仿宋" w:eastAsia="仿宋" w:cs="仿宋"/>
                <w:sz w:val="18"/>
                <w:szCs w:val="18"/>
              </w:rPr>
              <w:t>普及社会科学知识，开展全市社会科学优秀成果的评奖活动。在市社会科学规划领导小组的指导下具体负责制定和实施全市社会科学规划，负责全市和省级社会科学课题的申报、管理。</w:t>
            </w:r>
          </w:p>
        </w:tc>
        <w:tc>
          <w:tcPr>
            <w:tcW w:w="3402" w:type="dxa"/>
            <w:gridSpan w:val="7"/>
            <w:tcBorders>
              <w:top w:val="single" w:color="auto" w:sz="4" w:space="0"/>
              <w:left w:val="nil"/>
              <w:bottom w:val="single" w:color="auto" w:sz="4" w:space="0"/>
              <w:right w:val="single" w:color="auto" w:sz="4" w:space="0"/>
            </w:tcBorders>
            <w:vAlign w:val="center"/>
          </w:tcPr>
          <w:p w14:paraId="1FAB62C4">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较好的完成</w:t>
            </w:r>
          </w:p>
        </w:tc>
      </w:tr>
      <w:tr w14:paraId="5BB0E526">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vAlign w:val="center"/>
          </w:tcPr>
          <w:p w14:paraId="03A732F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绩</w:t>
            </w:r>
            <w:r>
              <w:rPr>
                <w:rFonts w:hint="eastAsia" w:ascii="仿宋" w:hAnsi="仿宋" w:eastAsia="仿宋" w:cs="仿宋"/>
                <w:kern w:val="0"/>
                <w:sz w:val="18"/>
                <w:szCs w:val="18"/>
              </w:rPr>
              <w:br w:type="textWrapping"/>
            </w:r>
            <w:r>
              <w:rPr>
                <w:rFonts w:hint="eastAsia" w:ascii="仿宋" w:hAnsi="仿宋" w:eastAsia="仿宋" w:cs="仿宋"/>
                <w:kern w:val="0"/>
                <w:sz w:val="18"/>
                <w:szCs w:val="18"/>
              </w:rPr>
              <w:t>效</w:t>
            </w:r>
            <w:r>
              <w:rPr>
                <w:rFonts w:hint="eastAsia" w:ascii="仿宋" w:hAnsi="仿宋" w:eastAsia="仿宋" w:cs="仿宋"/>
                <w:kern w:val="0"/>
                <w:sz w:val="18"/>
                <w:szCs w:val="18"/>
              </w:rPr>
              <w:br w:type="textWrapping"/>
            </w:r>
            <w:r>
              <w:rPr>
                <w:rFonts w:hint="eastAsia" w:ascii="仿宋" w:hAnsi="仿宋" w:eastAsia="仿宋" w:cs="仿宋"/>
                <w:kern w:val="0"/>
                <w:sz w:val="18"/>
                <w:szCs w:val="18"/>
              </w:rPr>
              <w:t>指</w:t>
            </w:r>
            <w:r>
              <w:rPr>
                <w:rFonts w:hint="eastAsia" w:ascii="仿宋" w:hAnsi="仿宋" w:eastAsia="仿宋" w:cs="仿宋"/>
                <w:kern w:val="0"/>
                <w:sz w:val="18"/>
                <w:szCs w:val="18"/>
              </w:rPr>
              <w:br w:type="textWrapping"/>
            </w:r>
            <w:r>
              <w:rPr>
                <w:rFonts w:hint="eastAsia" w:ascii="仿宋" w:hAnsi="仿宋" w:eastAsia="仿宋" w:cs="仿宋"/>
                <w:kern w:val="0"/>
                <w:sz w:val="18"/>
                <w:szCs w:val="18"/>
              </w:rPr>
              <w:t>标</w:t>
            </w:r>
          </w:p>
        </w:tc>
        <w:tc>
          <w:tcPr>
            <w:tcW w:w="980" w:type="dxa"/>
            <w:tcBorders>
              <w:top w:val="nil"/>
              <w:left w:val="nil"/>
              <w:bottom w:val="single" w:color="auto" w:sz="4" w:space="0"/>
              <w:right w:val="single" w:color="auto" w:sz="4" w:space="0"/>
            </w:tcBorders>
            <w:vAlign w:val="center"/>
          </w:tcPr>
          <w:p w14:paraId="6FAB76B1">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一级指标</w:t>
            </w:r>
          </w:p>
        </w:tc>
        <w:tc>
          <w:tcPr>
            <w:tcW w:w="1112" w:type="dxa"/>
            <w:tcBorders>
              <w:top w:val="nil"/>
              <w:left w:val="nil"/>
              <w:bottom w:val="single" w:color="auto" w:sz="4" w:space="0"/>
              <w:right w:val="single" w:color="auto" w:sz="4" w:space="0"/>
            </w:tcBorders>
            <w:vAlign w:val="center"/>
          </w:tcPr>
          <w:p w14:paraId="337C483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二级指标</w:t>
            </w:r>
          </w:p>
        </w:tc>
        <w:tc>
          <w:tcPr>
            <w:tcW w:w="1844" w:type="dxa"/>
            <w:gridSpan w:val="2"/>
            <w:tcBorders>
              <w:top w:val="single" w:color="auto" w:sz="4" w:space="0"/>
              <w:left w:val="nil"/>
              <w:bottom w:val="single" w:color="auto" w:sz="4" w:space="0"/>
              <w:right w:val="single" w:color="auto" w:sz="4" w:space="0"/>
            </w:tcBorders>
            <w:vAlign w:val="center"/>
          </w:tcPr>
          <w:p w14:paraId="3CE064A8">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三级指标</w:t>
            </w:r>
          </w:p>
        </w:tc>
        <w:tc>
          <w:tcPr>
            <w:tcW w:w="1154" w:type="dxa"/>
            <w:gridSpan w:val="2"/>
            <w:tcBorders>
              <w:top w:val="nil"/>
              <w:left w:val="nil"/>
              <w:bottom w:val="single" w:color="auto" w:sz="4" w:space="0"/>
              <w:right w:val="single" w:color="auto" w:sz="4" w:space="0"/>
            </w:tcBorders>
            <w:vAlign w:val="center"/>
          </w:tcPr>
          <w:p w14:paraId="6B4F459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年度</w:t>
            </w:r>
          </w:p>
          <w:p w14:paraId="116CD4A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指标值</w:t>
            </w:r>
          </w:p>
        </w:tc>
        <w:tc>
          <w:tcPr>
            <w:tcW w:w="851" w:type="dxa"/>
            <w:tcBorders>
              <w:top w:val="nil"/>
              <w:left w:val="nil"/>
              <w:bottom w:val="single" w:color="auto" w:sz="4" w:space="0"/>
              <w:right w:val="single" w:color="auto" w:sz="4" w:space="0"/>
            </w:tcBorders>
            <w:vAlign w:val="center"/>
          </w:tcPr>
          <w:p w14:paraId="20CFA83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实际</w:t>
            </w:r>
          </w:p>
          <w:p w14:paraId="4B0F8B54">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完成值</w:t>
            </w:r>
          </w:p>
        </w:tc>
        <w:tc>
          <w:tcPr>
            <w:tcW w:w="567" w:type="dxa"/>
            <w:gridSpan w:val="2"/>
            <w:tcBorders>
              <w:top w:val="nil"/>
              <w:left w:val="nil"/>
              <w:bottom w:val="single" w:color="auto" w:sz="4" w:space="0"/>
              <w:right w:val="single" w:color="auto" w:sz="4" w:space="0"/>
            </w:tcBorders>
            <w:vAlign w:val="center"/>
          </w:tcPr>
          <w:p w14:paraId="458E605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分值</w:t>
            </w:r>
          </w:p>
        </w:tc>
        <w:tc>
          <w:tcPr>
            <w:tcW w:w="567" w:type="dxa"/>
            <w:gridSpan w:val="2"/>
            <w:tcBorders>
              <w:top w:val="nil"/>
              <w:left w:val="nil"/>
              <w:bottom w:val="single" w:color="auto" w:sz="4" w:space="0"/>
              <w:right w:val="single" w:color="auto" w:sz="4" w:space="0"/>
            </w:tcBorders>
            <w:vAlign w:val="center"/>
          </w:tcPr>
          <w:p w14:paraId="6890C601">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得分</w:t>
            </w:r>
          </w:p>
        </w:tc>
        <w:tc>
          <w:tcPr>
            <w:tcW w:w="1417" w:type="dxa"/>
            <w:gridSpan w:val="2"/>
            <w:tcBorders>
              <w:top w:val="single" w:color="auto" w:sz="4" w:space="0"/>
              <w:left w:val="nil"/>
              <w:bottom w:val="single" w:color="auto" w:sz="4" w:space="0"/>
              <w:right w:val="single" w:color="auto" w:sz="4" w:space="0"/>
            </w:tcBorders>
            <w:vAlign w:val="center"/>
          </w:tcPr>
          <w:p w14:paraId="6A07F354">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偏差原因分析及改进措施</w:t>
            </w:r>
          </w:p>
        </w:tc>
      </w:tr>
      <w:tr w14:paraId="1F6C2164">
        <w:tblPrEx>
          <w:tblCellMar>
            <w:top w:w="0" w:type="dxa"/>
            <w:left w:w="108" w:type="dxa"/>
            <w:bottom w:w="0" w:type="dxa"/>
            <w:right w:w="108" w:type="dxa"/>
          </w:tblCellMar>
        </w:tblPrEx>
        <w:trPr>
          <w:trHeight w:val="1160" w:hRule="exact"/>
          <w:jc w:val="center"/>
        </w:trPr>
        <w:tc>
          <w:tcPr>
            <w:tcW w:w="588" w:type="dxa"/>
            <w:vMerge w:val="continue"/>
            <w:tcBorders>
              <w:left w:val="single" w:color="auto" w:sz="4" w:space="0"/>
              <w:right w:val="single" w:color="auto" w:sz="4" w:space="0"/>
            </w:tcBorders>
            <w:vAlign w:val="center"/>
          </w:tcPr>
          <w:p w14:paraId="36A44084">
            <w:pPr>
              <w:widowControl/>
              <w:spacing w:line="240" w:lineRule="exact"/>
              <w:jc w:val="center"/>
              <w:rPr>
                <w:rFonts w:hint="eastAsia" w:ascii="仿宋" w:hAnsi="仿宋" w:eastAsia="仿宋" w:cs="仿宋"/>
                <w:kern w:val="0"/>
                <w:sz w:val="18"/>
                <w:szCs w:val="18"/>
              </w:rPr>
            </w:pPr>
          </w:p>
        </w:tc>
        <w:tc>
          <w:tcPr>
            <w:tcW w:w="980" w:type="dxa"/>
            <w:vMerge w:val="restart"/>
            <w:tcBorders>
              <w:top w:val="nil"/>
              <w:left w:val="single" w:color="auto" w:sz="4" w:space="0"/>
              <w:bottom w:val="single" w:color="auto" w:sz="4" w:space="0"/>
              <w:right w:val="single" w:color="auto" w:sz="4" w:space="0"/>
            </w:tcBorders>
            <w:vAlign w:val="center"/>
          </w:tcPr>
          <w:p w14:paraId="3DB5084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产出指标</w:t>
            </w:r>
          </w:p>
        </w:tc>
        <w:tc>
          <w:tcPr>
            <w:tcW w:w="1112" w:type="dxa"/>
            <w:vMerge w:val="restart"/>
            <w:tcBorders>
              <w:top w:val="nil"/>
              <w:left w:val="single" w:color="auto" w:sz="4" w:space="0"/>
              <w:bottom w:val="single" w:color="auto" w:sz="4" w:space="0"/>
              <w:right w:val="single" w:color="auto" w:sz="4" w:space="0"/>
            </w:tcBorders>
            <w:vAlign w:val="center"/>
          </w:tcPr>
          <w:p w14:paraId="4734E9F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数量指标</w:t>
            </w:r>
          </w:p>
        </w:tc>
        <w:tc>
          <w:tcPr>
            <w:tcW w:w="1844" w:type="dxa"/>
            <w:gridSpan w:val="2"/>
            <w:tcBorders>
              <w:top w:val="single" w:color="auto" w:sz="4" w:space="0"/>
              <w:left w:val="nil"/>
              <w:bottom w:val="single" w:color="auto" w:sz="4" w:space="0"/>
              <w:right w:val="single" w:color="auto" w:sz="4" w:space="0"/>
            </w:tcBorders>
            <w:vAlign w:val="center"/>
          </w:tcPr>
          <w:p w14:paraId="02CC7AF6">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指标1：完成市级课题</w:t>
            </w:r>
          </w:p>
        </w:tc>
        <w:tc>
          <w:tcPr>
            <w:tcW w:w="1154" w:type="dxa"/>
            <w:gridSpan w:val="2"/>
            <w:tcBorders>
              <w:top w:val="nil"/>
              <w:left w:val="nil"/>
              <w:bottom w:val="single" w:color="auto" w:sz="4" w:space="0"/>
              <w:right w:val="single" w:color="auto" w:sz="4" w:space="0"/>
            </w:tcBorders>
            <w:vAlign w:val="center"/>
          </w:tcPr>
          <w:p w14:paraId="5D226D3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50个</w:t>
            </w:r>
          </w:p>
        </w:tc>
        <w:tc>
          <w:tcPr>
            <w:tcW w:w="851" w:type="dxa"/>
            <w:tcBorders>
              <w:top w:val="nil"/>
              <w:left w:val="nil"/>
              <w:bottom w:val="single" w:color="auto" w:sz="4" w:space="0"/>
              <w:right w:val="single" w:color="auto" w:sz="4" w:space="0"/>
            </w:tcBorders>
            <w:vAlign w:val="center"/>
          </w:tcPr>
          <w:p w14:paraId="03015A9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全部完成</w:t>
            </w:r>
          </w:p>
        </w:tc>
        <w:tc>
          <w:tcPr>
            <w:tcW w:w="567" w:type="dxa"/>
            <w:gridSpan w:val="2"/>
            <w:tcBorders>
              <w:top w:val="nil"/>
              <w:left w:val="nil"/>
              <w:bottom w:val="single" w:color="auto" w:sz="4" w:space="0"/>
              <w:right w:val="single" w:color="auto" w:sz="4" w:space="0"/>
            </w:tcBorders>
            <w:vAlign w:val="center"/>
          </w:tcPr>
          <w:p w14:paraId="7321B1A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01370E2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4CFA8A05">
            <w:pPr>
              <w:widowControl/>
              <w:spacing w:line="240" w:lineRule="exact"/>
              <w:jc w:val="center"/>
              <w:rPr>
                <w:rFonts w:hint="eastAsia" w:ascii="仿宋" w:hAnsi="仿宋" w:eastAsia="仿宋" w:cs="仿宋"/>
                <w:kern w:val="0"/>
                <w:sz w:val="18"/>
                <w:szCs w:val="18"/>
              </w:rPr>
            </w:pPr>
          </w:p>
        </w:tc>
      </w:tr>
      <w:tr w14:paraId="24CCA5B4">
        <w:tblPrEx>
          <w:tblCellMar>
            <w:top w:w="0" w:type="dxa"/>
            <w:left w:w="108" w:type="dxa"/>
            <w:bottom w:w="0" w:type="dxa"/>
            <w:right w:w="108" w:type="dxa"/>
          </w:tblCellMar>
        </w:tblPrEx>
        <w:trPr>
          <w:trHeight w:val="792" w:hRule="exact"/>
          <w:jc w:val="center"/>
        </w:trPr>
        <w:tc>
          <w:tcPr>
            <w:tcW w:w="588" w:type="dxa"/>
            <w:vMerge w:val="continue"/>
            <w:tcBorders>
              <w:left w:val="single" w:color="auto" w:sz="4" w:space="0"/>
              <w:right w:val="single" w:color="auto" w:sz="4" w:space="0"/>
            </w:tcBorders>
            <w:vAlign w:val="center"/>
          </w:tcPr>
          <w:p w14:paraId="30B6DFE0">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179102ED">
            <w:pPr>
              <w:widowControl/>
              <w:spacing w:line="240" w:lineRule="exact"/>
              <w:jc w:val="center"/>
              <w:rPr>
                <w:rFonts w:hint="eastAsia" w:ascii="仿宋" w:hAnsi="仿宋" w:eastAsia="仿宋" w:cs="仿宋"/>
                <w:kern w:val="0"/>
                <w:sz w:val="18"/>
                <w:szCs w:val="18"/>
              </w:rPr>
            </w:pPr>
          </w:p>
        </w:tc>
        <w:tc>
          <w:tcPr>
            <w:tcW w:w="1112" w:type="dxa"/>
            <w:vMerge w:val="continue"/>
            <w:tcBorders>
              <w:top w:val="nil"/>
              <w:left w:val="single" w:color="auto" w:sz="4" w:space="0"/>
              <w:bottom w:val="single" w:color="auto" w:sz="4" w:space="0"/>
              <w:right w:val="single" w:color="auto" w:sz="4" w:space="0"/>
            </w:tcBorders>
            <w:vAlign w:val="center"/>
          </w:tcPr>
          <w:p w14:paraId="0C938CD5">
            <w:pPr>
              <w:widowControl/>
              <w:spacing w:line="240" w:lineRule="exact"/>
              <w:jc w:val="center"/>
              <w:rPr>
                <w:rFonts w:hint="eastAsia" w:ascii="仿宋" w:hAnsi="仿宋" w:eastAsia="仿宋" w:cs="仿宋"/>
                <w:kern w:val="0"/>
                <w:sz w:val="18"/>
                <w:szCs w:val="18"/>
              </w:rPr>
            </w:pPr>
          </w:p>
        </w:tc>
        <w:tc>
          <w:tcPr>
            <w:tcW w:w="1844" w:type="dxa"/>
            <w:gridSpan w:val="2"/>
            <w:tcBorders>
              <w:top w:val="single" w:color="auto" w:sz="4" w:space="0"/>
              <w:left w:val="nil"/>
              <w:bottom w:val="single" w:color="auto" w:sz="4" w:space="0"/>
              <w:right w:val="single" w:color="auto" w:sz="4" w:space="0"/>
            </w:tcBorders>
            <w:vAlign w:val="center"/>
          </w:tcPr>
          <w:p w14:paraId="206052B0">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指标2：重点省级课题</w:t>
            </w:r>
          </w:p>
        </w:tc>
        <w:tc>
          <w:tcPr>
            <w:tcW w:w="1154" w:type="dxa"/>
            <w:gridSpan w:val="2"/>
            <w:tcBorders>
              <w:top w:val="nil"/>
              <w:left w:val="nil"/>
              <w:bottom w:val="single" w:color="auto" w:sz="4" w:space="0"/>
              <w:right w:val="single" w:color="auto" w:sz="4" w:space="0"/>
            </w:tcBorders>
            <w:vAlign w:val="center"/>
          </w:tcPr>
          <w:p w14:paraId="101A52E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3个</w:t>
            </w:r>
          </w:p>
        </w:tc>
        <w:tc>
          <w:tcPr>
            <w:tcW w:w="851" w:type="dxa"/>
            <w:tcBorders>
              <w:top w:val="nil"/>
              <w:left w:val="nil"/>
              <w:bottom w:val="single" w:color="auto" w:sz="4" w:space="0"/>
              <w:right w:val="single" w:color="auto" w:sz="4" w:space="0"/>
            </w:tcBorders>
            <w:vAlign w:val="center"/>
          </w:tcPr>
          <w:p w14:paraId="6B2B821E">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全部完成</w:t>
            </w:r>
          </w:p>
        </w:tc>
        <w:tc>
          <w:tcPr>
            <w:tcW w:w="567" w:type="dxa"/>
            <w:gridSpan w:val="2"/>
            <w:tcBorders>
              <w:top w:val="nil"/>
              <w:left w:val="nil"/>
              <w:bottom w:val="single" w:color="auto" w:sz="4" w:space="0"/>
              <w:right w:val="single" w:color="auto" w:sz="4" w:space="0"/>
            </w:tcBorders>
            <w:vAlign w:val="center"/>
          </w:tcPr>
          <w:p w14:paraId="670A7FA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1C6F60F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36118F0D">
            <w:pPr>
              <w:widowControl/>
              <w:spacing w:line="240" w:lineRule="exact"/>
              <w:jc w:val="center"/>
              <w:rPr>
                <w:rFonts w:hint="eastAsia" w:ascii="仿宋" w:hAnsi="仿宋" w:eastAsia="仿宋" w:cs="仿宋"/>
                <w:kern w:val="0"/>
                <w:sz w:val="18"/>
                <w:szCs w:val="18"/>
              </w:rPr>
            </w:pPr>
          </w:p>
        </w:tc>
      </w:tr>
      <w:tr w14:paraId="3B70FF7B">
        <w:tblPrEx>
          <w:tblCellMar>
            <w:top w:w="0" w:type="dxa"/>
            <w:left w:w="108" w:type="dxa"/>
            <w:bottom w:w="0" w:type="dxa"/>
            <w:right w:w="108" w:type="dxa"/>
          </w:tblCellMar>
        </w:tblPrEx>
        <w:trPr>
          <w:trHeight w:val="784" w:hRule="exact"/>
          <w:jc w:val="center"/>
        </w:trPr>
        <w:tc>
          <w:tcPr>
            <w:tcW w:w="588" w:type="dxa"/>
            <w:vMerge w:val="continue"/>
            <w:tcBorders>
              <w:left w:val="single" w:color="auto" w:sz="4" w:space="0"/>
              <w:right w:val="single" w:color="auto" w:sz="4" w:space="0"/>
            </w:tcBorders>
            <w:vAlign w:val="center"/>
          </w:tcPr>
          <w:p w14:paraId="2CCE5BB8">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361564AF">
            <w:pPr>
              <w:widowControl/>
              <w:spacing w:line="240" w:lineRule="exact"/>
              <w:jc w:val="center"/>
              <w:rPr>
                <w:rFonts w:hint="eastAsia" w:ascii="仿宋" w:hAnsi="仿宋" w:eastAsia="仿宋" w:cs="仿宋"/>
                <w:kern w:val="0"/>
                <w:sz w:val="18"/>
                <w:szCs w:val="18"/>
              </w:rPr>
            </w:pPr>
          </w:p>
        </w:tc>
        <w:tc>
          <w:tcPr>
            <w:tcW w:w="1112" w:type="dxa"/>
            <w:vMerge w:val="restart"/>
            <w:tcBorders>
              <w:top w:val="nil"/>
              <w:left w:val="single" w:color="auto" w:sz="4" w:space="0"/>
              <w:bottom w:val="single" w:color="auto" w:sz="4" w:space="0"/>
              <w:right w:val="single" w:color="auto" w:sz="4" w:space="0"/>
            </w:tcBorders>
            <w:vAlign w:val="center"/>
          </w:tcPr>
          <w:p w14:paraId="7BB8F3DE">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质量指标</w:t>
            </w:r>
          </w:p>
        </w:tc>
        <w:tc>
          <w:tcPr>
            <w:tcW w:w="1844" w:type="dxa"/>
            <w:gridSpan w:val="2"/>
            <w:tcBorders>
              <w:top w:val="single" w:color="auto" w:sz="4" w:space="0"/>
              <w:left w:val="nil"/>
              <w:bottom w:val="single" w:color="auto" w:sz="4" w:space="0"/>
              <w:right w:val="single" w:color="auto" w:sz="4" w:space="0"/>
            </w:tcBorders>
            <w:vAlign w:val="center"/>
          </w:tcPr>
          <w:p w14:paraId="37D9E7AB">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指标1：覆盖景德镇各大高校</w:t>
            </w:r>
          </w:p>
        </w:tc>
        <w:tc>
          <w:tcPr>
            <w:tcW w:w="1154" w:type="dxa"/>
            <w:gridSpan w:val="2"/>
            <w:tcBorders>
              <w:top w:val="nil"/>
              <w:left w:val="nil"/>
              <w:bottom w:val="single" w:color="auto" w:sz="4" w:space="0"/>
              <w:right w:val="single" w:color="auto" w:sz="4" w:space="0"/>
            </w:tcBorders>
            <w:vAlign w:val="center"/>
          </w:tcPr>
          <w:p w14:paraId="12BF145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90%</w:t>
            </w:r>
          </w:p>
        </w:tc>
        <w:tc>
          <w:tcPr>
            <w:tcW w:w="851" w:type="dxa"/>
            <w:tcBorders>
              <w:top w:val="nil"/>
              <w:left w:val="nil"/>
              <w:bottom w:val="single" w:color="auto" w:sz="4" w:space="0"/>
              <w:right w:val="single" w:color="auto" w:sz="4" w:space="0"/>
            </w:tcBorders>
            <w:vAlign w:val="center"/>
          </w:tcPr>
          <w:p w14:paraId="75D8886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90%</w:t>
            </w:r>
          </w:p>
        </w:tc>
        <w:tc>
          <w:tcPr>
            <w:tcW w:w="567" w:type="dxa"/>
            <w:gridSpan w:val="2"/>
            <w:tcBorders>
              <w:top w:val="nil"/>
              <w:left w:val="nil"/>
              <w:bottom w:val="single" w:color="auto" w:sz="4" w:space="0"/>
              <w:right w:val="single" w:color="auto" w:sz="4" w:space="0"/>
            </w:tcBorders>
            <w:vAlign w:val="center"/>
          </w:tcPr>
          <w:p w14:paraId="1BEEEB0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3BE8A94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02FB5FDD">
            <w:pPr>
              <w:widowControl/>
              <w:spacing w:line="240" w:lineRule="exact"/>
              <w:jc w:val="center"/>
              <w:rPr>
                <w:rFonts w:hint="eastAsia" w:ascii="仿宋" w:hAnsi="仿宋" w:eastAsia="仿宋" w:cs="仿宋"/>
                <w:kern w:val="0"/>
                <w:sz w:val="18"/>
                <w:szCs w:val="18"/>
              </w:rPr>
            </w:pPr>
          </w:p>
        </w:tc>
      </w:tr>
      <w:tr w14:paraId="3D0EF394">
        <w:tblPrEx>
          <w:tblCellMar>
            <w:top w:w="0" w:type="dxa"/>
            <w:left w:w="108" w:type="dxa"/>
            <w:bottom w:w="0" w:type="dxa"/>
            <w:right w:w="108" w:type="dxa"/>
          </w:tblCellMar>
        </w:tblPrEx>
        <w:trPr>
          <w:trHeight w:val="610" w:hRule="exact"/>
          <w:jc w:val="center"/>
        </w:trPr>
        <w:tc>
          <w:tcPr>
            <w:tcW w:w="588" w:type="dxa"/>
            <w:vMerge w:val="continue"/>
            <w:tcBorders>
              <w:left w:val="single" w:color="auto" w:sz="4" w:space="0"/>
              <w:right w:val="single" w:color="auto" w:sz="4" w:space="0"/>
            </w:tcBorders>
            <w:vAlign w:val="center"/>
          </w:tcPr>
          <w:p w14:paraId="672A69F3">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6287488D">
            <w:pPr>
              <w:widowControl/>
              <w:spacing w:line="240" w:lineRule="exact"/>
              <w:jc w:val="center"/>
              <w:rPr>
                <w:rFonts w:hint="eastAsia" w:ascii="仿宋" w:hAnsi="仿宋" w:eastAsia="仿宋" w:cs="仿宋"/>
                <w:kern w:val="0"/>
                <w:sz w:val="18"/>
                <w:szCs w:val="18"/>
              </w:rPr>
            </w:pPr>
          </w:p>
        </w:tc>
        <w:tc>
          <w:tcPr>
            <w:tcW w:w="1112" w:type="dxa"/>
            <w:vMerge w:val="continue"/>
            <w:tcBorders>
              <w:top w:val="nil"/>
              <w:left w:val="single" w:color="auto" w:sz="4" w:space="0"/>
              <w:bottom w:val="single" w:color="auto" w:sz="4" w:space="0"/>
              <w:right w:val="single" w:color="auto" w:sz="4" w:space="0"/>
            </w:tcBorders>
            <w:vAlign w:val="center"/>
          </w:tcPr>
          <w:p w14:paraId="53D8F106">
            <w:pPr>
              <w:widowControl/>
              <w:spacing w:line="240" w:lineRule="exact"/>
              <w:jc w:val="center"/>
              <w:rPr>
                <w:rFonts w:hint="eastAsia" w:ascii="仿宋" w:hAnsi="仿宋" w:eastAsia="仿宋" w:cs="仿宋"/>
                <w:kern w:val="0"/>
                <w:sz w:val="18"/>
                <w:szCs w:val="18"/>
              </w:rPr>
            </w:pPr>
          </w:p>
        </w:tc>
        <w:tc>
          <w:tcPr>
            <w:tcW w:w="1844" w:type="dxa"/>
            <w:gridSpan w:val="2"/>
            <w:tcBorders>
              <w:top w:val="single" w:color="auto" w:sz="4" w:space="0"/>
              <w:left w:val="nil"/>
              <w:bottom w:val="single" w:color="auto" w:sz="4" w:space="0"/>
              <w:right w:val="single" w:color="auto" w:sz="4" w:space="0"/>
            </w:tcBorders>
            <w:vAlign w:val="center"/>
          </w:tcPr>
          <w:p w14:paraId="448C7477">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指标2：含中小学校课题</w:t>
            </w:r>
          </w:p>
        </w:tc>
        <w:tc>
          <w:tcPr>
            <w:tcW w:w="1154" w:type="dxa"/>
            <w:gridSpan w:val="2"/>
            <w:tcBorders>
              <w:top w:val="nil"/>
              <w:left w:val="nil"/>
              <w:bottom w:val="single" w:color="auto" w:sz="4" w:space="0"/>
              <w:right w:val="single" w:color="auto" w:sz="4" w:space="0"/>
            </w:tcBorders>
            <w:vAlign w:val="center"/>
          </w:tcPr>
          <w:p w14:paraId="3D01172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100%</w:t>
            </w:r>
          </w:p>
        </w:tc>
        <w:tc>
          <w:tcPr>
            <w:tcW w:w="851" w:type="dxa"/>
            <w:tcBorders>
              <w:top w:val="nil"/>
              <w:left w:val="nil"/>
              <w:bottom w:val="single" w:color="auto" w:sz="4" w:space="0"/>
              <w:right w:val="single" w:color="auto" w:sz="4" w:space="0"/>
            </w:tcBorders>
            <w:vAlign w:val="center"/>
          </w:tcPr>
          <w:p w14:paraId="39514321">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100%</w:t>
            </w:r>
          </w:p>
        </w:tc>
        <w:tc>
          <w:tcPr>
            <w:tcW w:w="567" w:type="dxa"/>
            <w:gridSpan w:val="2"/>
            <w:tcBorders>
              <w:top w:val="nil"/>
              <w:left w:val="nil"/>
              <w:bottom w:val="single" w:color="auto" w:sz="4" w:space="0"/>
              <w:right w:val="single" w:color="auto" w:sz="4" w:space="0"/>
            </w:tcBorders>
            <w:vAlign w:val="center"/>
          </w:tcPr>
          <w:p w14:paraId="2533BB0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04479E8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218965C0">
            <w:pPr>
              <w:widowControl/>
              <w:spacing w:line="240" w:lineRule="exact"/>
              <w:jc w:val="center"/>
              <w:rPr>
                <w:rFonts w:hint="eastAsia" w:ascii="仿宋" w:hAnsi="仿宋" w:eastAsia="仿宋" w:cs="仿宋"/>
                <w:kern w:val="0"/>
                <w:sz w:val="18"/>
                <w:szCs w:val="18"/>
              </w:rPr>
            </w:pPr>
          </w:p>
        </w:tc>
      </w:tr>
      <w:tr w14:paraId="0CD59A3A">
        <w:tblPrEx>
          <w:tblCellMar>
            <w:top w:w="0" w:type="dxa"/>
            <w:left w:w="108" w:type="dxa"/>
            <w:bottom w:w="0" w:type="dxa"/>
            <w:right w:w="108" w:type="dxa"/>
          </w:tblCellMar>
        </w:tblPrEx>
        <w:trPr>
          <w:trHeight w:val="774" w:hRule="exact"/>
          <w:jc w:val="center"/>
        </w:trPr>
        <w:tc>
          <w:tcPr>
            <w:tcW w:w="588" w:type="dxa"/>
            <w:vMerge w:val="continue"/>
            <w:tcBorders>
              <w:left w:val="single" w:color="auto" w:sz="4" w:space="0"/>
              <w:right w:val="single" w:color="auto" w:sz="4" w:space="0"/>
            </w:tcBorders>
            <w:vAlign w:val="center"/>
          </w:tcPr>
          <w:p w14:paraId="7188BFE5">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252722F5">
            <w:pPr>
              <w:widowControl/>
              <w:spacing w:line="240" w:lineRule="exact"/>
              <w:jc w:val="center"/>
              <w:rPr>
                <w:rFonts w:hint="eastAsia" w:ascii="仿宋" w:hAnsi="仿宋" w:eastAsia="仿宋" w:cs="仿宋"/>
                <w:kern w:val="0"/>
                <w:sz w:val="18"/>
                <w:szCs w:val="18"/>
              </w:rPr>
            </w:pPr>
          </w:p>
        </w:tc>
        <w:tc>
          <w:tcPr>
            <w:tcW w:w="1112" w:type="dxa"/>
            <w:vMerge w:val="continue"/>
            <w:tcBorders>
              <w:top w:val="nil"/>
              <w:left w:val="single" w:color="auto" w:sz="4" w:space="0"/>
              <w:bottom w:val="single" w:color="auto" w:sz="4" w:space="0"/>
              <w:right w:val="single" w:color="auto" w:sz="4" w:space="0"/>
            </w:tcBorders>
            <w:vAlign w:val="center"/>
          </w:tcPr>
          <w:p w14:paraId="6AF15894">
            <w:pPr>
              <w:widowControl/>
              <w:spacing w:line="240" w:lineRule="exact"/>
              <w:jc w:val="center"/>
              <w:rPr>
                <w:rFonts w:hint="eastAsia" w:ascii="仿宋" w:hAnsi="仿宋" w:eastAsia="仿宋" w:cs="仿宋"/>
                <w:kern w:val="0"/>
                <w:sz w:val="18"/>
                <w:szCs w:val="18"/>
              </w:rPr>
            </w:pPr>
          </w:p>
        </w:tc>
        <w:tc>
          <w:tcPr>
            <w:tcW w:w="1844" w:type="dxa"/>
            <w:gridSpan w:val="2"/>
            <w:tcBorders>
              <w:top w:val="single" w:color="auto" w:sz="4" w:space="0"/>
              <w:left w:val="nil"/>
              <w:bottom w:val="single" w:color="auto" w:sz="4" w:space="0"/>
              <w:right w:val="single" w:color="auto" w:sz="4" w:space="0"/>
            </w:tcBorders>
            <w:vAlign w:val="center"/>
          </w:tcPr>
          <w:p w14:paraId="121DDD88">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指标3：含个人、社会调研工作和学术研讨</w:t>
            </w:r>
          </w:p>
        </w:tc>
        <w:tc>
          <w:tcPr>
            <w:tcW w:w="1154" w:type="dxa"/>
            <w:gridSpan w:val="2"/>
            <w:tcBorders>
              <w:top w:val="nil"/>
              <w:left w:val="nil"/>
              <w:bottom w:val="single" w:color="auto" w:sz="4" w:space="0"/>
              <w:right w:val="single" w:color="auto" w:sz="4" w:space="0"/>
            </w:tcBorders>
            <w:vAlign w:val="center"/>
          </w:tcPr>
          <w:p w14:paraId="150493A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具有</w:t>
            </w:r>
          </w:p>
        </w:tc>
        <w:tc>
          <w:tcPr>
            <w:tcW w:w="851" w:type="dxa"/>
            <w:tcBorders>
              <w:top w:val="nil"/>
              <w:left w:val="nil"/>
              <w:bottom w:val="single" w:color="auto" w:sz="4" w:space="0"/>
              <w:right w:val="single" w:color="auto" w:sz="4" w:space="0"/>
            </w:tcBorders>
            <w:vAlign w:val="center"/>
          </w:tcPr>
          <w:p w14:paraId="36B01B7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具有</w:t>
            </w:r>
          </w:p>
        </w:tc>
        <w:tc>
          <w:tcPr>
            <w:tcW w:w="567" w:type="dxa"/>
            <w:gridSpan w:val="2"/>
            <w:tcBorders>
              <w:top w:val="nil"/>
              <w:left w:val="nil"/>
              <w:bottom w:val="single" w:color="auto" w:sz="4" w:space="0"/>
              <w:right w:val="single" w:color="auto" w:sz="4" w:space="0"/>
            </w:tcBorders>
            <w:vAlign w:val="center"/>
          </w:tcPr>
          <w:p w14:paraId="3061D7C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2CAA080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65C80F1A">
            <w:pPr>
              <w:widowControl/>
              <w:spacing w:line="240" w:lineRule="exact"/>
              <w:jc w:val="center"/>
              <w:rPr>
                <w:rFonts w:hint="eastAsia" w:ascii="仿宋" w:hAnsi="仿宋" w:eastAsia="仿宋" w:cs="仿宋"/>
                <w:kern w:val="0"/>
                <w:sz w:val="18"/>
                <w:szCs w:val="18"/>
              </w:rPr>
            </w:pPr>
          </w:p>
        </w:tc>
      </w:tr>
      <w:tr w14:paraId="0CDA5004">
        <w:tblPrEx>
          <w:tblCellMar>
            <w:top w:w="0" w:type="dxa"/>
            <w:left w:w="108" w:type="dxa"/>
            <w:bottom w:w="0" w:type="dxa"/>
            <w:right w:w="108" w:type="dxa"/>
          </w:tblCellMar>
        </w:tblPrEx>
        <w:trPr>
          <w:trHeight w:val="886" w:hRule="exact"/>
          <w:jc w:val="center"/>
        </w:trPr>
        <w:tc>
          <w:tcPr>
            <w:tcW w:w="588" w:type="dxa"/>
            <w:vMerge w:val="continue"/>
            <w:tcBorders>
              <w:left w:val="single" w:color="auto" w:sz="4" w:space="0"/>
              <w:right w:val="single" w:color="auto" w:sz="4" w:space="0"/>
            </w:tcBorders>
            <w:vAlign w:val="center"/>
          </w:tcPr>
          <w:p w14:paraId="42FF0EB3">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0B2B7F19">
            <w:pPr>
              <w:widowControl/>
              <w:spacing w:line="240" w:lineRule="exact"/>
              <w:jc w:val="center"/>
              <w:rPr>
                <w:rFonts w:hint="eastAsia" w:ascii="仿宋" w:hAnsi="仿宋" w:eastAsia="仿宋" w:cs="仿宋"/>
                <w:kern w:val="0"/>
                <w:sz w:val="18"/>
                <w:szCs w:val="18"/>
              </w:rPr>
            </w:pPr>
          </w:p>
        </w:tc>
        <w:tc>
          <w:tcPr>
            <w:tcW w:w="1112" w:type="dxa"/>
            <w:vMerge w:val="restart"/>
            <w:tcBorders>
              <w:top w:val="nil"/>
              <w:left w:val="single" w:color="auto" w:sz="4" w:space="0"/>
              <w:bottom w:val="single" w:color="auto" w:sz="4" w:space="0"/>
              <w:right w:val="single" w:color="auto" w:sz="4" w:space="0"/>
            </w:tcBorders>
            <w:vAlign w:val="center"/>
          </w:tcPr>
          <w:p w14:paraId="13763F88">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时效指标</w:t>
            </w:r>
          </w:p>
        </w:tc>
        <w:tc>
          <w:tcPr>
            <w:tcW w:w="1844" w:type="dxa"/>
            <w:gridSpan w:val="2"/>
            <w:tcBorders>
              <w:top w:val="single" w:color="auto" w:sz="4" w:space="0"/>
              <w:left w:val="nil"/>
              <w:bottom w:val="single" w:color="auto" w:sz="4" w:space="0"/>
              <w:right w:val="single" w:color="auto" w:sz="4" w:space="0"/>
            </w:tcBorders>
            <w:vAlign w:val="center"/>
          </w:tcPr>
          <w:p w14:paraId="76E8A6CB">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w:t>
            </w:r>
            <w:r>
              <w:rPr>
                <w:rFonts w:hint="eastAsia" w:ascii="仿宋" w:hAnsi="仿宋" w:eastAsia="仿宋" w:cs="仿宋"/>
                <w:kern w:val="0"/>
                <w:sz w:val="18"/>
                <w:szCs w:val="18"/>
              </w:rPr>
              <w:t>实施全市社会科学规划及普法宣传</w:t>
            </w:r>
          </w:p>
        </w:tc>
        <w:tc>
          <w:tcPr>
            <w:tcW w:w="1154" w:type="dxa"/>
            <w:gridSpan w:val="2"/>
            <w:tcBorders>
              <w:top w:val="nil"/>
              <w:left w:val="nil"/>
              <w:bottom w:val="single" w:color="auto" w:sz="4" w:space="0"/>
              <w:right w:val="single" w:color="auto" w:sz="4" w:space="0"/>
            </w:tcBorders>
            <w:vAlign w:val="center"/>
          </w:tcPr>
          <w:p w14:paraId="3C453FEE">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年内完成</w:t>
            </w:r>
          </w:p>
        </w:tc>
        <w:tc>
          <w:tcPr>
            <w:tcW w:w="851" w:type="dxa"/>
            <w:tcBorders>
              <w:top w:val="nil"/>
              <w:left w:val="nil"/>
              <w:bottom w:val="single" w:color="auto" w:sz="4" w:space="0"/>
              <w:right w:val="single" w:color="auto" w:sz="4" w:space="0"/>
            </w:tcBorders>
            <w:vAlign w:val="center"/>
          </w:tcPr>
          <w:p w14:paraId="1B769AA8">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已开展</w:t>
            </w:r>
          </w:p>
        </w:tc>
        <w:tc>
          <w:tcPr>
            <w:tcW w:w="567" w:type="dxa"/>
            <w:gridSpan w:val="2"/>
            <w:tcBorders>
              <w:top w:val="nil"/>
              <w:left w:val="nil"/>
              <w:bottom w:val="single" w:color="auto" w:sz="4" w:space="0"/>
              <w:right w:val="single" w:color="auto" w:sz="4" w:space="0"/>
            </w:tcBorders>
            <w:vAlign w:val="center"/>
          </w:tcPr>
          <w:p w14:paraId="6EAEDC2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438789F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0508F152">
            <w:pPr>
              <w:widowControl/>
              <w:spacing w:line="240" w:lineRule="exact"/>
              <w:jc w:val="center"/>
              <w:rPr>
                <w:rFonts w:hint="eastAsia" w:ascii="仿宋" w:hAnsi="仿宋" w:eastAsia="仿宋" w:cs="仿宋"/>
                <w:kern w:val="0"/>
                <w:sz w:val="18"/>
                <w:szCs w:val="18"/>
              </w:rPr>
            </w:pPr>
          </w:p>
        </w:tc>
      </w:tr>
      <w:tr w14:paraId="28C2B891">
        <w:tblPrEx>
          <w:tblCellMar>
            <w:top w:w="0" w:type="dxa"/>
            <w:left w:w="108" w:type="dxa"/>
            <w:bottom w:w="0" w:type="dxa"/>
            <w:right w:w="108" w:type="dxa"/>
          </w:tblCellMar>
        </w:tblPrEx>
        <w:trPr>
          <w:trHeight w:val="956" w:hRule="exact"/>
          <w:jc w:val="center"/>
        </w:trPr>
        <w:tc>
          <w:tcPr>
            <w:tcW w:w="588" w:type="dxa"/>
            <w:vMerge w:val="continue"/>
            <w:tcBorders>
              <w:left w:val="single" w:color="auto" w:sz="4" w:space="0"/>
              <w:bottom w:val="single" w:color="auto" w:sz="4" w:space="0"/>
              <w:right w:val="single" w:color="auto" w:sz="4" w:space="0"/>
            </w:tcBorders>
            <w:vAlign w:val="center"/>
          </w:tcPr>
          <w:p w14:paraId="4CC79E2C">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7E2A63AE">
            <w:pPr>
              <w:widowControl/>
              <w:spacing w:line="240" w:lineRule="exact"/>
              <w:jc w:val="center"/>
              <w:rPr>
                <w:rFonts w:hint="eastAsia" w:ascii="仿宋" w:hAnsi="仿宋" w:eastAsia="仿宋" w:cs="仿宋"/>
                <w:kern w:val="0"/>
                <w:sz w:val="18"/>
                <w:szCs w:val="18"/>
              </w:rPr>
            </w:pPr>
          </w:p>
        </w:tc>
        <w:tc>
          <w:tcPr>
            <w:tcW w:w="1112" w:type="dxa"/>
            <w:vMerge w:val="continue"/>
            <w:tcBorders>
              <w:top w:val="nil"/>
              <w:left w:val="single" w:color="auto" w:sz="4" w:space="0"/>
              <w:bottom w:val="single" w:color="auto" w:sz="4" w:space="0"/>
              <w:right w:val="single" w:color="auto" w:sz="4" w:space="0"/>
            </w:tcBorders>
            <w:vAlign w:val="center"/>
          </w:tcPr>
          <w:p w14:paraId="08E955E8">
            <w:pPr>
              <w:widowControl/>
              <w:spacing w:line="240" w:lineRule="exact"/>
              <w:jc w:val="center"/>
              <w:rPr>
                <w:rFonts w:hint="eastAsia" w:ascii="仿宋" w:hAnsi="仿宋" w:eastAsia="仿宋" w:cs="仿宋"/>
                <w:kern w:val="0"/>
                <w:sz w:val="18"/>
                <w:szCs w:val="18"/>
              </w:rPr>
            </w:pPr>
          </w:p>
        </w:tc>
        <w:tc>
          <w:tcPr>
            <w:tcW w:w="1844" w:type="dxa"/>
            <w:gridSpan w:val="2"/>
            <w:tcBorders>
              <w:top w:val="single" w:color="auto" w:sz="4" w:space="0"/>
              <w:left w:val="nil"/>
              <w:bottom w:val="single" w:color="auto" w:sz="4" w:space="0"/>
              <w:right w:val="single" w:color="auto" w:sz="4" w:space="0"/>
            </w:tcBorders>
            <w:vAlign w:val="center"/>
          </w:tcPr>
          <w:p w14:paraId="0C9C5B47">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指标2：</w:t>
            </w:r>
            <w:r>
              <w:rPr>
                <w:rFonts w:hint="eastAsia" w:ascii="仿宋" w:hAnsi="仿宋" w:eastAsia="仿宋" w:cs="仿宋"/>
                <w:kern w:val="0"/>
                <w:sz w:val="18"/>
                <w:szCs w:val="18"/>
              </w:rPr>
              <w:t>全市和省级社会科学课题的申报、管理</w:t>
            </w:r>
          </w:p>
        </w:tc>
        <w:tc>
          <w:tcPr>
            <w:tcW w:w="1154" w:type="dxa"/>
            <w:gridSpan w:val="2"/>
            <w:tcBorders>
              <w:top w:val="nil"/>
              <w:left w:val="nil"/>
              <w:bottom w:val="single" w:color="auto" w:sz="4" w:space="0"/>
              <w:right w:val="single" w:color="auto" w:sz="4" w:space="0"/>
            </w:tcBorders>
            <w:vAlign w:val="center"/>
          </w:tcPr>
          <w:p w14:paraId="0685B79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年内完成</w:t>
            </w:r>
          </w:p>
        </w:tc>
        <w:tc>
          <w:tcPr>
            <w:tcW w:w="851" w:type="dxa"/>
            <w:tcBorders>
              <w:top w:val="nil"/>
              <w:left w:val="nil"/>
              <w:bottom w:val="single" w:color="auto" w:sz="4" w:space="0"/>
              <w:right w:val="single" w:color="auto" w:sz="4" w:space="0"/>
            </w:tcBorders>
            <w:vAlign w:val="center"/>
          </w:tcPr>
          <w:p w14:paraId="1DA5648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已开展</w:t>
            </w:r>
          </w:p>
        </w:tc>
        <w:tc>
          <w:tcPr>
            <w:tcW w:w="567" w:type="dxa"/>
            <w:gridSpan w:val="2"/>
            <w:tcBorders>
              <w:top w:val="nil"/>
              <w:left w:val="nil"/>
              <w:bottom w:val="single" w:color="auto" w:sz="4" w:space="0"/>
              <w:right w:val="single" w:color="auto" w:sz="4" w:space="0"/>
            </w:tcBorders>
            <w:vAlign w:val="center"/>
          </w:tcPr>
          <w:p w14:paraId="352F65A4">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395320D3">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7A8A06D7">
            <w:pPr>
              <w:widowControl/>
              <w:spacing w:line="240" w:lineRule="exact"/>
              <w:jc w:val="center"/>
              <w:rPr>
                <w:rFonts w:hint="eastAsia" w:ascii="仿宋" w:hAnsi="仿宋" w:eastAsia="仿宋" w:cs="仿宋"/>
                <w:kern w:val="0"/>
                <w:sz w:val="18"/>
                <w:szCs w:val="18"/>
              </w:rPr>
            </w:pPr>
          </w:p>
        </w:tc>
      </w:tr>
      <w:tr w14:paraId="22A6BEF8">
        <w:tblPrEx>
          <w:tblCellMar>
            <w:top w:w="0" w:type="dxa"/>
            <w:left w:w="108" w:type="dxa"/>
            <w:bottom w:w="0" w:type="dxa"/>
            <w:right w:w="108" w:type="dxa"/>
          </w:tblCellMar>
        </w:tblPrEx>
        <w:trPr>
          <w:trHeight w:val="2491" w:hRule="exact"/>
          <w:jc w:val="center"/>
        </w:trPr>
        <w:tc>
          <w:tcPr>
            <w:tcW w:w="588" w:type="dxa"/>
            <w:vMerge w:val="continue"/>
            <w:tcBorders>
              <w:top w:val="single" w:color="auto" w:sz="4" w:space="0"/>
              <w:left w:val="single" w:color="auto" w:sz="4" w:space="0"/>
              <w:bottom w:val="single" w:color="auto" w:sz="4" w:space="0"/>
              <w:right w:val="single" w:color="auto" w:sz="4" w:space="0"/>
            </w:tcBorders>
            <w:vAlign w:val="center"/>
          </w:tcPr>
          <w:p w14:paraId="00D78EC2">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29BE4CA6">
            <w:pPr>
              <w:widowControl/>
              <w:spacing w:line="240" w:lineRule="exact"/>
              <w:jc w:val="center"/>
              <w:rPr>
                <w:rFonts w:hint="eastAsia" w:ascii="仿宋" w:hAnsi="仿宋" w:eastAsia="仿宋" w:cs="仿宋"/>
                <w:kern w:val="0"/>
                <w:sz w:val="18"/>
                <w:szCs w:val="18"/>
              </w:rPr>
            </w:pPr>
          </w:p>
        </w:tc>
        <w:tc>
          <w:tcPr>
            <w:tcW w:w="1112" w:type="dxa"/>
            <w:vMerge w:val="continue"/>
            <w:tcBorders>
              <w:top w:val="nil"/>
              <w:left w:val="single" w:color="auto" w:sz="4" w:space="0"/>
              <w:bottom w:val="single" w:color="auto" w:sz="4" w:space="0"/>
              <w:right w:val="single" w:color="auto" w:sz="4" w:space="0"/>
            </w:tcBorders>
            <w:vAlign w:val="center"/>
          </w:tcPr>
          <w:p w14:paraId="6566DCA1">
            <w:pPr>
              <w:widowControl/>
              <w:spacing w:line="240" w:lineRule="exact"/>
              <w:jc w:val="center"/>
              <w:rPr>
                <w:rFonts w:hint="eastAsia" w:ascii="仿宋" w:hAnsi="仿宋" w:eastAsia="仿宋" w:cs="仿宋"/>
                <w:kern w:val="0"/>
                <w:sz w:val="18"/>
                <w:szCs w:val="18"/>
              </w:rPr>
            </w:pPr>
          </w:p>
        </w:tc>
        <w:tc>
          <w:tcPr>
            <w:tcW w:w="1844" w:type="dxa"/>
            <w:gridSpan w:val="2"/>
            <w:tcBorders>
              <w:top w:val="single" w:color="auto" w:sz="4" w:space="0"/>
              <w:left w:val="nil"/>
              <w:bottom w:val="single" w:color="auto" w:sz="4" w:space="0"/>
              <w:right w:val="single" w:color="auto" w:sz="4" w:space="0"/>
            </w:tcBorders>
            <w:vAlign w:val="center"/>
          </w:tcPr>
          <w:p w14:paraId="2285B234">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指标3：组织团体学术交流、人才培训和调研工作，组织召开全市系统的学术研讨会议</w:t>
            </w:r>
          </w:p>
        </w:tc>
        <w:tc>
          <w:tcPr>
            <w:tcW w:w="1154" w:type="dxa"/>
            <w:gridSpan w:val="2"/>
            <w:tcBorders>
              <w:top w:val="nil"/>
              <w:left w:val="nil"/>
              <w:bottom w:val="single" w:color="auto" w:sz="4" w:space="0"/>
              <w:right w:val="single" w:color="auto" w:sz="4" w:space="0"/>
            </w:tcBorders>
            <w:vAlign w:val="center"/>
          </w:tcPr>
          <w:p w14:paraId="3E513BA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年内完成</w:t>
            </w:r>
          </w:p>
        </w:tc>
        <w:tc>
          <w:tcPr>
            <w:tcW w:w="851" w:type="dxa"/>
            <w:tcBorders>
              <w:top w:val="nil"/>
              <w:left w:val="nil"/>
              <w:bottom w:val="single" w:color="auto" w:sz="4" w:space="0"/>
              <w:right w:val="single" w:color="auto" w:sz="4" w:space="0"/>
            </w:tcBorders>
            <w:vAlign w:val="center"/>
          </w:tcPr>
          <w:p w14:paraId="013319C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已开展</w:t>
            </w:r>
          </w:p>
        </w:tc>
        <w:tc>
          <w:tcPr>
            <w:tcW w:w="567" w:type="dxa"/>
            <w:gridSpan w:val="2"/>
            <w:tcBorders>
              <w:top w:val="nil"/>
              <w:left w:val="nil"/>
              <w:bottom w:val="single" w:color="auto" w:sz="4" w:space="0"/>
              <w:right w:val="single" w:color="auto" w:sz="4" w:space="0"/>
            </w:tcBorders>
            <w:vAlign w:val="center"/>
          </w:tcPr>
          <w:p w14:paraId="3453060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447B3EF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475A3FE3">
            <w:pPr>
              <w:widowControl/>
              <w:spacing w:line="240" w:lineRule="exact"/>
              <w:jc w:val="center"/>
              <w:rPr>
                <w:rFonts w:hint="eastAsia" w:ascii="仿宋" w:hAnsi="仿宋" w:eastAsia="仿宋" w:cs="仿宋"/>
                <w:kern w:val="0"/>
                <w:sz w:val="18"/>
                <w:szCs w:val="18"/>
              </w:rPr>
            </w:pPr>
          </w:p>
        </w:tc>
      </w:tr>
      <w:tr w14:paraId="111F493F">
        <w:tblPrEx>
          <w:tblCellMar>
            <w:top w:w="0" w:type="dxa"/>
            <w:left w:w="108" w:type="dxa"/>
            <w:bottom w:w="0" w:type="dxa"/>
            <w:right w:w="108" w:type="dxa"/>
          </w:tblCellMar>
        </w:tblPrEx>
        <w:trPr>
          <w:trHeight w:val="472" w:hRule="exact"/>
          <w:jc w:val="center"/>
        </w:trPr>
        <w:tc>
          <w:tcPr>
            <w:tcW w:w="588" w:type="dxa"/>
            <w:vMerge w:val="restart"/>
            <w:tcBorders>
              <w:top w:val="single" w:color="auto" w:sz="4" w:space="0"/>
              <w:left w:val="single" w:color="auto" w:sz="4" w:space="0"/>
              <w:right w:val="single" w:color="auto" w:sz="4" w:space="0"/>
            </w:tcBorders>
            <w:vAlign w:val="center"/>
          </w:tcPr>
          <w:p w14:paraId="76597AA3">
            <w:pPr>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绩</w:t>
            </w:r>
            <w:r>
              <w:rPr>
                <w:rFonts w:hint="eastAsia" w:ascii="仿宋" w:hAnsi="仿宋" w:eastAsia="仿宋" w:cs="仿宋"/>
                <w:kern w:val="0"/>
                <w:sz w:val="18"/>
                <w:szCs w:val="18"/>
              </w:rPr>
              <w:br w:type="textWrapping"/>
            </w:r>
            <w:r>
              <w:rPr>
                <w:rFonts w:hint="eastAsia" w:ascii="仿宋" w:hAnsi="仿宋" w:eastAsia="仿宋" w:cs="仿宋"/>
                <w:kern w:val="0"/>
                <w:sz w:val="18"/>
                <w:szCs w:val="18"/>
              </w:rPr>
              <w:t>效</w:t>
            </w:r>
            <w:r>
              <w:rPr>
                <w:rFonts w:hint="eastAsia" w:ascii="仿宋" w:hAnsi="仿宋" w:eastAsia="仿宋" w:cs="仿宋"/>
                <w:kern w:val="0"/>
                <w:sz w:val="18"/>
                <w:szCs w:val="18"/>
              </w:rPr>
              <w:br w:type="textWrapping"/>
            </w:r>
            <w:r>
              <w:rPr>
                <w:rFonts w:hint="eastAsia" w:ascii="仿宋" w:hAnsi="仿宋" w:eastAsia="仿宋" w:cs="仿宋"/>
                <w:kern w:val="0"/>
                <w:sz w:val="18"/>
                <w:szCs w:val="18"/>
              </w:rPr>
              <w:t>指</w:t>
            </w:r>
            <w:r>
              <w:rPr>
                <w:rFonts w:hint="eastAsia" w:ascii="仿宋" w:hAnsi="仿宋" w:eastAsia="仿宋" w:cs="仿宋"/>
                <w:kern w:val="0"/>
                <w:sz w:val="18"/>
                <w:szCs w:val="18"/>
              </w:rPr>
              <w:br w:type="textWrapping"/>
            </w:r>
            <w:r>
              <w:rPr>
                <w:rFonts w:hint="eastAsia" w:ascii="仿宋" w:hAnsi="仿宋" w:eastAsia="仿宋" w:cs="仿宋"/>
                <w:kern w:val="0"/>
                <w:sz w:val="18"/>
                <w:szCs w:val="18"/>
              </w:rPr>
              <w:t>标</w:t>
            </w:r>
          </w:p>
        </w:tc>
        <w:tc>
          <w:tcPr>
            <w:tcW w:w="980" w:type="dxa"/>
            <w:vMerge w:val="restart"/>
            <w:tcBorders>
              <w:top w:val="single" w:color="auto" w:sz="4" w:space="0"/>
              <w:left w:val="single" w:color="auto" w:sz="4" w:space="0"/>
              <w:bottom w:val="single" w:color="auto" w:sz="4" w:space="0"/>
              <w:right w:val="single" w:color="auto" w:sz="4" w:space="0"/>
            </w:tcBorders>
            <w:vAlign w:val="center"/>
          </w:tcPr>
          <w:p w14:paraId="3934E5EB">
            <w:pPr>
              <w:spacing w:line="240" w:lineRule="exact"/>
              <w:jc w:val="center"/>
              <w:rPr>
                <w:rFonts w:hint="eastAsia" w:ascii="仿宋" w:hAnsi="仿宋" w:eastAsia="仿宋" w:cs="仿宋"/>
                <w:kern w:val="0"/>
                <w:sz w:val="18"/>
                <w:szCs w:val="18"/>
              </w:rPr>
            </w:pPr>
          </w:p>
        </w:tc>
        <w:tc>
          <w:tcPr>
            <w:tcW w:w="1112" w:type="dxa"/>
            <w:vMerge w:val="restart"/>
            <w:tcBorders>
              <w:top w:val="single" w:color="auto" w:sz="4" w:space="0"/>
              <w:left w:val="single" w:color="auto" w:sz="4" w:space="0"/>
              <w:bottom w:val="single" w:color="auto" w:sz="4" w:space="0"/>
              <w:right w:val="single" w:color="auto" w:sz="4" w:space="0"/>
            </w:tcBorders>
            <w:vAlign w:val="center"/>
          </w:tcPr>
          <w:p w14:paraId="519BC5C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成本指标</w:t>
            </w:r>
          </w:p>
        </w:tc>
        <w:tc>
          <w:tcPr>
            <w:tcW w:w="1844" w:type="dxa"/>
            <w:gridSpan w:val="2"/>
            <w:tcBorders>
              <w:top w:val="single" w:color="auto" w:sz="4" w:space="0"/>
              <w:left w:val="nil"/>
              <w:bottom w:val="single" w:color="auto" w:sz="4" w:space="0"/>
              <w:right w:val="single" w:color="auto" w:sz="4" w:space="0"/>
            </w:tcBorders>
            <w:vAlign w:val="center"/>
          </w:tcPr>
          <w:p w14:paraId="17F38ECE">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指标1：资金支付率</w:t>
            </w:r>
          </w:p>
        </w:tc>
        <w:tc>
          <w:tcPr>
            <w:tcW w:w="1154" w:type="dxa"/>
            <w:gridSpan w:val="2"/>
            <w:tcBorders>
              <w:top w:val="single" w:color="auto" w:sz="4" w:space="0"/>
              <w:left w:val="nil"/>
              <w:bottom w:val="single" w:color="auto" w:sz="4" w:space="0"/>
              <w:right w:val="single" w:color="auto" w:sz="4" w:space="0"/>
            </w:tcBorders>
            <w:vAlign w:val="center"/>
          </w:tcPr>
          <w:p w14:paraId="2C123E9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100%</w:t>
            </w:r>
          </w:p>
        </w:tc>
        <w:tc>
          <w:tcPr>
            <w:tcW w:w="851" w:type="dxa"/>
            <w:tcBorders>
              <w:top w:val="single" w:color="auto" w:sz="4" w:space="0"/>
              <w:left w:val="nil"/>
              <w:bottom w:val="single" w:color="auto" w:sz="4" w:space="0"/>
              <w:right w:val="single" w:color="auto" w:sz="4" w:space="0"/>
            </w:tcBorders>
            <w:vAlign w:val="center"/>
          </w:tcPr>
          <w:p w14:paraId="7A527C2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79%</w:t>
            </w:r>
          </w:p>
        </w:tc>
        <w:tc>
          <w:tcPr>
            <w:tcW w:w="567" w:type="dxa"/>
            <w:gridSpan w:val="2"/>
            <w:tcBorders>
              <w:top w:val="single" w:color="auto" w:sz="4" w:space="0"/>
              <w:left w:val="nil"/>
              <w:bottom w:val="single" w:color="auto" w:sz="4" w:space="0"/>
              <w:right w:val="single" w:color="auto" w:sz="4" w:space="0"/>
            </w:tcBorders>
            <w:vAlign w:val="center"/>
          </w:tcPr>
          <w:p w14:paraId="15915CD9">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single" w:color="auto" w:sz="4" w:space="0"/>
              <w:left w:val="nil"/>
              <w:bottom w:val="single" w:color="auto" w:sz="4" w:space="0"/>
              <w:right w:val="single" w:color="auto" w:sz="4" w:space="0"/>
            </w:tcBorders>
            <w:vAlign w:val="center"/>
          </w:tcPr>
          <w:p w14:paraId="7B99123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3</w:t>
            </w:r>
          </w:p>
        </w:tc>
        <w:tc>
          <w:tcPr>
            <w:tcW w:w="1417" w:type="dxa"/>
            <w:gridSpan w:val="2"/>
            <w:tcBorders>
              <w:top w:val="single" w:color="auto" w:sz="4" w:space="0"/>
              <w:left w:val="nil"/>
              <w:bottom w:val="single" w:color="auto" w:sz="4" w:space="0"/>
              <w:right w:val="single" w:color="auto" w:sz="4" w:space="0"/>
            </w:tcBorders>
            <w:vAlign w:val="center"/>
          </w:tcPr>
          <w:p w14:paraId="4460CD5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因有课题跨年，资金下年支付</w:t>
            </w:r>
          </w:p>
        </w:tc>
      </w:tr>
      <w:tr w14:paraId="3D4D4ECC">
        <w:tblPrEx>
          <w:tblCellMar>
            <w:top w:w="0" w:type="dxa"/>
            <w:left w:w="108" w:type="dxa"/>
            <w:bottom w:w="0" w:type="dxa"/>
            <w:right w:w="108" w:type="dxa"/>
          </w:tblCellMar>
        </w:tblPrEx>
        <w:trPr>
          <w:trHeight w:val="478" w:hRule="exact"/>
          <w:jc w:val="center"/>
        </w:trPr>
        <w:tc>
          <w:tcPr>
            <w:tcW w:w="588" w:type="dxa"/>
            <w:vMerge w:val="continue"/>
            <w:tcBorders>
              <w:left w:val="single" w:color="auto" w:sz="4" w:space="0"/>
              <w:right w:val="single" w:color="auto" w:sz="4" w:space="0"/>
            </w:tcBorders>
            <w:vAlign w:val="center"/>
          </w:tcPr>
          <w:p w14:paraId="21853C3F">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39E17A12">
            <w:pPr>
              <w:widowControl/>
              <w:spacing w:line="240" w:lineRule="exact"/>
              <w:jc w:val="center"/>
              <w:rPr>
                <w:rFonts w:hint="eastAsia" w:ascii="仿宋" w:hAnsi="仿宋" w:eastAsia="仿宋" w:cs="仿宋"/>
                <w:kern w:val="0"/>
                <w:sz w:val="18"/>
                <w:szCs w:val="18"/>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14:paraId="65609DD2">
            <w:pPr>
              <w:widowControl/>
              <w:spacing w:line="240" w:lineRule="exact"/>
              <w:jc w:val="center"/>
              <w:rPr>
                <w:rFonts w:hint="eastAsia" w:ascii="仿宋" w:hAnsi="仿宋" w:eastAsia="仿宋" w:cs="仿宋"/>
                <w:kern w:val="0"/>
                <w:sz w:val="18"/>
                <w:szCs w:val="18"/>
              </w:rPr>
            </w:pPr>
          </w:p>
        </w:tc>
        <w:tc>
          <w:tcPr>
            <w:tcW w:w="1844" w:type="dxa"/>
            <w:gridSpan w:val="2"/>
            <w:tcBorders>
              <w:top w:val="single" w:color="auto" w:sz="4" w:space="0"/>
              <w:left w:val="nil"/>
              <w:bottom w:val="single" w:color="auto" w:sz="4" w:space="0"/>
              <w:right w:val="single" w:color="auto" w:sz="4" w:space="0"/>
            </w:tcBorders>
            <w:vAlign w:val="center"/>
          </w:tcPr>
          <w:p w14:paraId="452C3168">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指标2：资金使用量</w:t>
            </w:r>
          </w:p>
        </w:tc>
        <w:tc>
          <w:tcPr>
            <w:tcW w:w="1154" w:type="dxa"/>
            <w:gridSpan w:val="2"/>
            <w:tcBorders>
              <w:top w:val="nil"/>
              <w:left w:val="nil"/>
              <w:bottom w:val="single" w:color="auto" w:sz="4" w:space="0"/>
              <w:right w:val="single" w:color="auto" w:sz="4" w:space="0"/>
            </w:tcBorders>
            <w:vAlign w:val="center"/>
          </w:tcPr>
          <w:p w14:paraId="32D7503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53</w:t>
            </w:r>
          </w:p>
        </w:tc>
        <w:tc>
          <w:tcPr>
            <w:tcW w:w="851" w:type="dxa"/>
            <w:tcBorders>
              <w:top w:val="nil"/>
              <w:left w:val="nil"/>
              <w:bottom w:val="single" w:color="auto" w:sz="4" w:space="0"/>
              <w:right w:val="single" w:color="auto" w:sz="4" w:space="0"/>
            </w:tcBorders>
            <w:vAlign w:val="center"/>
          </w:tcPr>
          <w:p w14:paraId="54B59F9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42.18</w:t>
            </w:r>
          </w:p>
        </w:tc>
        <w:tc>
          <w:tcPr>
            <w:tcW w:w="567" w:type="dxa"/>
            <w:gridSpan w:val="2"/>
            <w:tcBorders>
              <w:top w:val="nil"/>
              <w:left w:val="nil"/>
              <w:bottom w:val="single" w:color="auto" w:sz="4" w:space="0"/>
              <w:right w:val="single" w:color="auto" w:sz="4" w:space="0"/>
            </w:tcBorders>
            <w:vAlign w:val="center"/>
          </w:tcPr>
          <w:p w14:paraId="0C01D7B8">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4FAFE59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 xml:space="preserve">3 </w:t>
            </w:r>
          </w:p>
        </w:tc>
        <w:tc>
          <w:tcPr>
            <w:tcW w:w="1417" w:type="dxa"/>
            <w:gridSpan w:val="2"/>
            <w:tcBorders>
              <w:top w:val="single" w:color="auto" w:sz="4" w:space="0"/>
              <w:left w:val="nil"/>
              <w:bottom w:val="single" w:color="auto" w:sz="4" w:space="0"/>
              <w:right w:val="single" w:color="auto" w:sz="4" w:space="0"/>
            </w:tcBorders>
            <w:vAlign w:val="center"/>
          </w:tcPr>
          <w:p w14:paraId="41836F9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因有课题跨年，资金下年支付</w:t>
            </w:r>
          </w:p>
        </w:tc>
      </w:tr>
      <w:tr w14:paraId="6791434A">
        <w:tblPrEx>
          <w:tblCellMar>
            <w:top w:w="0" w:type="dxa"/>
            <w:left w:w="108" w:type="dxa"/>
            <w:bottom w:w="0" w:type="dxa"/>
            <w:right w:w="108" w:type="dxa"/>
          </w:tblCellMar>
        </w:tblPrEx>
        <w:trPr>
          <w:trHeight w:val="888" w:hRule="exact"/>
          <w:jc w:val="center"/>
        </w:trPr>
        <w:tc>
          <w:tcPr>
            <w:tcW w:w="588" w:type="dxa"/>
            <w:vMerge w:val="continue"/>
            <w:tcBorders>
              <w:left w:val="single" w:color="auto" w:sz="4" w:space="0"/>
              <w:right w:val="single" w:color="auto" w:sz="4" w:space="0"/>
            </w:tcBorders>
            <w:vAlign w:val="center"/>
          </w:tcPr>
          <w:p w14:paraId="753FC605">
            <w:pPr>
              <w:widowControl/>
              <w:spacing w:line="240" w:lineRule="exact"/>
              <w:jc w:val="center"/>
              <w:rPr>
                <w:rFonts w:hint="eastAsia" w:ascii="仿宋" w:hAnsi="仿宋" w:eastAsia="仿宋" w:cs="仿宋"/>
                <w:kern w:val="0"/>
                <w:sz w:val="18"/>
                <w:szCs w:val="18"/>
              </w:rPr>
            </w:pPr>
          </w:p>
        </w:tc>
        <w:tc>
          <w:tcPr>
            <w:tcW w:w="980" w:type="dxa"/>
            <w:vMerge w:val="restart"/>
            <w:tcBorders>
              <w:top w:val="single" w:color="auto" w:sz="4" w:space="0"/>
              <w:left w:val="single" w:color="auto" w:sz="4" w:space="0"/>
              <w:bottom w:val="single" w:color="auto" w:sz="4" w:space="0"/>
              <w:right w:val="single" w:color="auto" w:sz="4" w:space="0"/>
            </w:tcBorders>
            <w:vAlign w:val="center"/>
          </w:tcPr>
          <w:p w14:paraId="69FC3DB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效益指标</w:t>
            </w:r>
          </w:p>
        </w:tc>
        <w:tc>
          <w:tcPr>
            <w:tcW w:w="1112" w:type="dxa"/>
            <w:tcBorders>
              <w:top w:val="single" w:color="auto" w:sz="4" w:space="0"/>
              <w:left w:val="single" w:color="auto" w:sz="4" w:space="0"/>
              <w:bottom w:val="single" w:color="auto" w:sz="4" w:space="0"/>
              <w:right w:val="single" w:color="auto" w:sz="4" w:space="0"/>
            </w:tcBorders>
            <w:vAlign w:val="center"/>
          </w:tcPr>
          <w:p w14:paraId="3DCB638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经济效益</w:t>
            </w:r>
          </w:p>
          <w:p w14:paraId="6D0BAB3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指标</w:t>
            </w:r>
          </w:p>
        </w:tc>
        <w:tc>
          <w:tcPr>
            <w:tcW w:w="1844" w:type="dxa"/>
            <w:gridSpan w:val="2"/>
            <w:tcBorders>
              <w:top w:val="single" w:color="auto" w:sz="4" w:space="0"/>
              <w:left w:val="nil"/>
              <w:bottom w:val="single" w:color="auto" w:sz="4" w:space="0"/>
              <w:right w:val="single" w:color="auto" w:sz="4" w:space="0"/>
            </w:tcBorders>
            <w:vAlign w:val="center"/>
          </w:tcPr>
          <w:p w14:paraId="1349B96B">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指标1：推动社会科学发展，推动景德镇相关产业发展</w:t>
            </w:r>
          </w:p>
        </w:tc>
        <w:tc>
          <w:tcPr>
            <w:tcW w:w="1154" w:type="dxa"/>
            <w:gridSpan w:val="2"/>
            <w:tcBorders>
              <w:top w:val="single" w:color="auto" w:sz="4" w:space="0"/>
              <w:left w:val="nil"/>
              <w:bottom w:val="single" w:color="auto" w:sz="4" w:space="0"/>
              <w:right w:val="single" w:color="auto" w:sz="4" w:space="0"/>
            </w:tcBorders>
            <w:vAlign w:val="center"/>
          </w:tcPr>
          <w:p w14:paraId="19DD7D8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促进</w:t>
            </w:r>
          </w:p>
        </w:tc>
        <w:tc>
          <w:tcPr>
            <w:tcW w:w="851" w:type="dxa"/>
            <w:tcBorders>
              <w:top w:val="single" w:color="auto" w:sz="4" w:space="0"/>
              <w:left w:val="nil"/>
              <w:bottom w:val="single" w:color="auto" w:sz="4" w:space="0"/>
              <w:right w:val="single" w:color="auto" w:sz="4" w:space="0"/>
            </w:tcBorders>
            <w:vAlign w:val="center"/>
          </w:tcPr>
          <w:p w14:paraId="36CB4E4E">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促进</w:t>
            </w:r>
          </w:p>
        </w:tc>
        <w:tc>
          <w:tcPr>
            <w:tcW w:w="567" w:type="dxa"/>
            <w:gridSpan w:val="2"/>
            <w:tcBorders>
              <w:top w:val="single" w:color="auto" w:sz="4" w:space="0"/>
              <w:left w:val="nil"/>
              <w:bottom w:val="single" w:color="auto" w:sz="4" w:space="0"/>
              <w:right w:val="single" w:color="auto" w:sz="4" w:space="0"/>
            </w:tcBorders>
            <w:vAlign w:val="center"/>
          </w:tcPr>
          <w:p w14:paraId="2F54556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single" w:color="auto" w:sz="4" w:space="0"/>
              <w:left w:val="nil"/>
              <w:bottom w:val="single" w:color="auto" w:sz="4" w:space="0"/>
              <w:right w:val="single" w:color="auto" w:sz="4" w:space="0"/>
            </w:tcBorders>
            <w:vAlign w:val="center"/>
          </w:tcPr>
          <w:p w14:paraId="349ADF1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3EF94034">
            <w:pPr>
              <w:widowControl/>
              <w:spacing w:line="240" w:lineRule="exact"/>
              <w:jc w:val="center"/>
              <w:rPr>
                <w:rFonts w:hint="eastAsia" w:ascii="仿宋" w:hAnsi="仿宋" w:eastAsia="仿宋" w:cs="仿宋"/>
                <w:kern w:val="0"/>
                <w:sz w:val="18"/>
                <w:szCs w:val="18"/>
              </w:rPr>
            </w:pPr>
          </w:p>
        </w:tc>
      </w:tr>
      <w:tr w14:paraId="0938145A">
        <w:tblPrEx>
          <w:tblCellMar>
            <w:top w:w="0" w:type="dxa"/>
            <w:left w:w="108" w:type="dxa"/>
            <w:bottom w:w="0" w:type="dxa"/>
            <w:right w:w="108" w:type="dxa"/>
          </w:tblCellMar>
        </w:tblPrEx>
        <w:trPr>
          <w:trHeight w:val="1186" w:hRule="exact"/>
          <w:jc w:val="center"/>
        </w:trPr>
        <w:tc>
          <w:tcPr>
            <w:tcW w:w="588" w:type="dxa"/>
            <w:vMerge w:val="continue"/>
            <w:tcBorders>
              <w:left w:val="single" w:color="auto" w:sz="4" w:space="0"/>
              <w:right w:val="single" w:color="auto" w:sz="4" w:space="0"/>
            </w:tcBorders>
            <w:vAlign w:val="center"/>
          </w:tcPr>
          <w:p w14:paraId="1A0D5C77">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70397A88">
            <w:pPr>
              <w:widowControl/>
              <w:spacing w:line="240" w:lineRule="exact"/>
              <w:jc w:val="center"/>
              <w:rPr>
                <w:rFonts w:hint="eastAsia" w:ascii="仿宋" w:hAnsi="仿宋" w:eastAsia="仿宋" w:cs="仿宋"/>
                <w:kern w:val="0"/>
                <w:sz w:val="18"/>
                <w:szCs w:val="18"/>
              </w:rPr>
            </w:pPr>
          </w:p>
        </w:tc>
        <w:tc>
          <w:tcPr>
            <w:tcW w:w="1112" w:type="dxa"/>
            <w:vMerge w:val="restart"/>
            <w:tcBorders>
              <w:top w:val="nil"/>
              <w:left w:val="single" w:color="auto" w:sz="4" w:space="0"/>
              <w:bottom w:val="single" w:color="auto" w:sz="4" w:space="0"/>
              <w:right w:val="single" w:color="auto" w:sz="4" w:space="0"/>
            </w:tcBorders>
            <w:vAlign w:val="center"/>
          </w:tcPr>
          <w:p w14:paraId="3B40017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社会效益</w:t>
            </w:r>
          </w:p>
          <w:p w14:paraId="6D41DE0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指标</w:t>
            </w:r>
          </w:p>
        </w:tc>
        <w:tc>
          <w:tcPr>
            <w:tcW w:w="1844" w:type="dxa"/>
            <w:gridSpan w:val="2"/>
            <w:tcBorders>
              <w:top w:val="single" w:color="auto" w:sz="4" w:space="0"/>
              <w:left w:val="nil"/>
              <w:bottom w:val="single" w:color="auto" w:sz="4" w:space="0"/>
              <w:right w:val="single" w:color="auto" w:sz="4" w:space="0"/>
            </w:tcBorders>
            <w:vAlign w:val="center"/>
          </w:tcPr>
          <w:p w14:paraId="46F659B3">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指标1：推选精品成果，真正实现社科理论服务决策的助推功能</w:t>
            </w:r>
          </w:p>
        </w:tc>
        <w:tc>
          <w:tcPr>
            <w:tcW w:w="1154" w:type="dxa"/>
            <w:gridSpan w:val="2"/>
            <w:tcBorders>
              <w:top w:val="nil"/>
              <w:left w:val="nil"/>
              <w:bottom w:val="single" w:color="auto" w:sz="4" w:space="0"/>
              <w:right w:val="single" w:color="auto" w:sz="4" w:space="0"/>
            </w:tcBorders>
            <w:vAlign w:val="center"/>
          </w:tcPr>
          <w:p w14:paraId="2C3039D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851" w:type="dxa"/>
            <w:tcBorders>
              <w:top w:val="nil"/>
              <w:left w:val="nil"/>
              <w:bottom w:val="single" w:color="auto" w:sz="4" w:space="0"/>
              <w:right w:val="single" w:color="auto" w:sz="4" w:space="0"/>
            </w:tcBorders>
            <w:vAlign w:val="center"/>
          </w:tcPr>
          <w:p w14:paraId="4254D43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发挥作用</w:t>
            </w:r>
          </w:p>
        </w:tc>
        <w:tc>
          <w:tcPr>
            <w:tcW w:w="567" w:type="dxa"/>
            <w:gridSpan w:val="2"/>
            <w:tcBorders>
              <w:top w:val="nil"/>
              <w:left w:val="nil"/>
              <w:bottom w:val="single" w:color="auto" w:sz="4" w:space="0"/>
              <w:right w:val="single" w:color="auto" w:sz="4" w:space="0"/>
            </w:tcBorders>
            <w:vAlign w:val="center"/>
          </w:tcPr>
          <w:p w14:paraId="23E5C40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1B69D623">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7AD0E002">
            <w:pPr>
              <w:widowControl/>
              <w:spacing w:line="240" w:lineRule="exact"/>
              <w:jc w:val="center"/>
              <w:rPr>
                <w:rFonts w:hint="eastAsia" w:ascii="仿宋" w:hAnsi="仿宋" w:eastAsia="仿宋" w:cs="仿宋"/>
                <w:kern w:val="0"/>
                <w:sz w:val="18"/>
                <w:szCs w:val="18"/>
              </w:rPr>
            </w:pPr>
          </w:p>
        </w:tc>
      </w:tr>
      <w:tr w14:paraId="40FD974D">
        <w:tblPrEx>
          <w:tblCellMar>
            <w:top w:w="0" w:type="dxa"/>
            <w:left w:w="108" w:type="dxa"/>
            <w:bottom w:w="0" w:type="dxa"/>
            <w:right w:w="108" w:type="dxa"/>
          </w:tblCellMar>
        </w:tblPrEx>
        <w:trPr>
          <w:trHeight w:val="916" w:hRule="exact"/>
          <w:jc w:val="center"/>
        </w:trPr>
        <w:tc>
          <w:tcPr>
            <w:tcW w:w="588" w:type="dxa"/>
            <w:vMerge w:val="continue"/>
            <w:tcBorders>
              <w:left w:val="single" w:color="auto" w:sz="4" w:space="0"/>
              <w:right w:val="single" w:color="auto" w:sz="4" w:space="0"/>
            </w:tcBorders>
            <w:vAlign w:val="center"/>
          </w:tcPr>
          <w:p w14:paraId="47F8C824">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1E39B51E">
            <w:pPr>
              <w:widowControl/>
              <w:spacing w:line="240" w:lineRule="exact"/>
              <w:jc w:val="center"/>
              <w:rPr>
                <w:rFonts w:hint="eastAsia" w:ascii="仿宋" w:hAnsi="仿宋" w:eastAsia="仿宋" w:cs="仿宋"/>
                <w:kern w:val="0"/>
                <w:sz w:val="18"/>
                <w:szCs w:val="18"/>
              </w:rPr>
            </w:pPr>
          </w:p>
        </w:tc>
        <w:tc>
          <w:tcPr>
            <w:tcW w:w="1112" w:type="dxa"/>
            <w:vMerge w:val="continue"/>
            <w:tcBorders>
              <w:top w:val="nil"/>
              <w:left w:val="single" w:color="auto" w:sz="4" w:space="0"/>
              <w:bottom w:val="single" w:color="auto" w:sz="4" w:space="0"/>
              <w:right w:val="single" w:color="auto" w:sz="4" w:space="0"/>
            </w:tcBorders>
            <w:vAlign w:val="center"/>
          </w:tcPr>
          <w:p w14:paraId="47D78796">
            <w:pPr>
              <w:widowControl/>
              <w:spacing w:line="240" w:lineRule="exact"/>
              <w:jc w:val="center"/>
              <w:rPr>
                <w:rFonts w:hint="eastAsia" w:ascii="仿宋" w:hAnsi="仿宋" w:eastAsia="仿宋" w:cs="仿宋"/>
                <w:kern w:val="0"/>
                <w:sz w:val="18"/>
                <w:szCs w:val="18"/>
              </w:rPr>
            </w:pPr>
          </w:p>
        </w:tc>
        <w:tc>
          <w:tcPr>
            <w:tcW w:w="1844" w:type="dxa"/>
            <w:gridSpan w:val="2"/>
            <w:tcBorders>
              <w:top w:val="single" w:color="auto" w:sz="4" w:space="0"/>
              <w:left w:val="nil"/>
              <w:bottom w:val="single" w:color="auto" w:sz="4" w:space="0"/>
              <w:right w:val="single" w:color="auto" w:sz="4" w:space="0"/>
            </w:tcBorders>
            <w:vAlign w:val="center"/>
          </w:tcPr>
          <w:p w14:paraId="10052759">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指标2：为国家试验区建设提供精神动力、智力支持和思想保证</w:t>
            </w:r>
          </w:p>
        </w:tc>
        <w:tc>
          <w:tcPr>
            <w:tcW w:w="1154" w:type="dxa"/>
            <w:gridSpan w:val="2"/>
            <w:tcBorders>
              <w:top w:val="nil"/>
              <w:left w:val="nil"/>
              <w:bottom w:val="single" w:color="auto" w:sz="4" w:space="0"/>
              <w:right w:val="single" w:color="auto" w:sz="4" w:space="0"/>
            </w:tcBorders>
            <w:vAlign w:val="center"/>
          </w:tcPr>
          <w:p w14:paraId="0F6001FE">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851" w:type="dxa"/>
            <w:tcBorders>
              <w:top w:val="nil"/>
              <w:left w:val="nil"/>
              <w:bottom w:val="single" w:color="auto" w:sz="4" w:space="0"/>
              <w:right w:val="single" w:color="auto" w:sz="4" w:space="0"/>
            </w:tcBorders>
            <w:vAlign w:val="center"/>
          </w:tcPr>
          <w:p w14:paraId="630798B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发挥作用</w:t>
            </w:r>
          </w:p>
        </w:tc>
        <w:tc>
          <w:tcPr>
            <w:tcW w:w="567" w:type="dxa"/>
            <w:gridSpan w:val="2"/>
            <w:tcBorders>
              <w:top w:val="nil"/>
              <w:left w:val="nil"/>
              <w:bottom w:val="single" w:color="auto" w:sz="4" w:space="0"/>
              <w:right w:val="single" w:color="auto" w:sz="4" w:space="0"/>
            </w:tcBorders>
            <w:vAlign w:val="center"/>
          </w:tcPr>
          <w:p w14:paraId="0FCC4281">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33D6803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5470C4BC">
            <w:pPr>
              <w:widowControl/>
              <w:spacing w:line="240" w:lineRule="exact"/>
              <w:jc w:val="center"/>
              <w:rPr>
                <w:rFonts w:hint="eastAsia" w:ascii="仿宋" w:hAnsi="仿宋" w:eastAsia="仿宋" w:cs="仿宋"/>
                <w:kern w:val="0"/>
                <w:sz w:val="18"/>
                <w:szCs w:val="18"/>
              </w:rPr>
            </w:pPr>
          </w:p>
        </w:tc>
      </w:tr>
      <w:tr w14:paraId="32AB2FB3">
        <w:tblPrEx>
          <w:tblCellMar>
            <w:top w:w="0" w:type="dxa"/>
            <w:left w:w="108" w:type="dxa"/>
            <w:bottom w:w="0" w:type="dxa"/>
            <w:right w:w="108" w:type="dxa"/>
          </w:tblCellMar>
        </w:tblPrEx>
        <w:trPr>
          <w:trHeight w:val="941" w:hRule="exact"/>
          <w:jc w:val="center"/>
        </w:trPr>
        <w:tc>
          <w:tcPr>
            <w:tcW w:w="588" w:type="dxa"/>
            <w:vMerge w:val="continue"/>
            <w:tcBorders>
              <w:left w:val="single" w:color="auto" w:sz="4" w:space="0"/>
              <w:right w:val="single" w:color="auto" w:sz="4" w:space="0"/>
            </w:tcBorders>
            <w:vAlign w:val="center"/>
          </w:tcPr>
          <w:p w14:paraId="5CF41302">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7A99EF5D">
            <w:pPr>
              <w:widowControl/>
              <w:spacing w:line="240" w:lineRule="exact"/>
              <w:jc w:val="center"/>
              <w:rPr>
                <w:rFonts w:hint="eastAsia" w:ascii="仿宋" w:hAnsi="仿宋" w:eastAsia="仿宋" w:cs="仿宋"/>
                <w:kern w:val="0"/>
                <w:sz w:val="18"/>
                <w:szCs w:val="18"/>
              </w:rPr>
            </w:pPr>
          </w:p>
        </w:tc>
        <w:tc>
          <w:tcPr>
            <w:tcW w:w="1112" w:type="dxa"/>
            <w:vMerge w:val="continue"/>
            <w:tcBorders>
              <w:top w:val="nil"/>
              <w:left w:val="single" w:color="auto" w:sz="4" w:space="0"/>
              <w:bottom w:val="single" w:color="auto" w:sz="4" w:space="0"/>
              <w:right w:val="single" w:color="auto" w:sz="4" w:space="0"/>
            </w:tcBorders>
            <w:vAlign w:val="center"/>
          </w:tcPr>
          <w:p w14:paraId="5DB1C95F">
            <w:pPr>
              <w:widowControl/>
              <w:spacing w:line="240" w:lineRule="exact"/>
              <w:jc w:val="center"/>
              <w:rPr>
                <w:rFonts w:hint="eastAsia" w:ascii="仿宋" w:hAnsi="仿宋" w:eastAsia="仿宋" w:cs="仿宋"/>
                <w:kern w:val="0"/>
                <w:sz w:val="18"/>
                <w:szCs w:val="18"/>
              </w:rPr>
            </w:pPr>
          </w:p>
        </w:tc>
        <w:tc>
          <w:tcPr>
            <w:tcW w:w="1844" w:type="dxa"/>
            <w:gridSpan w:val="2"/>
            <w:tcBorders>
              <w:top w:val="single" w:color="auto" w:sz="4" w:space="0"/>
              <w:left w:val="nil"/>
              <w:bottom w:val="single" w:color="auto" w:sz="4" w:space="0"/>
              <w:right w:val="single" w:color="auto" w:sz="4" w:space="0"/>
            </w:tcBorders>
            <w:vAlign w:val="center"/>
          </w:tcPr>
          <w:p w14:paraId="2BD8A530">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指标3：为景德镇提供精神文明实践</w:t>
            </w:r>
          </w:p>
        </w:tc>
        <w:tc>
          <w:tcPr>
            <w:tcW w:w="1154" w:type="dxa"/>
            <w:gridSpan w:val="2"/>
            <w:tcBorders>
              <w:top w:val="nil"/>
              <w:left w:val="nil"/>
              <w:bottom w:val="single" w:color="auto" w:sz="4" w:space="0"/>
              <w:right w:val="single" w:color="auto" w:sz="4" w:space="0"/>
            </w:tcBorders>
            <w:vAlign w:val="center"/>
          </w:tcPr>
          <w:p w14:paraId="6974FED9">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851" w:type="dxa"/>
            <w:tcBorders>
              <w:top w:val="nil"/>
              <w:left w:val="nil"/>
              <w:bottom w:val="single" w:color="auto" w:sz="4" w:space="0"/>
              <w:right w:val="single" w:color="auto" w:sz="4" w:space="0"/>
            </w:tcBorders>
            <w:vAlign w:val="center"/>
          </w:tcPr>
          <w:p w14:paraId="17AAC218">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发挥作用</w:t>
            </w:r>
          </w:p>
        </w:tc>
        <w:tc>
          <w:tcPr>
            <w:tcW w:w="567" w:type="dxa"/>
            <w:gridSpan w:val="2"/>
            <w:tcBorders>
              <w:top w:val="nil"/>
              <w:left w:val="nil"/>
              <w:bottom w:val="single" w:color="auto" w:sz="4" w:space="0"/>
              <w:right w:val="single" w:color="auto" w:sz="4" w:space="0"/>
            </w:tcBorders>
            <w:vAlign w:val="center"/>
          </w:tcPr>
          <w:p w14:paraId="5DE46C58">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59E84DA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04339F94">
            <w:pPr>
              <w:widowControl/>
              <w:spacing w:line="240" w:lineRule="exact"/>
              <w:jc w:val="center"/>
              <w:rPr>
                <w:rFonts w:hint="eastAsia" w:ascii="仿宋" w:hAnsi="仿宋" w:eastAsia="仿宋" w:cs="仿宋"/>
                <w:kern w:val="0"/>
                <w:sz w:val="18"/>
                <w:szCs w:val="18"/>
              </w:rPr>
            </w:pPr>
          </w:p>
        </w:tc>
      </w:tr>
      <w:tr w14:paraId="4872CFBF">
        <w:tblPrEx>
          <w:tblCellMar>
            <w:top w:w="0" w:type="dxa"/>
            <w:left w:w="108" w:type="dxa"/>
            <w:bottom w:w="0" w:type="dxa"/>
            <w:right w:w="108" w:type="dxa"/>
          </w:tblCellMar>
        </w:tblPrEx>
        <w:trPr>
          <w:trHeight w:val="877" w:hRule="exact"/>
          <w:jc w:val="center"/>
        </w:trPr>
        <w:tc>
          <w:tcPr>
            <w:tcW w:w="588" w:type="dxa"/>
            <w:vMerge w:val="continue"/>
            <w:tcBorders>
              <w:left w:val="single" w:color="auto" w:sz="4" w:space="0"/>
              <w:right w:val="single" w:color="auto" w:sz="4" w:space="0"/>
            </w:tcBorders>
            <w:vAlign w:val="center"/>
          </w:tcPr>
          <w:p w14:paraId="515599C8">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631C2A53">
            <w:pPr>
              <w:widowControl/>
              <w:spacing w:line="240" w:lineRule="exact"/>
              <w:jc w:val="center"/>
              <w:rPr>
                <w:rFonts w:hint="eastAsia" w:ascii="仿宋" w:hAnsi="仿宋" w:eastAsia="仿宋" w:cs="仿宋"/>
                <w:kern w:val="0"/>
                <w:sz w:val="18"/>
                <w:szCs w:val="18"/>
              </w:rPr>
            </w:pPr>
          </w:p>
        </w:tc>
        <w:tc>
          <w:tcPr>
            <w:tcW w:w="1112" w:type="dxa"/>
            <w:vMerge w:val="continue"/>
            <w:tcBorders>
              <w:top w:val="nil"/>
              <w:left w:val="single" w:color="auto" w:sz="4" w:space="0"/>
              <w:bottom w:val="single" w:color="auto" w:sz="4" w:space="0"/>
              <w:right w:val="single" w:color="auto" w:sz="4" w:space="0"/>
            </w:tcBorders>
            <w:vAlign w:val="center"/>
          </w:tcPr>
          <w:p w14:paraId="25B1A808">
            <w:pPr>
              <w:widowControl/>
              <w:spacing w:line="240" w:lineRule="exact"/>
              <w:jc w:val="center"/>
              <w:rPr>
                <w:rFonts w:hint="eastAsia" w:ascii="仿宋" w:hAnsi="仿宋" w:eastAsia="仿宋" w:cs="仿宋"/>
                <w:kern w:val="0"/>
                <w:sz w:val="18"/>
                <w:szCs w:val="18"/>
              </w:rPr>
            </w:pPr>
          </w:p>
        </w:tc>
        <w:tc>
          <w:tcPr>
            <w:tcW w:w="1844" w:type="dxa"/>
            <w:gridSpan w:val="2"/>
            <w:tcBorders>
              <w:top w:val="single" w:color="auto" w:sz="4" w:space="0"/>
              <w:left w:val="nil"/>
              <w:bottom w:val="single" w:color="auto" w:sz="4" w:space="0"/>
              <w:right w:val="single" w:color="auto" w:sz="4" w:space="0"/>
            </w:tcBorders>
            <w:vAlign w:val="center"/>
          </w:tcPr>
          <w:p w14:paraId="3DB3325B">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指标2：用科学研究课题方式推动环保产业发展</w:t>
            </w:r>
          </w:p>
        </w:tc>
        <w:tc>
          <w:tcPr>
            <w:tcW w:w="1154" w:type="dxa"/>
            <w:gridSpan w:val="2"/>
            <w:tcBorders>
              <w:top w:val="nil"/>
              <w:left w:val="nil"/>
              <w:bottom w:val="single" w:color="auto" w:sz="4" w:space="0"/>
              <w:right w:val="single" w:color="auto" w:sz="4" w:space="0"/>
            </w:tcBorders>
            <w:vAlign w:val="center"/>
          </w:tcPr>
          <w:p w14:paraId="5367AD61">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851" w:type="dxa"/>
            <w:tcBorders>
              <w:top w:val="nil"/>
              <w:left w:val="nil"/>
              <w:bottom w:val="single" w:color="auto" w:sz="4" w:space="0"/>
              <w:right w:val="single" w:color="auto" w:sz="4" w:space="0"/>
            </w:tcBorders>
            <w:vAlign w:val="center"/>
          </w:tcPr>
          <w:p w14:paraId="1D6E918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发挥作用</w:t>
            </w:r>
          </w:p>
        </w:tc>
        <w:tc>
          <w:tcPr>
            <w:tcW w:w="567" w:type="dxa"/>
            <w:gridSpan w:val="2"/>
            <w:tcBorders>
              <w:top w:val="nil"/>
              <w:left w:val="nil"/>
              <w:bottom w:val="single" w:color="auto" w:sz="4" w:space="0"/>
              <w:right w:val="single" w:color="auto" w:sz="4" w:space="0"/>
            </w:tcBorders>
            <w:vAlign w:val="center"/>
          </w:tcPr>
          <w:p w14:paraId="459FFE2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066D59F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3756E268">
            <w:pPr>
              <w:widowControl/>
              <w:spacing w:line="240" w:lineRule="exact"/>
              <w:jc w:val="center"/>
              <w:rPr>
                <w:rFonts w:hint="eastAsia" w:ascii="仿宋" w:hAnsi="仿宋" w:eastAsia="仿宋" w:cs="仿宋"/>
                <w:kern w:val="0"/>
                <w:sz w:val="18"/>
                <w:szCs w:val="18"/>
              </w:rPr>
            </w:pPr>
          </w:p>
        </w:tc>
      </w:tr>
      <w:tr w14:paraId="611815B6">
        <w:tblPrEx>
          <w:tblCellMar>
            <w:top w:w="0" w:type="dxa"/>
            <w:left w:w="108" w:type="dxa"/>
            <w:bottom w:w="0" w:type="dxa"/>
            <w:right w:w="108" w:type="dxa"/>
          </w:tblCellMar>
        </w:tblPrEx>
        <w:trPr>
          <w:trHeight w:val="1122" w:hRule="exact"/>
          <w:jc w:val="center"/>
        </w:trPr>
        <w:tc>
          <w:tcPr>
            <w:tcW w:w="588" w:type="dxa"/>
            <w:vMerge w:val="continue"/>
            <w:tcBorders>
              <w:left w:val="single" w:color="auto" w:sz="4" w:space="0"/>
              <w:right w:val="single" w:color="auto" w:sz="4" w:space="0"/>
            </w:tcBorders>
            <w:vAlign w:val="center"/>
          </w:tcPr>
          <w:p w14:paraId="7DE4A97F">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3667DC89">
            <w:pPr>
              <w:widowControl/>
              <w:spacing w:line="240" w:lineRule="exact"/>
              <w:jc w:val="center"/>
              <w:rPr>
                <w:rFonts w:hint="eastAsia" w:ascii="仿宋" w:hAnsi="仿宋" w:eastAsia="仿宋" w:cs="仿宋"/>
                <w:kern w:val="0"/>
                <w:sz w:val="18"/>
                <w:szCs w:val="18"/>
              </w:rPr>
            </w:pPr>
          </w:p>
        </w:tc>
        <w:tc>
          <w:tcPr>
            <w:tcW w:w="1112" w:type="dxa"/>
            <w:vMerge w:val="restart"/>
            <w:tcBorders>
              <w:top w:val="nil"/>
              <w:left w:val="single" w:color="auto" w:sz="4" w:space="0"/>
              <w:bottom w:val="single" w:color="auto" w:sz="4" w:space="0"/>
              <w:right w:val="single" w:color="auto" w:sz="4" w:space="0"/>
            </w:tcBorders>
            <w:vAlign w:val="center"/>
          </w:tcPr>
          <w:p w14:paraId="317FA7A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可持续影响指标</w:t>
            </w:r>
          </w:p>
        </w:tc>
        <w:tc>
          <w:tcPr>
            <w:tcW w:w="1844" w:type="dxa"/>
            <w:gridSpan w:val="2"/>
            <w:tcBorders>
              <w:top w:val="single" w:color="auto" w:sz="4" w:space="0"/>
              <w:left w:val="nil"/>
              <w:bottom w:val="single" w:color="auto" w:sz="4" w:space="0"/>
              <w:right w:val="single" w:color="auto" w:sz="4" w:space="0"/>
            </w:tcBorders>
            <w:vAlign w:val="center"/>
          </w:tcPr>
          <w:p w14:paraId="31174414">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指标1：推选精品成果，真正实现社科理论服务决策的助推功能</w:t>
            </w:r>
          </w:p>
        </w:tc>
        <w:tc>
          <w:tcPr>
            <w:tcW w:w="1154" w:type="dxa"/>
            <w:gridSpan w:val="2"/>
            <w:tcBorders>
              <w:top w:val="nil"/>
              <w:left w:val="nil"/>
              <w:bottom w:val="single" w:color="auto" w:sz="4" w:space="0"/>
              <w:right w:val="single" w:color="auto" w:sz="4" w:space="0"/>
            </w:tcBorders>
            <w:vAlign w:val="center"/>
          </w:tcPr>
          <w:p w14:paraId="0B5D447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851" w:type="dxa"/>
            <w:tcBorders>
              <w:top w:val="nil"/>
              <w:left w:val="nil"/>
              <w:bottom w:val="single" w:color="auto" w:sz="4" w:space="0"/>
              <w:right w:val="single" w:color="auto" w:sz="4" w:space="0"/>
            </w:tcBorders>
            <w:vAlign w:val="center"/>
          </w:tcPr>
          <w:p w14:paraId="70121858">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567" w:type="dxa"/>
            <w:gridSpan w:val="2"/>
            <w:tcBorders>
              <w:top w:val="nil"/>
              <w:left w:val="nil"/>
              <w:bottom w:val="single" w:color="auto" w:sz="4" w:space="0"/>
              <w:right w:val="single" w:color="auto" w:sz="4" w:space="0"/>
            </w:tcBorders>
            <w:vAlign w:val="center"/>
          </w:tcPr>
          <w:p w14:paraId="68124208">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27C8BB73">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5234443F">
            <w:pPr>
              <w:widowControl/>
              <w:spacing w:line="240" w:lineRule="exact"/>
              <w:jc w:val="center"/>
              <w:rPr>
                <w:rFonts w:hint="eastAsia" w:ascii="仿宋" w:hAnsi="仿宋" w:eastAsia="仿宋" w:cs="仿宋"/>
                <w:kern w:val="0"/>
                <w:sz w:val="18"/>
                <w:szCs w:val="18"/>
              </w:rPr>
            </w:pPr>
          </w:p>
        </w:tc>
      </w:tr>
      <w:tr w14:paraId="7411BFB1">
        <w:tblPrEx>
          <w:tblCellMar>
            <w:top w:w="0" w:type="dxa"/>
            <w:left w:w="108" w:type="dxa"/>
            <w:bottom w:w="0" w:type="dxa"/>
            <w:right w:w="108" w:type="dxa"/>
          </w:tblCellMar>
        </w:tblPrEx>
        <w:trPr>
          <w:trHeight w:val="924" w:hRule="exact"/>
          <w:jc w:val="center"/>
        </w:trPr>
        <w:tc>
          <w:tcPr>
            <w:tcW w:w="588" w:type="dxa"/>
            <w:vMerge w:val="continue"/>
            <w:tcBorders>
              <w:left w:val="single" w:color="auto" w:sz="4" w:space="0"/>
              <w:right w:val="single" w:color="auto" w:sz="4" w:space="0"/>
            </w:tcBorders>
            <w:vAlign w:val="center"/>
          </w:tcPr>
          <w:p w14:paraId="32227E1C">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3F46F429">
            <w:pPr>
              <w:widowControl/>
              <w:spacing w:line="240" w:lineRule="exact"/>
              <w:jc w:val="center"/>
              <w:rPr>
                <w:rFonts w:hint="eastAsia" w:ascii="仿宋" w:hAnsi="仿宋" w:eastAsia="仿宋" w:cs="仿宋"/>
                <w:kern w:val="0"/>
                <w:sz w:val="18"/>
                <w:szCs w:val="18"/>
              </w:rPr>
            </w:pPr>
          </w:p>
        </w:tc>
        <w:tc>
          <w:tcPr>
            <w:tcW w:w="1112" w:type="dxa"/>
            <w:vMerge w:val="continue"/>
            <w:tcBorders>
              <w:top w:val="nil"/>
              <w:left w:val="single" w:color="auto" w:sz="4" w:space="0"/>
              <w:bottom w:val="single" w:color="auto" w:sz="4" w:space="0"/>
              <w:right w:val="single" w:color="auto" w:sz="4" w:space="0"/>
            </w:tcBorders>
            <w:vAlign w:val="center"/>
          </w:tcPr>
          <w:p w14:paraId="6C89F143">
            <w:pPr>
              <w:widowControl/>
              <w:spacing w:line="240" w:lineRule="exact"/>
              <w:jc w:val="center"/>
              <w:rPr>
                <w:rFonts w:hint="eastAsia" w:ascii="仿宋" w:hAnsi="仿宋" w:eastAsia="仿宋" w:cs="仿宋"/>
                <w:kern w:val="0"/>
                <w:sz w:val="18"/>
                <w:szCs w:val="18"/>
              </w:rPr>
            </w:pPr>
          </w:p>
        </w:tc>
        <w:tc>
          <w:tcPr>
            <w:tcW w:w="1844" w:type="dxa"/>
            <w:gridSpan w:val="2"/>
            <w:tcBorders>
              <w:top w:val="single" w:color="auto" w:sz="4" w:space="0"/>
              <w:left w:val="nil"/>
              <w:bottom w:val="single" w:color="auto" w:sz="4" w:space="0"/>
              <w:right w:val="single" w:color="auto" w:sz="4" w:space="0"/>
            </w:tcBorders>
            <w:vAlign w:val="center"/>
          </w:tcPr>
          <w:p w14:paraId="7CA09B52">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指标2：为国家试验区建设提供精神动力、智力支持和思想保证</w:t>
            </w:r>
          </w:p>
        </w:tc>
        <w:tc>
          <w:tcPr>
            <w:tcW w:w="1154" w:type="dxa"/>
            <w:gridSpan w:val="2"/>
            <w:tcBorders>
              <w:top w:val="nil"/>
              <w:left w:val="nil"/>
              <w:bottom w:val="single" w:color="auto" w:sz="4" w:space="0"/>
              <w:right w:val="single" w:color="auto" w:sz="4" w:space="0"/>
            </w:tcBorders>
            <w:vAlign w:val="center"/>
          </w:tcPr>
          <w:p w14:paraId="6E4C27E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851" w:type="dxa"/>
            <w:tcBorders>
              <w:top w:val="nil"/>
              <w:left w:val="nil"/>
              <w:bottom w:val="single" w:color="auto" w:sz="4" w:space="0"/>
              <w:right w:val="single" w:color="auto" w:sz="4" w:space="0"/>
            </w:tcBorders>
            <w:vAlign w:val="center"/>
          </w:tcPr>
          <w:p w14:paraId="705B40D1">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567" w:type="dxa"/>
            <w:gridSpan w:val="2"/>
            <w:tcBorders>
              <w:top w:val="nil"/>
              <w:left w:val="nil"/>
              <w:bottom w:val="single" w:color="auto" w:sz="4" w:space="0"/>
              <w:right w:val="single" w:color="auto" w:sz="4" w:space="0"/>
            </w:tcBorders>
            <w:vAlign w:val="center"/>
          </w:tcPr>
          <w:p w14:paraId="437AA55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3F5F047E">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0E37B3C8">
            <w:pPr>
              <w:widowControl/>
              <w:spacing w:line="240" w:lineRule="exact"/>
              <w:jc w:val="center"/>
              <w:rPr>
                <w:rFonts w:hint="eastAsia" w:ascii="仿宋" w:hAnsi="仿宋" w:eastAsia="仿宋" w:cs="仿宋"/>
                <w:kern w:val="0"/>
                <w:sz w:val="18"/>
                <w:szCs w:val="18"/>
              </w:rPr>
            </w:pPr>
          </w:p>
        </w:tc>
      </w:tr>
      <w:tr w14:paraId="3ED65A17">
        <w:tblPrEx>
          <w:tblCellMar>
            <w:top w:w="0" w:type="dxa"/>
            <w:left w:w="108" w:type="dxa"/>
            <w:bottom w:w="0" w:type="dxa"/>
            <w:right w:w="108" w:type="dxa"/>
          </w:tblCellMar>
        </w:tblPrEx>
        <w:trPr>
          <w:trHeight w:val="1091" w:hRule="exact"/>
          <w:jc w:val="center"/>
        </w:trPr>
        <w:tc>
          <w:tcPr>
            <w:tcW w:w="588" w:type="dxa"/>
            <w:vMerge w:val="continue"/>
            <w:tcBorders>
              <w:left w:val="single" w:color="auto" w:sz="4" w:space="0"/>
              <w:right w:val="single" w:color="auto" w:sz="4" w:space="0"/>
            </w:tcBorders>
            <w:vAlign w:val="center"/>
          </w:tcPr>
          <w:p w14:paraId="00DE8EBE">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32E78B30">
            <w:pPr>
              <w:widowControl/>
              <w:spacing w:line="240" w:lineRule="exact"/>
              <w:jc w:val="center"/>
              <w:rPr>
                <w:rFonts w:hint="eastAsia" w:ascii="仿宋" w:hAnsi="仿宋" w:eastAsia="仿宋" w:cs="仿宋"/>
                <w:kern w:val="0"/>
                <w:sz w:val="18"/>
                <w:szCs w:val="18"/>
              </w:rPr>
            </w:pPr>
          </w:p>
        </w:tc>
        <w:tc>
          <w:tcPr>
            <w:tcW w:w="1112" w:type="dxa"/>
            <w:vMerge w:val="continue"/>
            <w:tcBorders>
              <w:top w:val="nil"/>
              <w:left w:val="single" w:color="auto" w:sz="4" w:space="0"/>
              <w:bottom w:val="single" w:color="auto" w:sz="4" w:space="0"/>
              <w:right w:val="single" w:color="auto" w:sz="4" w:space="0"/>
            </w:tcBorders>
            <w:vAlign w:val="center"/>
          </w:tcPr>
          <w:p w14:paraId="1B04984D">
            <w:pPr>
              <w:widowControl/>
              <w:spacing w:line="240" w:lineRule="exact"/>
              <w:jc w:val="center"/>
              <w:rPr>
                <w:rFonts w:hint="eastAsia" w:ascii="仿宋" w:hAnsi="仿宋" w:eastAsia="仿宋" w:cs="仿宋"/>
                <w:kern w:val="0"/>
                <w:sz w:val="18"/>
                <w:szCs w:val="18"/>
              </w:rPr>
            </w:pPr>
          </w:p>
        </w:tc>
        <w:tc>
          <w:tcPr>
            <w:tcW w:w="1844" w:type="dxa"/>
            <w:gridSpan w:val="2"/>
            <w:tcBorders>
              <w:top w:val="single" w:color="auto" w:sz="4" w:space="0"/>
              <w:left w:val="nil"/>
              <w:bottom w:val="single" w:color="auto" w:sz="4" w:space="0"/>
              <w:right w:val="single" w:color="auto" w:sz="4" w:space="0"/>
            </w:tcBorders>
            <w:vAlign w:val="center"/>
          </w:tcPr>
          <w:p w14:paraId="0AA62043">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指标3：为兴景富民、领导决策提供科学依据和建议</w:t>
            </w:r>
          </w:p>
        </w:tc>
        <w:tc>
          <w:tcPr>
            <w:tcW w:w="1154" w:type="dxa"/>
            <w:gridSpan w:val="2"/>
            <w:tcBorders>
              <w:top w:val="nil"/>
              <w:left w:val="nil"/>
              <w:bottom w:val="single" w:color="auto" w:sz="4" w:space="0"/>
              <w:right w:val="single" w:color="auto" w:sz="4" w:space="0"/>
            </w:tcBorders>
            <w:vAlign w:val="center"/>
          </w:tcPr>
          <w:p w14:paraId="7B06022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851" w:type="dxa"/>
            <w:tcBorders>
              <w:top w:val="nil"/>
              <w:left w:val="nil"/>
              <w:bottom w:val="single" w:color="auto" w:sz="4" w:space="0"/>
              <w:right w:val="single" w:color="auto" w:sz="4" w:space="0"/>
            </w:tcBorders>
            <w:vAlign w:val="center"/>
          </w:tcPr>
          <w:p w14:paraId="0B57C2F9">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567" w:type="dxa"/>
            <w:gridSpan w:val="2"/>
            <w:tcBorders>
              <w:top w:val="nil"/>
              <w:left w:val="nil"/>
              <w:bottom w:val="single" w:color="auto" w:sz="4" w:space="0"/>
              <w:right w:val="single" w:color="auto" w:sz="4" w:space="0"/>
            </w:tcBorders>
            <w:vAlign w:val="center"/>
          </w:tcPr>
          <w:p w14:paraId="4BEB704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3985E3A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7871B95B">
            <w:pPr>
              <w:widowControl/>
              <w:spacing w:line="240" w:lineRule="exact"/>
              <w:jc w:val="center"/>
              <w:rPr>
                <w:rFonts w:hint="eastAsia" w:ascii="仿宋" w:hAnsi="仿宋" w:eastAsia="仿宋" w:cs="仿宋"/>
                <w:kern w:val="0"/>
                <w:sz w:val="18"/>
                <w:szCs w:val="18"/>
              </w:rPr>
            </w:pPr>
          </w:p>
        </w:tc>
      </w:tr>
      <w:tr w14:paraId="5CBF50BD">
        <w:tblPrEx>
          <w:tblCellMar>
            <w:top w:w="0" w:type="dxa"/>
            <w:left w:w="108" w:type="dxa"/>
            <w:bottom w:w="0" w:type="dxa"/>
            <w:right w:w="108" w:type="dxa"/>
          </w:tblCellMar>
        </w:tblPrEx>
        <w:trPr>
          <w:trHeight w:val="758" w:hRule="exact"/>
          <w:jc w:val="center"/>
        </w:trPr>
        <w:tc>
          <w:tcPr>
            <w:tcW w:w="588" w:type="dxa"/>
            <w:vMerge w:val="continue"/>
            <w:tcBorders>
              <w:left w:val="single" w:color="auto" w:sz="4" w:space="0"/>
              <w:right w:val="single" w:color="auto" w:sz="4" w:space="0"/>
            </w:tcBorders>
            <w:vAlign w:val="center"/>
          </w:tcPr>
          <w:p w14:paraId="6DBE9209">
            <w:pPr>
              <w:widowControl/>
              <w:spacing w:line="240" w:lineRule="exact"/>
              <w:jc w:val="center"/>
              <w:rPr>
                <w:rFonts w:hint="eastAsia" w:ascii="仿宋" w:hAnsi="仿宋" w:eastAsia="仿宋" w:cs="仿宋"/>
                <w:kern w:val="0"/>
                <w:sz w:val="18"/>
                <w:szCs w:val="18"/>
              </w:rPr>
            </w:pPr>
          </w:p>
        </w:tc>
        <w:tc>
          <w:tcPr>
            <w:tcW w:w="980" w:type="dxa"/>
            <w:vMerge w:val="restart"/>
            <w:tcBorders>
              <w:top w:val="nil"/>
              <w:left w:val="single" w:color="auto" w:sz="4" w:space="0"/>
              <w:right w:val="single" w:color="auto" w:sz="4" w:space="0"/>
            </w:tcBorders>
            <w:vAlign w:val="center"/>
          </w:tcPr>
          <w:p w14:paraId="4FBB814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满意度</w:t>
            </w:r>
          </w:p>
          <w:p w14:paraId="1B7BA8D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指标</w:t>
            </w:r>
          </w:p>
        </w:tc>
        <w:tc>
          <w:tcPr>
            <w:tcW w:w="1112" w:type="dxa"/>
            <w:vMerge w:val="restart"/>
            <w:tcBorders>
              <w:top w:val="nil"/>
              <w:left w:val="single" w:color="auto" w:sz="4" w:space="0"/>
              <w:bottom w:val="single" w:color="auto" w:sz="4" w:space="0"/>
              <w:right w:val="single" w:color="auto" w:sz="4" w:space="0"/>
            </w:tcBorders>
            <w:vAlign w:val="center"/>
          </w:tcPr>
          <w:p w14:paraId="024B450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服务对象满意度指标</w:t>
            </w:r>
          </w:p>
        </w:tc>
        <w:tc>
          <w:tcPr>
            <w:tcW w:w="1844" w:type="dxa"/>
            <w:gridSpan w:val="2"/>
            <w:tcBorders>
              <w:top w:val="single" w:color="auto" w:sz="4" w:space="0"/>
              <w:left w:val="nil"/>
              <w:bottom w:val="single" w:color="auto" w:sz="4" w:space="0"/>
              <w:right w:val="single" w:color="auto" w:sz="4" w:space="0"/>
            </w:tcBorders>
            <w:vAlign w:val="center"/>
          </w:tcPr>
          <w:p w14:paraId="43C1A039">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指标1：社会群众满意度</w:t>
            </w:r>
          </w:p>
        </w:tc>
        <w:tc>
          <w:tcPr>
            <w:tcW w:w="1154" w:type="dxa"/>
            <w:gridSpan w:val="2"/>
            <w:tcBorders>
              <w:top w:val="nil"/>
              <w:left w:val="nil"/>
              <w:bottom w:val="single" w:color="auto" w:sz="4" w:space="0"/>
              <w:right w:val="single" w:color="auto" w:sz="4" w:space="0"/>
            </w:tcBorders>
            <w:vAlign w:val="center"/>
          </w:tcPr>
          <w:p w14:paraId="5CC4115D">
            <w:pPr>
              <w:widowControl/>
              <w:spacing w:line="240" w:lineRule="exact"/>
              <w:jc w:val="center"/>
              <w:rPr>
                <w:rFonts w:hint="eastAsia" w:ascii="仿宋" w:hAnsi="仿宋" w:eastAsia="仿宋" w:cs="仿宋"/>
                <w:sz w:val="18"/>
                <w:szCs w:val="18"/>
              </w:rPr>
            </w:pPr>
            <w:r>
              <w:rPr>
                <w:rFonts w:hint="eastAsia" w:ascii="仿宋" w:hAnsi="仿宋" w:eastAsia="仿宋" w:cs="仿宋"/>
                <w:sz w:val="18"/>
                <w:szCs w:val="18"/>
              </w:rPr>
              <w:t>90%及以上</w:t>
            </w:r>
          </w:p>
        </w:tc>
        <w:tc>
          <w:tcPr>
            <w:tcW w:w="851" w:type="dxa"/>
            <w:tcBorders>
              <w:top w:val="nil"/>
              <w:left w:val="nil"/>
              <w:bottom w:val="single" w:color="auto" w:sz="4" w:space="0"/>
              <w:right w:val="single" w:color="auto" w:sz="4" w:space="0"/>
            </w:tcBorders>
            <w:vAlign w:val="center"/>
          </w:tcPr>
          <w:p w14:paraId="2C8ED62E">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达到</w:t>
            </w:r>
          </w:p>
        </w:tc>
        <w:tc>
          <w:tcPr>
            <w:tcW w:w="567" w:type="dxa"/>
            <w:gridSpan w:val="2"/>
            <w:tcBorders>
              <w:top w:val="nil"/>
              <w:left w:val="nil"/>
              <w:bottom w:val="single" w:color="auto" w:sz="4" w:space="0"/>
              <w:right w:val="single" w:color="auto" w:sz="4" w:space="0"/>
            </w:tcBorders>
            <w:vAlign w:val="center"/>
          </w:tcPr>
          <w:p w14:paraId="157D9A4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223F5D4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71F6D210">
            <w:pPr>
              <w:widowControl/>
              <w:spacing w:line="240" w:lineRule="exact"/>
              <w:jc w:val="center"/>
              <w:rPr>
                <w:rFonts w:hint="eastAsia" w:ascii="仿宋" w:hAnsi="仿宋" w:eastAsia="仿宋" w:cs="仿宋"/>
                <w:kern w:val="0"/>
                <w:sz w:val="18"/>
                <w:szCs w:val="18"/>
              </w:rPr>
            </w:pPr>
          </w:p>
        </w:tc>
      </w:tr>
      <w:tr w14:paraId="33F0B39F">
        <w:tblPrEx>
          <w:tblCellMar>
            <w:top w:w="0" w:type="dxa"/>
            <w:left w:w="108" w:type="dxa"/>
            <w:bottom w:w="0" w:type="dxa"/>
            <w:right w:w="108" w:type="dxa"/>
          </w:tblCellMar>
        </w:tblPrEx>
        <w:trPr>
          <w:trHeight w:val="979" w:hRule="exact"/>
          <w:jc w:val="center"/>
        </w:trPr>
        <w:tc>
          <w:tcPr>
            <w:tcW w:w="588" w:type="dxa"/>
            <w:vMerge w:val="continue"/>
            <w:tcBorders>
              <w:left w:val="single" w:color="auto" w:sz="4" w:space="0"/>
              <w:right w:val="single" w:color="auto" w:sz="4" w:space="0"/>
            </w:tcBorders>
            <w:vAlign w:val="center"/>
          </w:tcPr>
          <w:p w14:paraId="739DC257">
            <w:pPr>
              <w:widowControl/>
              <w:spacing w:line="240" w:lineRule="exact"/>
              <w:jc w:val="center"/>
              <w:rPr>
                <w:rFonts w:hint="eastAsia" w:ascii="仿宋" w:hAnsi="仿宋" w:eastAsia="仿宋" w:cs="仿宋"/>
                <w:kern w:val="0"/>
                <w:sz w:val="18"/>
                <w:szCs w:val="18"/>
              </w:rPr>
            </w:pPr>
          </w:p>
        </w:tc>
        <w:tc>
          <w:tcPr>
            <w:tcW w:w="980" w:type="dxa"/>
            <w:vMerge w:val="continue"/>
            <w:tcBorders>
              <w:left w:val="single" w:color="auto" w:sz="4" w:space="0"/>
              <w:right w:val="single" w:color="auto" w:sz="4" w:space="0"/>
            </w:tcBorders>
            <w:vAlign w:val="center"/>
          </w:tcPr>
          <w:p w14:paraId="2B8A5FC4">
            <w:pPr>
              <w:widowControl/>
              <w:spacing w:line="240" w:lineRule="exact"/>
              <w:jc w:val="center"/>
              <w:rPr>
                <w:rFonts w:hint="eastAsia" w:ascii="仿宋" w:hAnsi="仿宋" w:eastAsia="仿宋" w:cs="仿宋"/>
                <w:kern w:val="0"/>
                <w:sz w:val="18"/>
                <w:szCs w:val="18"/>
              </w:rPr>
            </w:pPr>
          </w:p>
        </w:tc>
        <w:tc>
          <w:tcPr>
            <w:tcW w:w="1112" w:type="dxa"/>
            <w:vMerge w:val="continue"/>
            <w:tcBorders>
              <w:top w:val="nil"/>
              <w:left w:val="single" w:color="auto" w:sz="4" w:space="0"/>
              <w:bottom w:val="single" w:color="auto" w:sz="4" w:space="0"/>
              <w:right w:val="single" w:color="auto" w:sz="4" w:space="0"/>
            </w:tcBorders>
            <w:vAlign w:val="center"/>
          </w:tcPr>
          <w:p w14:paraId="65747511">
            <w:pPr>
              <w:widowControl/>
              <w:spacing w:line="240" w:lineRule="exact"/>
              <w:jc w:val="center"/>
              <w:rPr>
                <w:rFonts w:hint="eastAsia" w:ascii="仿宋" w:hAnsi="仿宋" w:eastAsia="仿宋" w:cs="仿宋"/>
                <w:kern w:val="0"/>
                <w:sz w:val="18"/>
                <w:szCs w:val="18"/>
              </w:rPr>
            </w:pPr>
          </w:p>
        </w:tc>
        <w:tc>
          <w:tcPr>
            <w:tcW w:w="1844" w:type="dxa"/>
            <w:gridSpan w:val="2"/>
            <w:tcBorders>
              <w:top w:val="single" w:color="auto" w:sz="4" w:space="0"/>
              <w:left w:val="nil"/>
              <w:bottom w:val="single" w:color="auto" w:sz="4" w:space="0"/>
              <w:right w:val="single" w:color="auto" w:sz="4" w:space="0"/>
            </w:tcBorders>
            <w:vAlign w:val="center"/>
          </w:tcPr>
          <w:p w14:paraId="35AB7146">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指标2：科学团体满意度</w:t>
            </w:r>
          </w:p>
        </w:tc>
        <w:tc>
          <w:tcPr>
            <w:tcW w:w="1154" w:type="dxa"/>
            <w:gridSpan w:val="2"/>
            <w:tcBorders>
              <w:top w:val="nil"/>
              <w:left w:val="nil"/>
              <w:bottom w:val="single" w:color="auto" w:sz="4" w:space="0"/>
              <w:right w:val="single" w:color="auto" w:sz="4" w:space="0"/>
            </w:tcBorders>
            <w:vAlign w:val="center"/>
          </w:tcPr>
          <w:p w14:paraId="754073E5">
            <w:pPr>
              <w:jc w:val="center"/>
              <w:rPr>
                <w:rFonts w:hint="eastAsia" w:ascii="仿宋" w:hAnsi="仿宋" w:eastAsia="仿宋" w:cs="仿宋"/>
                <w:sz w:val="18"/>
                <w:szCs w:val="18"/>
              </w:rPr>
            </w:pPr>
            <w:r>
              <w:rPr>
                <w:rFonts w:hint="eastAsia" w:ascii="仿宋" w:hAnsi="仿宋" w:eastAsia="仿宋" w:cs="仿宋"/>
                <w:sz w:val="18"/>
                <w:szCs w:val="18"/>
              </w:rPr>
              <w:t>90%及以上</w:t>
            </w:r>
          </w:p>
          <w:p w14:paraId="1B6CB556">
            <w:pPr>
              <w:widowControl/>
              <w:spacing w:line="240" w:lineRule="exact"/>
              <w:jc w:val="center"/>
              <w:rPr>
                <w:rFonts w:hint="eastAsia" w:ascii="仿宋" w:hAnsi="仿宋" w:eastAsia="仿宋" w:cs="仿宋"/>
                <w:kern w:val="0"/>
                <w:sz w:val="18"/>
                <w:szCs w:val="18"/>
              </w:rPr>
            </w:pPr>
          </w:p>
        </w:tc>
        <w:tc>
          <w:tcPr>
            <w:tcW w:w="851" w:type="dxa"/>
            <w:tcBorders>
              <w:top w:val="nil"/>
              <w:left w:val="nil"/>
              <w:bottom w:val="single" w:color="auto" w:sz="4" w:space="0"/>
              <w:right w:val="single" w:color="auto" w:sz="4" w:space="0"/>
            </w:tcBorders>
            <w:vAlign w:val="center"/>
          </w:tcPr>
          <w:p w14:paraId="32AE231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达到</w:t>
            </w:r>
          </w:p>
        </w:tc>
        <w:tc>
          <w:tcPr>
            <w:tcW w:w="567" w:type="dxa"/>
            <w:gridSpan w:val="2"/>
            <w:tcBorders>
              <w:top w:val="nil"/>
              <w:left w:val="nil"/>
              <w:bottom w:val="single" w:color="auto" w:sz="4" w:space="0"/>
              <w:right w:val="single" w:color="auto" w:sz="4" w:space="0"/>
            </w:tcBorders>
            <w:vAlign w:val="center"/>
          </w:tcPr>
          <w:p w14:paraId="4DA8BB89">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18E8515E">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2C4028CA">
            <w:pPr>
              <w:widowControl/>
              <w:spacing w:line="240" w:lineRule="exact"/>
              <w:jc w:val="center"/>
              <w:rPr>
                <w:rFonts w:hint="eastAsia" w:ascii="仿宋" w:hAnsi="仿宋" w:eastAsia="仿宋" w:cs="仿宋"/>
                <w:kern w:val="0"/>
                <w:sz w:val="18"/>
                <w:szCs w:val="18"/>
              </w:rPr>
            </w:pPr>
          </w:p>
        </w:tc>
      </w:tr>
      <w:tr w14:paraId="38325C78">
        <w:tblPrEx>
          <w:tblCellMar>
            <w:top w:w="0" w:type="dxa"/>
            <w:left w:w="108" w:type="dxa"/>
            <w:bottom w:w="0" w:type="dxa"/>
            <w:right w:w="108" w:type="dxa"/>
          </w:tblCellMar>
        </w:tblPrEx>
        <w:trPr>
          <w:trHeight w:val="1095" w:hRule="exact"/>
          <w:jc w:val="center"/>
        </w:trPr>
        <w:tc>
          <w:tcPr>
            <w:tcW w:w="6529" w:type="dxa"/>
            <w:gridSpan w:val="8"/>
            <w:tcBorders>
              <w:top w:val="single" w:color="auto" w:sz="4" w:space="0"/>
              <w:left w:val="single" w:color="auto" w:sz="4" w:space="0"/>
              <w:bottom w:val="single" w:color="auto" w:sz="4" w:space="0"/>
              <w:right w:val="single" w:color="auto" w:sz="4" w:space="0"/>
            </w:tcBorders>
            <w:vAlign w:val="center"/>
          </w:tcPr>
          <w:p w14:paraId="250F3740">
            <w:pPr>
              <w:widowControl/>
              <w:spacing w:line="240" w:lineRule="exact"/>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总分</w:t>
            </w:r>
          </w:p>
        </w:tc>
        <w:tc>
          <w:tcPr>
            <w:tcW w:w="567" w:type="dxa"/>
            <w:gridSpan w:val="2"/>
            <w:tcBorders>
              <w:top w:val="nil"/>
              <w:left w:val="nil"/>
              <w:bottom w:val="single" w:color="auto" w:sz="4" w:space="0"/>
              <w:right w:val="single" w:color="auto" w:sz="4" w:space="0"/>
            </w:tcBorders>
            <w:vAlign w:val="center"/>
          </w:tcPr>
          <w:p w14:paraId="40406C5C">
            <w:pPr>
              <w:widowControl/>
              <w:spacing w:line="240" w:lineRule="exact"/>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100</w:t>
            </w:r>
          </w:p>
        </w:tc>
        <w:tc>
          <w:tcPr>
            <w:tcW w:w="567" w:type="dxa"/>
            <w:gridSpan w:val="2"/>
            <w:tcBorders>
              <w:top w:val="nil"/>
              <w:left w:val="nil"/>
              <w:bottom w:val="single" w:color="auto" w:sz="4" w:space="0"/>
              <w:right w:val="single" w:color="auto" w:sz="4" w:space="0"/>
            </w:tcBorders>
            <w:vAlign w:val="center"/>
          </w:tcPr>
          <w:p w14:paraId="1157F142">
            <w:pPr>
              <w:widowControl/>
              <w:spacing w:line="240" w:lineRule="exact"/>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96</w:t>
            </w:r>
          </w:p>
        </w:tc>
        <w:tc>
          <w:tcPr>
            <w:tcW w:w="1417" w:type="dxa"/>
            <w:gridSpan w:val="2"/>
            <w:tcBorders>
              <w:top w:val="single" w:color="auto" w:sz="4" w:space="0"/>
              <w:left w:val="nil"/>
              <w:bottom w:val="single" w:color="auto" w:sz="4" w:space="0"/>
              <w:right w:val="single" w:color="auto" w:sz="4" w:space="0"/>
            </w:tcBorders>
            <w:vAlign w:val="center"/>
          </w:tcPr>
          <w:p w14:paraId="03C9E255">
            <w:pPr>
              <w:widowControl/>
              <w:spacing w:line="240" w:lineRule="exact"/>
              <w:jc w:val="center"/>
              <w:rPr>
                <w:rFonts w:hint="eastAsia" w:ascii="仿宋" w:hAnsi="仿宋" w:eastAsia="仿宋" w:cs="仿宋"/>
                <w:kern w:val="0"/>
                <w:sz w:val="18"/>
                <w:szCs w:val="18"/>
              </w:rPr>
            </w:pPr>
          </w:p>
        </w:tc>
      </w:tr>
    </w:tbl>
    <w:p w14:paraId="209699D5"/>
    <w:p w14:paraId="66D21EAD"/>
    <w:p w14:paraId="032D5E4A"/>
    <w:p w14:paraId="3A69F7C1"/>
    <w:p w14:paraId="39E0FDC2"/>
    <w:p w14:paraId="24DA953C"/>
    <w:p w14:paraId="31696502"/>
    <w:p w14:paraId="69BA4BBE"/>
    <w:p w14:paraId="012EEB7B"/>
    <w:p w14:paraId="6F0F24AD">
      <w:pPr>
        <w:widowControl/>
        <w:numPr>
          <w:ilvl w:val="0"/>
          <w:numId w:val="2"/>
        </w:numPr>
        <w:spacing w:line="600" w:lineRule="exact"/>
        <w:ind w:firstLine="640"/>
        <w:jc w:val="center"/>
        <w:rPr>
          <w:rFonts w:ascii="宋体"/>
          <w:b/>
          <w:sz w:val="32"/>
          <w:szCs w:val="32"/>
        </w:rPr>
      </w:pPr>
      <w:r>
        <w:rPr>
          <w:rFonts w:ascii="宋体" w:hAnsi="宋体"/>
          <w:b/>
          <w:sz w:val="32"/>
          <w:szCs w:val="32"/>
        </w:rPr>
        <w:t xml:space="preserve"> </w:t>
      </w:r>
      <w:r>
        <w:rPr>
          <w:rFonts w:hint="eastAsia" w:ascii="宋体" w:hAnsi="宋体"/>
          <w:b/>
          <w:sz w:val="32"/>
          <w:szCs w:val="32"/>
        </w:rPr>
        <w:t>名词解释</w:t>
      </w:r>
    </w:p>
    <w:p w14:paraId="5CBF0749">
      <w:pPr>
        <w:widowControl/>
        <w:spacing w:line="600" w:lineRule="exact"/>
        <w:rPr>
          <w:rFonts w:ascii="宋体"/>
          <w:b/>
          <w:sz w:val="32"/>
          <w:szCs w:val="32"/>
        </w:rPr>
      </w:pPr>
    </w:p>
    <w:p w14:paraId="2E017080">
      <w:pPr>
        <w:ind w:firstLine="600" w:firstLineChars="200"/>
        <w:rPr>
          <w:rFonts w:ascii="仿宋" w:hAnsi="仿宋" w:eastAsia="仿宋" w:cs="仿宋"/>
          <w:sz w:val="30"/>
          <w:szCs w:val="30"/>
        </w:rPr>
      </w:pPr>
      <w:r>
        <w:rPr>
          <w:rFonts w:ascii="仿宋" w:hAnsi="仿宋" w:eastAsia="仿宋" w:cs="仿宋"/>
          <w:sz w:val="30"/>
          <w:szCs w:val="30"/>
        </w:rPr>
        <w:t xml:space="preserve"> </w:t>
      </w:r>
      <w:r>
        <w:rPr>
          <w:rFonts w:hint="eastAsia" w:ascii="仿宋" w:hAnsi="仿宋" w:eastAsia="仿宋" w:cs="仿宋"/>
          <w:sz w:val="30"/>
          <w:szCs w:val="30"/>
        </w:rPr>
        <w:t>一、收入科目</w:t>
      </w:r>
    </w:p>
    <w:p w14:paraId="5FD5B132">
      <w:pPr>
        <w:ind w:firstLine="600" w:firstLineChars="200"/>
        <w:rPr>
          <w:rFonts w:ascii="仿宋" w:hAnsi="仿宋" w:eastAsia="仿宋" w:cs="仿宋"/>
          <w:sz w:val="30"/>
          <w:szCs w:val="30"/>
        </w:rPr>
      </w:pPr>
      <w:r>
        <w:rPr>
          <w:rFonts w:hint="eastAsia" w:ascii="仿宋" w:hAnsi="仿宋" w:eastAsia="仿宋" w:cs="仿宋"/>
          <w:sz w:val="30"/>
          <w:szCs w:val="30"/>
        </w:rPr>
        <w:t>财政拨款</w:t>
      </w:r>
      <w:r>
        <w:rPr>
          <w:rFonts w:ascii="仿宋" w:hAnsi="仿宋" w:eastAsia="仿宋" w:cs="仿宋"/>
          <w:sz w:val="30"/>
          <w:szCs w:val="30"/>
        </w:rPr>
        <w:t>:</w:t>
      </w:r>
      <w:r>
        <w:rPr>
          <w:rFonts w:hint="eastAsia" w:ascii="仿宋" w:hAnsi="仿宋" w:eastAsia="仿宋" w:cs="仿宋"/>
          <w:sz w:val="30"/>
          <w:szCs w:val="30"/>
        </w:rPr>
        <w:t>指省级财政当年拨付的资金。</w:t>
      </w:r>
    </w:p>
    <w:p w14:paraId="3CEA616D">
      <w:pPr>
        <w:rPr>
          <w:rFonts w:ascii="仿宋" w:hAnsi="仿宋" w:eastAsia="仿宋" w:cs="仿宋"/>
          <w:sz w:val="30"/>
          <w:szCs w:val="30"/>
        </w:rPr>
      </w:pPr>
      <w:r>
        <w:rPr>
          <w:rFonts w:hint="eastAsia" w:ascii="仿宋" w:hAnsi="仿宋" w:eastAsia="仿宋" w:cs="仿宋"/>
          <w:sz w:val="30"/>
          <w:szCs w:val="30"/>
        </w:rPr>
        <w:t>其他收入</w:t>
      </w:r>
      <w:r>
        <w:rPr>
          <w:rFonts w:ascii="仿宋" w:hAnsi="仿宋" w:eastAsia="仿宋" w:cs="仿宋"/>
          <w:sz w:val="30"/>
          <w:szCs w:val="30"/>
        </w:rPr>
        <w:t>:</w:t>
      </w:r>
      <w:r>
        <w:rPr>
          <w:rFonts w:hint="eastAsia" w:ascii="仿宋" w:hAnsi="仿宋" w:eastAsia="仿宋" w:cs="仿宋"/>
          <w:sz w:val="30"/>
          <w:szCs w:val="30"/>
        </w:rPr>
        <w:t>指除财政拨款、事业收入、事业单位经营收入等以外的各项收入。</w:t>
      </w:r>
      <w:r>
        <w:rPr>
          <w:rFonts w:ascii="仿宋" w:hAnsi="仿宋" w:eastAsia="仿宋" w:cs="仿宋"/>
          <w:sz w:val="30"/>
          <w:szCs w:val="30"/>
        </w:rPr>
        <w:br w:type="textWrapping"/>
      </w:r>
      <w:r>
        <w:rPr>
          <w:rFonts w:ascii="仿宋" w:hAnsi="仿宋" w:eastAsia="仿宋" w:cs="仿宋"/>
          <w:sz w:val="30"/>
          <w:szCs w:val="30"/>
        </w:rPr>
        <w:t xml:space="preserve">    </w:t>
      </w:r>
      <w:r>
        <w:rPr>
          <w:rFonts w:hint="eastAsia" w:ascii="仿宋" w:hAnsi="仿宋" w:eastAsia="仿宋" w:cs="仿宋"/>
          <w:sz w:val="30"/>
          <w:szCs w:val="30"/>
        </w:rPr>
        <w:t>年初结转和结余</w:t>
      </w:r>
      <w:r>
        <w:rPr>
          <w:rFonts w:ascii="仿宋" w:hAnsi="仿宋" w:eastAsia="仿宋" w:cs="仿宋"/>
          <w:sz w:val="30"/>
          <w:szCs w:val="30"/>
        </w:rPr>
        <w:t>:</w:t>
      </w:r>
      <w:r>
        <w:rPr>
          <w:rFonts w:hint="eastAsia" w:ascii="仿宋" w:hAnsi="仿宋" w:eastAsia="仿宋" w:cs="仿宋"/>
          <w:sz w:val="30"/>
          <w:szCs w:val="30"/>
        </w:rPr>
        <w:t>填列历年滚存结转结余资金。</w:t>
      </w:r>
      <w:r>
        <w:rPr>
          <w:rFonts w:ascii="仿宋" w:hAnsi="仿宋" w:eastAsia="仿宋" w:cs="仿宋"/>
          <w:sz w:val="30"/>
          <w:szCs w:val="30"/>
        </w:rPr>
        <w:br w:type="textWrapping"/>
      </w:r>
      <w:r>
        <w:rPr>
          <w:rFonts w:ascii="仿宋" w:hAnsi="仿宋" w:eastAsia="仿宋" w:cs="仿宋"/>
          <w:sz w:val="30"/>
          <w:szCs w:val="30"/>
        </w:rPr>
        <w:t xml:space="preserve">    </w:t>
      </w:r>
      <w:r>
        <w:rPr>
          <w:rFonts w:hint="eastAsia" w:ascii="仿宋" w:hAnsi="仿宋" w:eastAsia="仿宋" w:cs="仿宋"/>
          <w:sz w:val="30"/>
          <w:szCs w:val="30"/>
        </w:rPr>
        <w:t>二、支出功能分类科目</w:t>
      </w:r>
      <w:r>
        <w:rPr>
          <w:rFonts w:ascii="仿宋" w:hAnsi="仿宋" w:eastAsia="仿宋" w:cs="仿宋"/>
          <w:sz w:val="30"/>
          <w:szCs w:val="30"/>
        </w:rPr>
        <w:br w:type="textWrapping"/>
      </w:r>
      <w:r>
        <w:rPr>
          <w:rFonts w:ascii="仿宋" w:hAnsi="仿宋" w:eastAsia="仿宋" w:cs="仿宋"/>
          <w:sz w:val="30"/>
          <w:szCs w:val="30"/>
        </w:rPr>
        <w:t xml:space="preserve">    </w:t>
      </w:r>
      <w:r>
        <w:rPr>
          <w:rFonts w:hint="eastAsia" w:ascii="仿宋" w:hAnsi="仿宋" w:eastAsia="仿宋" w:cs="仿宋"/>
          <w:sz w:val="30"/>
          <w:szCs w:val="30"/>
        </w:rPr>
        <w:t>科学技术支出：反映本部门除社科基金支出外的社会科学研究支出。</w:t>
      </w:r>
    </w:p>
    <w:p w14:paraId="02ADC0A2">
      <w:pPr>
        <w:ind w:firstLine="600" w:firstLineChars="200"/>
        <w:rPr>
          <w:rFonts w:ascii="仿宋" w:hAnsi="仿宋" w:eastAsia="仿宋" w:cs="仿宋"/>
          <w:sz w:val="30"/>
          <w:szCs w:val="30"/>
        </w:rPr>
      </w:pPr>
      <w:r>
        <w:rPr>
          <w:rFonts w:hint="eastAsia" w:ascii="仿宋" w:hAnsi="仿宋" w:eastAsia="仿宋" w:cs="仿宋"/>
          <w:sz w:val="30"/>
          <w:szCs w:val="30"/>
        </w:rPr>
        <w:t>社会保障和就业支出</w:t>
      </w:r>
      <w:r>
        <w:rPr>
          <w:rFonts w:ascii="仿宋" w:hAnsi="仿宋" w:eastAsia="仿宋" w:cs="仿宋"/>
          <w:sz w:val="30"/>
          <w:szCs w:val="30"/>
        </w:rPr>
        <w:t>:</w:t>
      </w:r>
      <w:r>
        <w:rPr>
          <w:rFonts w:hint="eastAsia" w:ascii="仿宋" w:hAnsi="仿宋" w:eastAsia="仿宋" w:cs="仿宋"/>
          <w:sz w:val="30"/>
          <w:szCs w:val="30"/>
        </w:rPr>
        <w:t>反映机关事业单位实施养老保险制度由单位缴纳的基本养老保险缴费支出。</w:t>
      </w:r>
    </w:p>
    <w:p w14:paraId="4C7A124E">
      <w:pPr>
        <w:ind w:firstLine="600" w:firstLineChars="200"/>
        <w:rPr>
          <w:rFonts w:ascii="仿宋" w:hAnsi="仿宋" w:eastAsia="仿宋" w:cs="仿宋"/>
          <w:sz w:val="30"/>
          <w:szCs w:val="30"/>
        </w:rPr>
      </w:pPr>
      <w:r>
        <w:rPr>
          <w:rFonts w:hint="eastAsia" w:ascii="仿宋" w:hAnsi="仿宋" w:eastAsia="仿宋"/>
          <w:sz w:val="30"/>
          <w:szCs w:val="30"/>
        </w:rPr>
        <w:t>卫生健康支出支出</w:t>
      </w:r>
      <w:r>
        <w:rPr>
          <w:rFonts w:ascii="仿宋" w:hAnsi="仿宋" w:eastAsia="仿宋" w:cs="仿宋"/>
          <w:sz w:val="30"/>
          <w:szCs w:val="30"/>
        </w:rPr>
        <w:t>:</w:t>
      </w:r>
      <w:r>
        <w:rPr>
          <w:rFonts w:hint="eastAsia" w:ascii="仿宋" w:hAnsi="仿宋" w:eastAsia="仿宋" w:cs="仿宋"/>
          <w:sz w:val="30"/>
          <w:szCs w:val="30"/>
        </w:rPr>
        <w:t>反映财政部门集中安排的行政单位基本医疗保险缴费经费，未参加医疗保险的行政单位的公费医疗经费，按国家规定享受离休人员、红军老战士待遇人员的医疗经费。</w:t>
      </w:r>
      <w:r>
        <w:rPr>
          <w:rFonts w:ascii="仿宋" w:hAnsi="仿宋" w:eastAsia="仿宋" w:cs="仿宋"/>
          <w:sz w:val="30"/>
          <w:szCs w:val="30"/>
        </w:rPr>
        <w:br w:type="textWrapping"/>
      </w:r>
      <w:r>
        <w:rPr>
          <w:rFonts w:ascii="仿宋" w:hAnsi="仿宋" w:eastAsia="仿宋" w:cs="仿宋"/>
          <w:sz w:val="30"/>
          <w:szCs w:val="30"/>
        </w:rPr>
        <w:t xml:space="preserve">    </w:t>
      </w:r>
      <w:r>
        <w:rPr>
          <w:rFonts w:hint="eastAsia" w:ascii="仿宋" w:hAnsi="仿宋" w:eastAsia="仿宋" w:cs="仿宋"/>
          <w:sz w:val="30"/>
          <w:szCs w:val="30"/>
        </w:rPr>
        <w:t>住房保障支出</w:t>
      </w:r>
      <w:r>
        <w:rPr>
          <w:rFonts w:ascii="仿宋" w:hAnsi="仿宋" w:eastAsia="仿宋" w:cs="仿宋"/>
          <w:sz w:val="30"/>
          <w:szCs w:val="30"/>
        </w:rPr>
        <w:t>:</w:t>
      </w:r>
      <w:r>
        <w:rPr>
          <w:rFonts w:hint="eastAsia" w:ascii="仿宋" w:hAnsi="仿宋" w:eastAsia="仿宋" w:cs="仿宋"/>
          <w:sz w:val="30"/>
          <w:szCs w:val="30"/>
        </w:rPr>
        <w:t>反映行政单位及参照公务员法管理的事业单位、全额拨款事业单位，用于向符合条件职工发放的购买住房的补贴。</w:t>
      </w:r>
      <w:r>
        <w:rPr>
          <w:rFonts w:ascii="仿宋" w:hAnsi="仿宋" w:eastAsia="仿宋" w:cs="仿宋"/>
          <w:sz w:val="30"/>
          <w:szCs w:val="30"/>
        </w:rPr>
        <w:br w:type="textWrapping"/>
      </w:r>
      <w:r>
        <w:rPr>
          <w:rFonts w:ascii="仿宋" w:hAnsi="仿宋" w:eastAsia="仿宋" w:cs="仿宋"/>
          <w:sz w:val="30"/>
          <w:szCs w:val="30"/>
        </w:rPr>
        <w:t xml:space="preserve">    </w:t>
      </w:r>
      <w:r>
        <w:rPr>
          <w:rFonts w:hint="eastAsia" w:ascii="仿宋" w:hAnsi="仿宋" w:eastAsia="仿宋" w:cs="仿宋"/>
          <w:sz w:val="30"/>
          <w:szCs w:val="30"/>
        </w:rPr>
        <w:t>三、有关支出口径说明</w:t>
      </w:r>
    </w:p>
    <w:p w14:paraId="110CD130">
      <w:pPr>
        <w:ind w:firstLine="600" w:firstLineChars="200"/>
        <w:rPr>
          <w:rFonts w:ascii="仿宋" w:hAnsi="仿宋" w:eastAsia="仿宋" w:cs="仿宋"/>
          <w:sz w:val="30"/>
          <w:szCs w:val="30"/>
        </w:rPr>
      </w:pPr>
      <w:r>
        <w:rPr>
          <w:rFonts w:hint="eastAsia" w:ascii="仿宋" w:hAnsi="仿宋" w:eastAsia="仿宋" w:cs="仿宋"/>
          <w:sz w:val="30"/>
          <w:szCs w:val="30"/>
        </w:rPr>
        <w:t>“三公”经费</w:t>
      </w:r>
      <w:r>
        <w:rPr>
          <w:rFonts w:ascii="仿宋" w:hAnsi="仿宋" w:eastAsia="仿宋" w:cs="仿宋"/>
          <w:sz w:val="30"/>
          <w:szCs w:val="30"/>
        </w:rPr>
        <w:t>:</w:t>
      </w:r>
      <w:r>
        <w:rPr>
          <w:rFonts w:hint="eastAsia" w:ascii="仿宋" w:hAnsi="仿宋" w:eastAsia="仿宋" w:cs="仿宋"/>
          <w:sz w:val="30"/>
          <w:szCs w:val="30"/>
        </w:rPr>
        <w:t>单位安排的因公出国</w:t>
      </w:r>
      <w:r>
        <w:rPr>
          <w:rFonts w:ascii="仿宋" w:hAnsi="仿宋" w:eastAsia="仿宋" w:cs="仿宋"/>
          <w:sz w:val="30"/>
          <w:szCs w:val="30"/>
        </w:rPr>
        <w:t>(</w:t>
      </w:r>
      <w:r>
        <w:rPr>
          <w:rFonts w:hint="eastAsia" w:ascii="仿宋" w:hAnsi="仿宋" w:eastAsia="仿宋" w:cs="仿宋"/>
          <w:sz w:val="30"/>
          <w:szCs w:val="30"/>
        </w:rPr>
        <w:t>境</w:t>
      </w:r>
      <w:r>
        <w:rPr>
          <w:rFonts w:ascii="仿宋" w:hAnsi="仿宋" w:eastAsia="仿宋" w:cs="仿宋"/>
          <w:sz w:val="30"/>
          <w:szCs w:val="30"/>
        </w:rPr>
        <w:t>)</w:t>
      </w:r>
      <w:r>
        <w:rPr>
          <w:rFonts w:hint="eastAsia" w:ascii="仿宋" w:hAnsi="仿宋" w:eastAsia="仿宋" w:cs="仿宋"/>
          <w:sz w:val="30"/>
          <w:szCs w:val="30"/>
        </w:rPr>
        <w:t>费、公务用车购置及运行维护费、公务接待费。</w:t>
      </w:r>
      <w:r>
        <w:rPr>
          <w:rFonts w:ascii="仿宋" w:hAnsi="仿宋" w:eastAsia="仿宋" w:cs="仿宋"/>
          <w:sz w:val="30"/>
          <w:szCs w:val="30"/>
        </w:rPr>
        <w:br w:type="textWrapping"/>
      </w:r>
      <w:r>
        <w:rPr>
          <w:rFonts w:ascii="仿宋" w:hAnsi="仿宋" w:eastAsia="仿宋" w:cs="仿宋"/>
          <w:sz w:val="30"/>
          <w:szCs w:val="30"/>
        </w:rPr>
        <w:t xml:space="preserve">    </w:t>
      </w:r>
      <w:r>
        <w:rPr>
          <w:rFonts w:hint="eastAsia" w:ascii="仿宋" w:hAnsi="仿宋" w:eastAsia="仿宋" w:cs="仿宋"/>
          <w:sz w:val="30"/>
          <w:szCs w:val="30"/>
        </w:rPr>
        <w:t>机关运行经费</w:t>
      </w:r>
      <w:r>
        <w:rPr>
          <w:rFonts w:ascii="仿宋" w:hAnsi="仿宋" w:eastAsia="仿宋" w:cs="仿宋"/>
          <w:sz w:val="30"/>
          <w:szCs w:val="30"/>
        </w:rPr>
        <w:t>:</w:t>
      </w:r>
      <w:r>
        <w:rPr>
          <w:rFonts w:hint="eastAsia" w:ascii="仿宋" w:hAnsi="仿宋" w:eastAsia="仿宋" w:cs="仿宋"/>
          <w:sz w:val="30"/>
          <w:szCs w:val="30"/>
        </w:rPr>
        <w:t>行政单位和参照公务员法管理的事业单位使用一般公共预算财政拨款安排的基本支出中的日常公用经费。</w:t>
      </w:r>
    </w:p>
    <w:p w14:paraId="13990533">
      <w:pPr>
        <w:ind w:firstLine="600" w:firstLineChars="200"/>
        <w:rPr>
          <w:rFonts w:ascii="仿宋" w:hAnsi="仿宋" w:eastAsia="仿宋" w:cs="仿宋"/>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KSOFE4500885">
    <w:panose1 w:val="020106090601010101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797FBE"/>
    <w:multiLevelType w:val="singleLevel"/>
    <w:tmpl w:val="B4797FBE"/>
    <w:lvl w:ilvl="0" w:tentative="0">
      <w:start w:val="1"/>
      <w:numFmt w:val="chineseCounting"/>
      <w:suff w:val="nothing"/>
      <w:lvlText w:val="%1、"/>
      <w:lvlJc w:val="left"/>
      <w:rPr>
        <w:rFonts w:hint="eastAsia" w:cs="Times New Roman"/>
      </w:rPr>
    </w:lvl>
  </w:abstractNum>
  <w:abstractNum w:abstractNumId="1">
    <w:nsid w:val="C2B992A4"/>
    <w:multiLevelType w:val="singleLevel"/>
    <w:tmpl w:val="C2B992A4"/>
    <w:lvl w:ilvl="0" w:tentative="0">
      <w:start w:val="4"/>
      <w:numFmt w:val="chineseCounting"/>
      <w:suff w:val="space"/>
      <w:lvlText w:val="第%1部分"/>
      <w:lvlJc w:val="left"/>
      <w:rPr>
        <w:rFonts w:hint="eastAsia"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28FA"/>
    <w:rsid w:val="000617C1"/>
    <w:rsid w:val="00123A38"/>
    <w:rsid w:val="00163E84"/>
    <w:rsid w:val="001A4EFA"/>
    <w:rsid w:val="001B1783"/>
    <w:rsid w:val="00223D4D"/>
    <w:rsid w:val="002328FA"/>
    <w:rsid w:val="00274C0C"/>
    <w:rsid w:val="003843AC"/>
    <w:rsid w:val="00410F95"/>
    <w:rsid w:val="00423DC0"/>
    <w:rsid w:val="00581F01"/>
    <w:rsid w:val="00632B47"/>
    <w:rsid w:val="0063376D"/>
    <w:rsid w:val="006B25CA"/>
    <w:rsid w:val="007765F3"/>
    <w:rsid w:val="007A5886"/>
    <w:rsid w:val="00981028"/>
    <w:rsid w:val="009A4A4B"/>
    <w:rsid w:val="009B6068"/>
    <w:rsid w:val="00A76CEC"/>
    <w:rsid w:val="00A923BA"/>
    <w:rsid w:val="00DA74B0"/>
    <w:rsid w:val="0BDA3703"/>
    <w:rsid w:val="0C4900C9"/>
    <w:rsid w:val="242B2035"/>
    <w:rsid w:val="278B720A"/>
    <w:rsid w:val="28501610"/>
    <w:rsid w:val="33B4065C"/>
    <w:rsid w:val="34954B43"/>
    <w:rsid w:val="352A495A"/>
    <w:rsid w:val="38BB2528"/>
    <w:rsid w:val="488306B6"/>
    <w:rsid w:val="516970FD"/>
    <w:rsid w:val="5A160FC2"/>
    <w:rsid w:val="6DEF69E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4">
    <w:name w:val="Default Paragraph Font"/>
    <w:semiHidden/>
    <w:qFormat/>
    <w:uiPriority w:val="99"/>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99"/>
    <w:pPr>
      <w:spacing w:beforeAutospacing="1" w:afterAutospacing="1"/>
      <w:jc w:val="left"/>
    </w:pPr>
    <w:rPr>
      <w:kern w:val="0"/>
      <w:sz w:val="24"/>
    </w:rPr>
  </w:style>
  <w:style w:type="paragraph" w:customStyle="1" w:styleId="5">
    <w:name w:val="p0"/>
    <w:basedOn w:val="1"/>
    <w:qFormat/>
    <w:uiPriority w:val="99"/>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Pages>17</Pages>
  <Words>3648</Words>
  <Characters>4003</Characters>
  <Lines>0</Lines>
  <Paragraphs>0</Paragraphs>
  <TotalTime>35</TotalTime>
  <ScaleCrop>false</ScaleCrop>
  <LinksUpToDate>false</LinksUpToDate>
  <CharactersWithSpaces>4129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2020-09-25T01:41:00Z</dcterms:created>
  <dc:creator>DELL</dc:creator>
  <cp:lastModifiedBy>嘟嘟</cp:lastModifiedBy>
  <cp:lastPrinted>2020-10-13T06:47:00Z</cp:lastPrinted>
  <dcterms:modified xsi:type="dcterms:W3CDTF">2026-07-17T08:50:50Z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eyJoZGlkIjoiMjE2YWY5NzI1MThhZDljY2U3MzkwYzYyOTljZjg5ZmIiLCJ1c2VySWQiOiI0MjQ5NjU3NjUifQ==</vt:lpwstr>
  </property>
  <property fmtid="{D5CDD505-2E9C-101B-9397-08002B2CF9AE}" pid="4" name="ICV">
    <vt:lpwstr>A3920C1C9B1F4C6CB657E1BC3A2DEFF1_12</vt:lpwstr>
  </property>
</Properties>
</file>