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44"/>
          <w:szCs w:val="36"/>
        </w:rPr>
      </w:pPr>
      <w:r>
        <w:rPr>
          <w:rFonts w:hint="eastAsia" w:ascii="黑体" w:hAnsi="黑体" w:eastAsia="黑体"/>
          <w:sz w:val="44"/>
          <w:szCs w:val="36"/>
        </w:rPr>
        <w:t>景德镇市归国华侨联合会</w:t>
      </w:r>
    </w:p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2019年度部门决算</w:t>
      </w:r>
    </w:p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第一部分</w:t>
      </w:r>
      <w:r>
        <w:rPr>
          <w:rFonts w:hint="eastAsia" w:ascii="黑体" w:hAnsi="黑体" w:eastAsia="黑体"/>
          <w:sz w:val="32"/>
          <w:szCs w:val="32"/>
        </w:rPr>
        <w:t>景德镇市归国华侨联合会部门</w:t>
      </w:r>
      <w:r>
        <w:rPr>
          <w:rFonts w:hint="eastAsia" w:ascii="黑体" w:hAnsi="黑体" w:eastAsia="黑体"/>
          <w:b/>
          <w:sz w:val="32"/>
          <w:szCs w:val="32"/>
        </w:rPr>
        <w:t>概况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二、部门基本情况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第二部分2019年度部门决算表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一、收入支出决算总表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二、收入决算表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三、支出决算表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四、财政拨款收入支出决算总表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五、一般公共预算财政拨款支出决算表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六、一般公共预算财政拨款基本支出决算表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七、一般公共预算财政拨款“三公”经费支出决算表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八、政府性基金预算财政拨款收入支出决算表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九、国有资产占用情况表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第三部分2019年度部门决算情况说明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一、收入决算情况说明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二、支出决算情况说明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三、财政拨款支出决算情况说明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四、一般公共预算财政拨款基本支出决算情况说明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五、一般公共预算财政拨款“三公”经费支出决算情况说明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六、机关运行经费支出情况说明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七、政府采购支出情况说明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八、国有资产占用情况说明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九、预算绩效情况说明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>
      <w:pPr>
        <w:widowControl/>
        <w:spacing w:line="580" w:lineRule="exact"/>
        <w:jc w:val="center"/>
        <w:rPr>
          <w:rFonts w:ascii="宋体" w:hAnsi="宋体"/>
          <w:b/>
          <w:sz w:val="32"/>
          <w:szCs w:val="30"/>
        </w:rPr>
      </w:pPr>
    </w:p>
    <w:p>
      <w:pPr>
        <w:widowControl/>
        <w:spacing w:line="580" w:lineRule="exact"/>
        <w:jc w:val="center"/>
        <w:rPr>
          <w:rFonts w:ascii="宋体" w:hAnsi="宋体"/>
          <w:b/>
          <w:sz w:val="32"/>
          <w:szCs w:val="30"/>
        </w:rPr>
      </w:pPr>
    </w:p>
    <w:p>
      <w:pPr>
        <w:widowControl/>
        <w:spacing w:line="580" w:lineRule="exact"/>
        <w:jc w:val="center"/>
        <w:rPr>
          <w:rFonts w:ascii="宋体" w:hAnsi="宋体"/>
          <w:b/>
          <w:sz w:val="32"/>
          <w:szCs w:val="30"/>
        </w:rPr>
      </w:pPr>
      <w:r>
        <w:rPr>
          <w:rFonts w:hint="eastAsia" w:ascii="宋体" w:hAnsi="宋体"/>
          <w:b/>
          <w:sz w:val="32"/>
          <w:szCs w:val="30"/>
        </w:rPr>
        <w:t xml:space="preserve">第一部分  </w:t>
      </w:r>
      <w:r>
        <w:rPr>
          <w:rFonts w:hint="eastAsia" w:ascii="宋体" w:hAnsi="宋体"/>
          <w:b/>
          <w:sz w:val="32"/>
          <w:szCs w:val="32"/>
        </w:rPr>
        <w:t>景德镇市归国华侨联合会部门</w:t>
      </w:r>
      <w:r>
        <w:rPr>
          <w:rFonts w:hint="eastAsia" w:ascii="宋体" w:hAnsi="宋体"/>
          <w:b/>
          <w:sz w:val="32"/>
          <w:szCs w:val="30"/>
        </w:rPr>
        <w:t>概况</w:t>
      </w:r>
    </w:p>
    <w:p>
      <w:pPr>
        <w:ind w:firstLine="630"/>
        <w:jc w:val="center"/>
        <w:rPr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一、部门主要职能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（一）宣传贯彻党和国家关于侨务工作的方针、政策和法律、法规。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（二）组织引导归侨、侨眷和海外侨胞创新创业，参与和支持景德镇经济社会发展；做好引进海外人才、资金、技术和智力服务，促进海内外经贸和文化交流。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（三）维护归侨、侨眷和在景侨胞在国内的合法权益，及时反映他们的意见和建议，提供有关咨询和服务。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（四）以侨为桥，多渠道、多层次、多形式参与海外联谊工作，发挥侨联组织民间交往的作用；完善侨联海外顾问、港澳台代表人士联系机制。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（五）参与推荐市人大侨界代表候选人、协商市政协侨联界别委员建议人选，引导归侨侨眷有序开展政治参与，依法参与管理国家和社会事务。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（六）弘扬中华文化，组织引导侨界群众开展文化宣传教育活动，弘扬侨界爱国奉献精神；开展对外文化交流活动；促进和开展以陶瓷文化为特色的对外交流活动，在“一带一路”倡议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中发挥陶瓷文化的“名片”作用。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（七）参与社会建设，做好为侨服务的实事项目，组织归侨侨眷参与社会治理。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（八）指导基层侨联组织工作，统筹对县（市区）、园区、乡镇（街道）、村（社区）等阵地建设、机制建设；加强对侨界社团的指导、联系和服务工作。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（九）着力建设网上侨联，拓宽侨联组织联系服务侨界群众渠道，建立面向侨界群众的网上联系、网上动员、网上服务、网上引导的阵地。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（十）承办市委、市政府交办的其他事项。</w:t>
      </w: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二、部门基本情况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纳入本套部门决算汇编范围的单位共1个，即部门本级。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本部门2019年年末编制人数4人，其中参照公务员管理事业编制4人；年末实有人数7人，参照公务员管理3人、工勤1人（占参公编）；退休3人。</w:t>
      </w: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  2019年度部门决算表</w:t>
      </w: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  <w:r>
        <w:rPr>
          <w:szCs w:val="30"/>
        </w:rPr>
        <w:drawing>
          <wp:inline distT="0" distB="0" distL="0" distR="0">
            <wp:extent cx="5274310" cy="4613275"/>
            <wp:effectExtent l="19050" t="0" r="2540" b="0"/>
            <wp:docPr id="11" name="图片 2" descr="C:\Users\ADMINI~1\AppData\Local\Temp\16011738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C:\Users\ADMINI~1\AppData\Local\Temp\1601173895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</w:t>
      </w:r>
      <w:r>
        <w:rPr>
          <w:rFonts w:ascii="仿宋" w:hAnsi="仿宋" w:eastAsia="仿宋" w:cs="仿宋_GB2312"/>
          <w:kern w:val="0"/>
          <w:sz w:val="30"/>
          <w:szCs w:val="30"/>
        </w:rPr>
        <w:drawing>
          <wp:inline distT="0" distB="0" distL="0" distR="0">
            <wp:extent cx="5819775" cy="2512060"/>
            <wp:effectExtent l="19050" t="0" r="9342" b="0"/>
            <wp:docPr id="12" name="图片 3" descr="C:\Users\ADMINI~1\AppData\Local\Temp\16011739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C:\Users\ADMINI~1\AppData\Local\Temp\1601173929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942" cy="251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</w:pPr>
    </w:p>
    <w:p>
      <w:pPr>
        <w:autoSpaceDE w:val="0"/>
        <w:autoSpaceDN w:val="0"/>
        <w:adjustRightInd w:val="0"/>
        <w:spacing w:line="360" w:lineRule="auto"/>
        <w:jc w:val="left"/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drawing>
          <wp:inline distT="0" distB="0" distL="0" distR="0">
            <wp:extent cx="5824220" cy="3213735"/>
            <wp:effectExtent l="19050" t="0" r="5080" b="0"/>
            <wp:docPr id="13" name="图片 4" descr="C:\Users\ADMINI~1\AppData\Local\Temp\16011740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:\Users\ADMINI~1\AppData\Local\Temp\1601174003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4814" cy="321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  <w:r>
        <w:rPr>
          <w:szCs w:val="30"/>
        </w:rPr>
        <w:drawing>
          <wp:inline distT="0" distB="0" distL="0" distR="0">
            <wp:extent cx="5746750" cy="4889500"/>
            <wp:effectExtent l="19050" t="0" r="5736" b="0"/>
            <wp:docPr id="14" name="图片 5" descr="C:\Users\ADMINI~1\AppData\Local\Temp\16011740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Users\ADMINI~1\AppData\Local\Temp\1601174057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201" cy="48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drawing>
          <wp:inline distT="0" distB="0" distL="0" distR="0">
            <wp:extent cx="5631815" cy="5438140"/>
            <wp:effectExtent l="19050" t="0" r="6373" b="0"/>
            <wp:docPr id="15" name="图片 6" descr="C:\Users\ADMINI~1\AppData\Local\Temp\16011740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C:\Users\ADMINI~1\AppData\Local\Temp\160117409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781" cy="543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  <w:r>
        <w:rPr>
          <w:szCs w:val="30"/>
        </w:rPr>
        <w:drawing>
          <wp:inline distT="0" distB="0" distL="0" distR="0">
            <wp:extent cx="4969510" cy="7680960"/>
            <wp:effectExtent l="19050" t="0" r="2540" b="0"/>
            <wp:docPr id="19" name="图片 10" descr="C:\Users\ADMINI~1\AppData\Local\Temp\16011751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C:\Users\ADMINI~1\AppData\Local\Temp\1601175173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  <w:r>
        <w:rPr>
          <w:szCs w:val="30"/>
        </w:rPr>
        <w:drawing>
          <wp:inline distT="0" distB="0" distL="0" distR="0">
            <wp:extent cx="5274310" cy="5033010"/>
            <wp:effectExtent l="19050" t="0" r="2540" b="0"/>
            <wp:docPr id="20" name="图片 11" descr="C:\Users\ADMINI~1\AppData\Local\Temp\16011752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C:\Users\ADMINI~1\AppData\Local\Temp\1601175221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3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  <w:r>
        <w:rPr>
          <w:szCs w:val="30"/>
        </w:rPr>
        <w:drawing>
          <wp:inline distT="0" distB="0" distL="0" distR="0">
            <wp:extent cx="5734050" cy="2152650"/>
            <wp:effectExtent l="19050" t="0" r="0" b="0"/>
            <wp:docPr id="1" name="图片 1" descr="C:\Users\ADMINI~1\AppData\Local\Temp\16219237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62192374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2480" cy="215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drawing>
          <wp:inline distT="0" distB="0" distL="0" distR="0">
            <wp:extent cx="5274310" cy="2668270"/>
            <wp:effectExtent l="19050" t="0" r="2540" b="0"/>
            <wp:docPr id="3" name="图片 1" descr="C:\Users\ADMINI~1\AppData\Local\Temp\16219252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\AppData\Local\Temp\1621925201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第三部分  2019年度部门决算情况说明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一、收入决算情况说明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本部门2019年度收入总计</w:t>
      </w:r>
      <w:r>
        <w:rPr>
          <w:rFonts w:ascii="仿宋" w:hAnsi="仿宋" w:eastAsia="仿宋"/>
          <w:sz w:val="30"/>
          <w:szCs w:val="30"/>
        </w:rPr>
        <w:t>164.19</w:t>
      </w:r>
      <w:r>
        <w:rPr>
          <w:rFonts w:hint="eastAsia" w:ascii="仿宋" w:hAnsi="仿宋" w:eastAsia="仿宋"/>
          <w:sz w:val="30"/>
          <w:szCs w:val="30"/>
        </w:rPr>
        <w:t>万元，其中年初结转和结余</w:t>
      </w:r>
      <w:r>
        <w:rPr>
          <w:rFonts w:ascii="仿宋" w:hAnsi="仿宋" w:eastAsia="仿宋"/>
          <w:sz w:val="30"/>
          <w:szCs w:val="30"/>
        </w:rPr>
        <w:t>20.04</w:t>
      </w:r>
      <w:r>
        <w:rPr>
          <w:rFonts w:hint="eastAsia" w:ascii="仿宋" w:hAnsi="仿宋" w:eastAsia="仿宋"/>
          <w:sz w:val="30"/>
          <w:szCs w:val="30"/>
        </w:rPr>
        <w:t>万元，较2018年增加</w:t>
      </w:r>
      <w:r>
        <w:rPr>
          <w:rFonts w:ascii="仿宋" w:hAnsi="仿宋" w:eastAsia="仿宋"/>
          <w:sz w:val="30"/>
          <w:szCs w:val="30"/>
        </w:rPr>
        <w:t>49.00</w:t>
      </w:r>
      <w:r>
        <w:rPr>
          <w:rFonts w:hint="eastAsia" w:ascii="仿宋" w:hAnsi="仿宋" w:eastAsia="仿宋"/>
          <w:sz w:val="30"/>
          <w:szCs w:val="30"/>
        </w:rPr>
        <w:t>万元，增长</w:t>
      </w:r>
      <w:r>
        <w:rPr>
          <w:rFonts w:ascii="仿宋" w:hAnsi="仿宋" w:eastAsia="仿宋"/>
          <w:sz w:val="30"/>
          <w:szCs w:val="30"/>
        </w:rPr>
        <w:t>42.54%</w:t>
      </w:r>
      <w:r>
        <w:rPr>
          <w:rFonts w:hint="eastAsia" w:ascii="仿宋" w:hAnsi="仿宋" w:eastAsia="仿宋"/>
          <w:sz w:val="30"/>
          <w:szCs w:val="30"/>
        </w:rPr>
        <w:t>；本年收入合计</w:t>
      </w:r>
      <w:r>
        <w:rPr>
          <w:rFonts w:ascii="仿宋" w:hAnsi="仿宋" w:eastAsia="仿宋"/>
          <w:sz w:val="30"/>
          <w:szCs w:val="30"/>
        </w:rPr>
        <w:t>144.15</w:t>
      </w:r>
      <w:r>
        <w:rPr>
          <w:rFonts w:hint="eastAsia" w:ascii="仿宋" w:hAnsi="仿宋" w:eastAsia="仿宋"/>
          <w:sz w:val="30"/>
          <w:szCs w:val="30"/>
        </w:rPr>
        <w:t>万元，较2018年增加</w:t>
      </w:r>
      <w:r>
        <w:rPr>
          <w:rFonts w:ascii="仿宋" w:hAnsi="仿宋" w:eastAsia="仿宋"/>
          <w:sz w:val="30"/>
          <w:szCs w:val="30"/>
        </w:rPr>
        <w:t>73.75</w:t>
      </w:r>
      <w:r>
        <w:rPr>
          <w:rFonts w:hint="eastAsia" w:ascii="仿宋" w:hAnsi="仿宋" w:eastAsia="仿宋"/>
          <w:sz w:val="30"/>
          <w:szCs w:val="30"/>
        </w:rPr>
        <w:t>万元，增长</w:t>
      </w:r>
      <w:r>
        <w:rPr>
          <w:rFonts w:ascii="仿宋" w:hAnsi="仿宋" w:eastAsia="仿宋"/>
          <w:sz w:val="30"/>
          <w:szCs w:val="30"/>
        </w:rPr>
        <w:t>104.76</w:t>
      </w:r>
      <w:r>
        <w:rPr>
          <w:rFonts w:hint="eastAsia" w:ascii="仿宋" w:hAnsi="仿宋" w:eastAsia="仿宋"/>
          <w:sz w:val="30"/>
          <w:szCs w:val="30"/>
        </w:rPr>
        <w:t>%，主要原因是：活动专项经费（财政拨款）追加。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本年收入的具体构成为：财政拨款收入</w:t>
      </w:r>
      <w:r>
        <w:rPr>
          <w:rFonts w:ascii="仿宋" w:hAnsi="仿宋" w:eastAsia="仿宋"/>
          <w:sz w:val="30"/>
          <w:szCs w:val="30"/>
        </w:rPr>
        <w:t>144.15</w:t>
      </w:r>
      <w:r>
        <w:rPr>
          <w:rFonts w:hint="eastAsia" w:ascii="仿宋" w:hAnsi="仿宋" w:eastAsia="仿宋"/>
          <w:sz w:val="30"/>
          <w:szCs w:val="30"/>
        </w:rPr>
        <w:t>万元，占100.00%。</w:t>
      </w: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二、支出决算情况说明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本部门2019年度支出总计</w:t>
      </w:r>
      <w:r>
        <w:rPr>
          <w:rFonts w:ascii="仿宋" w:hAnsi="仿宋" w:eastAsia="仿宋"/>
          <w:sz w:val="30"/>
          <w:szCs w:val="30"/>
        </w:rPr>
        <w:t>164.19</w:t>
      </w:r>
      <w:r>
        <w:rPr>
          <w:rFonts w:hint="eastAsia" w:ascii="仿宋" w:hAnsi="仿宋" w:eastAsia="仿宋"/>
          <w:sz w:val="30"/>
          <w:szCs w:val="30"/>
        </w:rPr>
        <w:t>万元，其中本年支出合计</w:t>
      </w:r>
      <w:r>
        <w:rPr>
          <w:rFonts w:ascii="仿宋" w:hAnsi="仿宋" w:eastAsia="仿宋"/>
          <w:sz w:val="30"/>
          <w:szCs w:val="30"/>
        </w:rPr>
        <w:t>141.55</w:t>
      </w:r>
      <w:r>
        <w:rPr>
          <w:rFonts w:hint="eastAsia" w:ascii="仿宋" w:hAnsi="仿宋" w:eastAsia="仿宋"/>
          <w:sz w:val="30"/>
          <w:szCs w:val="30"/>
        </w:rPr>
        <w:t>万元，较2018年增加</w:t>
      </w:r>
      <w:r>
        <w:rPr>
          <w:rFonts w:ascii="仿宋" w:hAnsi="仿宋" w:eastAsia="仿宋"/>
          <w:sz w:val="30"/>
          <w:szCs w:val="30"/>
        </w:rPr>
        <w:t>80.63</w:t>
      </w:r>
      <w:r>
        <w:rPr>
          <w:rFonts w:hint="eastAsia" w:ascii="仿宋" w:hAnsi="仿宋" w:eastAsia="仿宋"/>
          <w:sz w:val="30"/>
          <w:szCs w:val="30"/>
        </w:rPr>
        <w:t>万元，增长</w:t>
      </w:r>
      <w:r>
        <w:rPr>
          <w:rFonts w:ascii="仿宋" w:hAnsi="仿宋" w:eastAsia="仿宋"/>
          <w:sz w:val="30"/>
          <w:szCs w:val="30"/>
        </w:rPr>
        <w:t>132.35%</w:t>
      </w:r>
      <w:r>
        <w:rPr>
          <w:rFonts w:hint="eastAsia" w:ascii="仿宋" w:hAnsi="仿宋" w:eastAsia="仿宋"/>
          <w:sz w:val="30"/>
          <w:szCs w:val="30"/>
        </w:rPr>
        <w:t>，主要原因是：机构改革，侨联职能增加（海外联谊等），侨务工作开支增加,如举办“赣鄱侨风、瓷情中华”景德镇陶瓷文化巴西展；年末结转和结余</w:t>
      </w:r>
      <w:r>
        <w:rPr>
          <w:rFonts w:ascii="仿宋" w:hAnsi="仿宋" w:eastAsia="仿宋"/>
          <w:sz w:val="30"/>
          <w:szCs w:val="30"/>
        </w:rPr>
        <w:t>22.64</w:t>
      </w:r>
      <w:r>
        <w:rPr>
          <w:rFonts w:hint="eastAsia" w:ascii="仿宋" w:hAnsi="仿宋" w:eastAsia="仿宋"/>
          <w:sz w:val="30"/>
          <w:szCs w:val="30"/>
        </w:rPr>
        <w:t>万元，较2018年减少</w:t>
      </w:r>
      <w:r>
        <w:rPr>
          <w:rFonts w:ascii="仿宋" w:hAnsi="仿宋" w:eastAsia="仿宋"/>
          <w:sz w:val="30"/>
          <w:szCs w:val="30"/>
        </w:rPr>
        <w:t>31.63</w:t>
      </w:r>
      <w:r>
        <w:rPr>
          <w:rFonts w:hint="eastAsia" w:ascii="仿宋" w:hAnsi="仿宋" w:eastAsia="仿宋"/>
          <w:sz w:val="30"/>
          <w:szCs w:val="30"/>
        </w:rPr>
        <w:t>万元，下降</w:t>
      </w:r>
      <w:r>
        <w:rPr>
          <w:rFonts w:ascii="仿宋" w:hAnsi="仿宋" w:eastAsia="仿宋"/>
          <w:sz w:val="30"/>
          <w:szCs w:val="30"/>
        </w:rPr>
        <w:t>58.28</w:t>
      </w:r>
      <w:r>
        <w:rPr>
          <w:rFonts w:hint="eastAsia" w:ascii="仿宋" w:hAnsi="仿宋" w:eastAsia="仿宋"/>
          <w:sz w:val="30"/>
          <w:szCs w:val="30"/>
        </w:rPr>
        <w:t>%，主要原因是：侨联职能增加（海外联谊等），侨务工作开支增加。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本年支出的具体构成为：基本支出</w:t>
      </w:r>
      <w:r>
        <w:rPr>
          <w:rFonts w:ascii="仿宋" w:hAnsi="仿宋" w:eastAsia="仿宋"/>
          <w:sz w:val="30"/>
          <w:szCs w:val="30"/>
        </w:rPr>
        <w:t>141.55</w:t>
      </w:r>
      <w:r>
        <w:rPr>
          <w:rFonts w:hint="eastAsia" w:ascii="仿宋" w:hAnsi="仿宋" w:eastAsia="仿宋"/>
          <w:sz w:val="30"/>
          <w:szCs w:val="30"/>
        </w:rPr>
        <w:t>万元，占100.00%。</w:t>
      </w: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三、财政拨款支出决算情况说明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本部门2019年度财政拨款本年支出年初预算数为</w:t>
      </w:r>
      <w:r>
        <w:rPr>
          <w:rFonts w:ascii="仿宋" w:hAnsi="仿宋" w:eastAsia="仿宋"/>
          <w:sz w:val="30"/>
          <w:szCs w:val="30"/>
        </w:rPr>
        <w:t>62.11</w:t>
      </w:r>
      <w:r>
        <w:rPr>
          <w:rFonts w:hint="eastAsia" w:ascii="仿宋" w:hAnsi="仿宋" w:eastAsia="仿宋"/>
          <w:sz w:val="30"/>
          <w:szCs w:val="30"/>
        </w:rPr>
        <w:t>万元，决算数为</w:t>
      </w:r>
      <w:r>
        <w:rPr>
          <w:rFonts w:ascii="仿宋" w:hAnsi="仿宋" w:eastAsia="仿宋"/>
          <w:sz w:val="30"/>
          <w:szCs w:val="30"/>
        </w:rPr>
        <w:t>141.55</w:t>
      </w:r>
      <w:r>
        <w:rPr>
          <w:rFonts w:hint="eastAsia" w:ascii="仿宋" w:hAnsi="仿宋" w:eastAsia="仿宋"/>
          <w:sz w:val="30"/>
          <w:szCs w:val="30"/>
        </w:rPr>
        <w:t>万元，完成年初预算的</w:t>
      </w:r>
      <w:r>
        <w:rPr>
          <w:rFonts w:ascii="仿宋" w:hAnsi="仿宋" w:eastAsia="仿宋"/>
          <w:sz w:val="30"/>
          <w:szCs w:val="30"/>
        </w:rPr>
        <w:t>127.90%</w:t>
      </w:r>
      <w:r>
        <w:rPr>
          <w:rFonts w:hint="eastAsia" w:ascii="仿宋" w:hAnsi="仿宋" w:eastAsia="仿宋"/>
          <w:sz w:val="30"/>
          <w:szCs w:val="30"/>
        </w:rPr>
        <w:t>。其中：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（一）一般公共服务支出年初预算数为</w:t>
      </w:r>
      <w:r>
        <w:rPr>
          <w:rFonts w:ascii="仿宋" w:hAnsi="仿宋" w:eastAsia="仿宋"/>
          <w:sz w:val="30"/>
          <w:szCs w:val="30"/>
        </w:rPr>
        <w:t>49.48</w:t>
      </w:r>
      <w:r>
        <w:rPr>
          <w:rFonts w:hint="eastAsia" w:ascii="仿宋" w:hAnsi="仿宋" w:eastAsia="仿宋"/>
          <w:sz w:val="30"/>
          <w:szCs w:val="30"/>
        </w:rPr>
        <w:t>万元，决算数为</w:t>
      </w:r>
      <w:r>
        <w:rPr>
          <w:rFonts w:ascii="仿宋" w:hAnsi="仿宋" w:eastAsia="仿宋"/>
          <w:sz w:val="30"/>
          <w:szCs w:val="30"/>
        </w:rPr>
        <w:t>113.30</w:t>
      </w:r>
      <w:r>
        <w:rPr>
          <w:rFonts w:hint="eastAsia" w:ascii="仿宋" w:hAnsi="仿宋" w:eastAsia="仿宋"/>
          <w:sz w:val="30"/>
          <w:szCs w:val="30"/>
        </w:rPr>
        <w:t>万元，完成年初预算的</w:t>
      </w:r>
      <w:r>
        <w:rPr>
          <w:rFonts w:ascii="仿宋" w:hAnsi="仿宋" w:eastAsia="仿宋"/>
          <w:sz w:val="30"/>
          <w:szCs w:val="30"/>
        </w:rPr>
        <w:t>228.98</w:t>
      </w:r>
      <w:r>
        <w:rPr>
          <w:rFonts w:hint="eastAsia" w:ascii="仿宋" w:hAnsi="仿宋" w:eastAsia="仿宋"/>
          <w:sz w:val="30"/>
          <w:szCs w:val="30"/>
        </w:rPr>
        <w:t>%，主要原因是：举办“赣鄱侨风、瓷情中华”景德镇陶瓷文化巴西展。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（二）社会保障和就业支出年初预算数为</w:t>
      </w:r>
      <w:r>
        <w:rPr>
          <w:rFonts w:ascii="仿宋" w:hAnsi="仿宋" w:eastAsia="仿宋"/>
          <w:sz w:val="30"/>
          <w:szCs w:val="30"/>
        </w:rPr>
        <w:t>1.30</w:t>
      </w:r>
      <w:r>
        <w:rPr>
          <w:rFonts w:hint="eastAsia" w:ascii="仿宋" w:hAnsi="仿宋" w:eastAsia="仿宋"/>
          <w:sz w:val="30"/>
          <w:szCs w:val="30"/>
        </w:rPr>
        <w:t>万元，决算数为</w:t>
      </w:r>
      <w:r>
        <w:rPr>
          <w:rFonts w:ascii="仿宋" w:hAnsi="仿宋" w:eastAsia="仿宋"/>
          <w:sz w:val="30"/>
          <w:szCs w:val="30"/>
        </w:rPr>
        <w:t>1.30</w:t>
      </w:r>
      <w:r>
        <w:rPr>
          <w:rFonts w:hint="eastAsia" w:ascii="仿宋" w:hAnsi="仿宋" w:eastAsia="仿宋"/>
          <w:sz w:val="30"/>
          <w:szCs w:val="30"/>
        </w:rPr>
        <w:t>万元，完成年初预算的100.00%。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（三）卫生健康支出年初预算数为2.44万元，决算数为</w:t>
      </w:r>
      <w:r>
        <w:rPr>
          <w:rFonts w:ascii="仿宋" w:hAnsi="仿宋" w:eastAsia="仿宋"/>
          <w:sz w:val="30"/>
          <w:szCs w:val="30"/>
        </w:rPr>
        <w:t>1.50</w:t>
      </w:r>
      <w:r>
        <w:rPr>
          <w:rFonts w:hint="eastAsia" w:ascii="仿宋" w:hAnsi="仿宋" w:eastAsia="仿宋"/>
          <w:sz w:val="30"/>
          <w:szCs w:val="30"/>
        </w:rPr>
        <w:t>万元，完成年初预算的61.84%，主要原因是：部分支出还未支付。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（四）商业服务业支出年初预算数为</w:t>
      </w:r>
      <w:r>
        <w:rPr>
          <w:rFonts w:ascii="仿宋" w:hAnsi="仿宋" w:eastAsia="仿宋"/>
          <w:sz w:val="30"/>
          <w:szCs w:val="30"/>
        </w:rPr>
        <w:t>8.14</w:t>
      </w:r>
      <w:r>
        <w:rPr>
          <w:rFonts w:hint="eastAsia" w:ascii="仿宋" w:hAnsi="仿宋" w:eastAsia="仿宋"/>
          <w:sz w:val="30"/>
          <w:szCs w:val="30"/>
        </w:rPr>
        <w:t>万元，决算数为</w:t>
      </w:r>
      <w:r>
        <w:rPr>
          <w:rFonts w:ascii="仿宋" w:hAnsi="仿宋" w:eastAsia="仿宋"/>
          <w:sz w:val="30"/>
          <w:szCs w:val="30"/>
        </w:rPr>
        <w:t>24.70</w:t>
      </w:r>
      <w:r>
        <w:rPr>
          <w:rFonts w:hint="eastAsia" w:ascii="仿宋" w:hAnsi="仿宋" w:eastAsia="仿宋"/>
          <w:sz w:val="30"/>
          <w:szCs w:val="30"/>
        </w:rPr>
        <w:t>万元，完成年初预算的303.44%，主要原因是：侨联职能增加（海外联谊等），侨务工作开支增加。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（五）住房保障支出支出年初预算数为</w:t>
      </w:r>
      <w:r>
        <w:rPr>
          <w:rFonts w:ascii="仿宋" w:hAnsi="仿宋" w:eastAsia="仿宋"/>
          <w:sz w:val="30"/>
          <w:szCs w:val="30"/>
        </w:rPr>
        <w:t>0.75</w:t>
      </w:r>
      <w:r>
        <w:rPr>
          <w:rFonts w:hint="eastAsia" w:ascii="仿宋" w:hAnsi="仿宋" w:eastAsia="仿宋"/>
          <w:sz w:val="30"/>
          <w:szCs w:val="30"/>
        </w:rPr>
        <w:t>万元，决算数为0.75万元，完成年初预算的100.00%。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585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四、一般公共预算财政拨款基本支出决算情况说明</w:t>
      </w:r>
    </w:p>
    <w:p>
      <w:pPr>
        <w:ind w:firstLine="58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本部门2019年度一般公共预算财政拨款基本支出141.55万元，其中：</w:t>
      </w:r>
    </w:p>
    <w:p>
      <w:pPr>
        <w:ind w:firstLine="58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（一）工资福利支出</w:t>
      </w:r>
      <w:r>
        <w:rPr>
          <w:rFonts w:ascii="仿宋" w:hAnsi="仿宋" w:eastAsia="仿宋"/>
          <w:sz w:val="30"/>
          <w:szCs w:val="30"/>
        </w:rPr>
        <w:t>25.65</w:t>
      </w:r>
      <w:r>
        <w:rPr>
          <w:rFonts w:hint="eastAsia" w:ascii="仿宋" w:hAnsi="仿宋" w:eastAsia="仿宋"/>
          <w:sz w:val="30"/>
          <w:szCs w:val="30"/>
        </w:rPr>
        <w:t>万元，较2018年增加</w:t>
      </w:r>
      <w:r>
        <w:rPr>
          <w:rFonts w:ascii="仿宋" w:hAnsi="仿宋" w:eastAsia="仿宋"/>
          <w:sz w:val="30"/>
          <w:szCs w:val="30"/>
        </w:rPr>
        <w:t>1.27</w:t>
      </w:r>
      <w:r>
        <w:rPr>
          <w:rFonts w:hint="eastAsia" w:ascii="仿宋" w:hAnsi="仿宋" w:eastAsia="仿宋"/>
          <w:sz w:val="30"/>
          <w:szCs w:val="30"/>
        </w:rPr>
        <w:t>万元，增长5.21%，主要原因是：人员增加。</w:t>
      </w:r>
    </w:p>
    <w:p>
      <w:pPr>
        <w:ind w:firstLine="58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（二）商品和服务支出</w:t>
      </w:r>
      <w:r>
        <w:rPr>
          <w:rFonts w:ascii="仿宋" w:hAnsi="仿宋" w:eastAsia="仿宋"/>
          <w:sz w:val="30"/>
          <w:szCs w:val="30"/>
        </w:rPr>
        <w:t>114.31</w:t>
      </w:r>
      <w:r>
        <w:rPr>
          <w:rFonts w:hint="eastAsia" w:ascii="仿宋" w:hAnsi="仿宋" w:eastAsia="仿宋"/>
          <w:sz w:val="30"/>
          <w:szCs w:val="30"/>
        </w:rPr>
        <w:t>万元，较2018年增加</w:t>
      </w:r>
      <w:r>
        <w:rPr>
          <w:rFonts w:ascii="仿宋" w:hAnsi="仿宋" w:eastAsia="仿宋"/>
          <w:sz w:val="30"/>
          <w:szCs w:val="30"/>
        </w:rPr>
        <w:t>86.61</w:t>
      </w:r>
      <w:r>
        <w:rPr>
          <w:rFonts w:hint="eastAsia" w:ascii="仿宋" w:hAnsi="仿宋" w:eastAsia="仿宋"/>
          <w:sz w:val="30"/>
          <w:szCs w:val="30"/>
        </w:rPr>
        <w:t xml:space="preserve"> 万元，增长</w:t>
      </w:r>
      <w:r>
        <w:rPr>
          <w:rFonts w:ascii="仿宋" w:hAnsi="仿宋" w:eastAsia="仿宋"/>
          <w:sz w:val="30"/>
          <w:szCs w:val="30"/>
        </w:rPr>
        <w:t>312.67%</w:t>
      </w:r>
      <w:r>
        <w:rPr>
          <w:rFonts w:hint="eastAsia" w:ascii="仿宋" w:hAnsi="仿宋" w:eastAsia="仿宋"/>
          <w:sz w:val="30"/>
          <w:szCs w:val="30"/>
        </w:rPr>
        <w:t>，主要原因是：侨联职能增加（海外联谊等），侨务工作开支增加。</w:t>
      </w:r>
    </w:p>
    <w:p>
      <w:pPr>
        <w:ind w:firstLine="58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（三）对个人和家庭补助支出0.24万元，较2018年减少7.25万元，下降96.80%，主要原因是：科目调整。</w:t>
      </w:r>
    </w:p>
    <w:p>
      <w:pPr>
        <w:ind w:firstLine="58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（四）资本性支出</w:t>
      </w:r>
      <w:r>
        <w:rPr>
          <w:rFonts w:ascii="仿宋" w:hAnsi="仿宋" w:eastAsia="仿宋"/>
          <w:sz w:val="30"/>
          <w:szCs w:val="30"/>
        </w:rPr>
        <w:t>1.35</w:t>
      </w:r>
      <w:r>
        <w:rPr>
          <w:rFonts w:hint="eastAsia" w:ascii="仿宋" w:hAnsi="仿宋" w:eastAsia="仿宋"/>
          <w:sz w:val="30"/>
          <w:szCs w:val="30"/>
        </w:rPr>
        <w:t>万元，较2018年无变化，主要原因是：办公设备购置。</w:t>
      </w: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五、一般公共预算财政拨款“三公”经费支出决算情况说明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本部门2019年度一般公共预算财政拨款“三公”经费支出年初预算数为0.00万元，决算数为3.99万元，决算数较2018年增加0.15万元，增长3.91%，其中：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（一）因公出国（境）支出年初预算数为0.00万元，决算数为</w:t>
      </w:r>
      <w:r>
        <w:rPr>
          <w:rFonts w:ascii="仿宋" w:hAnsi="仿宋" w:eastAsia="仿宋"/>
          <w:sz w:val="30"/>
          <w:szCs w:val="30"/>
        </w:rPr>
        <w:t>0.87</w:t>
      </w:r>
      <w:r>
        <w:rPr>
          <w:rFonts w:hint="eastAsia" w:ascii="仿宋" w:hAnsi="仿宋" w:eastAsia="仿宋"/>
          <w:sz w:val="30"/>
          <w:szCs w:val="30"/>
        </w:rPr>
        <w:t>万元，决算数较2018年减少</w:t>
      </w:r>
      <w:r>
        <w:rPr>
          <w:rFonts w:ascii="仿宋" w:hAnsi="仿宋" w:eastAsia="仿宋"/>
          <w:sz w:val="30"/>
          <w:szCs w:val="30"/>
        </w:rPr>
        <w:t>2.57</w:t>
      </w:r>
      <w:r>
        <w:rPr>
          <w:rFonts w:hint="eastAsia" w:ascii="仿宋" w:hAnsi="仿宋" w:eastAsia="仿宋"/>
          <w:sz w:val="30"/>
          <w:szCs w:val="30"/>
        </w:rPr>
        <w:t>万元，下降74.71%。决算数较年初预算数增加的主要原因是：年初漏报三公经费预算。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（二）公务接待费支出年初预算数为0.00万元，决算数为</w:t>
      </w:r>
      <w:r>
        <w:rPr>
          <w:rFonts w:ascii="仿宋" w:hAnsi="仿宋" w:eastAsia="仿宋"/>
          <w:sz w:val="30"/>
          <w:szCs w:val="30"/>
        </w:rPr>
        <w:t>3.12</w:t>
      </w:r>
      <w:r>
        <w:rPr>
          <w:rFonts w:hint="eastAsia" w:ascii="仿宋" w:hAnsi="仿宋" w:eastAsia="仿宋"/>
          <w:sz w:val="30"/>
          <w:szCs w:val="30"/>
        </w:rPr>
        <w:t>万元，决算数较2018年增加</w:t>
      </w:r>
      <w:r>
        <w:rPr>
          <w:rFonts w:ascii="仿宋" w:hAnsi="仿宋" w:eastAsia="仿宋"/>
          <w:sz w:val="30"/>
          <w:szCs w:val="30"/>
        </w:rPr>
        <w:t>2.72</w:t>
      </w:r>
      <w:r>
        <w:rPr>
          <w:rFonts w:hint="eastAsia" w:ascii="仿宋" w:hAnsi="仿宋" w:eastAsia="仿宋"/>
          <w:sz w:val="30"/>
          <w:szCs w:val="30"/>
        </w:rPr>
        <w:t>万元，增长680.00%。决算数较年初预算数增加（减少）的主要原因是：年初漏报三公经费预算。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（三）无公务用车购置及运行维护费支出。</w:t>
      </w: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六、机关运行经费支出情况说明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本部门2019年度机关运行经费支出</w:t>
      </w:r>
      <w:r>
        <w:rPr>
          <w:rFonts w:ascii="仿宋" w:hAnsi="仿宋" w:eastAsia="仿宋"/>
          <w:sz w:val="30"/>
          <w:szCs w:val="30"/>
        </w:rPr>
        <w:t>115.66</w:t>
      </w:r>
      <w:r>
        <w:rPr>
          <w:rFonts w:hint="eastAsia" w:ascii="仿宋" w:hAnsi="仿宋" w:eastAsia="仿宋"/>
          <w:sz w:val="30"/>
          <w:szCs w:val="30"/>
        </w:rPr>
        <w:t>万元，较年初预算数增加109.96万元，增长1,929.12%，主要原因是：侨联职能增加（海外联谊等），举</w:t>
      </w:r>
      <w:r>
        <w:rPr>
          <w:rFonts w:hint="eastAsia" w:ascii="仿宋" w:hAnsi="仿宋" w:eastAsia="仿宋"/>
          <w:bCs/>
          <w:sz w:val="30"/>
          <w:szCs w:val="30"/>
        </w:rPr>
        <w:t>办“赣鄱侨风、瓷情中华”景德镇陶瓷文化巴西展，追加了活动专项经费。</w:t>
      </w: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七、政府采购支出情况说明</w:t>
      </w:r>
    </w:p>
    <w:p>
      <w:pPr>
        <w:pStyle w:val="7"/>
        <w:spacing w:line="60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本部门2019年度政府采购支出总额1.35万元，其中：政府采购货物支出1.35万元，授予中小企业合同金额1.35万元，占政府采购支出总额的100.00%，其中：授予小微企业合同金额1.35万元，占政府采购支出总额的100.00%。</w:t>
      </w: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八、国有资产占用情况说明。</w:t>
      </w:r>
    </w:p>
    <w:p>
      <w:pPr>
        <w:ind w:firstLine="63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截止至2019年12月31日，本部门共有车辆0辆，单位价值50万元以上通用设备0台（套）；单位价值100万元以上专用设备0台（套）。</w:t>
      </w:r>
    </w:p>
    <w:p>
      <w:pPr>
        <w:ind w:firstLine="63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九、预算绩效情况说明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（一）绩效管理工作开展情况。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根据预算绩效管理要求，我部门组织对2019年度整体资金支出实际支出</w:t>
      </w:r>
      <w:r>
        <w:rPr>
          <w:rFonts w:ascii="仿宋" w:hAnsi="仿宋" w:eastAsia="仿宋"/>
          <w:sz w:val="30"/>
          <w:szCs w:val="30"/>
        </w:rPr>
        <w:t>164.19</w:t>
      </w:r>
      <w:r>
        <w:rPr>
          <w:rFonts w:hint="eastAsia" w:ascii="仿宋" w:hAnsi="仿宋" w:eastAsia="仿宋"/>
          <w:sz w:val="30"/>
          <w:szCs w:val="30"/>
        </w:rPr>
        <w:t>万元，其中基本支出</w:t>
      </w:r>
      <w:r>
        <w:rPr>
          <w:rFonts w:ascii="仿宋" w:hAnsi="仿宋" w:eastAsia="仿宋"/>
          <w:sz w:val="30"/>
          <w:szCs w:val="30"/>
        </w:rPr>
        <w:t>141.55</w:t>
      </w:r>
      <w:r>
        <w:rPr>
          <w:rFonts w:hint="eastAsia" w:ascii="仿宋" w:hAnsi="仿宋" w:eastAsia="仿宋"/>
          <w:sz w:val="30"/>
          <w:szCs w:val="30"/>
        </w:rPr>
        <w:t>万元（包含</w:t>
      </w:r>
      <w:r>
        <w:rPr>
          <w:rFonts w:ascii="仿宋" w:hAnsi="仿宋" w:eastAsia="仿宋"/>
          <w:sz w:val="30"/>
          <w:szCs w:val="30"/>
        </w:rPr>
        <w:t>25.65</w:t>
      </w:r>
      <w:r>
        <w:rPr>
          <w:rFonts w:hint="eastAsia" w:ascii="仿宋" w:hAnsi="仿宋" w:eastAsia="仿宋"/>
          <w:sz w:val="30"/>
          <w:szCs w:val="30"/>
        </w:rPr>
        <w:t>万元工资福利支出，0.24万元个人和家庭补助和</w:t>
      </w:r>
      <w:r>
        <w:rPr>
          <w:rFonts w:ascii="仿宋" w:hAnsi="仿宋" w:eastAsia="仿宋"/>
          <w:sz w:val="30"/>
          <w:szCs w:val="30"/>
        </w:rPr>
        <w:t>114.31</w:t>
      </w:r>
      <w:r>
        <w:rPr>
          <w:rFonts w:hint="eastAsia" w:ascii="仿宋" w:hAnsi="仿宋" w:eastAsia="仿宋"/>
          <w:sz w:val="30"/>
          <w:szCs w:val="30"/>
        </w:rPr>
        <w:t>万元商品服务支出），预算执行在正常范围内。预算收入与决算收入相比，增幅约</w:t>
      </w:r>
      <w:r>
        <w:rPr>
          <w:rFonts w:ascii="仿宋" w:hAnsi="仿宋" w:eastAsia="仿宋"/>
          <w:sz w:val="30"/>
          <w:szCs w:val="30"/>
        </w:rPr>
        <w:t>164.35</w:t>
      </w:r>
      <w:r>
        <w:rPr>
          <w:rFonts w:hint="eastAsia" w:ascii="仿宋" w:hAnsi="仿宋" w:eastAsia="仿宋"/>
          <w:sz w:val="30"/>
          <w:szCs w:val="30"/>
        </w:rPr>
        <w:t>%，主要原因是：侨联职能增加（海外联谊等），举办“赣鄱侨风、瓷情中华”景</w:t>
      </w:r>
      <w:r>
        <w:rPr>
          <w:rFonts w:hint="eastAsia" w:ascii="仿宋" w:hAnsi="仿宋" w:eastAsia="仿宋"/>
          <w:bCs/>
          <w:sz w:val="30"/>
          <w:szCs w:val="30"/>
        </w:rPr>
        <w:t>德镇陶瓷文化巴西展，追加了活动专项经费。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景德镇市侨联2019年度部门整体资金支出资金项目绩效评价结果等级为“优”，该评价结果经审核通过后，将在一定范围内公开，并将作为编制下一年度部门预算的重要参考依据。</w:t>
      </w:r>
    </w:p>
    <w:p/>
    <w:p/>
    <w:p/>
    <w:p/>
    <w:p/>
    <w:p/>
    <w:p/>
    <w:p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第四部分  名词解释</w:t>
      </w: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（一）财政拨款收入：指财政当年拨付的资金。</w:t>
      </w: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（二）年初结转和结余：指以前年度尚未完成、结转到本年仍按原规定用途继续使用的资金，或项目已完成等产生的结余资金。</w:t>
      </w: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（三）一般公共服务支出：反映景德镇市侨联本级用于保障机构正常运行、本级用于业务工作的项目支出；开展日常工作的基本支出。</w:t>
      </w: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（四）教育支出：反映景德镇市侨联用于干部培训类的支出。</w:t>
      </w: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（五）年末结转和结余：指按有关规定结转到下年或以后年度继续使用的资金，或项目已完成等产生的结余资金。</w:t>
      </w: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（六） “三公”经费：纳入省级财政预决算管理的“三公”经费，是指省级部门用财政拨款安排的因公出国（境）费、公务用车购置及运行费和公务接待费。其中，因公出国（境）费反映公务出国（境）的国际旅费、国外城市间交通费、住宿费、伙食费、培训费、公杂费等支出；公务用车购置及运行费反映公务用车购置费（含车辆购置税）及租用费、燃料费、维修费、过路过桥费、保险费、安全奖励费用等支出；公务接待费反映按规定开支的各类公务接待（含外宾接待）支出。</w:t>
      </w: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七）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2YWY5NzI1MThhZDljY2U3MzkwYzYyOTljZjg5ZmIifQ=="/>
  </w:docVars>
  <w:rsids>
    <w:rsidRoot w:val="00003E4D"/>
    <w:rsid w:val="00003E4D"/>
    <w:rsid w:val="0006027E"/>
    <w:rsid w:val="000F021B"/>
    <w:rsid w:val="00201161"/>
    <w:rsid w:val="00237D8F"/>
    <w:rsid w:val="00246CE8"/>
    <w:rsid w:val="003624B0"/>
    <w:rsid w:val="003715B5"/>
    <w:rsid w:val="003E27CA"/>
    <w:rsid w:val="004579B3"/>
    <w:rsid w:val="004A419B"/>
    <w:rsid w:val="004C321E"/>
    <w:rsid w:val="00607A7C"/>
    <w:rsid w:val="00636550"/>
    <w:rsid w:val="008C7789"/>
    <w:rsid w:val="00997764"/>
    <w:rsid w:val="00A03605"/>
    <w:rsid w:val="00A74DDF"/>
    <w:rsid w:val="00AC52FA"/>
    <w:rsid w:val="00AD4FB6"/>
    <w:rsid w:val="00AD61DD"/>
    <w:rsid w:val="00B07A5A"/>
    <w:rsid w:val="00B52A50"/>
    <w:rsid w:val="00D015BD"/>
    <w:rsid w:val="00D300CB"/>
    <w:rsid w:val="00D85C72"/>
    <w:rsid w:val="00DD0814"/>
    <w:rsid w:val="00E80629"/>
    <w:rsid w:val="00EA3292"/>
    <w:rsid w:val="00EE1EDE"/>
    <w:rsid w:val="00EF7D58"/>
    <w:rsid w:val="00F16A37"/>
    <w:rsid w:val="00F545E5"/>
    <w:rsid w:val="00F63931"/>
    <w:rsid w:val="00F846A3"/>
    <w:rsid w:val="02635704"/>
    <w:rsid w:val="04D71056"/>
    <w:rsid w:val="352A495A"/>
    <w:rsid w:val="6307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3250</Words>
  <Characters>3659</Characters>
  <Lines>27</Lines>
  <Paragraphs>7</Paragraphs>
  <TotalTime>11</TotalTime>
  <ScaleCrop>false</ScaleCrop>
  <LinksUpToDate>false</LinksUpToDate>
  <CharactersWithSpaces>3674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2020-10-10T02:20:00Z</dcterms:created>
  <dc:creator>DELL</dc:creator>
  <cp:lastModifiedBy>L</cp:lastModifiedBy>
  <dcterms:modified xsi:type="dcterms:W3CDTF">2023-07-28T02:53:04Z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6C04A5AE16A44BA099B26FCE2C724E15</vt:lpwstr>
  </property>
</Properties>
</file>