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23FC9">
      <w:pPr>
        <w:spacing w:line="600" w:lineRule="exact"/>
        <w:jc w:val="center"/>
        <w:rPr>
          <w:rFonts w:ascii="方正大标宋简体" w:hAnsi="方正大标宋简体" w:eastAsia="方正大标宋简体"/>
          <w:b/>
          <w:bCs/>
          <w:sz w:val="44"/>
          <w:szCs w:val="44"/>
        </w:rPr>
      </w:pPr>
      <w:r>
        <w:rPr>
          <w:rFonts w:hint="eastAsia" w:ascii="方正大标宋简体" w:hAnsi="方正大标宋简体" w:eastAsia="方正大标宋简体" w:cs="方正大标宋简体"/>
          <w:b/>
          <w:bCs/>
          <w:sz w:val="44"/>
          <w:szCs w:val="44"/>
          <w:lang w:eastAsia="zh-CN"/>
        </w:rPr>
        <w:t>景德镇市残疾人联合会</w:t>
      </w:r>
      <w:r>
        <w:rPr>
          <w:rFonts w:ascii="方正大标宋简体" w:hAnsi="方正大标宋简体" w:eastAsia="方正大标宋简体" w:cs="方正大标宋简体"/>
          <w:b/>
          <w:bCs/>
          <w:sz w:val="44"/>
          <w:szCs w:val="44"/>
        </w:rPr>
        <w:t>201</w:t>
      </w:r>
      <w:r>
        <w:rPr>
          <w:rFonts w:hint="eastAsia" w:ascii="方正大标宋简体" w:hAnsi="方正大标宋简体" w:eastAsia="方正大标宋简体" w:cs="方正大标宋简体"/>
          <w:b/>
          <w:bCs/>
          <w:sz w:val="44"/>
          <w:szCs w:val="44"/>
          <w:lang w:val="en-US" w:eastAsia="zh-CN"/>
        </w:rPr>
        <w:t>9</w:t>
      </w:r>
      <w:r>
        <w:rPr>
          <w:rFonts w:hint="eastAsia" w:ascii="方正大标宋简体" w:hAnsi="方正大标宋简体" w:eastAsia="方正大标宋简体" w:cs="方正大标宋简体"/>
          <w:b/>
          <w:bCs/>
          <w:sz w:val="44"/>
          <w:szCs w:val="44"/>
        </w:rPr>
        <w:t>年度部门决算</w:t>
      </w:r>
    </w:p>
    <w:p w14:paraId="0BB24830">
      <w:pPr>
        <w:spacing w:line="600" w:lineRule="exact"/>
        <w:jc w:val="center"/>
        <w:rPr>
          <w:rFonts w:ascii="黑体" w:eastAsia="黑体"/>
          <w:sz w:val="44"/>
          <w:szCs w:val="44"/>
        </w:rPr>
      </w:pPr>
    </w:p>
    <w:p w14:paraId="04CC2309">
      <w:pPr>
        <w:spacing w:line="600" w:lineRule="exact"/>
        <w:jc w:val="center"/>
        <w:rPr>
          <w:rFonts w:ascii="楷体_GB2312" w:hAnsi="楷体_GB2312" w:eastAsia="楷体_GB2312" w:cs="楷体_GB2312"/>
          <w:b/>
          <w:bCs/>
          <w:sz w:val="44"/>
          <w:szCs w:val="44"/>
        </w:rPr>
      </w:pPr>
      <w:r>
        <w:rPr>
          <w:rFonts w:hint="eastAsia" w:ascii="楷体_GB2312" w:hAnsi="楷体_GB2312" w:eastAsia="楷体_GB2312" w:cs="楷体_GB2312"/>
          <w:b/>
          <w:bCs/>
          <w:sz w:val="44"/>
          <w:szCs w:val="44"/>
        </w:rPr>
        <w:t>目</w:t>
      </w:r>
      <w:r>
        <w:rPr>
          <w:rFonts w:ascii="楷体_GB2312" w:hAnsi="楷体_GB2312" w:eastAsia="楷体_GB2312" w:cs="楷体_GB2312"/>
          <w:b/>
          <w:bCs/>
          <w:sz w:val="44"/>
          <w:szCs w:val="44"/>
        </w:rPr>
        <w:t xml:space="preserve">    </w:t>
      </w:r>
      <w:r>
        <w:rPr>
          <w:rFonts w:hint="eastAsia" w:ascii="楷体_GB2312" w:hAnsi="楷体_GB2312" w:eastAsia="楷体_GB2312" w:cs="楷体_GB2312"/>
          <w:b/>
          <w:bCs/>
          <w:sz w:val="44"/>
          <w:szCs w:val="44"/>
        </w:rPr>
        <w:t>录</w:t>
      </w:r>
    </w:p>
    <w:p w14:paraId="0C902C30">
      <w:pPr>
        <w:widowControl/>
        <w:spacing w:line="600" w:lineRule="exact"/>
        <w:jc w:val="left"/>
        <w:rPr>
          <w:rFonts w:ascii="仿宋_GB2312" w:eastAsia="仿宋_GB2312"/>
          <w:sz w:val="32"/>
          <w:szCs w:val="30"/>
        </w:rPr>
      </w:pPr>
    </w:p>
    <w:p w14:paraId="1226612A">
      <w:pPr>
        <w:widowControl/>
        <w:spacing w:line="600" w:lineRule="exact"/>
        <w:ind w:firstLine="640"/>
        <w:jc w:val="left"/>
        <w:rPr>
          <w:rFonts w:ascii="黑体" w:hAnsi="黑体" w:eastAsia="黑体"/>
          <w:b/>
          <w:sz w:val="32"/>
          <w:szCs w:val="32"/>
        </w:rPr>
      </w:pPr>
      <w:r>
        <w:rPr>
          <w:rFonts w:hint="eastAsia" w:ascii="黑体" w:hAnsi="黑体" w:eastAsia="黑体"/>
          <w:bCs/>
          <w:sz w:val="32"/>
          <w:szCs w:val="32"/>
        </w:rPr>
        <w:t>第一部分</w:t>
      </w:r>
      <w:r>
        <w:rPr>
          <w:rFonts w:hint="eastAsia" w:ascii="黑体" w:hAnsi="黑体" w:eastAsia="黑体"/>
          <w:b/>
          <w:sz w:val="32"/>
          <w:szCs w:val="32"/>
        </w:rPr>
        <w:t xml:space="preserve">  </w:t>
      </w:r>
      <w:r>
        <w:rPr>
          <w:rFonts w:hint="eastAsia" w:ascii="黑体" w:hAnsi="黑体" w:eastAsia="黑体"/>
          <w:b/>
          <w:sz w:val="32"/>
          <w:szCs w:val="32"/>
          <w:lang w:eastAsia="zh-CN"/>
        </w:rPr>
        <w:t>景德镇市残疾人联合会</w:t>
      </w:r>
      <w:r>
        <w:rPr>
          <w:rFonts w:hint="eastAsia" w:ascii="黑体" w:hAnsi="黑体" w:eastAsia="黑体"/>
          <w:sz w:val="32"/>
          <w:szCs w:val="32"/>
        </w:rPr>
        <w:t>部门</w:t>
      </w:r>
      <w:r>
        <w:rPr>
          <w:rFonts w:hint="eastAsia" w:ascii="黑体" w:hAnsi="黑体" w:eastAsia="黑体"/>
          <w:bCs/>
          <w:sz w:val="32"/>
          <w:szCs w:val="32"/>
        </w:rPr>
        <w:t>概况</w:t>
      </w:r>
    </w:p>
    <w:p w14:paraId="503EA8FB">
      <w:pPr>
        <w:widowControl/>
        <w:spacing w:line="600" w:lineRule="exact"/>
        <w:ind w:firstLine="640"/>
        <w:jc w:val="left"/>
        <w:rPr>
          <w:rFonts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44F63DC1">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52327678">
      <w:pPr>
        <w:widowControl/>
        <w:spacing w:line="600" w:lineRule="exact"/>
        <w:ind w:firstLine="640"/>
        <w:jc w:val="left"/>
        <w:rPr>
          <w:rFonts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7B54FD8A">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一、收入支出决算总表</w:t>
      </w:r>
    </w:p>
    <w:p w14:paraId="3944B50D">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二、收入决算表</w:t>
      </w:r>
    </w:p>
    <w:p w14:paraId="06F87F31">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42977656">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5BB627FB">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1C21BEE2">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148398C4">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772A07B3">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表</w:t>
      </w:r>
    </w:p>
    <w:p w14:paraId="6FA8CE78">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7BC74F88">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564C935A">
      <w:pPr>
        <w:widowControl/>
        <w:spacing w:line="600" w:lineRule="exact"/>
        <w:jc w:val="left"/>
        <w:rPr>
          <w:rFonts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4E169F67">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一、收入决算情况说明</w:t>
      </w:r>
    </w:p>
    <w:p w14:paraId="5039BD8C">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二、支出决算情况说明</w:t>
      </w:r>
    </w:p>
    <w:p w14:paraId="02FFAA90">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三、财政拨款支出决算情况说明</w:t>
      </w:r>
    </w:p>
    <w:p w14:paraId="5DE65FD8">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四、一般公共预算财政拨款基本支出决算情况说明</w:t>
      </w:r>
    </w:p>
    <w:p w14:paraId="107C1B8F">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五、一般公共预算财政拨款“三公”经费支出决算</w:t>
      </w:r>
    </w:p>
    <w:p w14:paraId="3DB66E5E">
      <w:pPr>
        <w:widowControl/>
        <w:spacing w:line="600" w:lineRule="exact"/>
        <w:jc w:val="left"/>
        <w:rPr>
          <w:rFonts w:ascii="仿宋" w:hAnsi="仿宋" w:eastAsia="仿宋"/>
          <w:sz w:val="32"/>
          <w:szCs w:val="30"/>
        </w:rPr>
      </w:pPr>
      <w:r>
        <w:rPr>
          <w:rFonts w:hint="eastAsia" w:ascii="仿宋" w:hAnsi="仿宋" w:eastAsia="仿宋"/>
          <w:sz w:val="32"/>
          <w:szCs w:val="30"/>
        </w:rPr>
        <w:t xml:space="preserve">    情况说明</w:t>
      </w:r>
    </w:p>
    <w:p w14:paraId="7DFE13B4">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六、机关运行经费支出情况说明</w:t>
      </w:r>
    </w:p>
    <w:p w14:paraId="4CEE060F">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七、政府采购支出情况说明</w:t>
      </w:r>
    </w:p>
    <w:p w14:paraId="1B8AF576">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八、预算绩效情况说明</w:t>
      </w:r>
    </w:p>
    <w:p w14:paraId="6AACCE06">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47DB6A0E">
      <w:pPr>
        <w:spacing w:line="600" w:lineRule="exact"/>
        <w:jc w:val="center"/>
        <w:rPr>
          <w:rFonts w:hint="eastAsia" w:ascii="黑体" w:eastAsia="黑体"/>
          <w:sz w:val="44"/>
          <w:szCs w:val="36"/>
        </w:rPr>
      </w:pPr>
    </w:p>
    <w:p w14:paraId="546D5CEC">
      <w:pPr>
        <w:ind w:firstLine="630"/>
        <w:jc w:val="center"/>
        <w:rPr>
          <w:rFonts w:hint="eastAsia" w:ascii="宋体" w:hAnsi="宋体"/>
          <w:b/>
          <w:sz w:val="36"/>
          <w:szCs w:val="36"/>
        </w:rPr>
      </w:pPr>
    </w:p>
    <w:p w14:paraId="10702334">
      <w:pPr>
        <w:ind w:firstLine="630"/>
        <w:jc w:val="center"/>
        <w:rPr>
          <w:rFonts w:hint="eastAsia" w:ascii="宋体" w:hAnsi="宋体"/>
          <w:b/>
          <w:sz w:val="36"/>
          <w:szCs w:val="36"/>
        </w:rPr>
      </w:pPr>
    </w:p>
    <w:p w14:paraId="6518CE5F">
      <w:pPr>
        <w:ind w:firstLine="630"/>
        <w:jc w:val="center"/>
        <w:rPr>
          <w:rFonts w:hint="eastAsia" w:ascii="宋体" w:hAnsi="宋体"/>
          <w:b/>
          <w:sz w:val="36"/>
          <w:szCs w:val="36"/>
        </w:rPr>
      </w:pPr>
    </w:p>
    <w:p w14:paraId="17BAF234">
      <w:pPr>
        <w:ind w:firstLine="630"/>
        <w:jc w:val="center"/>
        <w:rPr>
          <w:rFonts w:hint="eastAsia" w:ascii="宋体" w:hAnsi="宋体"/>
          <w:b/>
          <w:sz w:val="36"/>
          <w:szCs w:val="36"/>
        </w:rPr>
      </w:pPr>
    </w:p>
    <w:p w14:paraId="7774D53B">
      <w:pPr>
        <w:ind w:firstLine="630"/>
        <w:jc w:val="center"/>
        <w:rPr>
          <w:rFonts w:hint="eastAsia" w:ascii="宋体" w:hAnsi="宋体"/>
          <w:b/>
          <w:sz w:val="36"/>
          <w:szCs w:val="36"/>
        </w:rPr>
      </w:pPr>
    </w:p>
    <w:p w14:paraId="6822E6E9">
      <w:pPr>
        <w:ind w:firstLine="630"/>
        <w:jc w:val="center"/>
        <w:rPr>
          <w:rFonts w:hint="eastAsia" w:ascii="宋体" w:hAnsi="宋体"/>
          <w:b/>
          <w:sz w:val="36"/>
          <w:szCs w:val="36"/>
        </w:rPr>
      </w:pPr>
    </w:p>
    <w:p w14:paraId="5FEF3648">
      <w:pPr>
        <w:ind w:firstLine="630"/>
        <w:jc w:val="center"/>
        <w:rPr>
          <w:rFonts w:hint="eastAsia" w:ascii="宋体" w:hAnsi="宋体"/>
          <w:b/>
          <w:sz w:val="36"/>
          <w:szCs w:val="36"/>
        </w:rPr>
      </w:pPr>
    </w:p>
    <w:p w14:paraId="52191804">
      <w:pPr>
        <w:ind w:firstLine="630"/>
        <w:jc w:val="center"/>
        <w:rPr>
          <w:rFonts w:hint="eastAsia" w:ascii="宋体" w:hAnsi="宋体"/>
          <w:b/>
          <w:sz w:val="36"/>
          <w:szCs w:val="36"/>
        </w:rPr>
      </w:pPr>
    </w:p>
    <w:p w14:paraId="3C351C01">
      <w:pPr>
        <w:jc w:val="both"/>
        <w:rPr>
          <w:rFonts w:hint="eastAsia" w:ascii="宋体" w:hAnsi="宋体"/>
          <w:b/>
          <w:sz w:val="36"/>
          <w:szCs w:val="36"/>
        </w:rPr>
      </w:pPr>
    </w:p>
    <w:p w14:paraId="75A88795">
      <w:pPr>
        <w:ind w:firstLine="630"/>
        <w:jc w:val="center"/>
        <w:rPr>
          <w:rFonts w:hint="eastAsia" w:ascii="宋体" w:hAnsi="宋体"/>
          <w:b/>
          <w:sz w:val="36"/>
          <w:szCs w:val="36"/>
        </w:rPr>
      </w:pPr>
    </w:p>
    <w:p w14:paraId="5087AC50">
      <w:pPr>
        <w:ind w:firstLine="630"/>
        <w:jc w:val="center"/>
        <w:rPr>
          <w:rFonts w:hint="eastAsia" w:ascii="宋体" w:hAnsi="宋体"/>
          <w:b/>
          <w:sz w:val="36"/>
          <w:szCs w:val="36"/>
        </w:rPr>
      </w:pPr>
    </w:p>
    <w:p w14:paraId="6F367E68">
      <w:pPr>
        <w:ind w:firstLine="630"/>
        <w:jc w:val="center"/>
        <w:rPr>
          <w:rFonts w:hint="eastAsia" w:ascii="宋体" w:hAnsi="宋体"/>
          <w:b/>
          <w:sz w:val="36"/>
          <w:szCs w:val="36"/>
        </w:rPr>
      </w:pPr>
    </w:p>
    <w:p w14:paraId="1E878D0E">
      <w:pPr>
        <w:ind w:firstLine="630"/>
        <w:jc w:val="center"/>
        <w:rPr>
          <w:rFonts w:hint="eastAsia" w:ascii="宋体" w:hAnsi="宋体"/>
          <w:b/>
          <w:sz w:val="36"/>
          <w:szCs w:val="36"/>
        </w:rPr>
      </w:pPr>
    </w:p>
    <w:p w14:paraId="5354759C">
      <w:pPr>
        <w:widowControl/>
        <w:spacing w:line="580" w:lineRule="exact"/>
        <w:jc w:val="center"/>
        <w:rPr>
          <w:rFonts w:hint="eastAsia" w:ascii="宋体" w:hAnsi="宋体"/>
          <w:b/>
          <w:sz w:val="32"/>
          <w:szCs w:val="30"/>
        </w:rPr>
      </w:pPr>
    </w:p>
    <w:p w14:paraId="21B8E49F">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eastAsia="zh-CN"/>
        </w:rPr>
        <w:t>景德镇市残疾人联合会</w:t>
      </w:r>
      <w:r>
        <w:rPr>
          <w:rFonts w:hint="eastAsia" w:ascii="宋体" w:hAnsi="宋体"/>
          <w:b/>
          <w:sz w:val="32"/>
          <w:szCs w:val="32"/>
        </w:rPr>
        <w:t>部门</w:t>
      </w:r>
      <w:r>
        <w:rPr>
          <w:rFonts w:hint="eastAsia" w:ascii="宋体" w:hAnsi="宋体"/>
          <w:b/>
          <w:sz w:val="32"/>
          <w:szCs w:val="30"/>
        </w:rPr>
        <w:t>概况</w:t>
      </w:r>
    </w:p>
    <w:p w14:paraId="122AEF3D">
      <w:pPr>
        <w:ind w:firstLine="630"/>
        <w:jc w:val="center"/>
        <w:rPr>
          <w:rFonts w:hint="eastAsia"/>
          <w:sz w:val="32"/>
          <w:szCs w:val="32"/>
        </w:rPr>
      </w:pPr>
    </w:p>
    <w:p w14:paraId="567BF129">
      <w:pPr>
        <w:keepNext w:val="0"/>
        <w:keepLines w:val="0"/>
        <w:pageBreakBefore w:val="0"/>
        <w:kinsoku/>
        <w:wordWrap/>
        <w:overflowPunct/>
        <w:topLinePunct w:val="0"/>
        <w:autoSpaceDE/>
        <w:autoSpaceDN/>
        <w:bidi w:val="0"/>
        <w:adjustRightInd/>
        <w:snapToGrid/>
        <w:spacing w:line="360" w:lineRule="auto"/>
        <w:ind w:firstLine="630"/>
        <w:jc w:val="left"/>
        <w:textAlignment w:val="auto"/>
        <w:rPr>
          <w:rFonts w:hint="eastAsia" w:ascii="黑体" w:hAnsi="黑体" w:eastAsia="黑体"/>
          <w:sz w:val="30"/>
          <w:szCs w:val="30"/>
        </w:rPr>
      </w:pPr>
      <w:r>
        <w:rPr>
          <w:rFonts w:hint="eastAsia" w:ascii="黑体" w:hAnsi="黑体" w:eastAsia="黑体"/>
          <w:sz w:val="30"/>
          <w:szCs w:val="30"/>
        </w:rPr>
        <w:t>一、部门主要职能</w:t>
      </w:r>
    </w:p>
    <w:p w14:paraId="6A1CF85D">
      <w:pPr>
        <w:keepNext w:val="0"/>
        <w:keepLines w:val="0"/>
        <w:pageBreakBefore w:val="0"/>
        <w:kinsoku/>
        <w:wordWrap/>
        <w:overflowPunct/>
        <w:topLinePunct w:val="0"/>
        <w:autoSpaceDE/>
        <w:autoSpaceDN/>
        <w:bidi w:val="0"/>
        <w:adjustRightInd/>
        <w:snapToGrid/>
        <w:spacing w:line="360" w:lineRule="auto"/>
        <w:ind w:firstLine="540" w:firstLineChars="180"/>
        <w:textAlignment w:val="auto"/>
        <w:rPr>
          <w:rFonts w:hint="eastAsia" w:ascii="仿宋" w:hAnsi="仿宋" w:eastAsia="仿宋"/>
          <w:sz w:val="30"/>
          <w:szCs w:val="30"/>
        </w:rPr>
      </w:pPr>
      <w:r>
        <w:rPr>
          <w:rFonts w:hint="eastAsia" w:ascii="仿宋" w:hAnsi="仿宋" w:eastAsia="仿宋"/>
          <w:sz w:val="30"/>
          <w:szCs w:val="30"/>
        </w:rPr>
        <w:t>市残联是中国残疾人联合会的地方组织，是将残疾人自身代表组织、社会福利团体和事业管理机构融为一体的综合性残疾人机关群众团体。</w:t>
      </w:r>
    </w:p>
    <w:p w14:paraId="6447829F">
      <w:pPr>
        <w:keepNext w:val="0"/>
        <w:keepLines w:val="0"/>
        <w:pageBreakBefore w:val="0"/>
        <w:kinsoku/>
        <w:wordWrap/>
        <w:overflowPunct/>
        <w:topLinePunct w:val="0"/>
        <w:autoSpaceDE/>
        <w:autoSpaceDN/>
        <w:bidi w:val="0"/>
        <w:adjustRightInd/>
        <w:snapToGrid/>
        <w:spacing w:line="360" w:lineRule="auto"/>
        <w:ind w:firstLine="540" w:firstLineChars="180"/>
        <w:textAlignment w:val="auto"/>
        <w:rPr>
          <w:rFonts w:hint="eastAsia" w:ascii="仿宋" w:hAnsi="仿宋" w:eastAsia="仿宋"/>
          <w:sz w:val="30"/>
          <w:szCs w:val="30"/>
        </w:rPr>
      </w:pPr>
      <w:r>
        <w:rPr>
          <w:rFonts w:hint="eastAsia" w:ascii="仿宋" w:hAnsi="仿宋" w:eastAsia="仿宋"/>
          <w:sz w:val="30"/>
          <w:szCs w:val="30"/>
        </w:rPr>
        <w:t>本部门的主要职能有：</w:t>
      </w:r>
    </w:p>
    <w:p w14:paraId="6C7C5581">
      <w:pPr>
        <w:keepNext w:val="0"/>
        <w:keepLines w:val="0"/>
        <w:pageBreakBefore w:val="0"/>
        <w:kinsoku/>
        <w:wordWrap/>
        <w:overflowPunct/>
        <w:topLinePunct w:val="0"/>
        <w:autoSpaceDE/>
        <w:autoSpaceDN/>
        <w:bidi w:val="0"/>
        <w:adjustRightInd/>
        <w:snapToGrid/>
        <w:spacing w:line="360" w:lineRule="auto"/>
        <w:ind w:firstLine="540" w:firstLineChars="180"/>
        <w:textAlignment w:val="auto"/>
        <w:rPr>
          <w:rFonts w:hint="eastAsia" w:ascii="仿宋" w:hAnsi="仿宋" w:eastAsia="仿宋"/>
          <w:sz w:val="30"/>
          <w:szCs w:val="30"/>
        </w:rPr>
      </w:pPr>
      <w:r>
        <w:rPr>
          <w:rFonts w:hint="eastAsia" w:ascii="仿宋" w:hAnsi="仿宋" w:eastAsia="仿宋"/>
          <w:sz w:val="30"/>
          <w:szCs w:val="30"/>
        </w:rPr>
        <w:t>（1）团结、教育残疾人，遵守法律，履行应尽的义务，发扬乐观进取精神，自尊、自信、自强、自立，为社会主义建设贡献力量。</w:t>
      </w:r>
    </w:p>
    <w:p w14:paraId="275EC4F9">
      <w:pPr>
        <w:keepNext w:val="0"/>
        <w:keepLines w:val="0"/>
        <w:pageBreakBefore w:val="0"/>
        <w:kinsoku/>
        <w:wordWrap/>
        <w:overflowPunct/>
        <w:topLinePunct w:val="0"/>
        <w:autoSpaceDE/>
        <w:autoSpaceDN/>
        <w:bidi w:val="0"/>
        <w:adjustRightInd/>
        <w:snapToGrid/>
        <w:spacing w:line="360" w:lineRule="auto"/>
        <w:ind w:firstLine="540" w:firstLineChars="180"/>
        <w:textAlignment w:val="auto"/>
        <w:rPr>
          <w:rFonts w:hint="eastAsia" w:ascii="仿宋" w:hAnsi="仿宋" w:eastAsia="仿宋"/>
          <w:sz w:val="30"/>
          <w:szCs w:val="30"/>
        </w:rPr>
      </w:pPr>
      <w:r>
        <w:rPr>
          <w:rFonts w:hint="eastAsia" w:ascii="仿宋" w:hAnsi="仿宋" w:eastAsia="仿宋"/>
          <w:sz w:val="30"/>
          <w:szCs w:val="30"/>
        </w:rPr>
        <w:t>（2）弘扬人道主义，宣传残疾人事业，沟通政府、社会与残疾人之间的联系，动员社会理解、尊重、关心、帮助残疾人。</w:t>
      </w:r>
    </w:p>
    <w:p w14:paraId="3CB3BCCF">
      <w:pPr>
        <w:keepNext w:val="0"/>
        <w:keepLines w:val="0"/>
        <w:pageBreakBefore w:val="0"/>
        <w:kinsoku/>
        <w:wordWrap/>
        <w:overflowPunct/>
        <w:topLinePunct w:val="0"/>
        <w:autoSpaceDE/>
        <w:autoSpaceDN/>
        <w:bidi w:val="0"/>
        <w:adjustRightInd/>
        <w:snapToGrid/>
        <w:spacing w:line="360" w:lineRule="auto"/>
        <w:ind w:firstLine="540" w:firstLineChars="180"/>
        <w:textAlignment w:val="auto"/>
        <w:rPr>
          <w:rFonts w:hint="eastAsia" w:ascii="仿宋" w:hAnsi="仿宋" w:eastAsia="仿宋"/>
          <w:sz w:val="30"/>
          <w:szCs w:val="30"/>
        </w:rPr>
      </w:pPr>
      <w:r>
        <w:rPr>
          <w:rFonts w:hint="eastAsia" w:ascii="仿宋" w:hAnsi="仿宋" w:eastAsia="仿宋"/>
          <w:sz w:val="30"/>
          <w:szCs w:val="30"/>
        </w:rPr>
        <w:t>（3）开展残疾人康复、教育、劳动就业、文化、体育、科研、用品用具供应、福利、社会服务，无障碍设施和残疾预防工作。创造良好的环境和条件，扶助残疾人平等与社会生活。</w:t>
      </w:r>
    </w:p>
    <w:p w14:paraId="4F85BA51">
      <w:pPr>
        <w:keepNext w:val="0"/>
        <w:keepLines w:val="0"/>
        <w:pageBreakBefore w:val="0"/>
        <w:kinsoku/>
        <w:wordWrap/>
        <w:overflowPunct/>
        <w:topLinePunct w:val="0"/>
        <w:autoSpaceDE/>
        <w:autoSpaceDN/>
        <w:bidi w:val="0"/>
        <w:adjustRightInd/>
        <w:snapToGrid/>
        <w:spacing w:line="360" w:lineRule="auto"/>
        <w:ind w:firstLine="540" w:firstLineChars="180"/>
        <w:textAlignment w:val="auto"/>
        <w:rPr>
          <w:rFonts w:hint="eastAsia" w:ascii="仿宋" w:hAnsi="仿宋" w:eastAsia="仿宋"/>
          <w:sz w:val="30"/>
          <w:szCs w:val="30"/>
        </w:rPr>
      </w:pPr>
      <w:r>
        <w:rPr>
          <w:rFonts w:hint="eastAsia" w:ascii="仿宋" w:hAnsi="仿宋" w:eastAsia="仿宋"/>
          <w:sz w:val="30"/>
          <w:szCs w:val="30"/>
        </w:rPr>
        <w:t>（4）协助市政府研究、制定和实施残疾人事业的法规、政策、规划和计划，对有关业务领域进行指导和管理。</w:t>
      </w:r>
    </w:p>
    <w:p w14:paraId="360CACB9">
      <w:pPr>
        <w:keepNext w:val="0"/>
        <w:keepLines w:val="0"/>
        <w:pageBreakBefore w:val="0"/>
        <w:kinsoku/>
        <w:wordWrap/>
        <w:overflowPunct/>
        <w:topLinePunct w:val="0"/>
        <w:autoSpaceDE/>
        <w:autoSpaceDN/>
        <w:bidi w:val="0"/>
        <w:adjustRightInd/>
        <w:snapToGrid/>
        <w:spacing w:line="360" w:lineRule="auto"/>
        <w:ind w:firstLine="540" w:firstLineChars="180"/>
        <w:textAlignment w:val="auto"/>
        <w:rPr>
          <w:rFonts w:hint="eastAsia" w:ascii="仿宋" w:hAnsi="仿宋" w:eastAsia="仿宋"/>
          <w:sz w:val="30"/>
          <w:szCs w:val="30"/>
        </w:rPr>
      </w:pPr>
      <w:r>
        <w:rPr>
          <w:rFonts w:hint="eastAsia" w:ascii="仿宋" w:hAnsi="仿宋" w:eastAsia="仿宋"/>
          <w:sz w:val="30"/>
          <w:szCs w:val="30"/>
        </w:rPr>
        <w:t>（5）承担市政府残疾人工作协调委员会的日常工作，做好综合、组织协调和服务。</w:t>
      </w:r>
    </w:p>
    <w:p w14:paraId="633B0221">
      <w:pPr>
        <w:keepNext w:val="0"/>
        <w:keepLines w:val="0"/>
        <w:pageBreakBefore w:val="0"/>
        <w:kinsoku/>
        <w:wordWrap/>
        <w:overflowPunct/>
        <w:topLinePunct w:val="0"/>
        <w:autoSpaceDE/>
        <w:autoSpaceDN/>
        <w:bidi w:val="0"/>
        <w:adjustRightInd/>
        <w:snapToGrid/>
        <w:spacing w:line="360" w:lineRule="auto"/>
        <w:ind w:firstLine="540" w:firstLineChars="180"/>
        <w:textAlignment w:val="auto"/>
        <w:rPr>
          <w:rFonts w:hint="eastAsia" w:ascii="仿宋" w:hAnsi="仿宋" w:eastAsia="仿宋"/>
          <w:sz w:val="30"/>
          <w:szCs w:val="30"/>
        </w:rPr>
      </w:pPr>
      <w:r>
        <w:rPr>
          <w:rFonts w:hint="eastAsia" w:ascii="仿宋" w:hAnsi="仿宋" w:eastAsia="仿宋"/>
          <w:sz w:val="30"/>
          <w:szCs w:val="30"/>
        </w:rPr>
        <w:t>（6）指导和管理各类残疾人社团组织。</w:t>
      </w:r>
    </w:p>
    <w:p w14:paraId="289B7E5C">
      <w:pPr>
        <w:keepNext w:val="0"/>
        <w:keepLines w:val="0"/>
        <w:pageBreakBefore w:val="0"/>
        <w:kinsoku/>
        <w:wordWrap/>
        <w:overflowPunct/>
        <w:topLinePunct w:val="0"/>
        <w:autoSpaceDE/>
        <w:autoSpaceDN/>
        <w:bidi w:val="0"/>
        <w:adjustRightInd/>
        <w:snapToGrid/>
        <w:spacing w:line="360" w:lineRule="auto"/>
        <w:ind w:firstLine="540" w:firstLineChars="180"/>
        <w:textAlignment w:val="auto"/>
        <w:rPr>
          <w:rFonts w:hint="eastAsia" w:ascii="仿宋" w:hAnsi="仿宋" w:eastAsia="仿宋"/>
          <w:sz w:val="30"/>
          <w:szCs w:val="30"/>
        </w:rPr>
      </w:pPr>
      <w:r>
        <w:rPr>
          <w:rFonts w:hint="eastAsia" w:ascii="仿宋" w:hAnsi="仿宋" w:eastAsia="仿宋"/>
          <w:sz w:val="30"/>
          <w:szCs w:val="30"/>
        </w:rPr>
        <w:t>（7）开展残疾人事业的国际交流和合作。</w:t>
      </w:r>
    </w:p>
    <w:p w14:paraId="484ED741">
      <w:pPr>
        <w:keepNext w:val="0"/>
        <w:keepLines w:val="0"/>
        <w:pageBreakBefore w:val="0"/>
        <w:kinsoku/>
        <w:wordWrap/>
        <w:overflowPunct/>
        <w:topLinePunct w:val="0"/>
        <w:autoSpaceDE/>
        <w:autoSpaceDN/>
        <w:bidi w:val="0"/>
        <w:adjustRightInd/>
        <w:snapToGrid/>
        <w:spacing w:line="360" w:lineRule="auto"/>
        <w:ind w:firstLine="540" w:firstLineChars="180"/>
        <w:textAlignment w:val="auto"/>
        <w:rPr>
          <w:rFonts w:hint="eastAsia" w:ascii="仿宋" w:hAnsi="仿宋" w:eastAsia="仿宋"/>
          <w:sz w:val="30"/>
          <w:szCs w:val="30"/>
        </w:rPr>
      </w:pPr>
      <w:r>
        <w:rPr>
          <w:rFonts w:hint="eastAsia" w:ascii="仿宋" w:hAnsi="仿宋" w:eastAsia="仿宋"/>
          <w:sz w:val="30"/>
          <w:szCs w:val="30"/>
        </w:rPr>
        <w:t>（8）承办市委、市政府交办的其他事项。</w:t>
      </w:r>
    </w:p>
    <w:p w14:paraId="02EF4C40">
      <w:pPr>
        <w:keepNext w:val="0"/>
        <w:keepLines w:val="0"/>
        <w:pageBreakBefore w:val="0"/>
        <w:kinsoku/>
        <w:wordWrap/>
        <w:overflowPunct/>
        <w:topLinePunct w:val="0"/>
        <w:autoSpaceDE/>
        <w:autoSpaceDN/>
        <w:bidi w:val="0"/>
        <w:adjustRightInd/>
        <w:snapToGrid/>
        <w:spacing w:line="360" w:lineRule="auto"/>
        <w:ind w:firstLine="630"/>
        <w:jc w:val="left"/>
        <w:textAlignment w:val="auto"/>
        <w:rPr>
          <w:rFonts w:hint="eastAsia" w:ascii="黑体" w:hAnsi="黑体" w:eastAsia="黑体"/>
          <w:sz w:val="30"/>
          <w:szCs w:val="30"/>
        </w:rPr>
      </w:pPr>
      <w:r>
        <w:rPr>
          <w:rFonts w:hint="eastAsia" w:ascii="黑体" w:hAnsi="黑体" w:eastAsia="黑体"/>
          <w:sz w:val="30"/>
          <w:szCs w:val="30"/>
        </w:rPr>
        <w:t>二、部门基本情况</w:t>
      </w:r>
    </w:p>
    <w:p w14:paraId="51560868">
      <w:pPr>
        <w:keepNext w:val="0"/>
        <w:keepLines w:val="0"/>
        <w:pageBreakBefore w:val="0"/>
        <w:kinsoku/>
        <w:wordWrap/>
        <w:overflowPunct/>
        <w:topLinePunct w:val="0"/>
        <w:autoSpaceDE/>
        <w:autoSpaceDN/>
        <w:bidi w:val="0"/>
        <w:adjustRightInd/>
        <w:snapToGrid/>
        <w:spacing w:line="360" w:lineRule="auto"/>
        <w:ind w:firstLine="747" w:firstLineChars="249"/>
        <w:textAlignment w:val="auto"/>
        <w:rPr>
          <w:rFonts w:hint="eastAsia" w:ascii="仿宋" w:hAnsi="仿宋" w:eastAsia="仿宋"/>
          <w:color w:val="000000"/>
          <w:sz w:val="30"/>
          <w:szCs w:val="30"/>
        </w:rPr>
      </w:pPr>
      <w:r>
        <w:rPr>
          <w:rFonts w:hint="eastAsia" w:ascii="仿宋" w:hAnsi="仿宋" w:eastAsia="仿宋"/>
          <w:color w:val="000000"/>
          <w:sz w:val="30"/>
          <w:szCs w:val="30"/>
        </w:rPr>
        <w:t>201</w:t>
      </w:r>
      <w:r>
        <w:rPr>
          <w:rFonts w:hint="eastAsia" w:ascii="仿宋" w:hAnsi="仿宋" w:eastAsia="仿宋"/>
          <w:color w:val="000000"/>
          <w:sz w:val="30"/>
          <w:szCs w:val="30"/>
          <w:lang w:val="en-US" w:eastAsia="zh-CN"/>
        </w:rPr>
        <w:t>9</w:t>
      </w:r>
      <w:r>
        <w:rPr>
          <w:rFonts w:hint="eastAsia" w:ascii="仿宋" w:hAnsi="仿宋" w:eastAsia="仿宋"/>
          <w:color w:val="000000"/>
          <w:sz w:val="30"/>
          <w:szCs w:val="30"/>
        </w:rPr>
        <w:t>年度，纳入本部门决算汇编范围的独立核算单位共</w:t>
      </w:r>
      <w:r>
        <w:rPr>
          <w:rFonts w:hint="eastAsia" w:ascii="仿宋" w:hAnsi="仿宋" w:eastAsia="仿宋"/>
          <w:color w:val="000000"/>
          <w:sz w:val="30"/>
          <w:szCs w:val="30"/>
          <w:u w:val="single"/>
        </w:rPr>
        <w:t>2</w:t>
      </w:r>
      <w:r>
        <w:rPr>
          <w:rFonts w:hint="eastAsia" w:ascii="仿宋" w:hAnsi="仿宋" w:eastAsia="仿宋"/>
          <w:color w:val="000000"/>
          <w:sz w:val="30"/>
          <w:szCs w:val="30"/>
        </w:rPr>
        <w:t>个</w:t>
      </w:r>
      <w:r>
        <w:rPr>
          <w:rFonts w:hint="eastAsia" w:ascii="仿宋_GB2312" w:hAnsi="宋体" w:eastAsia="仿宋_GB2312" w:cs="仿宋"/>
          <w:color w:val="000000"/>
          <w:sz w:val="30"/>
          <w:szCs w:val="30"/>
        </w:rPr>
        <w:t>，</w:t>
      </w:r>
      <w:r>
        <w:rPr>
          <w:rFonts w:hint="eastAsia" w:ascii="仿宋" w:hAnsi="仿宋" w:eastAsia="仿宋"/>
          <w:color w:val="000000"/>
          <w:sz w:val="30"/>
          <w:szCs w:val="30"/>
        </w:rPr>
        <w:t>包括：景德镇市残疾人联合会、景德镇市残疾人劳动就业服务中心。</w:t>
      </w:r>
    </w:p>
    <w:p w14:paraId="3CA6DBA0">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宋体" w:hAnsi="宋体"/>
          <w:b/>
          <w:bCs/>
          <w:sz w:val="32"/>
          <w:szCs w:val="32"/>
        </w:rPr>
      </w:pPr>
      <w:r>
        <w:rPr>
          <w:rFonts w:hint="eastAsia" w:ascii="仿宋" w:hAnsi="仿宋" w:eastAsia="仿宋"/>
          <w:color w:val="000000"/>
          <w:sz w:val="30"/>
          <w:szCs w:val="30"/>
        </w:rPr>
        <w:t>本部门201</w:t>
      </w:r>
      <w:r>
        <w:rPr>
          <w:rFonts w:hint="eastAsia" w:ascii="仿宋" w:hAnsi="仿宋" w:eastAsia="仿宋"/>
          <w:color w:val="000000"/>
          <w:sz w:val="30"/>
          <w:szCs w:val="30"/>
          <w:lang w:val="en-US" w:eastAsia="zh-CN"/>
        </w:rPr>
        <w:t>9</w:t>
      </w:r>
      <w:r>
        <w:rPr>
          <w:rFonts w:hint="eastAsia" w:ascii="仿宋" w:hAnsi="仿宋" w:eastAsia="仿宋"/>
          <w:color w:val="000000"/>
          <w:sz w:val="30"/>
          <w:szCs w:val="30"/>
        </w:rPr>
        <w:t>年年末编制数15人，其中行政编制8人，工勤编</w:t>
      </w:r>
      <w:r>
        <w:rPr>
          <w:rFonts w:hint="eastAsia" w:ascii="仿宋" w:hAnsi="仿宋" w:eastAsia="仿宋"/>
          <w:color w:val="000000"/>
          <w:sz w:val="30"/>
          <w:szCs w:val="30"/>
          <w:lang w:val="en-US" w:eastAsia="zh-CN"/>
        </w:rPr>
        <w:t>2</w:t>
      </w:r>
      <w:r>
        <w:rPr>
          <w:rFonts w:hint="eastAsia" w:ascii="仿宋" w:hAnsi="仿宋" w:eastAsia="仿宋"/>
          <w:color w:val="000000"/>
          <w:sz w:val="30"/>
          <w:szCs w:val="30"/>
        </w:rPr>
        <w:t>人，事业编</w:t>
      </w:r>
      <w:r>
        <w:rPr>
          <w:rFonts w:hint="eastAsia" w:ascii="仿宋" w:hAnsi="仿宋" w:eastAsia="仿宋"/>
          <w:color w:val="000000"/>
          <w:sz w:val="30"/>
          <w:szCs w:val="30"/>
          <w:lang w:val="en-US" w:eastAsia="zh-CN"/>
        </w:rPr>
        <w:t>5</w:t>
      </w:r>
      <w:r>
        <w:rPr>
          <w:rFonts w:hint="eastAsia" w:ascii="仿宋" w:hAnsi="仿宋" w:eastAsia="仿宋"/>
          <w:color w:val="000000"/>
          <w:sz w:val="30"/>
          <w:szCs w:val="30"/>
        </w:rPr>
        <w:t>人；年末实有人数15人，其中在职人员15人，离休人员0人，退休人员</w:t>
      </w:r>
      <w:r>
        <w:rPr>
          <w:rFonts w:hint="eastAsia" w:ascii="仿宋" w:hAnsi="仿宋" w:eastAsia="仿宋"/>
          <w:color w:val="000000"/>
          <w:sz w:val="30"/>
          <w:szCs w:val="30"/>
          <w:lang w:val="en-US" w:eastAsia="zh-CN"/>
        </w:rPr>
        <w:t>7</w:t>
      </w:r>
      <w:r>
        <w:rPr>
          <w:rFonts w:hint="eastAsia" w:ascii="仿宋" w:hAnsi="仿宋" w:eastAsia="仿宋"/>
          <w:color w:val="000000"/>
          <w:sz w:val="30"/>
          <w:szCs w:val="30"/>
        </w:rPr>
        <w:t>人。</w:t>
      </w:r>
    </w:p>
    <w:p w14:paraId="03D46630">
      <w:pPr>
        <w:widowControl/>
        <w:spacing w:line="660" w:lineRule="exact"/>
        <w:jc w:val="left"/>
        <w:rPr>
          <w:rFonts w:ascii="黑体" w:hAnsi="黑体" w:eastAsia="黑体"/>
          <w:sz w:val="32"/>
          <w:szCs w:val="32"/>
        </w:rPr>
      </w:pPr>
      <w:r>
        <w:rPr>
          <w:rFonts w:hint="eastAsia" w:ascii="黑体" w:hAnsi="黑体" w:eastAsia="黑体" w:cs="黑体"/>
          <w:sz w:val="32"/>
          <w:szCs w:val="32"/>
        </w:rPr>
        <w:t>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第二部分</w:t>
      </w:r>
      <w:r>
        <w:rPr>
          <w:rFonts w:ascii="黑体" w:hAnsi="黑体" w:eastAsia="黑体" w:cs="黑体"/>
          <w:sz w:val="32"/>
          <w:szCs w:val="32"/>
        </w:rPr>
        <w:t xml:space="preserve">  201</w:t>
      </w:r>
      <w:r>
        <w:rPr>
          <w:rFonts w:hint="eastAsia" w:ascii="黑体" w:hAnsi="黑体" w:eastAsia="黑体" w:cs="黑体"/>
          <w:sz w:val="32"/>
          <w:szCs w:val="32"/>
          <w:lang w:val="en-US" w:eastAsia="zh-CN"/>
        </w:rPr>
        <w:t>9</w:t>
      </w:r>
      <w:r>
        <w:rPr>
          <w:rFonts w:hint="eastAsia" w:ascii="黑体" w:hAnsi="黑体" w:eastAsia="黑体" w:cs="黑体"/>
          <w:sz w:val="32"/>
          <w:szCs w:val="32"/>
        </w:rPr>
        <w:t>年度部门决算表</w:t>
      </w:r>
    </w:p>
    <w:p w14:paraId="79E02E91">
      <w:pPr>
        <w:widowControl/>
        <w:spacing w:line="660" w:lineRule="exact"/>
        <w:rPr>
          <w:rFonts w:ascii="仿宋_GB2312" w:hAnsi="仿宋_GB2312" w:eastAsia="仿宋_GB2312" w:cs="仿宋_GB2312"/>
          <w:sz w:val="32"/>
          <w:szCs w:val="32"/>
        </w:rPr>
      </w:pPr>
    </w:p>
    <w:p w14:paraId="108D3BAC">
      <w:pPr>
        <w:widowControl/>
        <w:spacing w:line="600" w:lineRule="exact"/>
        <w:ind w:firstLine="640"/>
        <w:jc w:val="center"/>
        <w:rPr>
          <w:rFonts w:hint="eastAsia" w:ascii="宋体" w:hAnsi="宋体"/>
          <w:b/>
          <w:sz w:val="32"/>
          <w:szCs w:val="32"/>
        </w:rPr>
      </w:pPr>
    </w:p>
    <w:p w14:paraId="250553D1">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6079490" cy="5618480"/>
            <wp:effectExtent l="0" t="0" r="16510" b="1270"/>
            <wp:docPr id="24" name="图片 24" descr="16022939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1602293999(1)"/>
                    <pic:cNvPicPr>
                      <a:picLocks noChangeAspect="1"/>
                    </pic:cNvPicPr>
                  </pic:nvPicPr>
                  <pic:blipFill>
                    <a:blip r:embed="rId5"/>
                    <a:stretch>
                      <a:fillRect/>
                    </a:stretch>
                  </pic:blipFill>
                  <pic:spPr>
                    <a:xfrm>
                      <a:off x="0" y="0"/>
                      <a:ext cx="6079490" cy="5618480"/>
                    </a:xfrm>
                    <a:prstGeom prst="rect">
                      <a:avLst/>
                    </a:prstGeom>
                  </pic:spPr>
                </pic:pic>
              </a:graphicData>
            </a:graphic>
          </wp:inline>
        </w:drawing>
      </w:r>
    </w:p>
    <w:p w14:paraId="65EB21F3">
      <w:pPr>
        <w:autoSpaceDE w:val="0"/>
        <w:autoSpaceDN w:val="0"/>
        <w:adjustRightInd w:val="0"/>
        <w:spacing w:line="360" w:lineRule="auto"/>
        <w:jc w:val="left"/>
        <w:rPr>
          <w:rFonts w:hint="eastAsia" w:eastAsia="宋体"/>
          <w:szCs w:val="30"/>
          <w:lang w:eastAsia="zh-CN"/>
        </w:rPr>
      </w:pPr>
    </w:p>
    <w:p w14:paraId="73C8748B">
      <w:pPr>
        <w:autoSpaceDE w:val="0"/>
        <w:autoSpaceDN w:val="0"/>
        <w:adjustRightInd w:val="0"/>
        <w:spacing w:line="360" w:lineRule="auto"/>
        <w:jc w:val="left"/>
        <w:rPr>
          <w:rFonts w:hint="eastAsia" w:eastAsia="宋体"/>
          <w:szCs w:val="30"/>
          <w:lang w:eastAsia="zh-CN"/>
        </w:rPr>
      </w:pPr>
    </w:p>
    <w:p w14:paraId="6C13082F">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6076950" cy="2964815"/>
            <wp:effectExtent l="0" t="0" r="0" b="6985"/>
            <wp:docPr id="25" name="图片 25" descr="16022940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1602294064(1)"/>
                    <pic:cNvPicPr>
                      <a:picLocks noChangeAspect="1"/>
                    </pic:cNvPicPr>
                  </pic:nvPicPr>
                  <pic:blipFill>
                    <a:blip r:embed="rId6"/>
                    <a:stretch>
                      <a:fillRect/>
                    </a:stretch>
                  </pic:blipFill>
                  <pic:spPr>
                    <a:xfrm>
                      <a:off x="0" y="0"/>
                      <a:ext cx="6076950" cy="2964815"/>
                    </a:xfrm>
                    <a:prstGeom prst="rect">
                      <a:avLst/>
                    </a:prstGeom>
                  </pic:spPr>
                </pic:pic>
              </a:graphicData>
            </a:graphic>
          </wp:inline>
        </w:drawing>
      </w:r>
    </w:p>
    <w:p w14:paraId="1E13A621">
      <w:pPr>
        <w:autoSpaceDE w:val="0"/>
        <w:autoSpaceDN w:val="0"/>
        <w:adjustRightInd w:val="0"/>
        <w:spacing w:line="360" w:lineRule="auto"/>
        <w:jc w:val="left"/>
        <w:rPr>
          <w:rFonts w:hint="eastAsia" w:ascii="仿宋" w:hAnsi="仿宋" w:eastAsia="仿宋" w:cs="仿宋_GB2312"/>
          <w:kern w:val="0"/>
          <w:sz w:val="30"/>
          <w:szCs w:val="30"/>
        </w:rPr>
      </w:pPr>
    </w:p>
    <w:p w14:paraId="5DCA22F2">
      <w:pPr>
        <w:autoSpaceDE w:val="0"/>
        <w:autoSpaceDN w:val="0"/>
        <w:adjustRightInd w:val="0"/>
        <w:spacing w:line="360" w:lineRule="auto"/>
        <w:jc w:val="left"/>
        <w:rPr>
          <w:rFonts w:hint="eastAsia" w:eastAsia="仿宋"/>
          <w:lang w:eastAsia="zh-CN"/>
        </w:rPr>
      </w:pPr>
      <w:r>
        <w:rPr>
          <w:rFonts w:hint="eastAsia" w:ascii="仿宋" w:hAnsi="仿宋" w:eastAsia="仿宋" w:cs="仿宋_GB2312"/>
          <w:kern w:val="0"/>
          <w:sz w:val="30"/>
          <w:szCs w:val="30"/>
        </w:rPr>
        <w:t xml:space="preserve"> </w:t>
      </w:r>
      <w:r>
        <w:rPr>
          <w:rFonts w:hint="eastAsia" w:eastAsia="仿宋"/>
          <w:lang w:eastAsia="zh-CN"/>
        </w:rPr>
        <w:drawing>
          <wp:inline distT="0" distB="0" distL="114300" distR="114300">
            <wp:extent cx="6082030" cy="4100830"/>
            <wp:effectExtent l="0" t="0" r="13970" b="13970"/>
            <wp:docPr id="26" name="图片 26" descr="1602294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1602294128(1)"/>
                    <pic:cNvPicPr>
                      <a:picLocks noChangeAspect="1"/>
                    </pic:cNvPicPr>
                  </pic:nvPicPr>
                  <pic:blipFill>
                    <a:blip r:embed="rId7"/>
                    <a:stretch>
                      <a:fillRect/>
                    </a:stretch>
                  </pic:blipFill>
                  <pic:spPr>
                    <a:xfrm>
                      <a:off x="0" y="0"/>
                      <a:ext cx="6082030" cy="4100830"/>
                    </a:xfrm>
                    <a:prstGeom prst="rect">
                      <a:avLst/>
                    </a:prstGeom>
                  </pic:spPr>
                </pic:pic>
              </a:graphicData>
            </a:graphic>
          </wp:inline>
        </w:drawing>
      </w:r>
    </w:p>
    <w:p w14:paraId="21BDFAE7">
      <w:pPr>
        <w:autoSpaceDE w:val="0"/>
        <w:autoSpaceDN w:val="0"/>
        <w:adjustRightInd w:val="0"/>
        <w:spacing w:line="360" w:lineRule="auto"/>
        <w:jc w:val="left"/>
      </w:pPr>
    </w:p>
    <w:p w14:paraId="0237D707">
      <w:pPr>
        <w:autoSpaceDE w:val="0"/>
        <w:autoSpaceDN w:val="0"/>
        <w:adjustRightInd w:val="0"/>
        <w:spacing w:line="360" w:lineRule="auto"/>
        <w:jc w:val="left"/>
        <w:rPr>
          <w:rFonts w:hint="eastAsia" w:eastAsia="宋体"/>
          <w:lang w:eastAsia="zh-CN"/>
        </w:rPr>
      </w:pPr>
      <w:r>
        <w:drawing>
          <wp:inline distT="0" distB="0" distL="114300" distR="114300">
            <wp:extent cx="6080760" cy="4841240"/>
            <wp:effectExtent l="0" t="0" r="15240" b="16510"/>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8"/>
                    <a:stretch>
                      <a:fillRect/>
                    </a:stretch>
                  </pic:blipFill>
                  <pic:spPr>
                    <a:xfrm>
                      <a:off x="0" y="0"/>
                      <a:ext cx="6080760" cy="4841240"/>
                    </a:xfrm>
                    <a:prstGeom prst="rect">
                      <a:avLst/>
                    </a:prstGeom>
                    <a:noFill/>
                    <a:ln>
                      <a:noFill/>
                    </a:ln>
                  </pic:spPr>
                </pic:pic>
              </a:graphicData>
            </a:graphic>
          </wp:inline>
        </w:drawing>
      </w:r>
    </w:p>
    <w:p w14:paraId="12645A2B">
      <w:pPr>
        <w:autoSpaceDE w:val="0"/>
        <w:autoSpaceDN w:val="0"/>
        <w:adjustRightInd w:val="0"/>
        <w:spacing w:line="360" w:lineRule="auto"/>
        <w:jc w:val="left"/>
        <w:rPr>
          <w:rFonts w:hint="eastAsia" w:ascii="仿宋" w:hAnsi="仿宋" w:eastAsia="仿宋" w:cs="仿宋_GB2312"/>
          <w:kern w:val="0"/>
          <w:sz w:val="30"/>
          <w:szCs w:val="30"/>
        </w:rPr>
      </w:pPr>
    </w:p>
    <w:p w14:paraId="391CDF33">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400675" cy="5133975"/>
            <wp:effectExtent l="0" t="0" r="9525" b="9525"/>
            <wp:docPr id="28" name="图片 28" descr="16022942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1602294251(1)"/>
                    <pic:cNvPicPr>
                      <a:picLocks noChangeAspect="1"/>
                    </pic:cNvPicPr>
                  </pic:nvPicPr>
                  <pic:blipFill>
                    <a:blip r:embed="rId9"/>
                    <a:stretch>
                      <a:fillRect/>
                    </a:stretch>
                  </pic:blipFill>
                  <pic:spPr>
                    <a:xfrm>
                      <a:off x="0" y="0"/>
                      <a:ext cx="5400675" cy="5133975"/>
                    </a:xfrm>
                    <a:prstGeom prst="rect">
                      <a:avLst/>
                    </a:prstGeom>
                  </pic:spPr>
                </pic:pic>
              </a:graphicData>
            </a:graphic>
          </wp:inline>
        </w:drawing>
      </w:r>
    </w:p>
    <w:p w14:paraId="1807A385">
      <w:pPr>
        <w:autoSpaceDE w:val="0"/>
        <w:autoSpaceDN w:val="0"/>
        <w:adjustRightInd w:val="0"/>
        <w:spacing w:line="360" w:lineRule="auto"/>
        <w:jc w:val="left"/>
        <w:rPr>
          <w:rFonts w:hint="eastAsia"/>
          <w:szCs w:val="30"/>
        </w:rPr>
      </w:pPr>
    </w:p>
    <w:p w14:paraId="734BFEAA">
      <w:pPr>
        <w:autoSpaceDE w:val="0"/>
        <w:autoSpaceDN w:val="0"/>
        <w:adjustRightInd w:val="0"/>
        <w:spacing w:line="360" w:lineRule="auto"/>
        <w:jc w:val="left"/>
        <w:rPr>
          <w:rFonts w:hint="eastAsia" w:ascii="仿宋" w:hAnsi="仿宋" w:eastAsia="仿宋" w:cs="仿宋_GB2312"/>
          <w:kern w:val="0"/>
          <w:sz w:val="30"/>
          <w:szCs w:val="30"/>
          <w:lang w:eastAsia="zh-CN"/>
        </w:rPr>
      </w:pPr>
      <w:r>
        <w:drawing>
          <wp:inline distT="0" distB="0" distL="114300" distR="114300">
            <wp:extent cx="6082665" cy="6929755"/>
            <wp:effectExtent l="0" t="0" r="13335" b="4445"/>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pic:cNvPicPr>
                  </pic:nvPicPr>
                  <pic:blipFill>
                    <a:blip r:embed="rId10"/>
                    <a:stretch>
                      <a:fillRect/>
                    </a:stretch>
                  </pic:blipFill>
                  <pic:spPr>
                    <a:xfrm>
                      <a:off x="0" y="0"/>
                      <a:ext cx="6082665" cy="6929755"/>
                    </a:xfrm>
                    <a:prstGeom prst="rect">
                      <a:avLst/>
                    </a:prstGeom>
                    <a:noFill/>
                    <a:ln>
                      <a:noFill/>
                    </a:ln>
                  </pic:spPr>
                </pic:pic>
              </a:graphicData>
            </a:graphic>
          </wp:inline>
        </w:drawing>
      </w:r>
    </w:p>
    <w:p w14:paraId="1A9F8DFD">
      <w:pPr>
        <w:autoSpaceDE w:val="0"/>
        <w:autoSpaceDN w:val="0"/>
        <w:adjustRightInd w:val="0"/>
        <w:spacing w:line="360" w:lineRule="auto"/>
        <w:jc w:val="left"/>
        <w:rPr>
          <w:rFonts w:hint="eastAsia" w:ascii="仿宋" w:hAnsi="仿宋" w:eastAsia="仿宋" w:cs="仿宋_GB2312"/>
          <w:kern w:val="0"/>
          <w:sz w:val="30"/>
          <w:szCs w:val="30"/>
        </w:rPr>
      </w:pPr>
    </w:p>
    <w:p w14:paraId="2BB2DD47">
      <w:pPr>
        <w:autoSpaceDE w:val="0"/>
        <w:autoSpaceDN w:val="0"/>
        <w:adjustRightInd w:val="0"/>
        <w:spacing w:line="360" w:lineRule="auto"/>
        <w:jc w:val="left"/>
        <w:rPr>
          <w:rFonts w:hint="eastAsia" w:eastAsia="宋体"/>
          <w:szCs w:val="30"/>
          <w:lang w:eastAsia="zh-CN"/>
        </w:rPr>
      </w:pPr>
      <w:r>
        <w:drawing>
          <wp:inline distT="0" distB="0" distL="114300" distR="114300">
            <wp:extent cx="5419725" cy="5267325"/>
            <wp:effectExtent l="0" t="0" r="9525" b="9525"/>
            <wp:docPr id="3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
                    <pic:cNvPicPr>
                      <a:picLocks noChangeAspect="1"/>
                    </pic:cNvPicPr>
                  </pic:nvPicPr>
                  <pic:blipFill>
                    <a:blip r:embed="rId11"/>
                    <a:stretch>
                      <a:fillRect/>
                    </a:stretch>
                  </pic:blipFill>
                  <pic:spPr>
                    <a:xfrm>
                      <a:off x="0" y="0"/>
                      <a:ext cx="5419725" cy="5267325"/>
                    </a:xfrm>
                    <a:prstGeom prst="rect">
                      <a:avLst/>
                    </a:prstGeom>
                    <a:noFill/>
                    <a:ln>
                      <a:noFill/>
                    </a:ln>
                  </pic:spPr>
                </pic:pic>
              </a:graphicData>
            </a:graphic>
          </wp:inline>
        </w:drawing>
      </w:r>
    </w:p>
    <w:p w14:paraId="7D31D4EA">
      <w:pPr>
        <w:autoSpaceDE w:val="0"/>
        <w:autoSpaceDN w:val="0"/>
        <w:adjustRightInd w:val="0"/>
        <w:spacing w:line="360" w:lineRule="auto"/>
        <w:jc w:val="left"/>
        <w:rPr>
          <w:rFonts w:hint="eastAsia" w:eastAsia="宋体"/>
          <w:szCs w:val="30"/>
          <w:lang w:eastAsia="zh-CN"/>
        </w:rPr>
      </w:pPr>
    </w:p>
    <w:p w14:paraId="78DDE855">
      <w:pPr>
        <w:autoSpaceDE w:val="0"/>
        <w:autoSpaceDN w:val="0"/>
        <w:adjustRightInd w:val="0"/>
        <w:spacing w:line="360" w:lineRule="auto"/>
        <w:jc w:val="left"/>
        <w:rPr>
          <w:rFonts w:hint="eastAsia" w:eastAsia="宋体"/>
          <w:szCs w:val="30"/>
          <w:lang w:eastAsia="zh-CN"/>
        </w:rPr>
      </w:pPr>
    </w:p>
    <w:p w14:paraId="04DB5515">
      <w:pPr>
        <w:autoSpaceDE w:val="0"/>
        <w:autoSpaceDN w:val="0"/>
        <w:adjustRightInd w:val="0"/>
        <w:spacing w:line="360" w:lineRule="auto"/>
        <w:jc w:val="left"/>
        <w:rPr>
          <w:rFonts w:hint="eastAsia" w:eastAsia="宋体"/>
          <w:szCs w:val="30"/>
          <w:lang w:eastAsia="zh-CN"/>
        </w:rPr>
      </w:pPr>
    </w:p>
    <w:p w14:paraId="386ACF72">
      <w:pPr>
        <w:autoSpaceDE w:val="0"/>
        <w:autoSpaceDN w:val="0"/>
        <w:adjustRightInd w:val="0"/>
        <w:spacing w:line="360" w:lineRule="auto"/>
        <w:jc w:val="left"/>
        <w:rPr>
          <w:rFonts w:hint="eastAsia" w:eastAsia="宋体"/>
          <w:szCs w:val="30"/>
          <w:lang w:eastAsia="zh-CN"/>
        </w:rPr>
      </w:pPr>
    </w:p>
    <w:p w14:paraId="6319BA7A">
      <w:pPr>
        <w:autoSpaceDE w:val="0"/>
        <w:autoSpaceDN w:val="0"/>
        <w:adjustRightInd w:val="0"/>
        <w:spacing w:line="360" w:lineRule="auto"/>
        <w:jc w:val="left"/>
        <w:rPr>
          <w:rFonts w:hint="eastAsia" w:eastAsia="宋体"/>
          <w:szCs w:val="30"/>
          <w:lang w:eastAsia="zh-CN"/>
        </w:rPr>
      </w:pPr>
    </w:p>
    <w:p w14:paraId="46FA8657">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6083300" cy="2225040"/>
            <wp:effectExtent l="0" t="0" r="12700" b="3810"/>
            <wp:docPr id="31" name="图片 31" descr="16022945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1602294521(1)"/>
                    <pic:cNvPicPr>
                      <a:picLocks noChangeAspect="1"/>
                    </pic:cNvPicPr>
                  </pic:nvPicPr>
                  <pic:blipFill>
                    <a:blip r:embed="rId12"/>
                    <a:stretch>
                      <a:fillRect/>
                    </a:stretch>
                  </pic:blipFill>
                  <pic:spPr>
                    <a:xfrm>
                      <a:off x="0" y="0"/>
                      <a:ext cx="6083300" cy="2225040"/>
                    </a:xfrm>
                    <a:prstGeom prst="rect">
                      <a:avLst/>
                    </a:prstGeom>
                  </pic:spPr>
                </pic:pic>
              </a:graphicData>
            </a:graphic>
          </wp:inline>
        </w:drawing>
      </w:r>
    </w:p>
    <w:p w14:paraId="2FD2DC7E">
      <w:pPr>
        <w:autoSpaceDE w:val="0"/>
        <w:autoSpaceDN w:val="0"/>
        <w:adjustRightInd w:val="0"/>
        <w:spacing w:line="360" w:lineRule="auto"/>
        <w:jc w:val="left"/>
        <w:rPr>
          <w:rFonts w:hint="eastAsia"/>
          <w:szCs w:val="30"/>
        </w:rPr>
      </w:pPr>
    </w:p>
    <w:p w14:paraId="10AB8ABF">
      <w:pPr>
        <w:autoSpaceDE w:val="0"/>
        <w:autoSpaceDN w:val="0"/>
        <w:adjustRightInd w:val="0"/>
        <w:spacing w:line="360" w:lineRule="auto"/>
        <w:jc w:val="left"/>
        <w:rPr>
          <w:rFonts w:hint="eastAsia"/>
          <w:szCs w:val="30"/>
        </w:rPr>
      </w:pPr>
    </w:p>
    <w:p w14:paraId="4806E33A">
      <w:pPr>
        <w:autoSpaceDE w:val="0"/>
        <w:autoSpaceDN w:val="0"/>
        <w:adjustRightInd w:val="0"/>
        <w:spacing w:line="360" w:lineRule="auto"/>
        <w:jc w:val="left"/>
        <w:rPr>
          <w:rFonts w:hint="eastAsia"/>
          <w:szCs w:val="30"/>
        </w:rPr>
      </w:pPr>
    </w:p>
    <w:p w14:paraId="4C369369">
      <w:pPr>
        <w:autoSpaceDE w:val="0"/>
        <w:autoSpaceDN w:val="0"/>
        <w:adjustRightInd w:val="0"/>
        <w:spacing w:line="360" w:lineRule="auto"/>
        <w:jc w:val="left"/>
        <w:rPr>
          <w:rFonts w:hint="eastAsia" w:eastAsia="宋体"/>
          <w:szCs w:val="30"/>
          <w:lang w:eastAsia="zh-CN"/>
        </w:rPr>
      </w:pPr>
      <w:r>
        <w:drawing>
          <wp:inline distT="0" distB="0" distL="114300" distR="114300">
            <wp:extent cx="5067300" cy="2981325"/>
            <wp:effectExtent l="0" t="0" r="0" b="9525"/>
            <wp:docPr id="3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4"/>
                    <pic:cNvPicPr>
                      <a:picLocks noChangeAspect="1"/>
                    </pic:cNvPicPr>
                  </pic:nvPicPr>
                  <pic:blipFill>
                    <a:blip r:embed="rId13"/>
                    <a:stretch>
                      <a:fillRect/>
                    </a:stretch>
                  </pic:blipFill>
                  <pic:spPr>
                    <a:xfrm>
                      <a:off x="0" y="0"/>
                      <a:ext cx="5067300" cy="2981325"/>
                    </a:xfrm>
                    <a:prstGeom prst="rect">
                      <a:avLst/>
                    </a:prstGeom>
                    <a:noFill/>
                    <a:ln>
                      <a:noFill/>
                    </a:ln>
                  </pic:spPr>
                </pic:pic>
              </a:graphicData>
            </a:graphic>
          </wp:inline>
        </w:drawing>
      </w:r>
    </w:p>
    <w:p w14:paraId="4D0864B3">
      <w:pPr>
        <w:autoSpaceDE w:val="0"/>
        <w:autoSpaceDN w:val="0"/>
        <w:adjustRightInd w:val="0"/>
        <w:spacing w:line="360" w:lineRule="auto"/>
        <w:jc w:val="left"/>
        <w:rPr>
          <w:rFonts w:hint="eastAsia"/>
          <w:szCs w:val="30"/>
        </w:rPr>
      </w:pPr>
    </w:p>
    <w:p w14:paraId="17B6CF00">
      <w:pPr>
        <w:autoSpaceDE w:val="0"/>
        <w:autoSpaceDN w:val="0"/>
        <w:adjustRightInd w:val="0"/>
        <w:spacing w:line="360" w:lineRule="auto"/>
        <w:jc w:val="left"/>
        <w:rPr>
          <w:rFonts w:hint="eastAsia"/>
          <w:szCs w:val="30"/>
        </w:rPr>
      </w:pPr>
    </w:p>
    <w:p w14:paraId="090E3295">
      <w:pPr>
        <w:autoSpaceDE w:val="0"/>
        <w:autoSpaceDN w:val="0"/>
        <w:adjustRightInd w:val="0"/>
        <w:spacing w:line="360" w:lineRule="auto"/>
        <w:jc w:val="left"/>
        <w:rPr>
          <w:rFonts w:hint="eastAsia" w:eastAsia="宋体"/>
          <w:szCs w:val="30"/>
          <w:lang w:eastAsia="zh-CN"/>
        </w:rPr>
      </w:pPr>
    </w:p>
    <w:p w14:paraId="313AEF4C">
      <w:pPr>
        <w:autoSpaceDE w:val="0"/>
        <w:autoSpaceDN w:val="0"/>
        <w:adjustRightInd w:val="0"/>
        <w:spacing w:line="360" w:lineRule="auto"/>
        <w:jc w:val="left"/>
        <w:rPr>
          <w:rFonts w:hint="eastAsia" w:ascii="仿宋" w:hAnsi="仿宋" w:eastAsia="仿宋" w:cs="仿宋_GB2312"/>
          <w:kern w:val="0"/>
          <w:sz w:val="30"/>
          <w:szCs w:val="30"/>
        </w:rPr>
      </w:pPr>
    </w:p>
    <w:p w14:paraId="370A02BC">
      <w:pPr>
        <w:widowControl/>
        <w:spacing w:line="600" w:lineRule="exact"/>
        <w:ind w:firstLine="640"/>
        <w:jc w:val="center"/>
        <w:rPr>
          <w:rFonts w:hint="eastAsia" w:ascii="宋体" w:hAnsi="宋体"/>
          <w:b/>
          <w:sz w:val="32"/>
          <w:szCs w:val="32"/>
        </w:rPr>
      </w:pPr>
    </w:p>
    <w:p w14:paraId="6D1DE9EF">
      <w:pPr>
        <w:widowControl/>
        <w:spacing w:line="600" w:lineRule="exact"/>
        <w:ind w:firstLine="640"/>
        <w:jc w:val="center"/>
        <w:rPr>
          <w:rFonts w:ascii="仿宋_GB2312" w:hAnsi="仿宋_GB2312" w:eastAsia="仿宋_GB2312"/>
          <w:sz w:val="36"/>
          <w:szCs w:val="36"/>
        </w:rPr>
      </w:pPr>
      <w:r>
        <w:rPr>
          <w:rFonts w:hint="eastAsia" w:ascii="黑体" w:hAnsi="黑体" w:eastAsia="黑体" w:cs="黑体"/>
          <w:sz w:val="36"/>
          <w:szCs w:val="36"/>
        </w:rPr>
        <w:t>第三部分</w:t>
      </w:r>
      <w:r>
        <w:rPr>
          <w:rFonts w:ascii="黑体" w:hAnsi="黑体" w:eastAsia="黑体" w:cs="黑体"/>
          <w:sz w:val="36"/>
          <w:szCs w:val="36"/>
        </w:rPr>
        <w:t xml:space="preserve">  201</w:t>
      </w:r>
      <w:r>
        <w:rPr>
          <w:rFonts w:hint="eastAsia" w:ascii="黑体" w:hAnsi="黑体" w:eastAsia="黑体" w:cs="黑体"/>
          <w:sz w:val="36"/>
          <w:szCs w:val="36"/>
          <w:lang w:val="en-US" w:eastAsia="zh-CN"/>
        </w:rPr>
        <w:t>9</w:t>
      </w:r>
      <w:r>
        <w:rPr>
          <w:rFonts w:hint="eastAsia" w:ascii="黑体" w:hAnsi="黑体" w:eastAsia="黑体" w:cs="黑体"/>
          <w:sz w:val="36"/>
          <w:szCs w:val="36"/>
        </w:rPr>
        <w:t>年度部门决算情况说明</w:t>
      </w:r>
    </w:p>
    <w:p w14:paraId="4A4C1135">
      <w:pPr>
        <w:widowControl/>
        <w:spacing w:line="660" w:lineRule="exact"/>
        <w:ind w:firstLine="640" w:firstLineChars="200"/>
        <w:jc w:val="left"/>
        <w:rPr>
          <w:rFonts w:hint="eastAsia" w:ascii="黑体" w:hAnsi="黑体" w:eastAsia="黑体" w:cs="黑体"/>
          <w:b w:val="0"/>
          <w:bCs w:val="0"/>
          <w:sz w:val="32"/>
          <w:szCs w:val="32"/>
        </w:rPr>
      </w:pPr>
    </w:p>
    <w:p w14:paraId="01065835">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578E9E4D">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618.63</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111.41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42.48</w:t>
      </w:r>
      <w:r>
        <w:rPr>
          <w:rFonts w:hint="eastAsia" w:ascii="仿宋" w:hAnsi="仿宋" w:eastAsia="仿宋"/>
          <w:sz w:val="30"/>
          <w:szCs w:val="30"/>
        </w:rPr>
        <w:t>万元，增长</w:t>
      </w:r>
      <w:r>
        <w:rPr>
          <w:rFonts w:hint="eastAsia" w:ascii="仿宋" w:hAnsi="仿宋" w:eastAsia="仿宋"/>
          <w:sz w:val="30"/>
          <w:szCs w:val="30"/>
          <w:lang w:val="en-US" w:eastAsia="zh-CN"/>
        </w:rPr>
        <w:t>62.11</w:t>
      </w:r>
      <w:r>
        <w:rPr>
          <w:rFonts w:hint="eastAsia" w:ascii="仿宋" w:hAnsi="仿宋" w:eastAsia="仿宋"/>
          <w:sz w:val="30"/>
          <w:szCs w:val="30"/>
        </w:rPr>
        <w:t xml:space="preserve"> %；本年收入合计 </w:t>
      </w:r>
      <w:r>
        <w:rPr>
          <w:rFonts w:hint="eastAsia" w:ascii="仿宋" w:hAnsi="仿宋" w:eastAsia="仿宋"/>
          <w:sz w:val="30"/>
          <w:szCs w:val="30"/>
          <w:lang w:val="en-US" w:eastAsia="zh-CN"/>
        </w:rPr>
        <w:t>507.22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28.16</w:t>
      </w:r>
      <w:r>
        <w:rPr>
          <w:rFonts w:hint="eastAsia" w:ascii="仿宋" w:hAnsi="仿宋" w:eastAsia="仿宋"/>
          <w:sz w:val="30"/>
          <w:szCs w:val="30"/>
        </w:rPr>
        <w:t xml:space="preserve"> 万元，增长</w:t>
      </w:r>
      <w:r>
        <w:rPr>
          <w:rFonts w:hint="eastAsia" w:ascii="仿宋" w:hAnsi="仿宋" w:eastAsia="仿宋"/>
          <w:sz w:val="30"/>
          <w:szCs w:val="30"/>
          <w:lang w:val="en-US" w:eastAsia="zh-CN"/>
        </w:rPr>
        <w:t>5.88</w:t>
      </w:r>
      <w:r>
        <w:rPr>
          <w:rFonts w:hint="eastAsia" w:ascii="仿宋" w:hAnsi="仿宋" w:eastAsia="仿宋"/>
          <w:sz w:val="30"/>
          <w:szCs w:val="30"/>
        </w:rPr>
        <w:t>%，主要原因是：</w:t>
      </w:r>
      <w:r>
        <w:rPr>
          <w:rFonts w:hint="eastAsia" w:ascii="仿宋" w:hAnsi="仿宋" w:eastAsia="仿宋"/>
          <w:sz w:val="30"/>
          <w:szCs w:val="30"/>
          <w:lang w:eastAsia="zh-CN"/>
        </w:rPr>
        <w:t>每年人员工资的增加</w:t>
      </w:r>
      <w:r>
        <w:rPr>
          <w:rFonts w:hint="eastAsia" w:ascii="仿宋" w:hAnsi="仿宋" w:eastAsia="仿宋"/>
          <w:sz w:val="30"/>
          <w:szCs w:val="30"/>
        </w:rPr>
        <w:t>。</w:t>
      </w:r>
    </w:p>
    <w:p w14:paraId="246801D3">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498</w:t>
      </w:r>
      <w:r>
        <w:rPr>
          <w:rFonts w:hint="eastAsia" w:ascii="仿宋" w:hAnsi="仿宋" w:eastAsia="仿宋"/>
          <w:sz w:val="30"/>
          <w:szCs w:val="30"/>
        </w:rPr>
        <w:t>万元，占</w:t>
      </w:r>
      <w:r>
        <w:rPr>
          <w:rFonts w:hint="eastAsia" w:ascii="仿宋" w:hAnsi="仿宋" w:eastAsia="仿宋"/>
          <w:sz w:val="30"/>
          <w:szCs w:val="30"/>
          <w:lang w:val="en-US" w:eastAsia="zh-CN"/>
        </w:rPr>
        <w:t>98.18</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9.23</w:t>
      </w:r>
      <w:r>
        <w:rPr>
          <w:rFonts w:hint="eastAsia" w:ascii="仿宋" w:hAnsi="仿宋" w:eastAsia="仿宋"/>
          <w:sz w:val="30"/>
          <w:szCs w:val="30"/>
        </w:rPr>
        <w:t>万元，占</w:t>
      </w:r>
      <w:r>
        <w:rPr>
          <w:rFonts w:hint="eastAsia" w:ascii="仿宋" w:hAnsi="仿宋" w:eastAsia="仿宋"/>
          <w:sz w:val="30"/>
          <w:szCs w:val="30"/>
          <w:lang w:val="en-US" w:eastAsia="zh-CN"/>
        </w:rPr>
        <w:t>1.82</w:t>
      </w:r>
      <w:r>
        <w:rPr>
          <w:rFonts w:hint="eastAsia" w:ascii="仿宋" w:hAnsi="仿宋" w:eastAsia="仿宋"/>
          <w:sz w:val="30"/>
          <w:szCs w:val="30"/>
        </w:rPr>
        <w:t xml:space="preserve">%。  </w:t>
      </w:r>
    </w:p>
    <w:p w14:paraId="31C48154">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4F8099CF">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618.63</w:t>
      </w:r>
      <w:r>
        <w:rPr>
          <w:rFonts w:hint="eastAsia" w:ascii="仿宋" w:hAnsi="仿宋" w:eastAsia="仿宋"/>
          <w:sz w:val="30"/>
          <w:szCs w:val="30"/>
        </w:rPr>
        <w:t>万元，其中本年支出合计</w:t>
      </w:r>
      <w:r>
        <w:rPr>
          <w:rFonts w:hint="eastAsia" w:ascii="仿宋" w:hAnsi="仿宋" w:eastAsia="仿宋"/>
          <w:sz w:val="30"/>
          <w:szCs w:val="30"/>
          <w:lang w:val="en-US" w:eastAsia="zh-CN"/>
        </w:rPr>
        <w:t>440.9</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4.85</w:t>
      </w:r>
      <w:r>
        <w:rPr>
          <w:rFonts w:hint="eastAsia" w:ascii="仿宋" w:hAnsi="仿宋" w:eastAsia="仿宋"/>
          <w:sz w:val="30"/>
          <w:szCs w:val="30"/>
        </w:rPr>
        <w:t>万元，增长</w:t>
      </w:r>
      <w:r>
        <w:rPr>
          <w:rFonts w:hint="eastAsia" w:ascii="仿宋" w:hAnsi="仿宋" w:eastAsia="仿宋"/>
          <w:sz w:val="30"/>
          <w:szCs w:val="30"/>
          <w:lang w:val="en-US" w:eastAsia="zh-CN"/>
        </w:rPr>
        <w:t>1.11</w:t>
      </w:r>
      <w:r>
        <w:rPr>
          <w:rFonts w:hint="eastAsia" w:ascii="仿宋" w:hAnsi="仿宋" w:eastAsia="仿宋"/>
          <w:sz w:val="30"/>
          <w:szCs w:val="30"/>
        </w:rPr>
        <w:t xml:space="preserve"> %，；年末结转和结余</w:t>
      </w:r>
      <w:r>
        <w:rPr>
          <w:rFonts w:hint="eastAsia" w:ascii="仿宋" w:hAnsi="仿宋" w:eastAsia="仿宋"/>
          <w:sz w:val="30"/>
          <w:szCs w:val="30"/>
          <w:lang w:val="en-US" w:eastAsia="zh-CN"/>
        </w:rPr>
        <w:t>177.74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66.33</w:t>
      </w:r>
      <w:r>
        <w:rPr>
          <w:rFonts w:hint="eastAsia" w:ascii="仿宋" w:hAnsi="仿宋" w:eastAsia="仿宋"/>
          <w:sz w:val="30"/>
          <w:szCs w:val="30"/>
        </w:rPr>
        <w:t>万元，增长</w:t>
      </w:r>
      <w:r>
        <w:rPr>
          <w:rFonts w:hint="eastAsia" w:ascii="仿宋" w:hAnsi="仿宋" w:eastAsia="仿宋"/>
          <w:sz w:val="30"/>
          <w:szCs w:val="30"/>
          <w:lang w:val="en-US" w:eastAsia="zh-CN"/>
        </w:rPr>
        <w:t>59.54</w:t>
      </w:r>
      <w:r>
        <w:rPr>
          <w:rFonts w:hint="eastAsia" w:ascii="仿宋" w:hAnsi="仿宋" w:eastAsia="仿宋"/>
          <w:sz w:val="30"/>
          <w:szCs w:val="30"/>
        </w:rPr>
        <w:t xml:space="preserve"> %，主要原因是：</w:t>
      </w:r>
      <w:r>
        <w:rPr>
          <w:rFonts w:hint="eastAsia" w:ascii="仿宋" w:hAnsi="仿宋" w:eastAsia="仿宋"/>
          <w:sz w:val="30"/>
          <w:szCs w:val="30"/>
          <w:lang w:eastAsia="zh-CN"/>
        </w:rPr>
        <w:t>有些项目正在实施但资金还没有付</w:t>
      </w:r>
      <w:r>
        <w:rPr>
          <w:rFonts w:hint="eastAsia" w:ascii="仿宋" w:hAnsi="仿宋" w:eastAsia="仿宋"/>
          <w:sz w:val="30"/>
          <w:szCs w:val="30"/>
        </w:rPr>
        <w:t>。</w:t>
      </w:r>
    </w:p>
    <w:p w14:paraId="0D9C22BB">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179.29</w:t>
      </w:r>
      <w:r>
        <w:rPr>
          <w:rFonts w:hint="eastAsia" w:ascii="仿宋" w:hAnsi="仿宋" w:eastAsia="仿宋"/>
          <w:sz w:val="30"/>
          <w:szCs w:val="30"/>
        </w:rPr>
        <w:t>万元，占</w:t>
      </w:r>
      <w:r>
        <w:rPr>
          <w:rFonts w:hint="eastAsia" w:ascii="仿宋" w:hAnsi="仿宋" w:eastAsia="仿宋"/>
          <w:sz w:val="30"/>
          <w:szCs w:val="30"/>
          <w:lang w:val="en-US" w:eastAsia="zh-CN"/>
        </w:rPr>
        <w:t>40.66</w:t>
      </w:r>
      <w:r>
        <w:rPr>
          <w:rFonts w:hint="eastAsia" w:ascii="仿宋" w:hAnsi="仿宋" w:eastAsia="仿宋"/>
          <w:sz w:val="30"/>
          <w:szCs w:val="30"/>
        </w:rPr>
        <w:t>%；项目支出</w:t>
      </w:r>
      <w:r>
        <w:rPr>
          <w:rFonts w:hint="eastAsia" w:ascii="仿宋" w:hAnsi="仿宋" w:eastAsia="仿宋"/>
          <w:sz w:val="30"/>
          <w:szCs w:val="30"/>
          <w:lang w:val="en-US" w:eastAsia="zh-CN"/>
        </w:rPr>
        <w:t>261.61</w:t>
      </w:r>
      <w:r>
        <w:rPr>
          <w:rFonts w:hint="eastAsia" w:ascii="仿宋" w:hAnsi="仿宋" w:eastAsia="仿宋"/>
          <w:sz w:val="30"/>
          <w:szCs w:val="30"/>
        </w:rPr>
        <w:t>万元，占</w:t>
      </w:r>
      <w:r>
        <w:rPr>
          <w:rFonts w:hint="eastAsia" w:ascii="仿宋" w:hAnsi="仿宋" w:eastAsia="仿宋"/>
          <w:sz w:val="30"/>
          <w:szCs w:val="30"/>
          <w:lang w:val="en-US" w:eastAsia="zh-CN"/>
        </w:rPr>
        <w:t>59.34</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w:t>
      </w:r>
    </w:p>
    <w:p w14:paraId="26B1E116">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4FBD806D">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597.59</w:t>
      </w:r>
      <w:r>
        <w:rPr>
          <w:rFonts w:hint="eastAsia" w:ascii="仿宋" w:hAnsi="仿宋" w:eastAsia="仿宋"/>
          <w:sz w:val="30"/>
          <w:szCs w:val="30"/>
        </w:rPr>
        <w:t>万元，决算数为</w:t>
      </w:r>
      <w:r>
        <w:rPr>
          <w:rFonts w:hint="eastAsia" w:ascii="仿宋" w:hAnsi="仿宋" w:eastAsia="仿宋"/>
          <w:sz w:val="30"/>
          <w:szCs w:val="30"/>
          <w:lang w:val="en-US" w:eastAsia="zh-CN"/>
        </w:rPr>
        <w:t xml:space="preserve"> 609.4</w:t>
      </w:r>
      <w:r>
        <w:rPr>
          <w:rFonts w:hint="eastAsia" w:ascii="仿宋" w:hAnsi="仿宋" w:eastAsia="仿宋"/>
          <w:sz w:val="30"/>
          <w:szCs w:val="30"/>
        </w:rPr>
        <w:t>万元，完成年初预算的</w:t>
      </w:r>
      <w:r>
        <w:rPr>
          <w:rFonts w:hint="eastAsia" w:ascii="仿宋" w:hAnsi="仿宋" w:eastAsia="仿宋"/>
          <w:sz w:val="30"/>
          <w:szCs w:val="30"/>
          <w:lang w:val="en-US" w:eastAsia="zh-CN"/>
        </w:rPr>
        <w:t>101.98</w:t>
      </w:r>
      <w:r>
        <w:rPr>
          <w:rFonts w:hint="eastAsia" w:ascii="仿宋" w:hAnsi="仿宋" w:eastAsia="仿宋"/>
          <w:sz w:val="30"/>
          <w:szCs w:val="30"/>
        </w:rPr>
        <w:t>%。其中：</w:t>
      </w:r>
    </w:p>
    <w:p w14:paraId="7B512A6B">
      <w:pPr>
        <w:ind w:firstLine="630"/>
        <w:jc w:val="left"/>
        <w:rPr>
          <w:rFonts w:hint="eastAsia" w:ascii="仿宋" w:hAnsi="仿宋" w:eastAsia="仿宋"/>
          <w:sz w:val="30"/>
          <w:szCs w:val="30"/>
        </w:rPr>
      </w:pPr>
      <w:r>
        <w:rPr>
          <w:rFonts w:hint="eastAsia" w:ascii="仿宋" w:hAnsi="仿宋" w:eastAsia="仿宋"/>
          <w:sz w:val="30"/>
          <w:szCs w:val="30"/>
        </w:rPr>
        <w:t>（一）</w:t>
      </w:r>
      <w:r>
        <w:rPr>
          <w:rFonts w:hint="eastAsia" w:ascii="仿宋" w:hAnsi="仿宋" w:eastAsia="仿宋"/>
          <w:sz w:val="30"/>
          <w:szCs w:val="30"/>
          <w:lang w:eastAsia="zh-CN"/>
        </w:rPr>
        <w:t>社会保障和就业支出年初预算数为</w:t>
      </w:r>
      <w:r>
        <w:rPr>
          <w:rFonts w:hint="eastAsia" w:ascii="仿宋" w:hAnsi="仿宋" w:eastAsia="仿宋"/>
          <w:sz w:val="30"/>
          <w:szCs w:val="30"/>
          <w:lang w:val="en-US" w:eastAsia="zh-CN"/>
        </w:rPr>
        <w:t>501.39万元，决算数为393.19万元，完成年初预算数的78.42%</w:t>
      </w:r>
      <w:r>
        <w:rPr>
          <w:rFonts w:hint="eastAsia" w:ascii="仿宋" w:hAnsi="仿宋" w:eastAsia="仿宋"/>
          <w:sz w:val="30"/>
          <w:szCs w:val="30"/>
        </w:rPr>
        <w:t>。</w:t>
      </w:r>
    </w:p>
    <w:p w14:paraId="0BB92EF9">
      <w:pPr>
        <w:pStyle w:val="5"/>
        <w:spacing w:line="560" w:lineRule="exact"/>
        <w:ind w:firstLine="601"/>
        <w:rPr>
          <w:rFonts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二</w:t>
      </w:r>
      <w:r>
        <w:rPr>
          <w:rFonts w:hint="eastAsia" w:ascii="仿宋_GB2312" w:hAnsi="仿宋_GB2312" w:eastAsia="仿宋_GB2312"/>
          <w:sz w:val="32"/>
          <w:szCs w:val="32"/>
        </w:rPr>
        <w:t>）住房保障支出年初预算数为</w:t>
      </w:r>
      <w:r>
        <w:rPr>
          <w:rFonts w:hint="eastAsia" w:ascii="仿宋_GB2312" w:hAnsi="仿宋_GB2312" w:eastAsia="仿宋_GB2312"/>
          <w:sz w:val="32"/>
          <w:szCs w:val="32"/>
          <w:lang w:val="en-US" w:eastAsia="zh-CN"/>
        </w:rPr>
        <w:t>9.78</w:t>
      </w:r>
      <w:r>
        <w:rPr>
          <w:rFonts w:hint="eastAsia" w:ascii="仿宋_GB2312" w:hAnsi="仿宋_GB2312" w:eastAsia="仿宋_GB2312"/>
          <w:sz w:val="32"/>
          <w:szCs w:val="32"/>
        </w:rPr>
        <w:t>万元，决算数为</w:t>
      </w:r>
      <w:r>
        <w:rPr>
          <w:rFonts w:hint="eastAsia" w:ascii="仿宋_GB2312" w:hAnsi="仿宋_GB2312" w:eastAsia="仿宋_GB2312"/>
          <w:sz w:val="32"/>
          <w:szCs w:val="32"/>
          <w:lang w:val="en-US" w:eastAsia="zh-CN"/>
        </w:rPr>
        <w:t>9.78</w:t>
      </w:r>
      <w:r>
        <w:rPr>
          <w:rFonts w:hint="eastAsia" w:ascii="仿宋_GB2312" w:hAnsi="仿宋_GB2312" w:eastAsia="仿宋_GB2312"/>
          <w:sz w:val="32"/>
          <w:szCs w:val="32"/>
        </w:rPr>
        <w:t>万元，完成年初预算的</w:t>
      </w:r>
      <w:r>
        <w:rPr>
          <w:rFonts w:ascii="仿宋_GB2312" w:hAnsi="仿宋_GB2312" w:eastAsia="仿宋_GB2312"/>
          <w:sz w:val="32"/>
          <w:szCs w:val="32"/>
        </w:rPr>
        <w:t>100%</w:t>
      </w:r>
      <w:r>
        <w:rPr>
          <w:rFonts w:hint="eastAsia" w:ascii="仿宋_GB2312" w:hAnsi="仿宋_GB2312" w:eastAsia="仿宋_GB2312"/>
          <w:sz w:val="32"/>
          <w:szCs w:val="32"/>
        </w:rPr>
        <w:t>。</w:t>
      </w:r>
    </w:p>
    <w:p w14:paraId="2E7195EC">
      <w:pPr>
        <w:pStyle w:val="5"/>
        <w:spacing w:line="560" w:lineRule="exact"/>
        <w:ind w:firstLine="601"/>
        <w:rPr>
          <w:rFonts w:hint="default" w:ascii="仿宋_GB2312" w:hAnsi="仿宋_GB2312" w:eastAsia="仿宋_GB2312"/>
          <w:sz w:val="32"/>
          <w:szCs w:val="32"/>
          <w:lang w:val="en-US" w:eastAsia="zh-CN"/>
        </w:rPr>
      </w:pPr>
      <w:r>
        <w:rPr>
          <w:rFonts w:hint="eastAsia" w:ascii="仿宋_GB2312" w:hAnsi="仿宋_GB2312" w:eastAsia="仿宋_GB2312"/>
          <w:sz w:val="32"/>
          <w:szCs w:val="32"/>
          <w:lang w:eastAsia="zh-CN"/>
        </w:rPr>
        <w:t>（三）卫生健康支出年初预算数为</w:t>
      </w:r>
      <w:r>
        <w:rPr>
          <w:rFonts w:hint="eastAsia" w:ascii="仿宋_GB2312" w:hAnsi="仿宋_GB2312" w:eastAsia="仿宋_GB2312"/>
          <w:sz w:val="32"/>
          <w:szCs w:val="32"/>
          <w:lang w:val="en-US" w:eastAsia="zh-CN"/>
        </w:rPr>
        <w:t>10.5万元，决算数为10.5万元，</w:t>
      </w:r>
      <w:r>
        <w:rPr>
          <w:rFonts w:hint="eastAsia" w:ascii="仿宋_GB2312" w:hAnsi="仿宋_GB2312" w:eastAsia="仿宋_GB2312"/>
          <w:sz w:val="32"/>
          <w:szCs w:val="32"/>
        </w:rPr>
        <w:t>完成年初预算的</w:t>
      </w:r>
      <w:r>
        <w:rPr>
          <w:rFonts w:ascii="仿宋_GB2312" w:hAnsi="仿宋_GB2312" w:eastAsia="仿宋_GB2312"/>
          <w:sz w:val="32"/>
          <w:szCs w:val="32"/>
        </w:rPr>
        <w:t>100%</w:t>
      </w:r>
      <w:r>
        <w:rPr>
          <w:rFonts w:hint="eastAsia" w:ascii="仿宋_GB2312" w:hAnsi="仿宋_GB2312" w:eastAsia="仿宋_GB2312"/>
          <w:sz w:val="32"/>
          <w:szCs w:val="32"/>
        </w:rPr>
        <w:t>。</w:t>
      </w:r>
    </w:p>
    <w:p w14:paraId="1D679CE9">
      <w:pPr>
        <w:pStyle w:val="5"/>
        <w:spacing w:line="560" w:lineRule="exact"/>
        <w:ind w:firstLine="601"/>
        <w:rPr>
          <w:rFonts w:hint="eastAsia" w:ascii="仿宋" w:hAnsi="仿宋" w:eastAsia="仿宋"/>
          <w:sz w:val="30"/>
          <w:szCs w:val="30"/>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四</w:t>
      </w:r>
      <w:r>
        <w:rPr>
          <w:rFonts w:hint="eastAsia" w:ascii="仿宋_GB2312" w:hAnsi="仿宋_GB2312" w:eastAsia="仿宋_GB2312"/>
          <w:sz w:val="32"/>
          <w:szCs w:val="32"/>
        </w:rPr>
        <w:t>）其他支出年初预算数为</w:t>
      </w:r>
      <w:r>
        <w:rPr>
          <w:rFonts w:ascii="仿宋_GB2312" w:hAnsi="仿宋_GB2312" w:eastAsia="仿宋_GB2312"/>
          <w:sz w:val="32"/>
          <w:szCs w:val="32"/>
        </w:rPr>
        <w:t>0</w:t>
      </w:r>
      <w:r>
        <w:rPr>
          <w:rFonts w:hint="eastAsia" w:ascii="仿宋_GB2312" w:hAnsi="仿宋_GB2312" w:eastAsia="仿宋_GB2312"/>
          <w:sz w:val="32"/>
          <w:szCs w:val="32"/>
        </w:rPr>
        <w:t>万元，决算数为</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27.43</w:t>
      </w:r>
      <w:r>
        <w:rPr>
          <w:rFonts w:hint="eastAsia" w:ascii="仿宋_GB2312" w:hAnsi="仿宋_GB2312" w:eastAsia="仿宋_GB2312"/>
          <w:sz w:val="32"/>
          <w:szCs w:val="32"/>
        </w:rPr>
        <w:t>万元，年初预算</w:t>
      </w:r>
      <w:r>
        <w:rPr>
          <w:rFonts w:hint="eastAsia" w:ascii="仿宋_GB2312" w:hAnsi="仿宋_GB2312" w:eastAsia="仿宋_GB2312"/>
          <w:sz w:val="32"/>
          <w:szCs w:val="32"/>
          <w:lang w:eastAsia="zh-CN"/>
        </w:rPr>
        <w:t>未安排</w:t>
      </w:r>
      <w:r>
        <w:rPr>
          <w:rFonts w:hint="eastAsia" w:ascii="仿宋_GB2312" w:hAnsi="仿宋_GB2312" w:eastAsia="仿宋_GB2312"/>
          <w:sz w:val="32"/>
          <w:szCs w:val="32"/>
        </w:rPr>
        <w:t>，主要原因是增加项目拨款用于其他支出开支。</w:t>
      </w:r>
    </w:p>
    <w:p w14:paraId="7AE8799F">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53ECC20A">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179.29</w:t>
      </w:r>
      <w:r>
        <w:rPr>
          <w:rFonts w:hint="eastAsia" w:ascii="仿宋" w:hAnsi="仿宋" w:eastAsia="仿宋"/>
          <w:sz w:val="30"/>
          <w:szCs w:val="30"/>
        </w:rPr>
        <w:t>万元，其中：</w:t>
      </w:r>
    </w:p>
    <w:p w14:paraId="0260B335">
      <w:pPr>
        <w:ind w:firstLine="585"/>
        <w:jc w:val="left"/>
        <w:rPr>
          <w:rFonts w:hint="eastAsia" w:ascii="仿宋" w:hAnsi="仿宋" w:eastAsia="仿宋"/>
          <w:sz w:val="30"/>
          <w:szCs w:val="30"/>
          <w:lang w:eastAsia="zh-CN"/>
        </w:rPr>
      </w:pPr>
      <w:r>
        <w:rPr>
          <w:rFonts w:hint="eastAsia" w:ascii="仿宋" w:hAnsi="仿宋" w:eastAsia="仿宋"/>
          <w:sz w:val="30"/>
          <w:szCs w:val="30"/>
        </w:rPr>
        <w:t>（一）工资福利支出</w:t>
      </w:r>
      <w:r>
        <w:rPr>
          <w:rFonts w:hint="eastAsia" w:ascii="仿宋" w:hAnsi="仿宋" w:eastAsia="仿宋"/>
          <w:sz w:val="30"/>
          <w:szCs w:val="30"/>
          <w:lang w:val="en-US" w:eastAsia="zh-CN"/>
        </w:rPr>
        <w:t>169.23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64.72</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27.66</w:t>
      </w:r>
      <w:r>
        <w:rPr>
          <w:rFonts w:hint="eastAsia" w:ascii="仿宋" w:hAnsi="仿宋" w:eastAsia="仿宋"/>
          <w:sz w:val="30"/>
          <w:szCs w:val="30"/>
        </w:rPr>
        <w:t xml:space="preserve"> %，主要原因是：</w:t>
      </w:r>
      <w:r>
        <w:rPr>
          <w:rFonts w:hint="eastAsia" w:ascii="仿宋" w:hAnsi="仿宋" w:eastAsia="仿宋"/>
          <w:sz w:val="30"/>
          <w:szCs w:val="30"/>
          <w:lang w:eastAsia="zh-CN"/>
        </w:rPr>
        <w:t>部分支出在项目支出中反映。</w:t>
      </w:r>
    </w:p>
    <w:p w14:paraId="6A1326FA">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10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71.4</w:t>
      </w:r>
      <w:r>
        <w:rPr>
          <w:rFonts w:hint="eastAsia" w:ascii="仿宋" w:hAnsi="仿宋" w:eastAsia="仿宋"/>
          <w:sz w:val="30"/>
          <w:szCs w:val="30"/>
        </w:rPr>
        <w:t>万元，下降</w:t>
      </w:r>
      <w:r>
        <w:rPr>
          <w:rFonts w:hint="eastAsia" w:ascii="仿宋" w:hAnsi="仿宋" w:eastAsia="仿宋"/>
          <w:sz w:val="30"/>
          <w:szCs w:val="30"/>
          <w:lang w:val="en-US" w:eastAsia="zh-CN"/>
        </w:rPr>
        <w:t>87.71</w:t>
      </w:r>
      <w:r>
        <w:rPr>
          <w:rFonts w:hint="eastAsia" w:ascii="仿宋" w:hAnsi="仿宋" w:eastAsia="仿宋"/>
          <w:sz w:val="30"/>
          <w:szCs w:val="30"/>
        </w:rPr>
        <w:t>%，主要原因是：</w:t>
      </w:r>
      <w:r>
        <w:rPr>
          <w:rFonts w:hint="eastAsia" w:ascii="仿宋" w:hAnsi="仿宋" w:eastAsia="仿宋"/>
          <w:sz w:val="30"/>
          <w:szCs w:val="30"/>
          <w:lang w:eastAsia="zh-CN"/>
        </w:rPr>
        <w:t>费用在项目支出中反映</w:t>
      </w:r>
      <w:r>
        <w:rPr>
          <w:rFonts w:hint="eastAsia" w:ascii="仿宋" w:hAnsi="仿宋" w:eastAsia="仿宋"/>
          <w:sz w:val="30"/>
          <w:szCs w:val="30"/>
        </w:rPr>
        <w:t>。</w:t>
      </w:r>
    </w:p>
    <w:p w14:paraId="7EEA5665">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0.06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6.12</w:t>
      </w:r>
      <w:r>
        <w:rPr>
          <w:rFonts w:hint="eastAsia" w:ascii="仿宋" w:hAnsi="仿宋" w:eastAsia="仿宋"/>
          <w:sz w:val="30"/>
          <w:szCs w:val="30"/>
        </w:rPr>
        <w:t xml:space="preserve"> 万元，下降</w:t>
      </w:r>
      <w:r>
        <w:rPr>
          <w:rFonts w:hint="eastAsia" w:ascii="仿宋" w:hAnsi="仿宋" w:eastAsia="仿宋"/>
          <w:sz w:val="30"/>
          <w:szCs w:val="30"/>
          <w:lang w:val="en-US" w:eastAsia="zh-CN"/>
        </w:rPr>
        <w:t>99.03</w:t>
      </w:r>
      <w:r>
        <w:rPr>
          <w:rFonts w:hint="eastAsia" w:ascii="仿宋" w:hAnsi="仿宋" w:eastAsia="仿宋"/>
          <w:sz w:val="30"/>
          <w:szCs w:val="30"/>
        </w:rPr>
        <w:t xml:space="preserve"> %，主要原因是：</w:t>
      </w:r>
      <w:r>
        <w:rPr>
          <w:rFonts w:hint="eastAsia" w:ascii="仿宋" w:hAnsi="仿宋" w:eastAsia="仿宋"/>
          <w:sz w:val="30"/>
          <w:szCs w:val="30"/>
          <w:lang w:eastAsia="zh-CN"/>
        </w:rPr>
        <w:t>费用在项目支出中反映</w:t>
      </w:r>
      <w:r>
        <w:rPr>
          <w:rFonts w:hint="eastAsia" w:ascii="仿宋" w:hAnsi="仿宋" w:eastAsia="仿宋"/>
          <w:sz w:val="30"/>
          <w:szCs w:val="30"/>
        </w:rPr>
        <w:t>。</w:t>
      </w:r>
    </w:p>
    <w:p w14:paraId="05A43DDD">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6.18</w:t>
      </w:r>
      <w:r>
        <w:rPr>
          <w:rFonts w:hint="eastAsia" w:ascii="仿宋" w:hAnsi="仿宋" w:eastAsia="仿宋"/>
          <w:sz w:val="30"/>
          <w:szCs w:val="30"/>
        </w:rPr>
        <w:t>万元，主要原因是：</w:t>
      </w:r>
      <w:r>
        <w:rPr>
          <w:rFonts w:hint="eastAsia" w:ascii="仿宋" w:hAnsi="仿宋" w:eastAsia="仿宋"/>
          <w:sz w:val="30"/>
          <w:szCs w:val="30"/>
          <w:lang w:eastAsia="zh-CN"/>
        </w:rPr>
        <w:t>费用在项目支出中反映</w:t>
      </w:r>
      <w:r>
        <w:rPr>
          <w:rFonts w:hint="eastAsia" w:ascii="仿宋" w:hAnsi="仿宋" w:eastAsia="仿宋"/>
          <w:sz w:val="30"/>
          <w:szCs w:val="30"/>
        </w:rPr>
        <w:t>。</w:t>
      </w:r>
    </w:p>
    <w:p w14:paraId="7969026C">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107BFC95">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4.09</w:t>
      </w:r>
      <w:r>
        <w:rPr>
          <w:rFonts w:hint="eastAsia" w:ascii="仿宋" w:hAnsi="仿宋" w:eastAsia="仿宋"/>
          <w:sz w:val="30"/>
          <w:szCs w:val="30"/>
        </w:rPr>
        <w:t>万元，决算数为</w:t>
      </w:r>
      <w:r>
        <w:rPr>
          <w:rFonts w:hint="eastAsia" w:ascii="仿宋" w:hAnsi="仿宋" w:eastAsia="仿宋"/>
          <w:sz w:val="30"/>
          <w:szCs w:val="30"/>
          <w:lang w:val="en-US" w:eastAsia="zh-CN"/>
        </w:rPr>
        <w:t>1.65</w:t>
      </w:r>
      <w:r>
        <w:rPr>
          <w:rFonts w:hint="eastAsia" w:ascii="仿宋" w:hAnsi="仿宋" w:eastAsia="仿宋"/>
          <w:sz w:val="30"/>
          <w:szCs w:val="30"/>
        </w:rPr>
        <w:t>万元，完成预算的</w:t>
      </w:r>
      <w:r>
        <w:rPr>
          <w:rFonts w:hint="eastAsia" w:ascii="仿宋" w:hAnsi="仿宋" w:eastAsia="仿宋"/>
          <w:sz w:val="30"/>
          <w:szCs w:val="30"/>
          <w:lang w:val="en-US" w:eastAsia="zh-CN"/>
        </w:rPr>
        <w:t>40.34</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0.15</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8.33</w:t>
      </w:r>
      <w:r>
        <w:rPr>
          <w:rFonts w:hint="eastAsia" w:ascii="仿宋" w:hAnsi="仿宋" w:eastAsia="仿宋"/>
          <w:sz w:val="30"/>
          <w:szCs w:val="30"/>
        </w:rPr>
        <w:t xml:space="preserve"> %，其中：</w:t>
      </w:r>
    </w:p>
    <w:p w14:paraId="2DC92683">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w:t>
      </w:r>
      <w:r>
        <w:rPr>
          <w:rFonts w:hint="eastAsia" w:ascii="仿宋" w:hAnsi="仿宋" w:eastAsia="仿宋"/>
          <w:sz w:val="30"/>
          <w:szCs w:val="30"/>
        </w:rPr>
        <w:t>万元，完成预算的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 xml:space="preserve"> 万元。</w:t>
      </w:r>
    </w:p>
    <w:p w14:paraId="37C82B3E">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1.50</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0.4</w:t>
      </w:r>
      <w:r>
        <w:rPr>
          <w:rFonts w:hint="eastAsia" w:ascii="仿宋" w:hAnsi="仿宋" w:eastAsia="仿宋"/>
          <w:sz w:val="30"/>
          <w:szCs w:val="30"/>
        </w:rPr>
        <w:t>万元，完成预算的</w:t>
      </w:r>
      <w:r>
        <w:rPr>
          <w:rFonts w:hint="eastAsia" w:ascii="仿宋" w:hAnsi="仿宋" w:eastAsia="仿宋"/>
          <w:sz w:val="30"/>
          <w:szCs w:val="30"/>
          <w:lang w:val="en-US" w:eastAsia="zh-CN"/>
        </w:rPr>
        <w:t>26.67</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0.15</w:t>
      </w:r>
      <w:r>
        <w:rPr>
          <w:rFonts w:hint="eastAsia" w:ascii="仿宋" w:hAnsi="仿宋" w:eastAsia="仿宋"/>
          <w:sz w:val="30"/>
          <w:szCs w:val="30"/>
        </w:rPr>
        <w:t xml:space="preserve">  万元，</w:t>
      </w:r>
      <w:r>
        <w:rPr>
          <w:rFonts w:hint="eastAsia" w:ascii="仿宋" w:hAnsi="仿宋" w:eastAsia="仿宋"/>
          <w:sz w:val="30"/>
          <w:szCs w:val="30"/>
          <w:lang w:eastAsia="zh-CN"/>
        </w:rPr>
        <w:t>减少</w:t>
      </w:r>
      <w:r>
        <w:rPr>
          <w:rFonts w:hint="eastAsia" w:ascii="仿宋" w:hAnsi="仿宋" w:eastAsia="仿宋"/>
          <w:sz w:val="30"/>
          <w:szCs w:val="30"/>
          <w:lang w:val="en-US" w:eastAsia="zh-CN"/>
        </w:rPr>
        <w:t>27.27</w:t>
      </w:r>
      <w:r>
        <w:rPr>
          <w:rFonts w:hint="eastAsia" w:ascii="仿宋" w:hAnsi="仿宋" w:eastAsia="仿宋"/>
          <w:sz w:val="30"/>
          <w:szCs w:val="30"/>
        </w:rPr>
        <w:t xml:space="preserve"> %。决算数较年初预算数</w:t>
      </w:r>
      <w:r>
        <w:rPr>
          <w:rFonts w:hint="eastAsia" w:ascii="仿宋" w:hAnsi="仿宋" w:eastAsia="仿宋"/>
          <w:sz w:val="30"/>
          <w:szCs w:val="30"/>
          <w:lang w:eastAsia="zh-CN"/>
        </w:rPr>
        <w:t>减少</w:t>
      </w:r>
      <w:r>
        <w:rPr>
          <w:rFonts w:hint="eastAsia" w:ascii="仿宋" w:hAnsi="仿宋" w:eastAsia="仿宋"/>
          <w:sz w:val="30"/>
          <w:szCs w:val="30"/>
        </w:rPr>
        <w:t>的主要原因是：</w:t>
      </w:r>
      <w:r>
        <w:rPr>
          <w:rFonts w:hint="eastAsia" w:ascii="仿宋" w:hAnsi="仿宋" w:eastAsia="仿宋"/>
          <w:sz w:val="30"/>
          <w:szCs w:val="30"/>
          <w:lang w:eastAsia="zh-CN"/>
        </w:rPr>
        <w:t>减少不必要招待安排</w:t>
      </w:r>
      <w:r>
        <w:rPr>
          <w:rFonts w:hint="eastAsia" w:ascii="仿宋" w:hAnsi="仿宋" w:eastAsia="仿宋"/>
          <w:sz w:val="30"/>
          <w:szCs w:val="30"/>
        </w:rPr>
        <w:t>。</w:t>
      </w:r>
    </w:p>
    <w:p w14:paraId="1DED3103">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1.24</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w:t>
      </w:r>
      <w:r>
        <w:rPr>
          <w:rFonts w:hint="eastAsia" w:ascii="仿宋" w:hAnsi="仿宋" w:eastAsia="仿宋"/>
          <w:sz w:val="30"/>
          <w:szCs w:val="30"/>
          <w:lang w:val="en-US" w:eastAsia="zh-CN"/>
        </w:rPr>
        <w:t>8</w:t>
      </w:r>
      <w:r>
        <w:rPr>
          <w:rFonts w:hint="eastAsia" w:ascii="仿宋" w:hAnsi="仿宋" w:eastAsia="仿宋"/>
          <w:sz w:val="30"/>
          <w:szCs w:val="30"/>
        </w:rPr>
        <w:t>7年增加（减少）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2.59</w:t>
      </w:r>
      <w:r>
        <w:rPr>
          <w:rFonts w:hint="eastAsia" w:ascii="仿宋" w:hAnsi="仿宋" w:eastAsia="仿宋"/>
          <w:sz w:val="30"/>
          <w:szCs w:val="30"/>
        </w:rPr>
        <w:t xml:space="preserve"> 万元，决算数为</w:t>
      </w:r>
      <w:r>
        <w:rPr>
          <w:rFonts w:hint="eastAsia" w:ascii="仿宋" w:hAnsi="仿宋" w:eastAsia="仿宋"/>
          <w:sz w:val="30"/>
          <w:szCs w:val="30"/>
          <w:lang w:val="en-US" w:eastAsia="zh-CN"/>
        </w:rPr>
        <w:t>1.24</w:t>
      </w:r>
      <w:r>
        <w:rPr>
          <w:rFonts w:hint="eastAsia" w:ascii="仿宋" w:hAnsi="仿宋" w:eastAsia="仿宋"/>
          <w:sz w:val="30"/>
          <w:szCs w:val="30"/>
        </w:rPr>
        <w:t>万元，完成预算的</w:t>
      </w:r>
      <w:r>
        <w:rPr>
          <w:rFonts w:hint="eastAsia" w:ascii="仿宋" w:hAnsi="仿宋" w:eastAsia="仿宋"/>
          <w:sz w:val="30"/>
          <w:szCs w:val="30"/>
          <w:lang w:val="en-US" w:eastAsia="zh-CN"/>
        </w:rPr>
        <w:t>48.88</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0.01</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0.08</w:t>
      </w:r>
      <w:r>
        <w:rPr>
          <w:rFonts w:hint="eastAsia" w:ascii="仿宋" w:hAnsi="仿宋" w:eastAsia="仿宋"/>
          <w:sz w:val="30"/>
          <w:szCs w:val="30"/>
        </w:rPr>
        <w:t>%。</w:t>
      </w:r>
    </w:p>
    <w:p w14:paraId="5E8C54F2">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7E237EF3">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10</w:t>
      </w:r>
      <w:r>
        <w:rPr>
          <w:rFonts w:hint="eastAsia" w:ascii="仿宋" w:hAnsi="仿宋" w:eastAsia="仿宋"/>
          <w:sz w:val="30"/>
          <w:szCs w:val="30"/>
        </w:rPr>
        <w:t>万元（与部门决算中行政单位和参照公务员法管理事业单位一般公共预算财政拨款基本支出中公用经费之和保持一致），较</w:t>
      </w:r>
      <w:r>
        <w:rPr>
          <w:rFonts w:hint="eastAsia" w:ascii="仿宋" w:hAnsi="仿宋" w:eastAsia="仿宋"/>
          <w:sz w:val="30"/>
          <w:szCs w:val="30"/>
          <w:lang w:val="en-US" w:eastAsia="zh-CN"/>
        </w:rPr>
        <w:t>2018</w:t>
      </w:r>
      <w:r>
        <w:rPr>
          <w:rFonts w:hint="eastAsia" w:ascii="仿宋" w:hAnsi="仿宋" w:eastAsia="仿宋"/>
          <w:sz w:val="30"/>
          <w:szCs w:val="30"/>
        </w:rPr>
        <w:t>年数</w:t>
      </w:r>
      <w:r>
        <w:rPr>
          <w:rFonts w:hint="eastAsia" w:ascii="仿宋" w:hAnsi="仿宋" w:eastAsia="仿宋"/>
          <w:sz w:val="30"/>
          <w:szCs w:val="30"/>
          <w:lang w:eastAsia="zh-CN"/>
        </w:rPr>
        <w:t>减少</w:t>
      </w:r>
      <w:r>
        <w:rPr>
          <w:rFonts w:hint="eastAsia" w:ascii="仿宋" w:hAnsi="仿宋" w:eastAsia="仿宋"/>
          <w:sz w:val="30"/>
          <w:szCs w:val="30"/>
          <w:lang w:val="en-US" w:eastAsia="zh-CN"/>
        </w:rPr>
        <w:t>71.4</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87.71</w:t>
      </w:r>
      <w:r>
        <w:rPr>
          <w:rFonts w:hint="eastAsia" w:ascii="仿宋" w:hAnsi="仿宋" w:eastAsia="仿宋"/>
          <w:sz w:val="30"/>
          <w:szCs w:val="30"/>
        </w:rPr>
        <w:t>%，主要原因是：</w:t>
      </w:r>
      <w:r>
        <w:rPr>
          <w:rFonts w:hint="eastAsia" w:ascii="仿宋" w:hAnsi="仿宋" w:eastAsia="仿宋"/>
          <w:sz w:val="30"/>
          <w:szCs w:val="30"/>
          <w:lang w:eastAsia="zh-CN"/>
        </w:rPr>
        <w:t>大部分活动经费在项目支出中反映</w:t>
      </w:r>
      <w:r>
        <w:rPr>
          <w:rFonts w:hint="eastAsia" w:ascii="仿宋" w:hAnsi="仿宋" w:eastAsia="仿宋"/>
          <w:sz w:val="30"/>
          <w:szCs w:val="30"/>
        </w:rPr>
        <w:t xml:space="preserve">。 </w:t>
      </w:r>
    </w:p>
    <w:p w14:paraId="13573019">
      <w:pPr>
        <w:ind w:firstLine="630"/>
        <w:jc w:val="left"/>
        <w:rPr>
          <w:rFonts w:hint="eastAsia" w:ascii="黑体" w:hAnsi="黑体" w:eastAsia="黑体"/>
          <w:sz w:val="30"/>
          <w:szCs w:val="30"/>
        </w:rPr>
      </w:pPr>
      <w:r>
        <w:rPr>
          <w:rFonts w:hint="eastAsia" w:ascii="黑体" w:hAnsi="黑体" w:eastAsia="黑体"/>
          <w:sz w:val="30"/>
          <w:szCs w:val="30"/>
        </w:rPr>
        <w:t>七、政府采购支出情况说明</w:t>
      </w:r>
    </w:p>
    <w:p w14:paraId="7C9410FC">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0</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0</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  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%，其中：授予小微企业合同金额 </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年部门预算范围的各项政府采购支出金额之和，并做好与201</w:t>
      </w:r>
      <w:r>
        <w:rPr>
          <w:rFonts w:hint="eastAsia" w:ascii="仿宋" w:hAnsi="仿宋" w:eastAsia="仿宋"/>
          <w:sz w:val="30"/>
          <w:szCs w:val="30"/>
          <w:lang w:val="en-US" w:eastAsia="zh-CN"/>
        </w:rPr>
        <w:t>9</w:t>
      </w:r>
      <w:r>
        <w:rPr>
          <w:rFonts w:hint="eastAsia" w:ascii="仿宋" w:hAnsi="仿宋" w:eastAsia="仿宋"/>
          <w:sz w:val="30"/>
          <w:szCs w:val="30"/>
        </w:rPr>
        <w:t>年度政府采购信息统计报表中“政府采购资金情况表”有关数据的衔接。）</w:t>
      </w:r>
    </w:p>
    <w:p w14:paraId="090EE044">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440AA644">
      <w:pPr>
        <w:ind w:firstLine="630"/>
        <w:jc w:val="left"/>
        <w:rPr>
          <w:rFonts w:hint="eastAsia" w:ascii="仿宋" w:hAnsi="仿宋" w:eastAsia="仿宋"/>
          <w:kern w:val="0"/>
          <w:sz w:val="30"/>
          <w:szCs w:val="30"/>
        </w:rPr>
      </w:pPr>
      <w:r>
        <w:rPr>
          <w:rFonts w:hint="eastAsia" w:ascii="仿宋" w:hAnsi="仿宋" w:eastAsia="仿宋"/>
          <w:kern w:val="0"/>
          <w:sz w:val="30"/>
          <w:szCs w:val="30"/>
        </w:rPr>
        <w:t>截至</w:t>
      </w:r>
      <w:bookmarkStart w:id="0" w:name="_GoBack"/>
      <w:bookmarkEnd w:id="0"/>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年12月31日，本部门共有车辆</w:t>
      </w:r>
      <w:r>
        <w:rPr>
          <w:rFonts w:hint="eastAsia" w:ascii="仿宋" w:hAnsi="仿宋" w:eastAsia="仿宋"/>
          <w:kern w:val="0"/>
          <w:sz w:val="30"/>
          <w:szCs w:val="30"/>
          <w:lang w:val="en-US" w:eastAsia="zh-CN"/>
        </w:rPr>
        <w:t>1</w:t>
      </w:r>
      <w:r>
        <w:rPr>
          <w:rFonts w:hint="eastAsia" w:ascii="仿宋" w:hAnsi="仿宋" w:eastAsia="仿宋"/>
          <w:kern w:val="0"/>
          <w:sz w:val="30"/>
          <w:szCs w:val="30"/>
        </w:rPr>
        <w:t xml:space="preserve"> 辆，其中，副部（省）级及以上领导用车 </w:t>
      </w:r>
      <w:r>
        <w:rPr>
          <w:rFonts w:hint="eastAsia" w:ascii="仿宋" w:hAnsi="仿宋" w:eastAsia="仿宋"/>
          <w:kern w:val="0"/>
          <w:sz w:val="30"/>
          <w:szCs w:val="30"/>
          <w:lang w:val="en-US" w:eastAsia="zh-CN"/>
        </w:rPr>
        <w:t>0</w:t>
      </w:r>
      <w:r>
        <w:rPr>
          <w:rFonts w:hint="eastAsia" w:ascii="仿宋" w:hAnsi="仿宋" w:eastAsia="仿宋"/>
          <w:kern w:val="0"/>
          <w:sz w:val="30"/>
          <w:szCs w:val="30"/>
        </w:rPr>
        <w:t>辆、主要领导干部用车</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 辆、机要通信用车</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 辆、应急保障用车</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 辆、执法执勤用车</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 辆、特种专业技术用车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辆、其他用车</w:t>
      </w:r>
      <w:r>
        <w:rPr>
          <w:rFonts w:hint="eastAsia" w:ascii="仿宋" w:hAnsi="仿宋" w:eastAsia="仿宋"/>
          <w:kern w:val="0"/>
          <w:sz w:val="30"/>
          <w:szCs w:val="30"/>
          <w:lang w:val="en-US" w:eastAsia="zh-CN"/>
        </w:rPr>
        <w:t>1</w:t>
      </w:r>
      <w:r>
        <w:rPr>
          <w:rFonts w:hint="eastAsia" w:ascii="仿宋" w:hAnsi="仿宋" w:eastAsia="仿宋"/>
          <w:kern w:val="0"/>
          <w:sz w:val="30"/>
          <w:szCs w:val="30"/>
        </w:rPr>
        <w:t>辆，其他用车主要是</w:t>
      </w:r>
      <w:r>
        <w:rPr>
          <w:rFonts w:hint="eastAsia" w:ascii="仿宋" w:hAnsi="仿宋" w:eastAsia="仿宋"/>
          <w:kern w:val="0"/>
          <w:sz w:val="30"/>
          <w:szCs w:val="30"/>
          <w:lang w:eastAsia="zh-CN"/>
        </w:rPr>
        <w:t>下乡送辅助器具及康复工作</w:t>
      </w:r>
      <w:r>
        <w:rPr>
          <w:rFonts w:hint="eastAsia" w:ascii="仿宋" w:hAnsi="仿宋" w:eastAsia="仿宋"/>
          <w:kern w:val="0"/>
          <w:sz w:val="30"/>
          <w:szCs w:val="30"/>
        </w:rPr>
        <w:t>；单位价值50万元以上通用设备</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 台（套）；单位价值100万元以上专用设备</w:t>
      </w:r>
      <w:r>
        <w:rPr>
          <w:rFonts w:hint="eastAsia" w:ascii="仿宋" w:hAnsi="仿宋" w:eastAsia="仿宋"/>
          <w:kern w:val="0"/>
          <w:sz w:val="30"/>
          <w:szCs w:val="30"/>
          <w:lang w:val="en-US" w:eastAsia="zh-CN"/>
        </w:rPr>
        <w:t>0</w:t>
      </w:r>
      <w:r>
        <w:rPr>
          <w:rFonts w:hint="eastAsia" w:ascii="仿宋" w:hAnsi="仿宋" w:eastAsia="仿宋"/>
          <w:kern w:val="0"/>
          <w:sz w:val="30"/>
          <w:szCs w:val="30"/>
        </w:rPr>
        <w:t>台（套）。</w:t>
      </w:r>
    </w:p>
    <w:p w14:paraId="4DEFEBC1">
      <w:pPr>
        <w:pStyle w:val="5"/>
        <w:spacing w:line="560" w:lineRule="exact"/>
        <w:ind w:firstLine="601"/>
        <w:rPr>
          <w:rFonts w:ascii="仿宋_GB2312" w:hAnsi="仿宋_GB2312" w:eastAsia="仿宋_GB2312"/>
          <w:sz w:val="32"/>
          <w:szCs w:val="32"/>
        </w:rPr>
      </w:pPr>
      <w:r>
        <w:rPr>
          <w:rFonts w:ascii="仿宋_GB2312" w:hAnsi="仿宋_GB2312" w:eastAsia="仿宋_GB2312"/>
          <w:sz w:val="32"/>
          <w:szCs w:val="32"/>
        </w:rPr>
        <w:t xml:space="preserve"> </w:t>
      </w:r>
    </w:p>
    <w:p w14:paraId="37627F94">
      <w:pPr>
        <w:widowControl/>
        <w:spacing w:line="660" w:lineRule="exact"/>
        <w:ind w:firstLine="1280" w:firstLineChars="400"/>
        <w:jc w:val="left"/>
        <w:rPr>
          <w:rFonts w:ascii="仿宋_GB2312" w:hAnsi="仿宋_GB2312" w:eastAsia="仿宋_GB2312"/>
          <w:sz w:val="32"/>
          <w:szCs w:val="32"/>
        </w:rPr>
      </w:pPr>
    </w:p>
    <w:p w14:paraId="2E860252">
      <w:pPr>
        <w:ind w:firstLine="630"/>
        <w:jc w:val="left"/>
        <w:rPr>
          <w:rFonts w:hint="eastAsia" w:ascii="仿宋" w:hAnsi="仿宋" w:eastAsia="仿宋"/>
          <w:kern w:val="0"/>
          <w:sz w:val="30"/>
          <w:szCs w:val="30"/>
        </w:rPr>
      </w:pPr>
    </w:p>
    <w:p w14:paraId="3B8531D9">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60E964CC">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6468D525">
      <w:pPr>
        <w:autoSpaceDE w:val="0"/>
        <w:autoSpaceDN w:val="0"/>
        <w:adjustRightInd w:val="0"/>
        <w:spacing w:line="360" w:lineRule="auto"/>
        <w:ind w:firstLine="6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rPr>
        <w:t>根据预算绩效管理要求，我部门对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年度一般公共预算项目支出开展绩效</w:t>
      </w:r>
      <w:r>
        <w:rPr>
          <w:rFonts w:hint="eastAsia" w:ascii="仿宋" w:hAnsi="仿宋" w:eastAsia="仿宋" w:cs="仿宋_GB2312"/>
          <w:kern w:val="0"/>
          <w:sz w:val="30"/>
          <w:szCs w:val="30"/>
          <w:lang w:eastAsia="zh-CN"/>
        </w:rPr>
        <w:t>评价</w:t>
      </w:r>
      <w:r>
        <w:rPr>
          <w:rFonts w:hint="eastAsia" w:ascii="仿宋" w:hAnsi="仿宋" w:eastAsia="仿宋" w:cs="仿宋_GB2312"/>
          <w:kern w:val="0"/>
          <w:sz w:val="30"/>
          <w:szCs w:val="30"/>
        </w:rPr>
        <w:t xml:space="preserve">，其中，一级项目 </w:t>
      </w:r>
      <w:r>
        <w:rPr>
          <w:rFonts w:hint="eastAsia" w:ascii="仿宋" w:hAnsi="仿宋" w:eastAsia="仿宋" w:cs="仿宋_GB2312"/>
          <w:kern w:val="0"/>
          <w:sz w:val="30"/>
          <w:szCs w:val="30"/>
          <w:lang w:val="en-US" w:eastAsia="zh-CN"/>
        </w:rPr>
        <w:t>0</w:t>
      </w:r>
      <w:r>
        <w:rPr>
          <w:rFonts w:hint="eastAsia" w:ascii="仿宋" w:hAnsi="仿宋" w:eastAsia="仿宋" w:cs="仿宋_GB2312"/>
          <w:kern w:val="0"/>
          <w:sz w:val="30"/>
          <w:szCs w:val="30"/>
        </w:rPr>
        <w:t xml:space="preserve"> 个，二级项目</w:t>
      </w:r>
      <w:r>
        <w:rPr>
          <w:rFonts w:hint="eastAsia" w:ascii="仿宋" w:hAnsi="仿宋" w:eastAsia="仿宋" w:cs="仿宋_GB2312"/>
          <w:kern w:val="0"/>
          <w:sz w:val="30"/>
          <w:szCs w:val="30"/>
          <w:lang w:val="en-US" w:eastAsia="zh-CN"/>
        </w:rPr>
        <w:t>3个，其中对“残疾人康复”</w:t>
      </w:r>
      <w:r>
        <w:rPr>
          <w:rFonts w:hint="eastAsia" w:ascii="仿宋" w:hAnsi="仿宋" w:eastAsia="仿宋" w:cs="仿宋"/>
          <w:kern w:val="0"/>
          <w:sz w:val="30"/>
          <w:szCs w:val="30"/>
        </w:rPr>
        <w:t>项目</w:t>
      </w:r>
      <w:r>
        <w:rPr>
          <w:rFonts w:hint="eastAsia" w:ascii="仿宋" w:hAnsi="仿宋" w:eastAsia="仿宋" w:cs="仿宋"/>
          <w:kern w:val="0"/>
          <w:sz w:val="30"/>
          <w:szCs w:val="30"/>
          <w:lang w:val="en-US" w:eastAsia="zh-CN"/>
        </w:rPr>
        <w:t>开展</w:t>
      </w:r>
      <w:r>
        <w:rPr>
          <w:rFonts w:hint="eastAsia" w:ascii="仿宋" w:hAnsi="仿宋" w:eastAsia="仿宋" w:cs="仿宋"/>
          <w:kern w:val="0"/>
          <w:sz w:val="30"/>
          <w:szCs w:val="30"/>
        </w:rPr>
        <w:t>了</w:t>
      </w:r>
      <w:r>
        <w:rPr>
          <w:rFonts w:hint="eastAsia" w:ascii="仿宋" w:hAnsi="仿宋" w:eastAsia="仿宋" w:cs="仿宋"/>
          <w:kern w:val="0"/>
          <w:sz w:val="30"/>
          <w:szCs w:val="30"/>
          <w:lang w:val="en-US" w:eastAsia="zh-CN"/>
        </w:rPr>
        <w:t>部门</w:t>
      </w:r>
      <w:r>
        <w:rPr>
          <w:rFonts w:hint="eastAsia" w:ascii="仿宋" w:hAnsi="仿宋" w:eastAsia="仿宋" w:cs="仿宋"/>
          <w:kern w:val="0"/>
          <w:sz w:val="30"/>
          <w:szCs w:val="30"/>
        </w:rPr>
        <w:t xml:space="preserve">评价，涉及一般公共预算支出 </w:t>
      </w:r>
      <w:r>
        <w:rPr>
          <w:rFonts w:hint="eastAsia" w:ascii="仿宋" w:hAnsi="仿宋" w:eastAsia="仿宋" w:cs="仿宋"/>
          <w:kern w:val="0"/>
          <w:sz w:val="30"/>
          <w:szCs w:val="30"/>
          <w:lang w:val="en-US" w:eastAsia="zh-CN"/>
        </w:rPr>
        <w:t>60</w:t>
      </w:r>
      <w:r>
        <w:rPr>
          <w:rFonts w:hint="eastAsia" w:ascii="仿宋" w:hAnsi="仿宋" w:eastAsia="仿宋" w:cs="仿宋"/>
          <w:kern w:val="0"/>
          <w:sz w:val="30"/>
          <w:szCs w:val="30"/>
        </w:rPr>
        <w:t>万元。从评价情况来看，</w:t>
      </w:r>
      <w:r>
        <w:rPr>
          <w:rFonts w:hint="eastAsia" w:ascii="仿宋" w:hAnsi="仿宋" w:eastAsia="仿宋" w:cs="仿宋"/>
          <w:sz w:val="28"/>
        </w:rPr>
        <w:t>服务</w:t>
      </w:r>
      <w:r>
        <w:rPr>
          <w:rFonts w:hint="eastAsia" w:ascii="仿宋" w:hAnsi="仿宋" w:eastAsia="仿宋" w:cs="仿宋"/>
          <w:sz w:val="28"/>
          <w:lang w:eastAsia="zh-CN"/>
        </w:rPr>
        <w:t>残疾人</w:t>
      </w:r>
      <w:r>
        <w:rPr>
          <w:rFonts w:hint="eastAsia" w:ascii="仿宋" w:hAnsi="仿宋" w:eastAsia="仿宋" w:cs="仿宋"/>
          <w:sz w:val="28"/>
        </w:rPr>
        <w:t>的意识不断强化，工作思路</w:t>
      </w:r>
      <w:r>
        <w:rPr>
          <w:rFonts w:hint="eastAsia" w:ascii="仿宋" w:hAnsi="仿宋" w:eastAsia="仿宋" w:cs="仿宋"/>
          <w:sz w:val="28"/>
          <w:lang w:eastAsia="zh-CN"/>
        </w:rPr>
        <w:t>不断</w:t>
      </w:r>
      <w:r>
        <w:rPr>
          <w:rFonts w:hint="eastAsia" w:ascii="仿宋" w:hAnsi="仿宋" w:eastAsia="仿宋" w:cs="仿宋"/>
          <w:sz w:val="28"/>
        </w:rPr>
        <w:t>开阔，下基层开展调研成果转化为实践工作的成效</w:t>
      </w:r>
      <w:r>
        <w:rPr>
          <w:rFonts w:hint="eastAsia" w:ascii="仿宋" w:hAnsi="仿宋" w:eastAsia="仿宋" w:cs="仿宋"/>
          <w:sz w:val="28"/>
          <w:lang w:eastAsia="zh-CN"/>
        </w:rPr>
        <w:t>有了</w:t>
      </w:r>
      <w:r>
        <w:rPr>
          <w:rFonts w:hint="eastAsia" w:ascii="仿宋" w:hAnsi="仿宋" w:eastAsia="仿宋" w:cs="仿宋"/>
          <w:sz w:val="28"/>
        </w:rPr>
        <w:t>提高</w:t>
      </w:r>
      <w:r>
        <w:rPr>
          <w:rFonts w:hint="eastAsia" w:ascii="仿宋" w:hAnsi="仿宋" w:eastAsia="仿宋" w:cs="仿宋"/>
          <w:sz w:val="28"/>
          <w:lang w:eastAsia="zh-CN"/>
        </w:rPr>
        <w:t>，但</w:t>
      </w:r>
      <w:r>
        <w:rPr>
          <w:rFonts w:hint="eastAsia" w:ascii="仿宋" w:hAnsi="仿宋" w:eastAsia="仿宋" w:cs="仿宋"/>
          <w:sz w:val="28"/>
        </w:rPr>
        <w:t>预算绩效目标设置还需改进，年度工作任务未能充分分解到各部机构岗位人员上，缺乏预算金额</w:t>
      </w:r>
      <w:r>
        <w:rPr>
          <w:rFonts w:hint="eastAsia" w:ascii="仿宋" w:hAnsi="仿宋" w:eastAsia="仿宋" w:cs="仿宋_GB2312"/>
          <w:kern w:val="0"/>
          <w:sz w:val="30"/>
          <w:szCs w:val="30"/>
        </w:rPr>
        <w:t>。</w:t>
      </w:r>
    </w:p>
    <w:p w14:paraId="5B8C3710">
      <w:pPr>
        <w:pStyle w:val="2"/>
        <w:spacing w:before="64"/>
        <w:ind w:left="2002" w:right="2018"/>
        <w:jc w:val="center"/>
        <w:rPr>
          <w:rFonts w:hint="eastAsia" w:ascii="宋体" w:eastAsia="宋体"/>
        </w:rPr>
      </w:pPr>
      <w:r>
        <w:rPr>
          <w:rFonts w:hint="eastAsia" w:ascii="仿宋" w:hAnsi="仿宋" w:eastAsia="仿宋" w:cs="仿宋_GB2312"/>
          <w:kern w:val="0"/>
          <w:sz w:val="30"/>
          <w:szCs w:val="30"/>
        </w:rPr>
        <w:t xml:space="preserve"> </w:t>
      </w:r>
    </w:p>
    <w:tbl>
      <w:tblPr>
        <w:tblStyle w:val="3"/>
        <w:tblW w:w="9297" w:type="dxa"/>
        <w:jc w:val="center"/>
        <w:tblLayout w:type="fixed"/>
        <w:tblCellMar>
          <w:top w:w="0" w:type="dxa"/>
          <w:left w:w="108" w:type="dxa"/>
          <w:bottom w:w="0" w:type="dxa"/>
          <w:right w:w="108" w:type="dxa"/>
        </w:tblCellMar>
      </w:tblPr>
      <w:tblGrid>
        <w:gridCol w:w="588"/>
        <w:gridCol w:w="727"/>
        <w:gridCol w:w="914"/>
        <w:gridCol w:w="1181"/>
        <w:gridCol w:w="1134"/>
        <w:gridCol w:w="284"/>
        <w:gridCol w:w="783"/>
        <w:gridCol w:w="918"/>
        <w:gridCol w:w="283"/>
        <w:gridCol w:w="284"/>
        <w:gridCol w:w="425"/>
        <w:gridCol w:w="142"/>
        <w:gridCol w:w="709"/>
        <w:gridCol w:w="925"/>
      </w:tblGrid>
      <w:tr w14:paraId="73EC9195">
        <w:tblPrEx>
          <w:tblCellMar>
            <w:top w:w="0" w:type="dxa"/>
            <w:left w:w="108" w:type="dxa"/>
            <w:bottom w:w="0" w:type="dxa"/>
            <w:right w:w="108" w:type="dxa"/>
          </w:tblCellMar>
        </w:tblPrEx>
        <w:trPr>
          <w:trHeight w:val="454" w:hRule="exact"/>
          <w:jc w:val="center"/>
        </w:trPr>
        <w:tc>
          <w:tcPr>
            <w:tcW w:w="9297" w:type="dxa"/>
            <w:gridSpan w:val="14"/>
            <w:tcBorders>
              <w:top w:val="nil"/>
              <w:left w:val="nil"/>
              <w:bottom w:val="nil"/>
              <w:right w:val="nil"/>
            </w:tcBorders>
            <w:noWrap w:val="0"/>
            <w:vAlign w:val="center"/>
          </w:tcPr>
          <w:p w14:paraId="37AB9A8F">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7BFFBD20">
        <w:tblPrEx>
          <w:tblCellMar>
            <w:top w:w="0" w:type="dxa"/>
            <w:left w:w="108" w:type="dxa"/>
            <w:bottom w:w="0" w:type="dxa"/>
            <w:right w:w="108" w:type="dxa"/>
          </w:tblCellMar>
        </w:tblPrEx>
        <w:trPr>
          <w:trHeight w:val="201" w:hRule="atLeast"/>
          <w:jc w:val="center"/>
        </w:trPr>
        <w:tc>
          <w:tcPr>
            <w:tcW w:w="9297" w:type="dxa"/>
            <w:gridSpan w:val="14"/>
            <w:tcBorders>
              <w:top w:val="nil"/>
              <w:left w:val="nil"/>
              <w:bottom w:val="nil"/>
              <w:right w:val="nil"/>
            </w:tcBorders>
            <w:noWrap w:val="0"/>
            <w:vAlign w:val="top"/>
          </w:tcPr>
          <w:p w14:paraId="16630A72">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 </w:t>
            </w:r>
            <w:r>
              <w:rPr>
                <w:rFonts w:hint="eastAsia" w:ascii="宋体" w:hAnsi="宋体" w:eastAsia="宋体" w:cs="宋体"/>
                <w:kern w:val="0"/>
                <w:sz w:val="22"/>
                <w:szCs w:val="22"/>
                <w:lang w:val="en-US" w:eastAsia="zh-CN"/>
              </w:rPr>
              <w:t>2019</w:t>
            </w:r>
            <w:r>
              <w:rPr>
                <w:rFonts w:hint="eastAsia" w:ascii="宋体" w:hAnsi="宋体" w:eastAsia="宋体" w:cs="宋体"/>
                <w:kern w:val="0"/>
                <w:sz w:val="22"/>
                <w:szCs w:val="22"/>
              </w:rPr>
              <w:t>年度）</w:t>
            </w:r>
          </w:p>
        </w:tc>
      </w:tr>
      <w:tr w14:paraId="29A8A798">
        <w:tblPrEx>
          <w:tblCellMar>
            <w:top w:w="0" w:type="dxa"/>
            <w:left w:w="108" w:type="dxa"/>
            <w:bottom w:w="0" w:type="dxa"/>
            <w:right w:w="108" w:type="dxa"/>
          </w:tblCellMar>
        </w:tblPrEx>
        <w:trPr>
          <w:trHeight w:val="480" w:hRule="atLeast"/>
          <w:jc w:val="center"/>
        </w:trPr>
        <w:tc>
          <w:tcPr>
            <w:tcW w:w="1315" w:type="dxa"/>
            <w:gridSpan w:val="2"/>
            <w:tcBorders>
              <w:top w:val="single" w:color="auto" w:sz="4" w:space="0"/>
              <w:left w:val="single" w:color="auto" w:sz="4" w:space="0"/>
              <w:bottom w:val="single" w:color="auto" w:sz="4" w:space="0"/>
              <w:right w:val="single" w:color="auto" w:sz="4" w:space="0"/>
            </w:tcBorders>
            <w:noWrap w:val="0"/>
            <w:vAlign w:val="center"/>
          </w:tcPr>
          <w:p w14:paraId="678F41B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982" w:type="dxa"/>
            <w:gridSpan w:val="12"/>
            <w:tcBorders>
              <w:top w:val="single" w:color="auto" w:sz="4" w:space="0"/>
              <w:left w:val="nil"/>
              <w:bottom w:val="single" w:color="auto" w:sz="4" w:space="0"/>
              <w:right w:val="single" w:color="auto" w:sz="4" w:space="0"/>
            </w:tcBorders>
            <w:noWrap w:val="0"/>
            <w:vAlign w:val="center"/>
          </w:tcPr>
          <w:p w14:paraId="498BB916">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残疾人康复</w:t>
            </w:r>
          </w:p>
        </w:tc>
      </w:tr>
      <w:tr w14:paraId="66057A90">
        <w:tblPrEx>
          <w:tblCellMar>
            <w:top w:w="0" w:type="dxa"/>
            <w:left w:w="108" w:type="dxa"/>
            <w:bottom w:w="0" w:type="dxa"/>
            <w:right w:w="108" w:type="dxa"/>
          </w:tblCellMar>
        </w:tblPrEx>
        <w:trPr>
          <w:trHeight w:val="480" w:hRule="atLeast"/>
          <w:jc w:val="center"/>
        </w:trPr>
        <w:tc>
          <w:tcPr>
            <w:tcW w:w="1315" w:type="dxa"/>
            <w:gridSpan w:val="2"/>
            <w:tcBorders>
              <w:top w:val="single" w:color="auto" w:sz="4" w:space="0"/>
              <w:left w:val="single" w:color="auto" w:sz="4" w:space="0"/>
              <w:bottom w:val="single" w:color="auto" w:sz="4" w:space="0"/>
              <w:right w:val="single" w:color="auto" w:sz="4" w:space="0"/>
            </w:tcBorders>
            <w:noWrap w:val="0"/>
            <w:vAlign w:val="center"/>
          </w:tcPr>
          <w:p w14:paraId="1B777B9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296" w:type="dxa"/>
            <w:gridSpan w:val="5"/>
            <w:tcBorders>
              <w:top w:val="single" w:color="auto" w:sz="4" w:space="0"/>
              <w:left w:val="nil"/>
              <w:bottom w:val="single" w:color="auto" w:sz="4" w:space="0"/>
              <w:right w:val="single" w:color="auto" w:sz="4" w:space="0"/>
            </w:tcBorders>
            <w:noWrap w:val="0"/>
            <w:vAlign w:val="center"/>
          </w:tcPr>
          <w:p w14:paraId="7842A0C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景德镇市残疾人联合会</w:t>
            </w:r>
          </w:p>
        </w:tc>
        <w:tc>
          <w:tcPr>
            <w:tcW w:w="1201" w:type="dxa"/>
            <w:gridSpan w:val="2"/>
            <w:tcBorders>
              <w:top w:val="nil"/>
              <w:left w:val="nil"/>
              <w:bottom w:val="single" w:color="auto" w:sz="4" w:space="0"/>
              <w:right w:val="single" w:color="auto" w:sz="4" w:space="0"/>
            </w:tcBorders>
            <w:noWrap w:val="0"/>
            <w:vAlign w:val="center"/>
          </w:tcPr>
          <w:p w14:paraId="0A04475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485" w:type="dxa"/>
            <w:gridSpan w:val="5"/>
            <w:tcBorders>
              <w:top w:val="single" w:color="auto" w:sz="4" w:space="0"/>
              <w:left w:val="nil"/>
              <w:bottom w:val="single" w:color="auto" w:sz="4" w:space="0"/>
              <w:right w:val="single" w:color="auto" w:sz="4" w:space="0"/>
            </w:tcBorders>
            <w:noWrap w:val="0"/>
            <w:vAlign w:val="center"/>
          </w:tcPr>
          <w:p w14:paraId="7779A8EB">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景德镇市残疾人联合会</w:t>
            </w:r>
          </w:p>
        </w:tc>
      </w:tr>
      <w:tr w14:paraId="12DDEF6F">
        <w:tblPrEx>
          <w:tblCellMar>
            <w:top w:w="0" w:type="dxa"/>
            <w:left w:w="108" w:type="dxa"/>
            <w:bottom w:w="0" w:type="dxa"/>
            <w:right w:w="108" w:type="dxa"/>
          </w:tblCellMar>
        </w:tblPrEx>
        <w:trPr>
          <w:trHeight w:val="480" w:hRule="atLeast"/>
          <w:jc w:val="center"/>
        </w:trPr>
        <w:tc>
          <w:tcPr>
            <w:tcW w:w="131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09DD98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2095" w:type="dxa"/>
            <w:gridSpan w:val="2"/>
            <w:tcBorders>
              <w:top w:val="single" w:color="auto" w:sz="4" w:space="0"/>
              <w:left w:val="nil"/>
              <w:bottom w:val="single" w:color="auto" w:sz="4" w:space="0"/>
              <w:right w:val="single" w:color="auto" w:sz="4" w:space="0"/>
            </w:tcBorders>
            <w:noWrap w:val="0"/>
            <w:vAlign w:val="center"/>
          </w:tcPr>
          <w:p w14:paraId="6B6A36DF">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14:paraId="2CC0C82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067" w:type="dxa"/>
            <w:gridSpan w:val="2"/>
            <w:tcBorders>
              <w:top w:val="nil"/>
              <w:left w:val="nil"/>
              <w:bottom w:val="single" w:color="auto" w:sz="4" w:space="0"/>
              <w:right w:val="single" w:color="auto" w:sz="4" w:space="0"/>
            </w:tcBorders>
            <w:noWrap w:val="0"/>
            <w:vAlign w:val="center"/>
          </w:tcPr>
          <w:p w14:paraId="10FEF9F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201" w:type="dxa"/>
            <w:gridSpan w:val="2"/>
            <w:tcBorders>
              <w:top w:val="nil"/>
              <w:left w:val="nil"/>
              <w:bottom w:val="single" w:color="auto" w:sz="4" w:space="0"/>
              <w:right w:val="single" w:color="auto" w:sz="4" w:space="0"/>
            </w:tcBorders>
            <w:noWrap w:val="0"/>
            <w:vAlign w:val="center"/>
          </w:tcPr>
          <w:p w14:paraId="58DCACD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14:paraId="1A6A6CD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14:paraId="54CCF92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925" w:type="dxa"/>
            <w:tcBorders>
              <w:top w:val="nil"/>
              <w:left w:val="nil"/>
              <w:bottom w:val="single" w:color="auto" w:sz="4" w:space="0"/>
              <w:right w:val="single" w:color="auto" w:sz="4" w:space="0"/>
            </w:tcBorders>
            <w:noWrap w:val="0"/>
            <w:vAlign w:val="center"/>
          </w:tcPr>
          <w:p w14:paraId="659F8F2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10FFE354">
        <w:tblPrEx>
          <w:tblCellMar>
            <w:top w:w="0" w:type="dxa"/>
            <w:left w:w="108" w:type="dxa"/>
            <w:bottom w:w="0" w:type="dxa"/>
            <w:right w:w="108" w:type="dxa"/>
          </w:tblCellMar>
        </w:tblPrEx>
        <w:trPr>
          <w:trHeight w:val="480" w:hRule="atLeast"/>
          <w:jc w:val="center"/>
        </w:trPr>
        <w:tc>
          <w:tcPr>
            <w:tcW w:w="13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A71FA94">
            <w:pPr>
              <w:widowControl/>
              <w:spacing w:line="240" w:lineRule="exact"/>
              <w:jc w:val="center"/>
              <w:rPr>
                <w:rFonts w:ascii="宋体" w:hAnsi="宋体" w:eastAsia="宋体" w:cs="宋体"/>
                <w:kern w:val="0"/>
                <w:sz w:val="18"/>
                <w:szCs w:val="18"/>
              </w:rPr>
            </w:pPr>
          </w:p>
        </w:tc>
        <w:tc>
          <w:tcPr>
            <w:tcW w:w="2095" w:type="dxa"/>
            <w:gridSpan w:val="2"/>
            <w:tcBorders>
              <w:top w:val="single" w:color="auto" w:sz="4" w:space="0"/>
              <w:left w:val="nil"/>
              <w:bottom w:val="single" w:color="auto" w:sz="4" w:space="0"/>
              <w:right w:val="single" w:color="auto" w:sz="4" w:space="0"/>
            </w:tcBorders>
            <w:noWrap w:val="0"/>
            <w:vAlign w:val="center"/>
          </w:tcPr>
          <w:p w14:paraId="131B3924">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14:paraId="65C0564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60</w:t>
            </w:r>
          </w:p>
        </w:tc>
        <w:tc>
          <w:tcPr>
            <w:tcW w:w="1067" w:type="dxa"/>
            <w:gridSpan w:val="2"/>
            <w:tcBorders>
              <w:top w:val="nil"/>
              <w:left w:val="nil"/>
              <w:bottom w:val="single" w:color="auto" w:sz="4" w:space="0"/>
              <w:right w:val="single" w:color="auto" w:sz="4" w:space="0"/>
            </w:tcBorders>
            <w:noWrap w:val="0"/>
            <w:vAlign w:val="center"/>
          </w:tcPr>
          <w:p w14:paraId="716F834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60</w:t>
            </w:r>
          </w:p>
        </w:tc>
        <w:tc>
          <w:tcPr>
            <w:tcW w:w="1201" w:type="dxa"/>
            <w:gridSpan w:val="2"/>
            <w:tcBorders>
              <w:top w:val="nil"/>
              <w:left w:val="nil"/>
              <w:bottom w:val="single" w:color="auto" w:sz="4" w:space="0"/>
              <w:right w:val="single" w:color="auto" w:sz="4" w:space="0"/>
            </w:tcBorders>
            <w:noWrap w:val="0"/>
            <w:vAlign w:val="center"/>
          </w:tcPr>
          <w:p w14:paraId="7335194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60</w:t>
            </w:r>
          </w:p>
        </w:tc>
        <w:tc>
          <w:tcPr>
            <w:tcW w:w="709" w:type="dxa"/>
            <w:gridSpan w:val="2"/>
            <w:tcBorders>
              <w:top w:val="nil"/>
              <w:left w:val="nil"/>
              <w:bottom w:val="single" w:color="auto" w:sz="4" w:space="0"/>
              <w:right w:val="single" w:color="auto" w:sz="4" w:space="0"/>
            </w:tcBorders>
            <w:noWrap w:val="0"/>
            <w:vAlign w:val="center"/>
          </w:tcPr>
          <w:p w14:paraId="2929C50D">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14:paraId="11FE69F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925" w:type="dxa"/>
            <w:tcBorders>
              <w:top w:val="nil"/>
              <w:left w:val="nil"/>
              <w:bottom w:val="single" w:color="auto" w:sz="4" w:space="0"/>
              <w:right w:val="single" w:color="auto" w:sz="4" w:space="0"/>
            </w:tcBorders>
            <w:noWrap w:val="0"/>
            <w:vAlign w:val="center"/>
          </w:tcPr>
          <w:p w14:paraId="66872E4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14:paraId="6C84FAF5">
        <w:tblPrEx>
          <w:tblCellMar>
            <w:top w:w="0" w:type="dxa"/>
            <w:left w:w="108" w:type="dxa"/>
            <w:bottom w:w="0" w:type="dxa"/>
            <w:right w:w="108" w:type="dxa"/>
          </w:tblCellMar>
        </w:tblPrEx>
        <w:trPr>
          <w:trHeight w:val="480" w:hRule="atLeast"/>
          <w:jc w:val="center"/>
        </w:trPr>
        <w:tc>
          <w:tcPr>
            <w:tcW w:w="13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1C0593E">
            <w:pPr>
              <w:widowControl/>
              <w:spacing w:line="240" w:lineRule="exact"/>
              <w:jc w:val="center"/>
              <w:rPr>
                <w:rFonts w:ascii="宋体" w:hAnsi="宋体" w:eastAsia="宋体" w:cs="宋体"/>
                <w:kern w:val="0"/>
                <w:sz w:val="18"/>
                <w:szCs w:val="18"/>
              </w:rPr>
            </w:pPr>
          </w:p>
        </w:tc>
        <w:tc>
          <w:tcPr>
            <w:tcW w:w="2095" w:type="dxa"/>
            <w:gridSpan w:val="2"/>
            <w:tcBorders>
              <w:top w:val="single" w:color="auto" w:sz="4" w:space="0"/>
              <w:left w:val="nil"/>
              <w:bottom w:val="single" w:color="auto" w:sz="4" w:space="0"/>
              <w:right w:val="single" w:color="auto" w:sz="4" w:space="0"/>
            </w:tcBorders>
            <w:noWrap w:val="0"/>
            <w:vAlign w:val="center"/>
          </w:tcPr>
          <w:p w14:paraId="5FC262A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14:paraId="7816012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60</w:t>
            </w:r>
          </w:p>
        </w:tc>
        <w:tc>
          <w:tcPr>
            <w:tcW w:w="1067" w:type="dxa"/>
            <w:gridSpan w:val="2"/>
            <w:tcBorders>
              <w:top w:val="nil"/>
              <w:left w:val="nil"/>
              <w:bottom w:val="single" w:color="auto" w:sz="4" w:space="0"/>
              <w:right w:val="single" w:color="auto" w:sz="4" w:space="0"/>
            </w:tcBorders>
            <w:noWrap w:val="0"/>
            <w:vAlign w:val="center"/>
          </w:tcPr>
          <w:p w14:paraId="6719935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60</w:t>
            </w:r>
          </w:p>
        </w:tc>
        <w:tc>
          <w:tcPr>
            <w:tcW w:w="1201" w:type="dxa"/>
            <w:gridSpan w:val="2"/>
            <w:tcBorders>
              <w:top w:val="nil"/>
              <w:left w:val="nil"/>
              <w:bottom w:val="single" w:color="auto" w:sz="4" w:space="0"/>
              <w:right w:val="single" w:color="auto" w:sz="4" w:space="0"/>
            </w:tcBorders>
            <w:noWrap w:val="0"/>
            <w:vAlign w:val="center"/>
          </w:tcPr>
          <w:p w14:paraId="476E9EB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709" w:type="dxa"/>
            <w:gridSpan w:val="2"/>
            <w:tcBorders>
              <w:top w:val="nil"/>
              <w:left w:val="nil"/>
              <w:bottom w:val="single" w:color="auto" w:sz="4" w:space="0"/>
              <w:right w:val="single" w:color="auto" w:sz="4" w:space="0"/>
            </w:tcBorders>
            <w:noWrap w:val="0"/>
            <w:vAlign w:val="center"/>
          </w:tcPr>
          <w:p w14:paraId="3004C4D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6C0642B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925" w:type="dxa"/>
            <w:tcBorders>
              <w:top w:val="nil"/>
              <w:left w:val="nil"/>
              <w:bottom w:val="single" w:color="auto" w:sz="4" w:space="0"/>
              <w:right w:val="single" w:color="auto" w:sz="4" w:space="0"/>
            </w:tcBorders>
            <w:noWrap w:val="0"/>
            <w:vAlign w:val="center"/>
          </w:tcPr>
          <w:p w14:paraId="2C03E75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6996D1B5">
        <w:tblPrEx>
          <w:tblCellMar>
            <w:top w:w="0" w:type="dxa"/>
            <w:left w:w="108" w:type="dxa"/>
            <w:bottom w:w="0" w:type="dxa"/>
            <w:right w:w="108" w:type="dxa"/>
          </w:tblCellMar>
        </w:tblPrEx>
        <w:trPr>
          <w:trHeight w:val="480" w:hRule="atLeast"/>
          <w:jc w:val="center"/>
        </w:trPr>
        <w:tc>
          <w:tcPr>
            <w:tcW w:w="13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B8E5E4C">
            <w:pPr>
              <w:widowControl/>
              <w:spacing w:line="240" w:lineRule="exact"/>
              <w:jc w:val="center"/>
              <w:rPr>
                <w:rFonts w:ascii="宋体" w:hAnsi="宋体" w:eastAsia="宋体" w:cs="宋体"/>
                <w:kern w:val="0"/>
                <w:sz w:val="18"/>
                <w:szCs w:val="18"/>
              </w:rPr>
            </w:pPr>
          </w:p>
        </w:tc>
        <w:tc>
          <w:tcPr>
            <w:tcW w:w="2095" w:type="dxa"/>
            <w:gridSpan w:val="2"/>
            <w:tcBorders>
              <w:top w:val="single" w:color="auto" w:sz="4" w:space="0"/>
              <w:left w:val="nil"/>
              <w:bottom w:val="single" w:color="auto" w:sz="4" w:space="0"/>
              <w:right w:val="single" w:color="auto" w:sz="4" w:space="0"/>
            </w:tcBorders>
            <w:noWrap w:val="0"/>
            <w:vAlign w:val="center"/>
          </w:tcPr>
          <w:p w14:paraId="7E9642C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14:paraId="09896DF3">
            <w:pPr>
              <w:widowControl/>
              <w:spacing w:line="240" w:lineRule="exact"/>
              <w:jc w:val="center"/>
              <w:rPr>
                <w:rFonts w:ascii="宋体" w:hAnsi="宋体" w:eastAsia="宋体" w:cs="宋体"/>
                <w:kern w:val="0"/>
                <w:sz w:val="18"/>
                <w:szCs w:val="18"/>
              </w:rPr>
            </w:pPr>
          </w:p>
        </w:tc>
        <w:tc>
          <w:tcPr>
            <w:tcW w:w="1067" w:type="dxa"/>
            <w:gridSpan w:val="2"/>
            <w:tcBorders>
              <w:top w:val="nil"/>
              <w:left w:val="nil"/>
              <w:bottom w:val="single" w:color="auto" w:sz="4" w:space="0"/>
              <w:right w:val="single" w:color="auto" w:sz="4" w:space="0"/>
            </w:tcBorders>
            <w:noWrap w:val="0"/>
            <w:vAlign w:val="center"/>
          </w:tcPr>
          <w:p w14:paraId="16659ED7">
            <w:pPr>
              <w:widowControl/>
              <w:spacing w:line="240" w:lineRule="exact"/>
              <w:jc w:val="center"/>
              <w:rPr>
                <w:rFonts w:ascii="宋体" w:hAnsi="宋体" w:eastAsia="宋体" w:cs="宋体"/>
                <w:kern w:val="0"/>
                <w:sz w:val="18"/>
                <w:szCs w:val="18"/>
              </w:rPr>
            </w:pPr>
          </w:p>
        </w:tc>
        <w:tc>
          <w:tcPr>
            <w:tcW w:w="1201" w:type="dxa"/>
            <w:gridSpan w:val="2"/>
            <w:tcBorders>
              <w:top w:val="nil"/>
              <w:left w:val="nil"/>
              <w:bottom w:val="single" w:color="auto" w:sz="4" w:space="0"/>
              <w:right w:val="single" w:color="auto" w:sz="4" w:space="0"/>
            </w:tcBorders>
            <w:noWrap w:val="0"/>
            <w:vAlign w:val="center"/>
          </w:tcPr>
          <w:p w14:paraId="5D8ED02F">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5CE0E25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6A832110">
            <w:pPr>
              <w:widowControl/>
              <w:spacing w:line="240" w:lineRule="exact"/>
              <w:jc w:val="center"/>
              <w:rPr>
                <w:rFonts w:ascii="宋体" w:hAnsi="宋体" w:eastAsia="宋体" w:cs="宋体"/>
                <w:kern w:val="0"/>
                <w:sz w:val="18"/>
                <w:szCs w:val="18"/>
              </w:rPr>
            </w:pPr>
          </w:p>
        </w:tc>
        <w:tc>
          <w:tcPr>
            <w:tcW w:w="925" w:type="dxa"/>
            <w:tcBorders>
              <w:top w:val="nil"/>
              <w:left w:val="nil"/>
              <w:bottom w:val="single" w:color="auto" w:sz="4" w:space="0"/>
              <w:right w:val="single" w:color="auto" w:sz="4" w:space="0"/>
            </w:tcBorders>
            <w:noWrap w:val="0"/>
            <w:vAlign w:val="center"/>
          </w:tcPr>
          <w:p w14:paraId="1807A27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3630CD71">
        <w:tblPrEx>
          <w:tblCellMar>
            <w:top w:w="0" w:type="dxa"/>
            <w:left w:w="108" w:type="dxa"/>
            <w:bottom w:w="0" w:type="dxa"/>
            <w:right w:w="108" w:type="dxa"/>
          </w:tblCellMar>
        </w:tblPrEx>
        <w:trPr>
          <w:trHeight w:val="480" w:hRule="atLeast"/>
          <w:jc w:val="center"/>
        </w:trPr>
        <w:tc>
          <w:tcPr>
            <w:tcW w:w="13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507FCB3">
            <w:pPr>
              <w:widowControl/>
              <w:spacing w:line="240" w:lineRule="exact"/>
              <w:jc w:val="center"/>
              <w:rPr>
                <w:rFonts w:ascii="宋体" w:hAnsi="宋体" w:eastAsia="宋体" w:cs="宋体"/>
                <w:kern w:val="0"/>
                <w:sz w:val="18"/>
                <w:szCs w:val="18"/>
              </w:rPr>
            </w:pPr>
          </w:p>
        </w:tc>
        <w:tc>
          <w:tcPr>
            <w:tcW w:w="2095" w:type="dxa"/>
            <w:gridSpan w:val="2"/>
            <w:tcBorders>
              <w:top w:val="single" w:color="auto" w:sz="4" w:space="0"/>
              <w:left w:val="nil"/>
              <w:bottom w:val="single" w:color="auto" w:sz="4" w:space="0"/>
              <w:right w:val="single" w:color="auto" w:sz="4" w:space="0"/>
            </w:tcBorders>
            <w:noWrap w:val="0"/>
            <w:vAlign w:val="center"/>
          </w:tcPr>
          <w:p w14:paraId="695B153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14:paraId="2BD6982B">
            <w:pPr>
              <w:widowControl/>
              <w:spacing w:line="240" w:lineRule="exact"/>
              <w:jc w:val="center"/>
              <w:rPr>
                <w:rFonts w:ascii="宋体" w:hAnsi="宋体" w:eastAsia="宋体" w:cs="宋体"/>
                <w:kern w:val="0"/>
                <w:sz w:val="18"/>
                <w:szCs w:val="18"/>
              </w:rPr>
            </w:pPr>
          </w:p>
        </w:tc>
        <w:tc>
          <w:tcPr>
            <w:tcW w:w="1067" w:type="dxa"/>
            <w:gridSpan w:val="2"/>
            <w:tcBorders>
              <w:top w:val="nil"/>
              <w:left w:val="nil"/>
              <w:bottom w:val="single" w:color="auto" w:sz="4" w:space="0"/>
              <w:right w:val="single" w:color="auto" w:sz="4" w:space="0"/>
            </w:tcBorders>
            <w:noWrap w:val="0"/>
            <w:vAlign w:val="center"/>
          </w:tcPr>
          <w:p w14:paraId="2E43C797">
            <w:pPr>
              <w:widowControl/>
              <w:spacing w:line="240" w:lineRule="exact"/>
              <w:jc w:val="center"/>
              <w:rPr>
                <w:rFonts w:ascii="宋体" w:hAnsi="宋体" w:eastAsia="宋体" w:cs="宋体"/>
                <w:kern w:val="0"/>
                <w:sz w:val="18"/>
                <w:szCs w:val="18"/>
              </w:rPr>
            </w:pPr>
          </w:p>
        </w:tc>
        <w:tc>
          <w:tcPr>
            <w:tcW w:w="1201" w:type="dxa"/>
            <w:gridSpan w:val="2"/>
            <w:tcBorders>
              <w:top w:val="nil"/>
              <w:left w:val="nil"/>
              <w:bottom w:val="single" w:color="auto" w:sz="4" w:space="0"/>
              <w:right w:val="single" w:color="auto" w:sz="4" w:space="0"/>
            </w:tcBorders>
            <w:noWrap w:val="0"/>
            <w:vAlign w:val="center"/>
          </w:tcPr>
          <w:p w14:paraId="7A851E0B">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6A175E1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457AC9BB">
            <w:pPr>
              <w:widowControl/>
              <w:spacing w:line="240" w:lineRule="exact"/>
              <w:jc w:val="center"/>
              <w:rPr>
                <w:rFonts w:ascii="宋体" w:hAnsi="宋体" w:eastAsia="宋体" w:cs="宋体"/>
                <w:kern w:val="0"/>
                <w:sz w:val="18"/>
                <w:szCs w:val="18"/>
              </w:rPr>
            </w:pPr>
          </w:p>
        </w:tc>
        <w:tc>
          <w:tcPr>
            <w:tcW w:w="925" w:type="dxa"/>
            <w:tcBorders>
              <w:top w:val="nil"/>
              <w:left w:val="nil"/>
              <w:bottom w:val="single" w:color="auto" w:sz="4" w:space="0"/>
              <w:right w:val="single" w:color="auto" w:sz="4" w:space="0"/>
            </w:tcBorders>
            <w:noWrap w:val="0"/>
            <w:vAlign w:val="center"/>
          </w:tcPr>
          <w:p w14:paraId="13415EB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7BCEAE47">
        <w:tblPrEx>
          <w:tblCellMar>
            <w:top w:w="0" w:type="dxa"/>
            <w:left w:w="108" w:type="dxa"/>
            <w:bottom w:w="0" w:type="dxa"/>
            <w:right w:w="108" w:type="dxa"/>
          </w:tblCellMar>
        </w:tblPrEx>
        <w:trPr>
          <w:trHeight w:val="607"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14:paraId="574636D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23" w:type="dxa"/>
            <w:gridSpan w:val="6"/>
            <w:tcBorders>
              <w:top w:val="single" w:color="auto" w:sz="4" w:space="0"/>
              <w:left w:val="nil"/>
              <w:bottom w:val="single" w:color="auto" w:sz="4" w:space="0"/>
              <w:right w:val="single" w:color="auto" w:sz="4" w:space="0"/>
            </w:tcBorders>
            <w:noWrap w:val="0"/>
            <w:vAlign w:val="center"/>
          </w:tcPr>
          <w:p w14:paraId="308C4F0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686" w:type="dxa"/>
            <w:gridSpan w:val="7"/>
            <w:tcBorders>
              <w:top w:val="single" w:color="auto" w:sz="4" w:space="0"/>
              <w:left w:val="nil"/>
              <w:bottom w:val="single" w:color="auto" w:sz="4" w:space="0"/>
              <w:right w:val="single" w:color="auto" w:sz="4" w:space="0"/>
            </w:tcBorders>
            <w:noWrap w:val="0"/>
            <w:vAlign w:val="center"/>
          </w:tcPr>
          <w:p w14:paraId="28F1CA9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11B70003">
        <w:tblPrEx>
          <w:tblCellMar>
            <w:top w:w="0" w:type="dxa"/>
            <w:left w:w="108" w:type="dxa"/>
            <w:bottom w:w="0" w:type="dxa"/>
            <w:right w:w="108" w:type="dxa"/>
          </w:tblCellMar>
        </w:tblPrEx>
        <w:trPr>
          <w:trHeight w:val="1444"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14:paraId="7542BCA2">
            <w:pPr>
              <w:widowControl/>
              <w:spacing w:line="240" w:lineRule="exact"/>
              <w:jc w:val="center"/>
              <w:rPr>
                <w:rFonts w:ascii="宋体" w:hAnsi="宋体" w:eastAsia="宋体" w:cs="宋体"/>
                <w:kern w:val="0"/>
                <w:sz w:val="18"/>
                <w:szCs w:val="18"/>
              </w:rPr>
            </w:pPr>
          </w:p>
        </w:tc>
        <w:tc>
          <w:tcPr>
            <w:tcW w:w="5023" w:type="dxa"/>
            <w:gridSpan w:val="6"/>
            <w:tcBorders>
              <w:top w:val="single" w:color="auto" w:sz="4" w:space="0"/>
              <w:left w:val="nil"/>
              <w:bottom w:val="single" w:color="auto" w:sz="4" w:space="0"/>
              <w:right w:val="single" w:color="auto" w:sz="4" w:space="0"/>
            </w:tcBorders>
            <w:noWrap w:val="0"/>
            <w:vAlign w:val="center"/>
          </w:tcPr>
          <w:p w14:paraId="55225DD0">
            <w:pPr>
              <w:widowControl/>
              <w:numPr>
                <w:ilvl w:val="0"/>
                <w:numId w:val="1"/>
              </w:numPr>
              <w:spacing w:line="240" w:lineRule="exact"/>
              <w:jc w:val="lef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通过开展基本康复服务工作，为有需求的0-6岁残疾儿童和持证残疾人提供基本康复服务，改善残疾儿童功能状况，努力增强残疾人生活自理和社会参与能力</w:t>
            </w:r>
          </w:p>
          <w:p w14:paraId="2C2E3EAB">
            <w:pPr>
              <w:widowControl/>
              <w:numPr>
                <w:ilvl w:val="0"/>
                <w:numId w:val="1"/>
              </w:numPr>
              <w:spacing w:line="240" w:lineRule="exact"/>
              <w:jc w:val="lef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帮助残疾人实施精准康复服务。</w:t>
            </w:r>
          </w:p>
        </w:tc>
        <w:tc>
          <w:tcPr>
            <w:tcW w:w="3686" w:type="dxa"/>
            <w:gridSpan w:val="7"/>
            <w:tcBorders>
              <w:top w:val="single" w:color="auto" w:sz="4" w:space="0"/>
              <w:left w:val="nil"/>
              <w:bottom w:val="single" w:color="auto" w:sz="4" w:space="0"/>
              <w:right w:val="single" w:color="auto" w:sz="4" w:space="0"/>
            </w:tcBorders>
            <w:noWrap w:val="0"/>
            <w:vAlign w:val="center"/>
          </w:tcPr>
          <w:p w14:paraId="2D64ABF5">
            <w:pPr>
              <w:widowControl/>
              <w:numPr>
                <w:ilvl w:val="0"/>
                <w:numId w:val="0"/>
              </w:numPr>
              <w:spacing w:line="240" w:lineRule="exact"/>
              <w:jc w:val="lef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1.通过开展基本康复服务工作，为有需求的0-6岁残疾儿童和持证残疾人提供基本康复服务，改善残疾儿单功能状况，努力增强残疾人生活自理和社会参与能力</w:t>
            </w:r>
          </w:p>
          <w:p w14:paraId="16E54316">
            <w:pPr>
              <w:widowControl/>
              <w:spacing w:line="240" w:lineRule="exact"/>
              <w:jc w:val="both"/>
              <w:rPr>
                <w:rFonts w:ascii="宋体" w:hAnsi="宋体" w:eastAsia="宋体" w:cs="宋体"/>
                <w:kern w:val="0"/>
                <w:sz w:val="18"/>
                <w:szCs w:val="18"/>
              </w:rPr>
            </w:pPr>
            <w:r>
              <w:rPr>
                <w:rFonts w:hint="eastAsia" w:ascii="宋体" w:hAnsi="宋体" w:eastAsia="宋体" w:cs="宋体"/>
                <w:kern w:val="0"/>
                <w:sz w:val="18"/>
                <w:szCs w:val="18"/>
                <w:lang w:val="en-US" w:eastAsia="zh-CN"/>
              </w:rPr>
              <w:t>2.帮助残疾人实施精准康复服务。</w:t>
            </w:r>
          </w:p>
        </w:tc>
      </w:tr>
      <w:tr w14:paraId="553F6C65">
        <w:tblPrEx>
          <w:tblCellMar>
            <w:top w:w="0" w:type="dxa"/>
            <w:left w:w="108" w:type="dxa"/>
            <w:bottom w:w="0" w:type="dxa"/>
            <w:right w:w="108" w:type="dxa"/>
          </w:tblCellMar>
        </w:tblPrEx>
        <w:trPr>
          <w:trHeight w:val="720" w:hRule="atLeast"/>
          <w:jc w:val="center"/>
        </w:trPr>
        <w:tc>
          <w:tcPr>
            <w:tcW w:w="588" w:type="dxa"/>
            <w:vMerge w:val="restart"/>
            <w:tcBorders>
              <w:top w:val="nil"/>
              <w:left w:val="single" w:color="auto" w:sz="4" w:space="0"/>
              <w:right w:val="single" w:color="auto" w:sz="4" w:space="0"/>
            </w:tcBorders>
            <w:noWrap w:val="0"/>
            <w:vAlign w:val="center"/>
          </w:tcPr>
          <w:p w14:paraId="5C76F09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727" w:type="dxa"/>
            <w:tcBorders>
              <w:top w:val="nil"/>
              <w:left w:val="nil"/>
              <w:bottom w:val="single" w:color="auto" w:sz="4" w:space="0"/>
              <w:right w:val="single" w:color="auto" w:sz="4" w:space="0"/>
            </w:tcBorders>
            <w:noWrap w:val="0"/>
            <w:vAlign w:val="center"/>
          </w:tcPr>
          <w:p w14:paraId="7FF3E37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914" w:type="dxa"/>
            <w:tcBorders>
              <w:top w:val="nil"/>
              <w:left w:val="nil"/>
              <w:bottom w:val="single" w:color="auto" w:sz="4" w:space="0"/>
              <w:right w:val="single" w:color="auto" w:sz="4" w:space="0"/>
            </w:tcBorders>
            <w:noWrap w:val="0"/>
            <w:vAlign w:val="center"/>
          </w:tcPr>
          <w:p w14:paraId="3667E26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599" w:type="dxa"/>
            <w:gridSpan w:val="3"/>
            <w:tcBorders>
              <w:top w:val="single" w:color="auto" w:sz="4" w:space="0"/>
              <w:left w:val="nil"/>
              <w:bottom w:val="single" w:color="auto" w:sz="4" w:space="0"/>
              <w:right w:val="single" w:color="auto" w:sz="4" w:space="0"/>
            </w:tcBorders>
            <w:noWrap w:val="0"/>
            <w:vAlign w:val="center"/>
          </w:tcPr>
          <w:p w14:paraId="301DA24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783" w:type="dxa"/>
            <w:tcBorders>
              <w:top w:val="nil"/>
              <w:left w:val="nil"/>
              <w:bottom w:val="single" w:color="auto" w:sz="4" w:space="0"/>
              <w:right w:val="single" w:color="auto" w:sz="4" w:space="0"/>
            </w:tcBorders>
            <w:noWrap w:val="0"/>
            <w:vAlign w:val="center"/>
          </w:tcPr>
          <w:p w14:paraId="64CF787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43927E2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918" w:type="dxa"/>
            <w:tcBorders>
              <w:top w:val="nil"/>
              <w:left w:val="nil"/>
              <w:bottom w:val="single" w:color="auto" w:sz="4" w:space="0"/>
              <w:right w:val="single" w:color="auto" w:sz="4" w:space="0"/>
            </w:tcBorders>
            <w:noWrap w:val="0"/>
            <w:vAlign w:val="center"/>
          </w:tcPr>
          <w:p w14:paraId="4702954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008D15B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14:paraId="149B62B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14:paraId="23E1587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634" w:type="dxa"/>
            <w:gridSpan w:val="2"/>
            <w:tcBorders>
              <w:top w:val="single" w:color="auto" w:sz="4" w:space="0"/>
              <w:left w:val="nil"/>
              <w:bottom w:val="single" w:color="auto" w:sz="4" w:space="0"/>
              <w:right w:val="single" w:color="auto" w:sz="4" w:space="0"/>
            </w:tcBorders>
            <w:noWrap w:val="0"/>
            <w:vAlign w:val="center"/>
          </w:tcPr>
          <w:p w14:paraId="7985328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5861FE3C">
        <w:tblPrEx>
          <w:tblCellMar>
            <w:top w:w="0" w:type="dxa"/>
            <w:left w:w="108" w:type="dxa"/>
            <w:bottom w:w="0" w:type="dxa"/>
            <w:right w:w="108" w:type="dxa"/>
          </w:tblCellMar>
        </w:tblPrEx>
        <w:trPr>
          <w:trHeight w:val="720" w:hRule="atLeast"/>
          <w:jc w:val="center"/>
        </w:trPr>
        <w:tc>
          <w:tcPr>
            <w:tcW w:w="588" w:type="dxa"/>
            <w:vMerge w:val="continue"/>
            <w:tcBorders>
              <w:left w:val="single" w:color="auto" w:sz="4" w:space="0"/>
              <w:right w:val="single" w:color="auto" w:sz="4" w:space="0"/>
            </w:tcBorders>
            <w:noWrap w:val="0"/>
            <w:vAlign w:val="center"/>
          </w:tcPr>
          <w:p w14:paraId="2C27033D">
            <w:pPr>
              <w:widowControl/>
              <w:spacing w:line="240" w:lineRule="exact"/>
              <w:jc w:val="center"/>
              <w:rPr>
                <w:rFonts w:ascii="宋体" w:hAnsi="宋体" w:eastAsia="宋体" w:cs="宋体"/>
                <w:kern w:val="0"/>
                <w:sz w:val="18"/>
                <w:szCs w:val="18"/>
              </w:rPr>
            </w:pPr>
          </w:p>
        </w:tc>
        <w:tc>
          <w:tcPr>
            <w:tcW w:w="727" w:type="dxa"/>
            <w:vMerge w:val="restart"/>
            <w:tcBorders>
              <w:top w:val="nil"/>
              <w:left w:val="single" w:color="auto" w:sz="4" w:space="0"/>
              <w:bottom w:val="single" w:color="auto" w:sz="4" w:space="0"/>
              <w:right w:val="single" w:color="auto" w:sz="4" w:space="0"/>
            </w:tcBorders>
            <w:noWrap w:val="0"/>
            <w:vAlign w:val="center"/>
          </w:tcPr>
          <w:p w14:paraId="5846653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914" w:type="dxa"/>
            <w:tcBorders>
              <w:top w:val="nil"/>
              <w:left w:val="single" w:color="auto" w:sz="4" w:space="0"/>
              <w:bottom w:val="single" w:color="auto" w:sz="4" w:space="0"/>
              <w:right w:val="single" w:color="auto" w:sz="4" w:space="0"/>
            </w:tcBorders>
            <w:noWrap w:val="0"/>
            <w:vAlign w:val="center"/>
          </w:tcPr>
          <w:p w14:paraId="2C1E774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599" w:type="dxa"/>
            <w:gridSpan w:val="3"/>
            <w:tcBorders>
              <w:top w:val="single" w:color="auto" w:sz="4" w:space="0"/>
              <w:left w:val="nil"/>
              <w:bottom w:val="single" w:color="auto" w:sz="4" w:space="0"/>
              <w:right w:val="single" w:color="auto" w:sz="4" w:space="0"/>
            </w:tcBorders>
            <w:noWrap w:val="0"/>
            <w:vAlign w:val="center"/>
          </w:tcPr>
          <w:p w14:paraId="2328CE27">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有需求的残疾儿童和持证残疾人接受基本康复服务的比例</w:t>
            </w:r>
          </w:p>
        </w:tc>
        <w:tc>
          <w:tcPr>
            <w:tcW w:w="783" w:type="dxa"/>
            <w:tcBorders>
              <w:top w:val="nil"/>
              <w:left w:val="nil"/>
              <w:bottom w:val="single" w:color="auto" w:sz="4" w:space="0"/>
              <w:right w:val="single" w:color="auto" w:sz="4" w:space="0"/>
            </w:tcBorders>
            <w:noWrap w:val="0"/>
            <w:vAlign w:val="center"/>
          </w:tcPr>
          <w:p w14:paraId="3929A0E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80%</w:t>
            </w:r>
          </w:p>
        </w:tc>
        <w:tc>
          <w:tcPr>
            <w:tcW w:w="918" w:type="dxa"/>
            <w:tcBorders>
              <w:top w:val="nil"/>
              <w:left w:val="nil"/>
              <w:bottom w:val="single" w:color="auto" w:sz="4" w:space="0"/>
              <w:right w:val="single" w:color="auto" w:sz="4" w:space="0"/>
            </w:tcBorders>
            <w:noWrap w:val="0"/>
            <w:vAlign w:val="center"/>
          </w:tcPr>
          <w:p w14:paraId="3BFF88A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80%</w:t>
            </w:r>
          </w:p>
        </w:tc>
        <w:tc>
          <w:tcPr>
            <w:tcW w:w="567" w:type="dxa"/>
            <w:gridSpan w:val="2"/>
            <w:tcBorders>
              <w:top w:val="nil"/>
              <w:left w:val="nil"/>
              <w:bottom w:val="single" w:color="auto" w:sz="4" w:space="0"/>
              <w:right w:val="single" w:color="auto" w:sz="4" w:space="0"/>
            </w:tcBorders>
            <w:noWrap w:val="0"/>
            <w:vAlign w:val="center"/>
          </w:tcPr>
          <w:p w14:paraId="2C02F20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14:paraId="3657C25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18</w:t>
            </w:r>
          </w:p>
        </w:tc>
        <w:tc>
          <w:tcPr>
            <w:tcW w:w="1634" w:type="dxa"/>
            <w:gridSpan w:val="2"/>
            <w:tcBorders>
              <w:top w:val="single" w:color="auto" w:sz="4" w:space="0"/>
              <w:left w:val="nil"/>
              <w:bottom w:val="single" w:color="auto" w:sz="4" w:space="0"/>
              <w:right w:val="single" w:color="auto" w:sz="4" w:space="0"/>
            </w:tcBorders>
            <w:noWrap w:val="0"/>
            <w:vAlign w:val="center"/>
          </w:tcPr>
          <w:p w14:paraId="574AC923">
            <w:pPr>
              <w:widowControl/>
              <w:spacing w:line="240" w:lineRule="exact"/>
              <w:jc w:val="center"/>
              <w:rPr>
                <w:rFonts w:ascii="宋体" w:hAnsi="宋体" w:eastAsia="宋体" w:cs="宋体"/>
                <w:kern w:val="0"/>
                <w:sz w:val="18"/>
                <w:szCs w:val="18"/>
              </w:rPr>
            </w:pPr>
          </w:p>
        </w:tc>
      </w:tr>
      <w:tr w14:paraId="7F7B1237">
        <w:tblPrEx>
          <w:tblCellMar>
            <w:top w:w="0" w:type="dxa"/>
            <w:left w:w="108" w:type="dxa"/>
            <w:bottom w:w="0" w:type="dxa"/>
            <w:right w:w="108" w:type="dxa"/>
          </w:tblCellMar>
        </w:tblPrEx>
        <w:trPr>
          <w:trHeight w:val="720" w:hRule="atLeast"/>
          <w:jc w:val="center"/>
        </w:trPr>
        <w:tc>
          <w:tcPr>
            <w:tcW w:w="588" w:type="dxa"/>
            <w:vMerge w:val="continue"/>
            <w:tcBorders>
              <w:left w:val="single" w:color="auto" w:sz="4" w:space="0"/>
              <w:right w:val="single" w:color="auto" w:sz="4" w:space="0"/>
            </w:tcBorders>
            <w:noWrap w:val="0"/>
            <w:vAlign w:val="center"/>
          </w:tcPr>
          <w:p w14:paraId="3DEA7694">
            <w:pPr>
              <w:widowControl/>
              <w:spacing w:line="240" w:lineRule="exact"/>
              <w:jc w:val="center"/>
              <w:rPr>
                <w:rFonts w:ascii="宋体" w:hAnsi="宋体" w:eastAsia="宋体" w:cs="宋体"/>
                <w:kern w:val="0"/>
                <w:sz w:val="18"/>
                <w:szCs w:val="18"/>
              </w:rPr>
            </w:pPr>
          </w:p>
        </w:tc>
        <w:tc>
          <w:tcPr>
            <w:tcW w:w="727" w:type="dxa"/>
            <w:vMerge w:val="continue"/>
            <w:tcBorders>
              <w:top w:val="nil"/>
              <w:left w:val="single" w:color="auto" w:sz="4" w:space="0"/>
              <w:bottom w:val="single" w:color="auto" w:sz="4" w:space="0"/>
              <w:right w:val="single" w:color="auto" w:sz="4" w:space="0"/>
            </w:tcBorders>
            <w:noWrap w:val="0"/>
            <w:vAlign w:val="center"/>
          </w:tcPr>
          <w:p w14:paraId="6D4DA1F8">
            <w:pPr>
              <w:widowControl/>
              <w:spacing w:line="240" w:lineRule="exact"/>
              <w:jc w:val="center"/>
              <w:rPr>
                <w:rFonts w:ascii="宋体" w:hAnsi="宋体" w:eastAsia="宋体" w:cs="宋体"/>
                <w:kern w:val="0"/>
                <w:sz w:val="18"/>
                <w:szCs w:val="18"/>
              </w:rPr>
            </w:pPr>
          </w:p>
        </w:tc>
        <w:tc>
          <w:tcPr>
            <w:tcW w:w="914" w:type="dxa"/>
            <w:tcBorders>
              <w:top w:val="nil"/>
              <w:left w:val="single" w:color="auto" w:sz="4" w:space="0"/>
              <w:bottom w:val="single" w:color="auto" w:sz="4" w:space="0"/>
              <w:right w:val="single" w:color="auto" w:sz="4" w:space="0"/>
            </w:tcBorders>
            <w:noWrap w:val="0"/>
            <w:vAlign w:val="center"/>
          </w:tcPr>
          <w:p w14:paraId="5758354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599" w:type="dxa"/>
            <w:gridSpan w:val="3"/>
            <w:tcBorders>
              <w:top w:val="single" w:color="auto" w:sz="4" w:space="0"/>
              <w:left w:val="nil"/>
              <w:bottom w:val="single" w:color="auto" w:sz="4" w:space="0"/>
              <w:right w:val="single" w:color="auto" w:sz="4" w:space="0"/>
            </w:tcBorders>
            <w:noWrap w:val="0"/>
            <w:vAlign w:val="center"/>
          </w:tcPr>
          <w:p w14:paraId="714D463A">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得到基本康复服务的残疾儿童和持证残疾人的合格率</w:t>
            </w:r>
          </w:p>
        </w:tc>
        <w:tc>
          <w:tcPr>
            <w:tcW w:w="783" w:type="dxa"/>
            <w:tcBorders>
              <w:top w:val="nil"/>
              <w:left w:val="nil"/>
              <w:bottom w:val="single" w:color="auto" w:sz="4" w:space="0"/>
              <w:right w:val="single" w:color="auto" w:sz="4" w:space="0"/>
            </w:tcBorders>
            <w:noWrap w:val="0"/>
            <w:vAlign w:val="center"/>
          </w:tcPr>
          <w:p w14:paraId="6613442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≥95%</w:t>
            </w:r>
          </w:p>
        </w:tc>
        <w:tc>
          <w:tcPr>
            <w:tcW w:w="918" w:type="dxa"/>
            <w:tcBorders>
              <w:top w:val="nil"/>
              <w:left w:val="nil"/>
              <w:bottom w:val="single" w:color="auto" w:sz="4" w:space="0"/>
              <w:right w:val="single" w:color="auto" w:sz="4" w:space="0"/>
            </w:tcBorders>
            <w:noWrap w:val="0"/>
            <w:vAlign w:val="center"/>
          </w:tcPr>
          <w:p w14:paraId="38BCDF8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≥95%</w:t>
            </w:r>
          </w:p>
        </w:tc>
        <w:tc>
          <w:tcPr>
            <w:tcW w:w="567" w:type="dxa"/>
            <w:gridSpan w:val="2"/>
            <w:tcBorders>
              <w:top w:val="nil"/>
              <w:left w:val="nil"/>
              <w:bottom w:val="single" w:color="auto" w:sz="4" w:space="0"/>
              <w:right w:val="single" w:color="auto" w:sz="4" w:space="0"/>
            </w:tcBorders>
            <w:noWrap w:val="0"/>
            <w:vAlign w:val="center"/>
          </w:tcPr>
          <w:p w14:paraId="6D9546C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14:paraId="6FE3003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18</w:t>
            </w:r>
          </w:p>
        </w:tc>
        <w:tc>
          <w:tcPr>
            <w:tcW w:w="1634" w:type="dxa"/>
            <w:gridSpan w:val="2"/>
            <w:tcBorders>
              <w:top w:val="single" w:color="auto" w:sz="4" w:space="0"/>
              <w:left w:val="nil"/>
              <w:bottom w:val="single" w:color="auto" w:sz="4" w:space="0"/>
              <w:right w:val="single" w:color="auto" w:sz="4" w:space="0"/>
            </w:tcBorders>
            <w:noWrap w:val="0"/>
            <w:vAlign w:val="center"/>
          </w:tcPr>
          <w:p w14:paraId="0D547A9D">
            <w:pPr>
              <w:widowControl/>
              <w:spacing w:line="240" w:lineRule="exact"/>
              <w:jc w:val="center"/>
              <w:rPr>
                <w:rFonts w:ascii="宋体" w:hAnsi="宋体" w:eastAsia="宋体" w:cs="宋体"/>
                <w:kern w:val="0"/>
                <w:sz w:val="18"/>
                <w:szCs w:val="18"/>
              </w:rPr>
            </w:pPr>
          </w:p>
        </w:tc>
      </w:tr>
      <w:tr w14:paraId="61121D01">
        <w:tblPrEx>
          <w:tblCellMar>
            <w:top w:w="0" w:type="dxa"/>
            <w:left w:w="108" w:type="dxa"/>
            <w:bottom w:w="0" w:type="dxa"/>
            <w:right w:w="108" w:type="dxa"/>
          </w:tblCellMar>
        </w:tblPrEx>
        <w:trPr>
          <w:trHeight w:val="720" w:hRule="atLeast"/>
          <w:jc w:val="center"/>
        </w:trPr>
        <w:tc>
          <w:tcPr>
            <w:tcW w:w="588" w:type="dxa"/>
            <w:vMerge w:val="continue"/>
            <w:tcBorders>
              <w:left w:val="single" w:color="auto" w:sz="4" w:space="0"/>
              <w:right w:val="single" w:color="auto" w:sz="4" w:space="0"/>
            </w:tcBorders>
            <w:noWrap w:val="0"/>
            <w:vAlign w:val="center"/>
          </w:tcPr>
          <w:p w14:paraId="1B08AEF8">
            <w:pPr>
              <w:widowControl/>
              <w:spacing w:line="240" w:lineRule="exact"/>
              <w:jc w:val="center"/>
              <w:rPr>
                <w:rFonts w:ascii="宋体" w:hAnsi="宋体" w:eastAsia="宋体" w:cs="宋体"/>
                <w:kern w:val="0"/>
                <w:sz w:val="18"/>
                <w:szCs w:val="18"/>
              </w:rPr>
            </w:pPr>
          </w:p>
        </w:tc>
        <w:tc>
          <w:tcPr>
            <w:tcW w:w="727" w:type="dxa"/>
            <w:vMerge w:val="continue"/>
            <w:tcBorders>
              <w:top w:val="nil"/>
              <w:left w:val="single" w:color="auto" w:sz="4" w:space="0"/>
              <w:bottom w:val="single" w:color="auto" w:sz="4" w:space="0"/>
              <w:right w:val="single" w:color="auto" w:sz="4" w:space="0"/>
            </w:tcBorders>
            <w:noWrap w:val="0"/>
            <w:vAlign w:val="center"/>
          </w:tcPr>
          <w:p w14:paraId="4955E154">
            <w:pPr>
              <w:widowControl/>
              <w:spacing w:line="240" w:lineRule="exact"/>
              <w:jc w:val="center"/>
              <w:rPr>
                <w:rFonts w:ascii="宋体" w:hAnsi="宋体" w:eastAsia="宋体" w:cs="宋体"/>
                <w:kern w:val="0"/>
                <w:sz w:val="18"/>
                <w:szCs w:val="18"/>
              </w:rPr>
            </w:pPr>
          </w:p>
        </w:tc>
        <w:tc>
          <w:tcPr>
            <w:tcW w:w="914" w:type="dxa"/>
            <w:tcBorders>
              <w:top w:val="nil"/>
              <w:left w:val="single" w:color="auto" w:sz="4" w:space="0"/>
              <w:bottom w:val="single" w:color="auto" w:sz="4" w:space="0"/>
              <w:right w:val="single" w:color="auto" w:sz="4" w:space="0"/>
            </w:tcBorders>
            <w:noWrap w:val="0"/>
            <w:vAlign w:val="center"/>
          </w:tcPr>
          <w:p w14:paraId="3CF4788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599" w:type="dxa"/>
            <w:gridSpan w:val="3"/>
            <w:tcBorders>
              <w:top w:val="single" w:color="auto" w:sz="4" w:space="0"/>
              <w:left w:val="nil"/>
              <w:bottom w:val="single" w:color="auto" w:sz="4" w:space="0"/>
              <w:right w:val="single" w:color="auto" w:sz="4" w:space="0"/>
            </w:tcBorders>
            <w:noWrap w:val="0"/>
            <w:vAlign w:val="center"/>
          </w:tcPr>
          <w:p w14:paraId="63C5B5E3">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项目完成及时率</w:t>
            </w:r>
          </w:p>
        </w:tc>
        <w:tc>
          <w:tcPr>
            <w:tcW w:w="783" w:type="dxa"/>
            <w:tcBorders>
              <w:top w:val="nil"/>
              <w:left w:val="nil"/>
              <w:bottom w:val="single" w:color="auto" w:sz="4" w:space="0"/>
              <w:right w:val="single" w:color="auto" w:sz="4" w:space="0"/>
            </w:tcBorders>
            <w:noWrap w:val="0"/>
            <w:vAlign w:val="center"/>
          </w:tcPr>
          <w:p w14:paraId="5D0364C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80%</w:t>
            </w:r>
          </w:p>
        </w:tc>
        <w:tc>
          <w:tcPr>
            <w:tcW w:w="918" w:type="dxa"/>
            <w:tcBorders>
              <w:top w:val="nil"/>
              <w:left w:val="nil"/>
              <w:bottom w:val="single" w:color="auto" w:sz="4" w:space="0"/>
              <w:right w:val="single" w:color="auto" w:sz="4" w:space="0"/>
            </w:tcBorders>
            <w:noWrap w:val="0"/>
            <w:vAlign w:val="center"/>
          </w:tcPr>
          <w:p w14:paraId="67A7E2B8">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80%</w:t>
            </w:r>
          </w:p>
        </w:tc>
        <w:tc>
          <w:tcPr>
            <w:tcW w:w="567" w:type="dxa"/>
            <w:gridSpan w:val="2"/>
            <w:tcBorders>
              <w:top w:val="nil"/>
              <w:left w:val="nil"/>
              <w:bottom w:val="single" w:color="auto" w:sz="4" w:space="0"/>
              <w:right w:val="single" w:color="auto" w:sz="4" w:space="0"/>
            </w:tcBorders>
            <w:noWrap w:val="0"/>
            <w:vAlign w:val="center"/>
          </w:tcPr>
          <w:p w14:paraId="2015707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14:paraId="029753F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18</w:t>
            </w:r>
          </w:p>
        </w:tc>
        <w:tc>
          <w:tcPr>
            <w:tcW w:w="1634" w:type="dxa"/>
            <w:gridSpan w:val="2"/>
            <w:tcBorders>
              <w:top w:val="single" w:color="auto" w:sz="4" w:space="0"/>
              <w:left w:val="nil"/>
              <w:bottom w:val="single" w:color="auto" w:sz="4" w:space="0"/>
              <w:right w:val="single" w:color="auto" w:sz="4" w:space="0"/>
            </w:tcBorders>
            <w:noWrap w:val="0"/>
            <w:vAlign w:val="center"/>
          </w:tcPr>
          <w:p w14:paraId="08E537DA">
            <w:pPr>
              <w:widowControl/>
              <w:spacing w:line="240" w:lineRule="exact"/>
              <w:jc w:val="center"/>
              <w:rPr>
                <w:rFonts w:ascii="宋体" w:hAnsi="宋体" w:eastAsia="宋体" w:cs="宋体"/>
                <w:kern w:val="0"/>
                <w:sz w:val="18"/>
                <w:szCs w:val="18"/>
              </w:rPr>
            </w:pPr>
          </w:p>
        </w:tc>
      </w:tr>
      <w:tr w14:paraId="0F583C0A">
        <w:tblPrEx>
          <w:tblCellMar>
            <w:top w:w="0" w:type="dxa"/>
            <w:left w:w="108" w:type="dxa"/>
            <w:bottom w:w="0" w:type="dxa"/>
            <w:right w:w="108" w:type="dxa"/>
          </w:tblCellMar>
        </w:tblPrEx>
        <w:trPr>
          <w:trHeight w:val="720" w:hRule="atLeast"/>
          <w:jc w:val="center"/>
        </w:trPr>
        <w:tc>
          <w:tcPr>
            <w:tcW w:w="588" w:type="dxa"/>
            <w:vMerge w:val="continue"/>
            <w:tcBorders>
              <w:left w:val="single" w:color="auto" w:sz="4" w:space="0"/>
              <w:right w:val="single" w:color="auto" w:sz="4" w:space="0"/>
            </w:tcBorders>
            <w:noWrap w:val="0"/>
            <w:vAlign w:val="center"/>
          </w:tcPr>
          <w:p w14:paraId="07979AE1">
            <w:pPr>
              <w:widowControl/>
              <w:spacing w:line="240" w:lineRule="exact"/>
              <w:jc w:val="center"/>
              <w:rPr>
                <w:rFonts w:ascii="宋体" w:hAnsi="宋体" w:eastAsia="宋体" w:cs="宋体"/>
                <w:kern w:val="0"/>
                <w:sz w:val="18"/>
                <w:szCs w:val="18"/>
              </w:rPr>
            </w:pPr>
          </w:p>
        </w:tc>
        <w:tc>
          <w:tcPr>
            <w:tcW w:w="727" w:type="dxa"/>
            <w:vMerge w:val="continue"/>
            <w:tcBorders>
              <w:top w:val="nil"/>
              <w:left w:val="single" w:color="auto" w:sz="4" w:space="0"/>
              <w:bottom w:val="single" w:color="auto" w:sz="4" w:space="0"/>
              <w:right w:val="single" w:color="auto" w:sz="4" w:space="0"/>
            </w:tcBorders>
            <w:noWrap w:val="0"/>
            <w:vAlign w:val="center"/>
          </w:tcPr>
          <w:p w14:paraId="47BE5A6D">
            <w:pPr>
              <w:widowControl/>
              <w:spacing w:line="240" w:lineRule="exact"/>
              <w:jc w:val="center"/>
              <w:rPr>
                <w:rFonts w:ascii="宋体" w:hAnsi="宋体" w:eastAsia="宋体" w:cs="宋体"/>
                <w:kern w:val="0"/>
                <w:sz w:val="18"/>
                <w:szCs w:val="18"/>
              </w:rPr>
            </w:pPr>
          </w:p>
        </w:tc>
        <w:tc>
          <w:tcPr>
            <w:tcW w:w="914" w:type="dxa"/>
            <w:tcBorders>
              <w:top w:val="nil"/>
              <w:left w:val="single" w:color="auto" w:sz="4" w:space="0"/>
              <w:bottom w:val="single" w:color="auto" w:sz="4" w:space="0"/>
              <w:right w:val="single" w:color="auto" w:sz="4" w:space="0"/>
            </w:tcBorders>
            <w:noWrap w:val="0"/>
            <w:vAlign w:val="center"/>
          </w:tcPr>
          <w:p w14:paraId="62B25CB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599" w:type="dxa"/>
            <w:gridSpan w:val="3"/>
            <w:tcBorders>
              <w:top w:val="single" w:color="auto" w:sz="4" w:space="0"/>
              <w:left w:val="nil"/>
              <w:bottom w:val="single" w:color="auto" w:sz="4" w:space="0"/>
              <w:right w:val="single" w:color="auto" w:sz="4" w:space="0"/>
            </w:tcBorders>
            <w:noWrap w:val="0"/>
            <w:vAlign w:val="center"/>
          </w:tcPr>
          <w:p w14:paraId="6508B43B">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全年按计划实施项目是否超预算</w:t>
            </w:r>
          </w:p>
        </w:tc>
        <w:tc>
          <w:tcPr>
            <w:tcW w:w="783" w:type="dxa"/>
            <w:tcBorders>
              <w:top w:val="nil"/>
              <w:left w:val="nil"/>
              <w:bottom w:val="single" w:color="auto" w:sz="4" w:space="0"/>
              <w:right w:val="single" w:color="auto" w:sz="4" w:space="0"/>
            </w:tcBorders>
            <w:noWrap w:val="0"/>
            <w:vAlign w:val="center"/>
          </w:tcPr>
          <w:p w14:paraId="132CC26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按预算实施</w:t>
            </w:r>
          </w:p>
        </w:tc>
        <w:tc>
          <w:tcPr>
            <w:tcW w:w="918" w:type="dxa"/>
            <w:tcBorders>
              <w:top w:val="nil"/>
              <w:left w:val="nil"/>
              <w:bottom w:val="single" w:color="auto" w:sz="4" w:space="0"/>
              <w:right w:val="single" w:color="auto" w:sz="4" w:space="0"/>
            </w:tcBorders>
            <w:noWrap w:val="0"/>
            <w:vAlign w:val="center"/>
          </w:tcPr>
          <w:p w14:paraId="2E06727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未超预算</w:t>
            </w:r>
          </w:p>
        </w:tc>
        <w:tc>
          <w:tcPr>
            <w:tcW w:w="567" w:type="dxa"/>
            <w:gridSpan w:val="2"/>
            <w:tcBorders>
              <w:top w:val="nil"/>
              <w:left w:val="nil"/>
              <w:bottom w:val="single" w:color="auto" w:sz="4" w:space="0"/>
              <w:right w:val="single" w:color="auto" w:sz="4" w:space="0"/>
            </w:tcBorders>
            <w:noWrap w:val="0"/>
            <w:vAlign w:val="center"/>
          </w:tcPr>
          <w:p w14:paraId="2ABED5E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7C7AE1A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634" w:type="dxa"/>
            <w:gridSpan w:val="2"/>
            <w:tcBorders>
              <w:top w:val="single" w:color="auto" w:sz="4" w:space="0"/>
              <w:left w:val="nil"/>
              <w:bottom w:val="single" w:color="auto" w:sz="4" w:space="0"/>
              <w:right w:val="single" w:color="auto" w:sz="4" w:space="0"/>
            </w:tcBorders>
            <w:noWrap w:val="0"/>
            <w:vAlign w:val="center"/>
          </w:tcPr>
          <w:p w14:paraId="2F7FC323">
            <w:pPr>
              <w:widowControl/>
              <w:spacing w:line="240" w:lineRule="exact"/>
              <w:jc w:val="center"/>
              <w:rPr>
                <w:rFonts w:ascii="宋体" w:hAnsi="宋体" w:eastAsia="宋体" w:cs="宋体"/>
                <w:kern w:val="0"/>
                <w:sz w:val="18"/>
                <w:szCs w:val="18"/>
              </w:rPr>
            </w:pPr>
          </w:p>
        </w:tc>
      </w:tr>
      <w:tr w14:paraId="3E99AAF3">
        <w:tblPrEx>
          <w:tblCellMar>
            <w:top w:w="0" w:type="dxa"/>
            <w:left w:w="108" w:type="dxa"/>
            <w:bottom w:w="0" w:type="dxa"/>
            <w:right w:w="108" w:type="dxa"/>
          </w:tblCellMar>
        </w:tblPrEx>
        <w:trPr>
          <w:trHeight w:val="720" w:hRule="atLeast"/>
          <w:jc w:val="center"/>
        </w:trPr>
        <w:tc>
          <w:tcPr>
            <w:tcW w:w="588" w:type="dxa"/>
            <w:vMerge w:val="continue"/>
            <w:tcBorders>
              <w:left w:val="single" w:color="auto" w:sz="4" w:space="0"/>
              <w:right w:val="single" w:color="auto" w:sz="4" w:space="0"/>
            </w:tcBorders>
            <w:noWrap w:val="0"/>
            <w:vAlign w:val="center"/>
          </w:tcPr>
          <w:p w14:paraId="1D8D336E">
            <w:pPr>
              <w:widowControl/>
              <w:spacing w:line="240" w:lineRule="exact"/>
              <w:jc w:val="center"/>
              <w:rPr>
                <w:rFonts w:ascii="宋体" w:hAnsi="宋体" w:eastAsia="宋体" w:cs="宋体"/>
                <w:kern w:val="0"/>
                <w:sz w:val="18"/>
                <w:szCs w:val="18"/>
              </w:rPr>
            </w:pPr>
          </w:p>
        </w:tc>
        <w:tc>
          <w:tcPr>
            <w:tcW w:w="727" w:type="dxa"/>
            <w:tcBorders>
              <w:top w:val="single" w:color="auto" w:sz="4" w:space="0"/>
              <w:left w:val="single" w:color="auto" w:sz="4" w:space="0"/>
              <w:bottom w:val="single" w:color="auto" w:sz="4" w:space="0"/>
              <w:right w:val="single" w:color="auto" w:sz="4" w:space="0"/>
            </w:tcBorders>
            <w:noWrap w:val="0"/>
            <w:vAlign w:val="center"/>
          </w:tcPr>
          <w:p w14:paraId="17310098">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eastAsia="zh-CN"/>
              </w:rPr>
              <w:t>社会效益指标</w:t>
            </w:r>
          </w:p>
        </w:tc>
        <w:tc>
          <w:tcPr>
            <w:tcW w:w="914" w:type="dxa"/>
            <w:tcBorders>
              <w:top w:val="nil"/>
              <w:left w:val="single" w:color="auto" w:sz="4" w:space="0"/>
              <w:bottom w:val="single" w:color="auto" w:sz="4" w:space="0"/>
              <w:right w:val="single" w:color="auto" w:sz="4" w:space="0"/>
            </w:tcBorders>
            <w:noWrap w:val="0"/>
            <w:vAlign w:val="center"/>
          </w:tcPr>
          <w:p w14:paraId="0BB3DD1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2599" w:type="dxa"/>
            <w:gridSpan w:val="3"/>
            <w:tcBorders>
              <w:top w:val="single" w:color="auto" w:sz="4" w:space="0"/>
              <w:left w:val="nil"/>
              <w:bottom w:val="single" w:color="auto" w:sz="4" w:space="0"/>
              <w:right w:val="single" w:color="auto" w:sz="4" w:space="0"/>
            </w:tcBorders>
            <w:noWrap w:val="0"/>
            <w:vAlign w:val="center"/>
          </w:tcPr>
          <w:p w14:paraId="1D305334">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eastAsia="zh-CN"/>
              </w:rPr>
              <w:t>残疾人康复服务水平</w:t>
            </w:r>
          </w:p>
        </w:tc>
        <w:tc>
          <w:tcPr>
            <w:tcW w:w="783" w:type="dxa"/>
            <w:tcBorders>
              <w:top w:val="nil"/>
              <w:left w:val="nil"/>
              <w:bottom w:val="single" w:color="auto" w:sz="4" w:space="0"/>
              <w:right w:val="single" w:color="auto" w:sz="4" w:space="0"/>
            </w:tcBorders>
            <w:noWrap w:val="0"/>
            <w:vAlign w:val="center"/>
          </w:tcPr>
          <w:p w14:paraId="278A1E87">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有所提高</w:t>
            </w:r>
          </w:p>
        </w:tc>
        <w:tc>
          <w:tcPr>
            <w:tcW w:w="918" w:type="dxa"/>
            <w:tcBorders>
              <w:top w:val="nil"/>
              <w:left w:val="nil"/>
              <w:bottom w:val="single" w:color="auto" w:sz="4" w:space="0"/>
              <w:right w:val="single" w:color="auto" w:sz="4" w:space="0"/>
            </w:tcBorders>
            <w:noWrap w:val="0"/>
            <w:vAlign w:val="center"/>
          </w:tcPr>
          <w:p w14:paraId="621A4C52">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有所提高</w:t>
            </w:r>
          </w:p>
        </w:tc>
        <w:tc>
          <w:tcPr>
            <w:tcW w:w="567" w:type="dxa"/>
            <w:gridSpan w:val="2"/>
            <w:tcBorders>
              <w:top w:val="nil"/>
              <w:left w:val="nil"/>
              <w:bottom w:val="single" w:color="auto" w:sz="4" w:space="0"/>
              <w:right w:val="single" w:color="auto" w:sz="4" w:space="0"/>
            </w:tcBorders>
            <w:noWrap w:val="0"/>
            <w:vAlign w:val="center"/>
          </w:tcPr>
          <w:p w14:paraId="3DF0936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645608D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w:t>
            </w:r>
          </w:p>
        </w:tc>
        <w:tc>
          <w:tcPr>
            <w:tcW w:w="1634" w:type="dxa"/>
            <w:gridSpan w:val="2"/>
            <w:tcBorders>
              <w:top w:val="single" w:color="auto" w:sz="4" w:space="0"/>
              <w:left w:val="nil"/>
              <w:bottom w:val="single" w:color="auto" w:sz="4" w:space="0"/>
              <w:right w:val="single" w:color="auto" w:sz="4" w:space="0"/>
            </w:tcBorders>
            <w:noWrap w:val="0"/>
            <w:vAlign w:val="center"/>
          </w:tcPr>
          <w:p w14:paraId="708B8225">
            <w:pPr>
              <w:widowControl/>
              <w:spacing w:line="240" w:lineRule="exact"/>
              <w:jc w:val="center"/>
              <w:rPr>
                <w:rFonts w:ascii="宋体" w:hAnsi="宋体" w:eastAsia="宋体" w:cs="宋体"/>
                <w:kern w:val="0"/>
                <w:sz w:val="18"/>
                <w:szCs w:val="18"/>
              </w:rPr>
            </w:pPr>
          </w:p>
        </w:tc>
      </w:tr>
      <w:tr w14:paraId="3C3CCB0B">
        <w:tblPrEx>
          <w:tblCellMar>
            <w:top w:w="0" w:type="dxa"/>
            <w:left w:w="108" w:type="dxa"/>
            <w:bottom w:w="0" w:type="dxa"/>
            <w:right w:w="108" w:type="dxa"/>
          </w:tblCellMar>
        </w:tblPrEx>
        <w:trPr>
          <w:trHeight w:val="839" w:hRule="atLeast"/>
          <w:jc w:val="center"/>
        </w:trPr>
        <w:tc>
          <w:tcPr>
            <w:tcW w:w="588" w:type="dxa"/>
            <w:vMerge w:val="continue"/>
            <w:tcBorders>
              <w:left w:val="single" w:color="auto" w:sz="4" w:space="0"/>
              <w:right w:val="single" w:color="auto" w:sz="4" w:space="0"/>
            </w:tcBorders>
            <w:noWrap w:val="0"/>
            <w:vAlign w:val="center"/>
          </w:tcPr>
          <w:p w14:paraId="6F00AE4B">
            <w:pPr>
              <w:widowControl/>
              <w:spacing w:line="240" w:lineRule="exact"/>
              <w:jc w:val="center"/>
              <w:rPr>
                <w:rFonts w:ascii="宋体" w:hAnsi="宋体" w:eastAsia="宋体" w:cs="宋体"/>
                <w:kern w:val="0"/>
                <w:sz w:val="18"/>
                <w:szCs w:val="18"/>
              </w:rPr>
            </w:pPr>
          </w:p>
        </w:tc>
        <w:tc>
          <w:tcPr>
            <w:tcW w:w="727" w:type="dxa"/>
            <w:tcBorders>
              <w:top w:val="single" w:color="auto" w:sz="4" w:space="0"/>
              <w:left w:val="single" w:color="auto" w:sz="4" w:space="0"/>
              <w:right w:val="single" w:color="auto" w:sz="4" w:space="0"/>
            </w:tcBorders>
            <w:noWrap w:val="0"/>
            <w:vAlign w:val="center"/>
          </w:tcPr>
          <w:p w14:paraId="2776326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722814F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914" w:type="dxa"/>
            <w:tcBorders>
              <w:top w:val="nil"/>
              <w:left w:val="single" w:color="auto" w:sz="4" w:space="0"/>
              <w:bottom w:val="single" w:color="auto" w:sz="4" w:space="0"/>
              <w:right w:val="single" w:color="auto" w:sz="4" w:space="0"/>
            </w:tcBorders>
            <w:noWrap w:val="0"/>
            <w:vAlign w:val="center"/>
          </w:tcPr>
          <w:p w14:paraId="2AEA20C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599" w:type="dxa"/>
            <w:gridSpan w:val="3"/>
            <w:tcBorders>
              <w:top w:val="single" w:color="auto" w:sz="4" w:space="0"/>
              <w:left w:val="nil"/>
              <w:bottom w:val="single" w:color="auto" w:sz="4" w:space="0"/>
              <w:right w:val="single" w:color="auto" w:sz="4" w:space="0"/>
            </w:tcBorders>
            <w:noWrap w:val="0"/>
            <w:vAlign w:val="center"/>
          </w:tcPr>
          <w:p w14:paraId="42DFE54B">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残疾人及其家属对残疾人康复服务满意度</w:t>
            </w:r>
          </w:p>
        </w:tc>
        <w:tc>
          <w:tcPr>
            <w:tcW w:w="783" w:type="dxa"/>
            <w:tcBorders>
              <w:top w:val="nil"/>
              <w:left w:val="nil"/>
              <w:bottom w:val="single" w:color="auto" w:sz="4" w:space="0"/>
              <w:right w:val="single" w:color="auto" w:sz="4" w:space="0"/>
            </w:tcBorders>
            <w:noWrap w:val="0"/>
            <w:vAlign w:val="center"/>
          </w:tcPr>
          <w:p w14:paraId="2667CE1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80%</w:t>
            </w:r>
          </w:p>
        </w:tc>
        <w:tc>
          <w:tcPr>
            <w:tcW w:w="918" w:type="dxa"/>
            <w:tcBorders>
              <w:top w:val="nil"/>
              <w:left w:val="nil"/>
              <w:bottom w:val="single" w:color="auto" w:sz="4" w:space="0"/>
              <w:right w:val="single" w:color="auto" w:sz="4" w:space="0"/>
            </w:tcBorders>
            <w:noWrap w:val="0"/>
            <w:vAlign w:val="center"/>
          </w:tcPr>
          <w:p w14:paraId="2E235FA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80%</w:t>
            </w:r>
          </w:p>
        </w:tc>
        <w:tc>
          <w:tcPr>
            <w:tcW w:w="567" w:type="dxa"/>
            <w:gridSpan w:val="2"/>
            <w:tcBorders>
              <w:top w:val="nil"/>
              <w:left w:val="nil"/>
              <w:bottom w:val="single" w:color="auto" w:sz="4" w:space="0"/>
              <w:right w:val="single" w:color="auto" w:sz="4" w:space="0"/>
            </w:tcBorders>
            <w:noWrap w:val="0"/>
            <w:vAlign w:val="center"/>
          </w:tcPr>
          <w:p w14:paraId="03AECFD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14:paraId="2C4B4AB6">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634" w:type="dxa"/>
            <w:gridSpan w:val="2"/>
            <w:tcBorders>
              <w:top w:val="single" w:color="auto" w:sz="4" w:space="0"/>
              <w:left w:val="nil"/>
              <w:bottom w:val="single" w:color="auto" w:sz="4" w:space="0"/>
              <w:right w:val="single" w:color="auto" w:sz="4" w:space="0"/>
            </w:tcBorders>
            <w:noWrap w:val="0"/>
            <w:vAlign w:val="center"/>
          </w:tcPr>
          <w:p w14:paraId="0B84FCF1">
            <w:pPr>
              <w:widowControl/>
              <w:spacing w:line="240" w:lineRule="exact"/>
              <w:jc w:val="center"/>
              <w:rPr>
                <w:rFonts w:ascii="宋体" w:hAnsi="宋体" w:eastAsia="宋体" w:cs="宋体"/>
                <w:kern w:val="0"/>
                <w:sz w:val="18"/>
                <w:szCs w:val="18"/>
              </w:rPr>
            </w:pPr>
          </w:p>
        </w:tc>
      </w:tr>
      <w:tr w14:paraId="40682A40">
        <w:tblPrEx>
          <w:tblCellMar>
            <w:top w:w="0" w:type="dxa"/>
            <w:left w:w="108" w:type="dxa"/>
            <w:bottom w:w="0" w:type="dxa"/>
            <w:right w:w="108" w:type="dxa"/>
          </w:tblCellMar>
        </w:tblPrEx>
        <w:trPr>
          <w:trHeight w:val="720" w:hRule="atLeas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14:paraId="4F62AA29">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14:paraId="483FF227">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14:paraId="5326D3E7">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93</w:t>
            </w:r>
          </w:p>
        </w:tc>
        <w:tc>
          <w:tcPr>
            <w:tcW w:w="1634" w:type="dxa"/>
            <w:gridSpan w:val="2"/>
            <w:tcBorders>
              <w:top w:val="single" w:color="auto" w:sz="4" w:space="0"/>
              <w:left w:val="nil"/>
              <w:bottom w:val="single" w:color="auto" w:sz="4" w:space="0"/>
              <w:right w:val="single" w:color="auto" w:sz="4" w:space="0"/>
            </w:tcBorders>
            <w:noWrap w:val="0"/>
            <w:vAlign w:val="center"/>
          </w:tcPr>
          <w:p w14:paraId="3C7B629C">
            <w:pPr>
              <w:widowControl/>
              <w:spacing w:line="240" w:lineRule="exact"/>
              <w:jc w:val="center"/>
              <w:rPr>
                <w:rFonts w:ascii="宋体" w:hAnsi="宋体" w:eastAsia="宋体" w:cs="宋体"/>
                <w:kern w:val="0"/>
                <w:sz w:val="18"/>
                <w:szCs w:val="18"/>
              </w:rPr>
            </w:pPr>
          </w:p>
        </w:tc>
      </w:tr>
    </w:tbl>
    <w:p w14:paraId="7BA799A7">
      <w:pPr>
        <w:autoSpaceDE w:val="0"/>
        <w:autoSpaceDN w:val="0"/>
        <w:adjustRightInd w:val="0"/>
        <w:spacing w:line="360" w:lineRule="auto"/>
        <w:jc w:val="left"/>
        <w:rPr>
          <w:rFonts w:ascii="仿宋" w:hAnsi="仿宋" w:eastAsia="仿宋" w:cs="仿宋_GB2312"/>
          <w:kern w:val="0"/>
          <w:sz w:val="30"/>
          <w:szCs w:val="30"/>
        </w:rPr>
      </w:pPr>
      <w:r>
        <mc:AlternateContent>
          <mc:Choice Requires="wps">
            <w:drawing>
              <wp:anchor distT="0" distB="0" distL="114300" distR="114300" simplePos="0" relativeHeight="251659264" behindDoc="1" locked="0" layoutInCell="1" allowOverlap="1">
                <wp:simplePos x="0" y="0"/>
                <wp:positionH relativeFrom="page">
                  <wp:posOffset>1884680</wp:posOffset>
                </wp:positionH>
                <wp:positionV relativeFrom="paragraph">
                  <wp:posOffset>1229995</wp:posOffset>
                </wp:positionV>
                <wp:extent cx="114300" cy="1143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300" cy="114300"/>
                        </a:xfrm>
                        <a:prstGeom prst="rect">
                          <a:avLst/>
                        </a:prstGeom>
                        <a:noFill/>
                        <a:ln>
                          <a:noFill/>
                        </a:ln>
                      </wps:spPr>
                      <wps:txbx>
                        <w:txbxContent>
                          <w:p w14:paraId="123C25A4">
                            <w:pPr>
                              <w:spacing w:before="0" w:line="180" w:lineRule="exact"/>
                              <w:ind w:left="0" w:right="0" w:firstLine="0"/>
                              <w:jc w:val="left"/>
                              <w:rPr>
                                <w:rFonts w:hint="eastAsia" w:ascii="宋体" w:eastAsia="宋体"/>
                                <w:sz w:val="18"/>
                              </w:rPr>
                            </w:pPr>
                            <w:r>
                              <w:rPr>
                                <w:rFonts w:hint="eastAsia" w:ascii="宋体" w:eastAsia="宋体"/>
                                <w:color w:val="3E4041"/>
                                <w:sz w:val="18"/>
                              </w:rPr>
                              <w:t>）</w:t>
                            </w:r>
                          </w:p>
                        </w:txbxContent>
                      </wps:txbx>
                      <wps:bodyPr lIns="0" tIns="0" rIns="0" bIns="0" upright="1"/>
                    </wps:wsp>
                  </a:graphicData>
                </a:graphic>
              </wp:anchor>
            </w:drawing>
          </mc:Choice>
          <mc:Fallback>
            <w:pict>
              <v:shape id="_x0000_s1026" o:spid="_x0000_s1026" o:spt="202" type="#_x0000_t202" style="position:absolute;left:0pt;margin-left:148.4pt;margin-top:96.85pt;height:9pt;width:9pt;mso-position-horizontal-relative:page;z-index:-251657216;mso-width-relative:page;mso-height-relative:page;" filled="f" stroked="f" coordsize="21600,21600" o:gfxdata="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LB+dV2QAAAAsBAAAPAAAAAAAAAAEAIAAAACIAAABkcnMvZG93bnJldi54bWxQSwECFAAUAAAA&#10;CACHTuJA4qQsvrQBAABxAwAADgAAAAAAAAABACAAAAAoAQAAZHJzL2Uyb0RvYy54bWxQSwUGAAAA&#10;AAYABgBZAQAATgUAAAAA&#10;">
                <v:fill on="f" focussize="0,0"/>
                <v:stroke on="f"/>
                <v:imagedata o:title=""/>
                <o:lock v:ext="edit" aspectratio="f"/>
                <v:textbox inset="0mm,0mm,0mm,0mm">
                  <w:txbxContent>
                    <w:p w14:paraId="123C25A4">
                      <w:pPr>
                        <w:spacing w:before="0" w:line="180" w:lineRule="exact"/>
                        <w:ind w:left="0" w:right="0" w:firstLine="0"/>
                        <w:jc w:val="left"/>
                        <w:rPr>
                          <w:rFonts w:hint="eastAsia" w:ascii="宋体" w:eastAsia="宋体"/>
                          <w:sz w:val="18"/>
                        </w:rPr>
                      </w:pPr>
                      <w:r>
                        <w:rPr>
                          <w:rFonts w:hint="eastAsia" w:ascii="宋体" w:eastAsia="宋体"/>
                          <w:color w:val="3E4041"/>
                          <w:sz w:val="18"/>
                        </w:rPr>
                        <w:t>）</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1953260</wp:posOffset>
                </wp:positionH>
                <wp:positionV relativeFrom="paragraph">
                  <wp:posOffset>1009015</wp:posOffset>
                </wp:positionV>
                <wp:extent cx="219075" cy="557530"/>
                <wp:effectExtent l="0" t="0" r="9525" b="13970"/>
                <wp:wrapNone/>
                <wp:docPr id="2" name="矩形 2"/>
                <wp:cNvGraphicFramePr/>
                <a:graphic xmlns:a="http://schemas.openxmlformats.org/drawingml/2006/main">
                  <a:graphicData uri="http://schemas.microsoft.com/office/word/2010/wordprocessingShape">
                    <wps:wsp>
                      <wps:cNvSpPr/>
                      <wps:spPr>
                        <a:xfrm>
                          <a:off x="0" y="0"/>
                          <a:ext cx="219075" cy="557530"/>
                        </a:xfrm>
                        <a:prstGeom prst="rect">
                          <a:avLst/>
                        </a:prstGeom>
                        <a:solidFill>
                          <a:srgbClr val="FFFFFF"/>
                        </a:solidFill>
                        <a:ln>
                          <a:noFill/>
                        </a:ln>
                      </wps:spPr>
                      <wps:txbx>
                        <w:txbxContent>
                          <w:p w14:paraId="2A8B495C">
                            <w:pPr>
                              <w:jc w:val="center"/>
                            </w:pPr>
                          </w:p>
                        </w:txbxContent>
                      </wps:txbx>
                      <wps:bodyPr upright="1"/>
                    </wps:wsp>
                  </a:graphicData>
                </a:graphic>
              </wp:anchor>
            </w:drawing>
          </mc:Choice>
          <mc:Fallback>
            <w:pict>
              <v:rect id="_x0000_s1026" o:spid="_x0000_s1026" o:spt="1" style="position:absolute;left:0pt;margin-left:153.8pt;margin-top:79.45pt;height:43.9pt;width:17.25pt;mso-position-horizontal-relative:page;z-index:-251656192;mso-width-relative:page;mso-height-relative:page;" fillcolor="#FFFFFF" filled="t" stroked="f" coordsize="21600,21600" o:gfxdata="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P2JNx2QAAAAsBAAAPAAAAAAAAAAEAIAAAACIAAABkcnMvZG93bnJldi54bWxQSwECFAAU&#10;AAAACACHTuJASKbblrcBAABpAwAADgAAAAAAAAABACAAAAAoAQAAZHJzL2Uyb0RvYy54bWxQSwUG&#10;AAAAAAYABgBZAQAAUQUAAAAA&#10;">
                <v:fill on="t" focussize="0,0"/>
                <v:stroke on="f"/>
                <v:imagedata o:title=""/>
                <o:lock v:ext="edit" aspectratio="f"/>
                <v:textbox>
                  <w:txbxContent>
                    <w:p w14:paraId="2A8B495C">
                      <w:pPr>
                        <w:jc w:val="center"/>
                      </w:pPr>
                    </w:p>
                  </w:txbxContent>
                </v:textbox>
              </v:rect>
            </w:pict>
          </mc:Fallback>
        </mc:AlternateContent>
      </w:r>
    </w:p>
    <w:p w14:paraId="0AFC795C">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w:t>
      </w:r>
    </w:p>
    <w:p w14:paraId="3F47C058">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
          <w:kern w:val="0"/>
          <w:sz w:val="30"/>
          <w:szCs w:val="30"/>
        </w:rPr>
        <w:t xml:space="preserve"> </w:t>
      </w:r>
    </w:p>
    <w:p w14:paraId="6CF3FE2B">
      <w:pPr>
        <w:jc w:val="both"/>
        <w:rPr>
          <w:rFonts w:hint="eastAsia"/>
        </w:rPr>
      </w:pPr>
    </w:p>
    <w:p w14:paraId="5D7AF40A">
      <w:pPr>
        <w:rPr>
          <w:rFonts w:hint="eastAsia"/>
        </w:rPr>
      </w:pPr>
    </w:p>
    <w:p w14:paraId="519E4076">
      <w:pPr>
        <w:rPr>
          <w:rFonts w:hint="eastAsia"/>
        </w:rPr>
      </w:pPr>
    </w:p>
    <w:p w14:paraId="0B9A36E6">
      <w:pPr>
        <w:rPr>
          <w:rFonts w:hint="eastAsia"/>
        </w:rPr>
      </w:pPr>
    </w:p>
    <w:p w14:paraId="4FF95725">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1992935D">
      <w:pPr>
        <w:pStyle w:val="5"/>
        <w:spacing w:line="600" w:lineRule="atLeast"/>
        <w:ind w:firstLine="600"/>
        <w:rPr>
          <w:rFonts w:hint="eastAsia" w:ascii="仿宋" w:hAnsi="仿宋" w:eastAsia="仿宋"/>
          <w:sz w:val="30"/>
          <w:szCs w:val="30"/>
        </w:rPr>
      </w:pPr>
    </w:p>
    <w:p w14:paraId="31B4CC1F">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 xml:space="preserve">    名词解释应以财务会计制度、政府收支分类科目以及部门预算管理等规定为基本说明，可在此基础上结合部门实际情况适当细化。“三公”经费支出和机关运行经费支出口径必需予以说明。</w:t>
      </w:r>
    </w:p>
    <w:p w14:paraId="63721257">
      <w:pPr>
        <w:ind w:firstLine="630"/>
        <w:jc w:val="left"/>
        <w:rPr>
          <w:rFonts w:ascii="仿宋" w:hAnsi="仿宋" w:eastAsia="仿宋"/>
          <w:sz w:val="30"/>
          <w:szCs w:val="30"/>
        </w:rPr>
      </w:pPr>
    </w:p>
    <w:p w14:paraId="7B63DF9A">
      <w:pPr>
        <w:keepNext w:val="0"/>
        <w:keepLines w:val="0"/>
        <w:widowControl/>
        <w:suppressLineNumbers w:val="0"/>
        <w:jc w:val="left"/>
      </w:pPr>
      <w:r>
        <w:rPr>
          <w:rFonts w:ascii="仿宋" w:hAnsi="仿宋" w:eastAsia="仿宋" w:cs="仿宋"/>
          <w:color w:val="000000"/>
          <w:kern w:val="0"/>
          <w:sz w:val="30"/>
          <w:szCs w:val="30"/>
          <w:lang w:val="en-US" w:eastAsia="zh-CN" w:bidi="ar"/>
        </w:rPr>
        <w:t xml:space="preserve">一、收入科目 </w:t>
      </w:r>
    </w:p>
    <w:p w14:paraId="7607EF4F">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（一）财政拨款：指省级财政当年拨付的资金。 </w:t>
      </w:r>
    </w:p>
    <w:p w14:paraId="2FA90D9A">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（二）事业收入：指事业单位开展专业业务活动及辅助活动 </w:t>
      </w:r>
    </w:p>
    <w:p w14:paraId="38FE74A7">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取得的收入。 </w:t>
      </w:r>
    </w:p>
    <w:p w14:paraId="4E43FA38">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（三）事业单位经营收入：指事业单位在专业业务活动及辅 </w:t>
      </w:r>
    </w:p>
    <w:p w14:paraId="41AA11A4">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助活动之外开展非独立核算经营活动取得的收入。 </w:t>
      </w:r>
    </w:p>
    <w:p w14:paraId="5A796CDD">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（四）其他收入：指除财政拨款、事业收入、事业单位经营 </w:t>
      </w:r>
    </w:p>
    <w:p w14:paraId="043D7F68">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收入等以外的各项收入。 </w:t>
      </w:r>
    </w:p>
    <w:p w14:paraId="081BBB9F">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（五）上年结转和结余：填列全部结转和结余的资金数，包括当 年结转结余资金和历年滚存结转结余资金。 </w:t>
      </w:r>
    </w:p>
    <w:p w14:paraId="2DC1E030">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二、支出科目 </w:t>
      </w:r>
    </w:p>
    <w:p w14:paraId="2183D72F">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医疗卫生与计划生育支出（类）医疗保障（款）行政单位医 </w:t>
      </w:r>
    </w:p>
    <w:p w14:paraId="54178168">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疗（项）：指省团委机关本级基本医疗保险缴费经费，未参加医 </w:t>
      </w:r>
    </w:p>
    <w:p w14:paraId="7A03A36B">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疗保险的行政单位的公费医疗经费，按国家规定享受离休人员、 </w:t>
      </w:r>
    </w:p>
    <w:p w14:paraId="7D68565C">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红军老战士待遇人员的医疗经费。 </w:t>
      </w:r>
    </w:p>
    <w:p w14:paraId="2879C317">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医疗卫生与计划生育支出（类）医疗保障（款）事业单位医 </w:t>
      </w:r>
    </w:p>
    <w:p w14:paraId="45237EDC">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疗（项）：指省团委直属单位基本医疗保险缴费经费，未参加医 </w:t>
      </w:r>
    </w:p>
    <w:p w14:paraId="7502DBA9">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疗保险的事业单位的公费医疗经费，按国家规定享受离休人员待 </w:t>
      </w:r>
    </w:p>
    <w:p w14:paraId="74EBB1DE">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遇人员的医疗经费。 </w:t>
      </w:r>
    </w:p>
    <w:p w14:paraId="231B1A91">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住房保障支出（类）住房改革支出（款）购房补贴（项）： </w:t>
      </w:r>
    </w:p>
    <w:p w14:paraId="76942BB4">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指省团委及直属事业单位人员按房改房政策规定，行政事业单位 </w:t>
      </w:r>
    </w:p>
    <w:p w14:paraId="1C334D35">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向符合条件的职工（含离退休人员）、军队（含武警）向转役复 </w:t>
      </w:r>
    </w:p>
    <w:p w14:paraId="1CD9242C">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员离退休人员发放的用于购买住房的补贴。 </w:t>
      </w:r>
    </w:p>
    <w:p w14:paraId="700F953F">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其它支出（类）其他支出（款）其他支出（项）：指省团委 </w:t>
      </w:r>
    </w:p>
    <w:p w14:paraId="02AC93C0">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及直属事业单位其他不能划分到具体功能科目中的支出项目。 </w:t>
      </w:r>
    </w:p>
    <w:p w14:paraId="5E61E512">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“三公”经费支出为因公出国（境）支出、公务接待费支出、 </w:t>
      </w:r>
    </w:p>
    <w:p w14:paraId="5A8E856B">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公务用车运行维护费支出。 </w:t>
      </w:r>
    </w:p>
    <w:p w14:paraId="38D5F807">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机关运行费指各部门的公用经费，包括办公及印刷费、邮电费、差旅费、会议费、福利费、日常维修费、专用材料及一般设 </w:t>
      </w:r>
    </w:p>
    <w:p w14:paraId="7AB5A1A3">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备购置费、办公用房水电费、办公用房取暖费、办公用房物业管 </w:t>
      </w:r>
    </w:p>
    <w:p w14:paraId="1D08F3ED">
      <w:pPr>
        <w:keepNext w:val="0"/>
        <w:keepLines w:val="0"/>
        <w:widowControl/>
        <w:suppressLineNumbers w:val="0"/>
        <w:jc w:val="left"/>
      </w:pPr>
      <w:r>
        <w:rPr>
          <w:rFonts w:hint="eastAsia" w:ascii="仿宋" w:hAnsi="仿宋" w:eastAsia="仿宋" w:cs="仿宋"/>
          <w:color w:val="000000"/>
          <w:kern w:val="0"/>
          <w:sz w:val="30"/>
          <w:szCs w:val="30"/>
          <w:lang w:val="en-US" w:eastAsia="zh-CN" w:bidi="ar"/>
        </w:rPr>
        <w:t>理费、公务用车运行维护费以及其他费用</w:t>
      </w:r>
    </w:p>
    <w:p w14:paraId="1C5BFAEB"/>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KSOFF9CC6125">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BABBA">
    <w:pPr>
      <w:pStyle w:val="2"/>
      <w:spacing w:line="14" w:lineRule="auto"/>
      <w:rPr>
        <w:sz w:val="19"/>
      </w:rPr>
    </w:pPr>
    <w:r>
      <mc:AlternateContent>
        <mc:Choice Requires="wps">
          <w:drawing>
            <wp:anchor distT="0" distB="0" distL="114300" distR="114300" simplePos="0" relativeHeight="251659264" behindDoc="1" locked="0" layoutInCell="1" allowOverlap="1">
              <wp:simplePos x="0" y="0"/>
              <wp:positionH relativeFrom="page">
                <wp:posOffset>3677920</wp:posOffset>
              </wp:positionH>
              <wp:positionV relativeFrom="page">
                <wp:posOffset>10244455</wp:posOffset>
              </wp:positionV>
              <wp:extent cx="203835" cy="1993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03835" cy="199390"/>
                      </a:xfrm>
                      <a:prstGeom prst="rect">
                        <a:avLst/>
                      </a:prstGeom>
                      <a:noFill/>
                      <a:ln>
                        <a:noFill/>
                      </a:ln>
                    </wps:spPr>
                    <wps:txbx>
                      <w:txbxContent>
                        <w:p w14:paraId="77EA40CF">
                          <w:pPr>
                            <w:spacing w:before="0" w:line="294" w:lineRule="exact"/>
                            <w:ind w:left="40" w:right="0" w:firstLine="0"/>
                            <w:jc w:val="left"/>
                            <w:rPr>
                              <w:rFonts w:ascii="宋体"/>
                              <w:sz w:val="24"/>
                            </w:rPr>
                          </w:pPr>
                          <w:r>
                            <w:fldChar w:fldCharType="begin"/>
                          </w:r>
                          <w:r>
                            <w:rPr>
                              <w:rFonts w:ascii="宋体"/>
                              <w:sz w:val="24"/>
                            </w:rPr>
                            <w:instrText xml:space="preserve"> PAGE </w:instrText>
                          </w:r>
                          <w:r>
                            <w:fldChar w:fldCharType="separate"/>
                          </w:r>
                          <w:r>
                            <w:t>12</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89.6pt;margin-top:806.65pt;height:15.7pt;width:16.05pt;mso-position-horizontal-relative:page;mso-position-vertical-relative:page;z-index:-251657216;mso-width-relative:page;mso-height-relative:page;" filled="f" stroked="f" coordsize="21600,21600" o:gfxdata="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24taLbAAAADQEAAA8AAAAAAAAAAQAgAAAAIgAAAGRycy9kb3ducmV2LnhtbFBL&#10;AQIUABQAAAAIAIdO4kAbVAEDugEAAHEDAAAOAAAAAAAAAAEAIAAAACoBAABkcnMvZTJvRG9jLnht&#10;bFBLBQYAAAAABgAGAFkBAABWBQAAAAA=&#10;">
              <v:fill on="f" focussize="0,0"/>
              <v:stroke on="f"/>
              <v:imagedata o:title=""/>
              <o:lock v:ext="edit" aspectratio="f"/>
              <v:textbox inset="0mm,0mm,0mm,0mm">
                <w:txbxContent>
                  <w:p w14:paraId="77EA40CF">
                    <w:pPr>
                      <w:spacing w:before="0" w:line="294" w:lineRule="exact"/>
                      <w:ind w:left="40" w:right="0" w:firstLine="0"/>
                      <w:jc w:val="left"/>
                      <w:rPr>
                        <w:rFonts w:ascii="宋体"/>
                        <w:sz w:val="24"/>
                      </w:rPr>
                    </w:pPr>
                    <w:r>
                      <w:fldChar w:fldCharType="begin"/>
                    </w:r>
                    <w:r>
                      <w:rPr>
                        <w:rFonts w:ascii="宋体"/>
                        <w:sz w:val="24"/>
                      </w:rPr>
                      <w:instrText xml:space="preserve"> PAGE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4BA30"/>
    <w:multiLevelType w:val="singleLevel"/>
    <w:tmpl w:val="A0A4BA3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D55EC7"/>
    <w:rsid w:val="0B123986"/>
    <w:rsid w:val="0F786F62"/>
    <w:rsid w:val="1039595A"/>
    <w:rsid w:val="13671DAA"/>
    <w:rsid w:val="1A3213D7"/>
    <w:rsid w:val="1D9553F2"/>
    <w:rsid w:val="1EA12698"/>
    <w:rsid w:val="213D535C"/>
    <w:rsid w:val="217360FA"/>
    <w:rsid w:val="221932F0"/>
    <w:rsid w:val="26C81F84"/>
    <w:rsid w:val="352A495A"/>
    <w:rsid w:val="4BE02B89"/>
    <w:rsid w:val="54B2612F"/>
    <w:rsid w:val="55723658"/>
    <w:rsid w:val="5C2F04A4"/>
    <w:rsid w:val="638D3C1D"/>
    <w:rsid w:val="668E41FF"/>
    <w:rsid w:val="6921632F"/>
    <w:rsid w:val="76BF700E"/>
    <w:rsid w:val="7B011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paragraph" w:customStyle="1" w:styleId="5">
    <w:name w:val="p0"/>
    <w:basedOn w:val="1"/>
    <w:qFormat/>
    <w:uiPriority w:val="0"/>
    <w:pPr>
      <w:widowControl/>
    </w:pPr>
    <w:rPr>
      <w:kern w:val="0"/>
      <w:szCs w:val="21"/>
    </w:rPr>
  </w:style>
  <w:style w:type="paragraph" w:customStyle="1" w:styleId="6">
    <w:name w:val="Table Paragraph"/>
    <w:basedOn w:val="1"/>
    <w:qFormat/>
    <w:uiPriority w:val="1"/>
    <w:rPr>
      <w:rFonts w:ascii="楷体" w:hAnsi="楷体" w:eastAsia="楷体" w:cs="楷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4053</Words>
  <Characters>4462</Characters>
  <Lines>1</Lines>
  <Paragraphs>1</Paragraphs>
  <TotalTime>8</TotalTime>
  <ScaleCrop>false</ScaleCrop>
  <LinksUpToDate>false</LinksUpToDate>
  <CharactersWithSpaces>4637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2026-07-17T08:47:23Z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6CBC9CE3027B45F1B939E1CC46EB2980_12</vt:lpwstr>
  </property>
</Properties>
</file>