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87FF4">
      <w:pPr>
        <w:spacing w:line="600" w:lineRule="exact"/>
        <w:jc w:val="center"/>
        <w:rPr>
          <w:rFonts w:hint="eastAsia" w:ascii="黑体" w:hAnsi="Times New Roman" w:eastAsia="黑体" w:cs="Times New Roman"/>
          <w:sz w:val="44"/>
          <w:szCs w:val="36"/>
          <w:lang w:val="en-US" w:eastAsia="zh-CN"/>
        </w:rPr>
      </w:pPr>
      <w:r>
        <w:rPr>
          <w:rFonts w:hint="eastAsia"/>
          <w:b/>
          <w:bCs/>
          <w:sz w:val="44"/>
          <w:szCs w:val="44"/>
          <w:lang w:val="en-US" w:eastAsia="zh-CN"/>
        </w:rPr>
        <w:t>中国民主同盟景德镇市委员会</w:t>
      </w:r>
    </w:p>
    <w:p w14:paraId="2997C941">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615D0B16">
      <w:pPr>
        <w:spacing w:line="600" w:lineRule="exact"/>
        <w:jc w:val="center"/>
        <w:rPr>
          <w:rFonts w:hint="eastAsia" w:ascii="黑体" w:eastAsia="黑体"/>
          <w:sz w:val="44"/>
          <w:szCs w:val="36"/>
        </w:rPr>
      </w:pPr>
    </w:p>
    <w:p w14:paraId="5CBAE2CF">
      <w:pPr>
        <w:spacing w:line="600" w:lineRule="exact"/>
        <w:jc w:val="center"/>
        <w:rPr>
          <w:rFonts w:hint="eastAsia" w:ascii="黑体" w:eastAsia="黑体"/>
          <w:sz w:val="40"/>
          <w:szCs w:val="36"/>
        </w:rPr>
      </w:pPr>
      <w:r>
        <w:rPr>
          <w:rFonts w:hint="eastAsia" w:ascii="黑体" w:eastAsia="黑体"/>
          <w:sz w:val="40"/>
          <w:szCs w:val="36"/>
        </w:rPr>
        <w:t>目    录</w:t>
      </w:r>
    </w:p>
    <w:p w14:paraId="676736D8">
      <w:pPr>
        <w:widowControl/>
        <w:spacing w:line="600" w:lineRule="exact"/>
        <w:ind w:firstLine="640"/>
        <w:jc w:val="left"/>
        <w:rPr>
          <w:rFonts w:hint="eastAsia" w:ascii="仿宋_GB2312" w:eastAsia="仿宋_GB2312"/>
          <w:sz w:val="32"/>
          <w:szCs w:val="30"/>
        </w:rPr>
      </w:pPr>
    </w:p>
    <w:p w14:paraId="56C1E264">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中国民主同盟景德镇市委员会</w:t>
      </w:r>
      <w:r>
        <w:rPr>
          <w:rFonts w:hint="eastAsia" w:ascii="黑体" w:hAnsi="黑体" w:eastAsia="黑体"/>
          <w:b/>
          <w:sz w:val="32"/>
          <w:szCs w:val="32"/>
        </w:rPr>
        <w:t>部门概况</w:t>
      </w:r>
    </w:p>
    <w:p w14:paraId="402579B1">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43EE84C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6AFD0B4D">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4202831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25810E7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5EAAEA2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62902EA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50E16CB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2BE625C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5FB00FF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0F7B4CE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7F7C48A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60DEF39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4D0FFB32">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252E017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47F4D40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79D8F1D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AC7DFD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066CBC5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0079A31A">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2D3B78C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06AFC47A">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39DCFABD">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77ABC9A7">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671C22CC">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0EE0B936">
      <w:pPr>
        <w:ind w:firstLine="630"/>
        <w:jc w:val="center"/>
        <w:rPr>
          <w:rFonts w:hint="eastAsia" w:ascii="宋体" w:hAnsi="宋体"/>
          <w:b/>
          <w:sz w:val="36"/>
          <w:szCs w:val="36"/>
        </w:rPr>
      </w:pPr>
    </w:p>
    <w:p w14:paraId="1492FAD3">
      <w:pPr>
        <w:ind w:firstLine="630"/>
        <w:jc w:val="center"/>
        <w:rPr>
          <w:rFonts w:hint="eastAsia" w:ascii="宋体" w:hAnsi="宋体"/>
          <w:b/>
          <w:sz w:val="36"/>
          <w:szCs w:val="36"/>
        </w:rPr>
      </w:pPr>
    </w:p>
    <w:p w14:paraId="2F5772D5">
      <w:pPr>
        <w:ind w:firstLine="630"/>
        <w:jc w:val="center"/>
        <w:rPr>
          <w:rFonts w:hint="eastAsia" w:ascii="宋体" w:hAnsi="宋体"/>
          <w:b/>
          <w:sz w:val="36"/>
          <w:szCs w:val="36"/>
        </w:rPr>
      </w:pPr>
    </w:p>
    <w:p w14:paraId="0A079072">
      <w:pPr>
        <w:ind w:firstLine="630"/>
        <w:jc w:val="center"/>
        <w:rPr>
          <w:rFonts w:hint="eastAsia" w:ascii="宋体" w:hAnsi="宋体"/>
          <w:b/>
          <w:sz w:val="36"/>
          <w:szCs w:val="36"/>
        </w:rPr>
      </w:pPr>
    </w:p>
    <w:p w14:paraId="6AB5C3D9">
      <w:pPr>
        <w:ind w:firstLine="630"/>
        <w:jc w:val="center"/>
        <w:rPr>
          <w:rFonts w:hint="eastAsia" w:ascii="宋体" w:hAnsi="宋体"/>
          <w:b/>
          <w:sz w:val="36"/>
          <w:szCs w:val="36"/>
        </w:rPr>
      </w:pPr>
    </w:p>
    <w:p w14:paraId="53154160">
      <w:pPr>
        <w:ind w:firstLine="630"/>
        <w:jc w:val="center"/>
        <w:rPr>
          <w:rFonts w:hint="eastAsia" w:ascii="宋体" w:hAnsi="宋体"/>
          <w:b/>
          <w:sz w:val="36"/>
          <w:szCs w:val="36"/>
        </w:rPr>
      </w:pPr>
    </w:p>
    <w:p w14:paraId="6F283DD5">
      <w:pPr>
        <w:ind w:firstLine="630"/>
        <w:jc w:val="center"/>
        <w:rPr>
          <w:rFonts w:hint="eastAsia" w:ascii="宋体" w:hAnsi="宋体"/>
          <w:b/>
          <w:sz w:val="36"/>
          <w:szCs w:val="36"/>
        </w:rPr>
      </w:pPr>
    </w:p>
    <w:p w14:paraId="18B881B0">
      <w:pPr>
        <w:ind w:firstLine="630"/>
        <w:jc w:val="center"/>
        <w:rPr>
          <w:rFonts w:hint="eastAsia" w:ascii="宋体" w:hAnsi="宋体"/>
          <w:b/>
          <w:sz w:val="36"/>
          <w:szCs w:val="36"/>
        </w:rPr>
      </w:pPr>
    </w:p>
    <w:p w14:paraId="6E1C1210">
      <w:pPr>
        <w:jc w:val="both"/>
        <w:rPr>
          <w:rFonts w:hint="eastAsia" w:ascii="宋体" w:hAnsi="宋体"/>
          <w:b/>
          <w:sz w:val="36"/>
          <w:szCs w:val="36"/>
        </w:rPr>
      </w:pPr>
    </w:p>
    <w:p w14:paraId="3B500245">
      <w:pPr>
        <w:ind w:firstLine="630"/>
        <w:jc w:val="center"/>
        <w:rPr>
          <w:rFonts w:hint="eastAsia" w:ascii="宋体" w:hAnsi="宋体"/>
          <w:b/>
          <w:sz w:val="36"/>
          <w:szCs w:val="36"/>
        </w:rPr>
      </w:pPr>
    </w:p>
    <w:p w14:paraId="694674FE">
      <w:pPr>
        <w:ind w:firstLine="630"/>
        <w:jc w:val="center"/>
        <w:rPr>
          <w:rFonts w:hint="eastAsia" w:ascii="宋体" w:hAnsi="宋体"/>
          <w:b/>
          <w:sz w:val="36"/>
          <w:szCs w:val="36"/>
        </w:rPr>
      </w:pPr>
    </w:p>
    <w:p w14:paraId="76B8562A">
      <w:pPr>
        <w:ind w:firstLine="630"/>
        <w:jc w:val="center"/>
        <w:rPr>
          <w:rFonts w:hint="eastAsia" w:ascii="宋体" w:hAnsi="宋体"/>
          <w:b/>
          <w:sz w:val="36"/>
          <w:szCs w:val="36"/>
        </w:rPr>
      </w:pPr>
    </w:p>
    <w:p w14:paraId="0D8B408E">
      <w:pPr>
        <w:ind w:firstLine="630"/>
        <w:jc w:val="center"/>
        <w:rPr>
          <w:rFonts w:hint="eastAsia" w:ascii="宋体" w:hAnsi="宋体"/>
          <w:b/>
          <w:sz w:val="36"/>
          <w:szCs w:val="36"/>
        </w:rPr>
      </w:pPr>
    </w:p>
    <w:p w14:paraId="160E9FDA">
      <w:pPr>
        <w:widowControl/>
        <w:spacing w:line="580" w:lineRule="exact"/>
        <w:jc w:val="center"/>
        <w:rPr>
          <w:rFonts w:hint="eastAsia" w:ascii="宋体" w:hAnsi="宋体"/>
          <w:b/>
          <w:sz w:val="32"/>
          <w:szCs w:val="30"/>
        </w:rPr>
      </w:pPr>
    </w:p>
    <w:p w14:paraId="48A29F84">
      <w:pPr>
        <w:widowControl/>
        <w:spacing w:line="580" w:lineRule="exact"/>
        <w:jc w:val="center"/>
        <w:rPr>
          <w:rFonts w:hint="eastAsia" w:ascii="宋体" w:hAnsi="宋体"/>
          <w:b/>
          <w:sz w:val="32"/>
          <w:szCs w:val="30"/>
        </w:rPr>
      </w:pPr>
    </w:p>
    <w:p w14:paraId="0D260031">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中国民主同盟景德镇市委员会</w:t>
      </w:r>
      <w:r>
        <w:rPr>
          <w:rFonts w:hint="eastAsia" w:ascii="宋体" w:hAnsi="宋体"/>
          <w:b/>
          <w:sz w:val="32"/>
          <w:szCs w:val="30"/>
        </w:rPr>
        <w:t>部门概况</w:t>
      </w:r>
    </w:p>
    <w:p w14:paraId="53C869D8">
      <w:pPr>
        <w:ind w:firstLine="630"/>
        <w:jc w:val="center"/>
        <w:rPr>
          <w:rFonts w:hint="eastAsia"/>
          <w:sz w:val="32"/>
          <w:szCs w:val="32"/>
        </w:rPr>
      </w:pPr>
    </w:p>
    <w:p w14:paraId="0F30EDF2">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0FCBE9A1">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国民主同盟（简称民盟）是由从事文化教育以及科学技术工作的高、中级知识分子组成的，具有政治联盟特点的，致力于建设中国特色社会主义事业的参政党。在国家政治生活中积极履行参政议政、民主监督和中国共产党领导的政治协商职能。</w:t>
      </w:r>
    </w:p>
    <w:p w14:paraId="3261A7A0">
      <w:pPr>
        <w:jc w:val="left"/>
        <w:rPr>
          <w:rFonts w:hint="eastAsia" w:ascii="黑体" w:hAnsi="黑体" w:eastAsia="黑体"/>
          <w:sz w:val="30"/>
          <w:szCs w:val="30"/>
        </w:rPr>
      </w:pPr>
      <w:r>
        <w:rPr>
          <w:rFonts w:hint="eastAsia" w:ascii="黑体" w:hAnsi="黑体" w:eastAsia="黑体"/>
          <w:sz w:val="30"/>
          <w:szCs w:val="30"/>
        </w:rPr>
        <w:t>二、部门基本情况</w:t>
      </w:r>
    </w:p>
    <w:p w14:paraId="3C048F03">
      <w:pPr>
        <w:ind w:firstLine="630"/>
        <w:jc w:val="left"/>
        <w:rPr>
          <w:rFonts w:hint="eastAsia" w:ascii="仿宋" w:hAnsi="仿宋" w:eastAsia="仿宋" w:cs="Times New Roman"/>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0"/>
          <w:szCs w:val="30"/>
          <w:lang w:val="en-US" w:eastAsia="zh-CN"/>
        </w:rPr>
        <w:t>中国民主同盟景德镇市委员会本级。</w:t>
      </w:r>
    </w:p>
    <w:p w14:paraId="261513F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sz w:val="32"/>
          <w:szCs w:val="32"/>
        </w:rPr>
      </w:pPr>
      <w:r>
        <w:rPr>
          <w:rFonts w:hint="eastAsia" w:ascii="仿宋" w:hAnsi="仿宋" w:eastAsia="仿宋" w:cs="仿宋"/>
          <w:kern w:val="2"/>
          <w:sz w:val="28"/>
          <w:szCs w:val="28"/>
          <w:lang w:val="en-US" w:eastAsia="zh-CN" w:bidi="ar-SA"/>
        </w:rPr>
        <w:t>人员编制数为 4人，其中行政编制4人。实有人数4人，在职4人。</w:t>
      </w:r>
    </w:p>
    <w:p w14:paraId="324CD351">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48D28F36">
      <w:pPr>
        <w:autoSpaceDE w:val="0"/>
        <w:autoSpaceDN w:val="0"/>
        <w:adjustRightInd w:val="0"/>
        <w:spacing w:line="360" w:lineRule="auto"/>
        <w:jc w:val="left"/>
        <w:rPr>
          <w:rFonts w:hint="eastAsia"/>
          <w:szCs w:val="30"/>
        </w:rPr>
      </w:pPr>
    </w:p>
    <w:p w14:paraId="25DD6661">
      <w:pPr>
        <w:autoSpaceDE w:val="0"/>
        <w:autoSpaceDN w:val="0"/>
        <w:adjustRightInd w:val="0"/>
        <w:spacing w:line="360" w:lineRule="auto"/>
        <w:jc w:val="left"/>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68595" cy="4878705"/>
            <wp:effectExtent l="0" t="0" r="8255" b="17145"/>
            <wp:docPr id="9" name="图片 9" descr="1602593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02593571(1)"/>
                    <pic:cNvPicPr>
                      <a:picLocks noChangeAspect="1"/>
                    </pic:cNvPicPr>
                  </pic:nvPicPr>
                  <pic:blipFill>
                    <a:blip r:embed="rId4"/>
                    <a:stretch>
                      <a:fillRect/>
                    </a:stretch>
                  </pic:blipFill>
                  <pic:spPr>
                    <a:xfrm>
                      <a:off x="0" y="0"/>
                      <a:ext cx="5268595" cy="487870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71135" cy="2019935"/>
            <wp:effectExtent l="0" t="0" r="5715" b="18415"/>
            <wp:docPr id="10" name="图片 10" descr="1602593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593581(1)"/>
                    <pic:cNvPicPr>
                      <a:picLocks noChangeAspect="1"/>
                    </pic:cNvPicPr>
                  </pic:nvPicPr>
                  <pic:blipFill>
                    <a:blip r:embed="rId5"/>
                    <a:stretch>
                      <a:fillRect/>
                    </a:stretch>
                  </pic:blipFill>
                  <pic:spPr>
                    <a:xfrm>
                      <a:off x="0" y="0"/>
                      <a:ext cx="5271135" cy="201993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70500" cy="2478405"/>
            <wp:effectExtent l="0" t="0" r="6350" b="17145"/>
            <wp:docPr id="11" name="图片 11" descr="16025935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593590(1)"/>
                    <pic:cNvPicPr>
                      <a:picLocks noChangeAspect="1"/>
                    </pic:cNvPicPr>
                  </pic:nvPicPr>
                  <pic:blipFill>
                    <a:blip r:embed="rId6"/>
                    <a:stretch>
                      <a:fillRect/>
                    </a:stretch>
                  </pic:blipFill>
                  <pic:spPr>
                    <a:xfrm>
                      <a:off x="0" y="0"/>
                      <a:ext cx="5270500" cy="247840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69865" cy="4213860"/>
            <wp:effectExtent l="0" t="0" r="6985" b="15240"/>
            <wp:docPr id="12" name="图片 12" descr="1602593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593599(1)"/>
                    <pic:cNvPicPr>
                      <a:picLocks noChangeAspect="1"/>
                    </pic:cNvPicPr>
                  </pic:nvPicPr>
                  <pic:blipFill>
                    <a:blip r:embed="rId7"/>
                    <a:stretch>
                      <a:fillRect/>
                    </a:stretch>
                  </pic:blipFill>
                  <pic:spPr>
                    <a:xfrm>
                      <a:off x="0" y="0"/>
                      <a:ext cx="5269865" cy="4213860"/>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70500" cy="3676015"/>
            <wp:effectExtent l="0" t="0" r="6350" b="635"/>
            <wp:docPr id="13" name="图片 13" descr="16025936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2593606(1)"/>
                    <pic:cNvPicPr>
                      <a:picLocks noChangeAspect="1"/>
                    </pic:cNvPicPr>
                  </pic:nvPicPr>
                  <pic:blipFill>
                    <a:blip r:embed="rId8"/>
                    <a:stretch>
                      <a:fillRect/>
                    </a:stretch>
                  </pic:blipFill>
                  <pic:spPr>
                    <a:xfrm>
                      <a:off x="0" y="0"/>
                      <a:ext cx="5270500" cy="367601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14" name="图片 14" descr="1602593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2593616(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71135" cy="5048250"/>
            <wp:effectExtent l="0" t="0" r="5715" b="0"/>
            <wp:docPr id="15" name="图片 15" descr="1602593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2593630(1)"/>
                    <pic:cNvPicPr>
                      <a:picLocks noChangeAspect="1"/>
                    </pic:cNvPicPr>
                  </pic:nvPicPr>
                  <pic:blipFill>
                    <a:blip r:embed="rId10"/>
                    <a:stretch>
                      <a:fillRect/>
                    </a:stretch>
                  </pic:blipFill>
                  <pic:spPr>
                    <a:xfrm>
                      <a:off x="0" y="0"/>
                      <a:ext cx="5271135" cy="5048250"/>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68595" cy="1692910"/>
            <wp:effectExtent l="0" t="0" r="8255" b="2540"/>
            <wp:docPr id="16" name="图片 16" descr="16025936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2593638(1)"/>
                    <pic:cNvPicPr>
                      <a:picLocks noChangeAspect="1"/>
                    </pic:cNvPicPr>
                  </pic:nvPicPr>
                  <pic:blipFill>
                    <a:blip r:embed="rId11"/>
                    <a:stretch>
                      <a:fillRect/>
                    </a:stretch>
                  </pic:blipFill>
                  <pic:spPr>
                    <a:xfrm>
                      <a:off x="0" y="0"/>
                      <a:ext cx="5268595" cy="1692910"/>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71135" cy="2891155"/>
            <wp:effectExtent l="0" t="0" r="5715" b="4445"/>
            <wp:docPr id="17" name="图片 17" descr="1602593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593649(1)"/>
                    <pic:cNvPicPr>
                      <a:picLocks noChangeAspect="1"/>
                    </pic:cNvPicPr>
                  </pic:nvPicPr>
                  <pic:blipFill>
                    <a:blip r:embed="rId12"/>
                    <a:stretch>
                      <a:fillRect/>
                    </a:stretch>
                  </pic:blipFill>
                  <pic:spPr>
                    <a:xfrm>
                      <a:off x="0" y="0"/>
                      <a:ext cx="5271135" cy="2891155"/>
                    </a:xfrm>
                    <a:prstGeom prst="rect">
                      <a:avLst/>
                    </a:prstGeom>
                  </pic:spPr>
                </pic:pic>
              </a:graphicData>
            </a:graphic>
          </wp:inline>
        </w:drawing>
      </w:r>
    </w:p>
    <w:p w14:paraId="18B3E4D9">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1AF9A7C0">
      <w:pPr>
        <w:ind w:firstLine="630"/>
        <w:jc w:val="left"/>
        <w:rPr>
          <w:rFonts w:hint="eastAsia" w:ascii="仿宋" w:hAnsi="仿宋" w:eastAsia="仿宋"/>
          <w:sz w:val="30"/>
          <w:szCs w:val="30"/>
        </w:rPr>
      </w:pPr>
    </w:p>
    <w:p w14:paraId="76D7BAB4">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10AEF9F9">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99.99</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15.65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2.06</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13.16</w:t>
      </w:r>
      <w:r>
        <w:rPr>
          <w:rFonts w:hint="eastAsia" w:ascii="仿宋" w:hAnsi="仿宋" w:eastAsia="仿宋"/>
          <w:sz w:val="30"/>
          <w:szCs w:val="30"/>
        </w:rPr>
        <w:t>%；本年收入合计</w:t>
      </w:r>
      <w:r>
        <w:rPr>
          <w:rFonts w:hint="eastAsia" w:ascii="仿宋" w:hAnsi="仿宋" w:eastAsia="仿宋"/>
          <w:sz w:val="30"/>
          <w:szCs w:val="30"/>
          <w:lang w:val="en-US" w:eastAsia="zh-CN"/>
        </w:rPr>
        <w:t>84.35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8.4</w:t>
      </w:r>
      <w:r>
        <w:rPr>
          <w:rFonts w:hint="eastAsia" w:ascii="仿宋" w:hAnsi="仿宋" w:eastAsia="仿宋"/>
          <w:sz w:val="30"/>
          <w:szCs w:val="30"/>
        </w:rPr>
        <w:t>万元，增长</w:t>
      </w:r>
      <w:r>
        <w:rPr>
          <w:rFonts w:hint="eastAsia" w:ascii="仿宋" w:hAnsi="仿宋" w:eastAsia="仿宋"/>
          <w:sz w:val="30"/>
          <w:szCs w:val="30"/>
          <w:lang w:val="en-US" w:eastAsia="zh-CN"/>
        </w:rPr>
        <w:t>9.95</w:t>
      </w:r>
      <w:r>
        <w:rPr>
          <w:rFonts w:hint="eastAsia" w:ascii="仿宋" w:hAnsi="仿宋" w:eastAsia="仿宋"/>
          <w:sz w:val="30"/>
          <w:szCs w:val="30"/>
        </w:rPr>
        <w:t>%，主要原因是：</w:t>
      </w:r>
      <w:r>
        <w:rPr>
          <w:rFonts w:hint="eastAsia" w:ascii="仿宋" w:hAnsi="仿宋" w:eastAsia="仿宋"/>
          <w:sz w:val="30"/>
          <w:szCs w:val="30"/>
          <w:lang w:eastAsia="zh-CN"/>
        </w:rPr>
        <w:t>人员经费和公用经费增加</w:t>
      </w:r>
      <w:r>
        <w:rPr>
          <w:rFonts w:hint="eastAsia" w:ascii="仿宋" w:hAnsi="仿宋" w:eastAsia="仿宋"/>
          <w:sz w:val="30"/>
          <w:szCs w:val="30"/>
        </w:rPr>
        <w:t>。</w:t>
      </w:r>
    </w:p>
    <w:p w14:paraId="682D74E4">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84.35</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3DF35811">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3FE07422">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99.99</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83.96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8.01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5.54</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16.03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0.38</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2.37</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14:paraId="490CB767">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83.96</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27FB750A">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11184AC3">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82.84</w:t>
      </w:r>
      <w:r>
        <w:rPr>
          <w:rFonts w:hint="eastAsia" w:ascii="仿宋" w:hAnsi="仿宋" w:eastAsia="仿宋"/>
          <w:sz w:val="30"/>
          <w:szCs w:val="30"/>
        </w:rPr>
        <w:t>万元，决算数为</w:t>
      </w:r>
      <w:r>
        <w:rPr>
          <w:rFonts w:hint="eastAsia" w:ascii="仿宋" w:hAnsi="仿宋" w:eastAsia="仿宋"/>
          <w:sz w:val="30"/>
          <w:szCs w:val="30"/>
          <w:lang w:val="en-US" w:eastAsia="zh-CN"/>
        </w:rPr>
        <w:t>83.96</w:t>
      </w:r>
      <w:r>
        <w:rPr>
          <w:rFonts w:hint="eastAsia" w:ascii="仿宋" w:hAnsi="仿宋" w:eastAsia="仿宋"/>
          <w:sz w:val="30"/>
          <w:szCs w:val="30"/>
        </w:rPr>
        <w:t>万元，完成年初预算的</w:t>
      </w:r>
      <w:r>
        <w:rPr>
          <w:rFonts w:hint="eastAsia" w:ascii="仿宋" w:hAnsi="仿宋" w:eastAsia="仿宋"/>
          <w:sz w:val="30"/>
          <w:szCs w:val="30"/>
          <w:lang w:val="en-US" w:eastAsia="zh-CN"/>
        </w:rPr>
        <w:t>101.35</w:t>
      </w:r>
      <w:r>
        <w:rPr>
          <w:rFonts w:hint="eastAsia" w:ascii="仿宋" w:hAnsi="仿宋" w:eastAsia="仿宋"/>
          <w:sz w:val="30"/>
          <w:szCs w:val="30"/>
        </w:rPr>
        <w:t>%。其中：</w:t>
      </w:r>
    </w:p>
    <w:p w14:paraId="4278A89C">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71.61</w:t>
      </w:r>
      <w:r>
        <w:rPr>
          <w:rFonts w:hint="eastAsia" w:ascii="仿宋" w:hAnsi="仿宋" w:eastAsia="仿宋"/>
          <w:sz w:val="30"/>
          <w:szCs w:val="30"/>
        </w:rPr>
        <w:t>万元，决算数为</w:t>
      </w:r>
      <w:r>
        <w:rPr>
          <w:rFonts w:hint="eastAsia" w:ascii="仿宋" w:hAnsi="仿宋" w:eastAsia="仿宋"/>
          <w:sz w:val="30"/>
          <w:szCs w:val="30"/>
          <w:lang w:val="en-US" w:eastAsia="zh-CN"/>
        </w:rPr>
        <w:t>72.73</w:t>
      </w:r>
      <w:r>
        <w:rPr>
          <w:rFonts w:hint="eastAsia" w:ascii="仿宋" w:hAnsi="仿宋" w:eastAsia="仿宋"/>
          <w:sz w:val="30"/>
          <w:szCs w:val="30"/>
        </w:rPr>
        <w:t>万元，完成年初预算的</w:t>
      </w:r>
      <w:r>
        <w:rPr>
          <w:rFonts w:hint="eastAsia" w:ascii="仿宋" w:hAnsi="仿宋" w:eastAsia="仿宋"/>
          <w:sz w:val="30"/>
          <w:szCs w:val="30"/>
          <w:lang w:val="en-US" w:eastAsia="zh-CN"/>
        </w:rPr>
        <w:t>101.56</w:t>
      </w:r>
      <w:r>
        <w:rPr>
          <w:rFonts w:hint="eastAsia" w:ascii="仿宋" w:hAnsi="仿宋" w:eastAsia="仿宋"/>
          <w:sz w:val="30"/>
          <w:szCs w:val="30"/>
        </w:rPr>
        <w:t>%，主要原因是：</w:t>
      </w:r>
      <w:r>
        <w:rPr>
          <w:rFonts w:hint="eastAsia" w:ascii="仿宋" w:hAnsi="仿宋" w:eastAsia="仿宋"/>
          <w:sz w:val="30"/>
          <w:szCs w:val="30"/>
          <w:lang w:eastAsia="zh-CN"/>
        </w:rPr>
        <w:t>业务活动增加开支</w:t>
      </w:r>
      <w:r>
        <w:rPr>
          <w:rFonts w:hint="eastAsia" w:ascii="仿宋" w:hAnsi="仿宋" w:eastAsia="仿宋"/>
          <w:sz w:val="30"/>
          <w:szCs w:val="30"/>
        </w:rPr>
        <w:t>。</w:t>
      </w:r>
    </w:p>
    <w:p w14:paraId="7158AB99">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5.17</w:t>
      </w:r>
      <w:r>
        <w:rPr>
          <w:rFonts w:hint="eastAsia" w:ascii="仿宋" w:hAnsi="仿宋" w:eastAsia="仿宋"/>
          <w:sz w:val="30"/>
          <w:szCs w:val="30"/>
        </w:rPr>
        <w:t>万元，决算数为</w:t>
      </w:r>
      <w:r>
        <w:rPr>
          <w:rFonts w:hint="eastAsia" w:ascii="仿宋" w:hAnsi="仿宋" w:eastAsia="仿宋"/>
          <w:sz w:val="30"/>
          <w:szCs w:val="30"/>
          <w:lang w:val="en-US" w:eastAsia="zh-CN"/>
        </w:rPr>
        <w:t>5.17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0D56A08A">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3.09</w:t>
      </w:r>
      <w:r>
        <w:rPr>
          <w:rFonts w:hint="eastAsia" w:ascii="仿宋" w:hAnsi="仿宋" w:eastAsia="仿宋"/>
          <w:sz w:val="30"/>
          <w:szCs w:val="30"/>
        </w:rPr>
        <w:t>万元，决算数为</w:t>
      </w:r>
      <w:r>
        <w:rPr>
          <w:rFonts w:hint="eastAsia" w:ascii="仿宋" w:hAnsi="仿宋" w:eastAsia="仿宋"/>
          <w:sz w:val="30"/>
          <w:szCs w:val="30"/>
          <w:lang w:val="en-US" w:eastAsia="zh-CN"/>
        </w:rPr>
        <w:t>3.09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338B99D0">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2.97</w:t>
      </w:r>
      <w:r>
        <w:rPr>
          <w:rFonts w:hint="eastAsia" w:ascii="仿宋" w:hAnsi="仿宋" w:eastAsia="仿宋"/>
          <w:sz w:val="30"/>
          <w:szCs w:val="30"/>
        </w:rPr>
        <w:t>万元，决算数为</w:t>
      </w:r>
      <w:r>
        <w:rPr>
          <w:rFonts w:hint="eastAsia" w:ascii="仿宋" w:hAnsi="仿宋" w:eastAsia="仿宋"/>
          <w:sz w:val="30"/>
          <w:szCs w:val="30"/>
          <w:lang w:val="en-US" w:eastAsia="zh-CN"/>
        </w:rPr>
        <w:t>2.97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3F80F51B">
      <w:pPr>
        <w:ind w:firstLine="630"/>
        <w:jc w:val="left"/>
        <w:rPr>
          <w:rFonts w:hint="eastAsia"/>
          <w:lang w:eastAsia="zh-CN"/>
        </w:rPr>
      </w:pPr>
    </w:p>
    <w:p w14:paraId="6D77EA2B">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50CC9BED">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83.96</w:t>
      </w:r>
      <w:r>
        <w:rPr>
          <w:rFonts w:hint="eastAsia" w:ascii="仿宋" w:hAnsi="仿宋" w:eastAsia="仿宋"/>
          <w:sz w:val="30"/>
          <w:szCs w:val="30"/>
        </w:rPr>
        <w:t>万元，其中：</w:t>
      </w:r>
    </w:p>
    <w:p w14:paraId="55B846F3">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63.57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10.06</w:t>
      </w:r>
      <w:r>
        <w:rPr>
          <w:rFonts w:hint="eastAsia" w:ascii="仿宋" w:hAnsi="仿宋" w:eastAsia="仿宋"/>
          <w:sz w:val="30"/>
          <w:szCs w:val="30"/>
        </w:rPr>
        <w:t>万元，增长</w:t>
      </w:r>
      <w:r>
        <w:rPr>
          <w:rFonts w:hint="eastAsia" w:ascii="仿宋" w:hAnsi="仿宋" w:eastAsia="仿宋"/>
          <w:sz w:val="30"/>
          <w:szCs w:val="30"/>
          <w:lang w:val="en-US" w:eastAsia="zh-CN"/>
        </w:rPr>
        <w:t>15.82</w:t>
      </w:r>
      <w:r>
        <w:rPr>
          <w:rFonts w:hint="eastAsia" w:ascii="仿宋" w:hAnsi="仿宋" w:eastAsia="仿宋"/>
          <w:sz w:val="30"/>
          <w:szCs w:val="30"/>
        </w:rPr>
        <w:t>%，主要原因是：</w:t>
      </w:r>
      <w:r>
        <w:rPr>
          <w:rFonts w:hint="eastAsia" w:ascii="仿宋" w:hAnsi="仿宋" w:eastAsia="仿宋"/>
          <w:sz w:val="30"/>
          <w:szCs w:val="30"/>
          <w:lang w:eastAsia="zh-CN"/>
        </w:rPr>
        <w:t>人员增资、补发</w:t>
      </w:r>
      <w:r>
        <w:rPr>
          <w:rFonts w:hint="eastAsia" w:ascii="仿宋" w:hAnsi="仿宋" w:eastAsia="仿宋"/>
          <w:sz w:val="30"/>
          <w:szCs w:val="30"/>
          <w:lang w:val="en-US" w:eastAsia="zh-CN"/>
        </w:rPr>
        <w:t>2018年奖励金</w:t>
      </w:r>
      <w:r>
        <w:rPr>
          <w:rFonts w:hint="eastAsia" w:ascii="仿宋" w:hAnsi="仿宋" w:eastAsia="仿宋"/>
          <w:sz w:val="30"/>
          <w:szCs w:val="30"/>
        </w:rPr>
        <w:t>。</w:t>
      </w:r>
    </w:p>
    <w:p w14:paraId="0C7CB34B">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15.09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5.12</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33.92</w:t>
      </w:r>
      <w:r>
        <w:rPr>
          <w:rFonts w:hint="eastAsia" w:ascii="仿宋" w:hAnsi="仿宋" w:eastAsia="仿宋"/>
          <w:sz w:val="30"/>
          <w:szCs w:val="30"/>
        </w:rPr>
        <w:t>%，主要原因是：</w:t>
      </w:r>
      <w:r>
        <w:rPr>
          <w:rFonts w:hint="eastAsia" w:ascii="仿宋" w:hAnsi="仿宋" w:eastAsia="仿宋"/>
          <w:sz w:val="30"/>
          <w:szCs w:val="30"/>
          <w:lang w:eastAsia="zh-CN"/>
        </w:rPr>
        <w:t>厉行节约，控制行政成本</w:t>
      </w:r>
      <w:r>
        <w:rPr>
          <w:rFonts w:hint="eastAsia" w:ascii="仿宋" w:hAnsi="仿宋" w:eastAsia="仿宋"/>
          <w:sz w:val="30"/>
          <w:szCs w:val="30"/>
        </w:rPr>
        <w:t>。</w:t>
      </w:r>
    </w:p>
    <w:p w14:paraId="3FCAB79A">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3.94</w:t>
      </w:r>
      <w:r>
        <w:rPr>
          <w:rFonts w:hint="eastAsia" w:ascii="仿宋" w:hAnsi="仿宋" w:eastAsia="仿宋"/>
          <w:sz w:val="30"/>
          <w:szCs w:val="30"/>
        </w:rPr>
        <w:t>万元，增长</w:t>
      </w:r>
      <w:r>
        <w:rPr>
          <w:rFonts w:hint="eastAsia" w:ascii="仿宋" w:hAnsi="仿宋" w:eastAsia="仿宋"/>
          <w:sz w:val="30"/>
          <w:szCs w:val="30"/>
          <w:lang w:val="en-US" w:eastAsia="zh-CN"/>
        </w:rPr>
        <w:t>74.33</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w:t>
      </w:r>
    </w:p>
    <w:p w14:paraId="3EF7F7B8">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1.14</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14:paraId="193E7B1C">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49719A42">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1.5</w:t>
      </w:r>
      <w:r>
        <w:rPr>
          <w:rFonts w:hint="eastAsia" w:ascii="仿宋" w:hAnsi="仿宋" w:eastAsia="仿宋"/>
          <w:sz w:val="30"/>
          <w:szCs w:val="30"/>
        </w:rPr>
        <w:t>万元，决算数为</w:t>
      </w:r>
      <w:r>
        <w:rPr>
          <w:rFonts w:hint="eastAsia" w:ascii="仿宋" w:hAnsi="仿宋" w:eastAsia="仿宋"/>
          <w:sz w:val="30"/>
          <w:szCs w:val="30"/>
          <w:lang w:val="en-US" w:eastAsia="zh-CN"/>
        </w:rPr>
        <w:t>0.13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8.66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0.08</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61.53</w:t>
      </w:r>
      <w:r>
        <w:rPr>
          <w:rFonts w:hint="eastAsia" w:ascii="仿宋" w:hAnsi="仿宋" w:eastAsia="仿宋"/>
          <w:sz w:val="30"/>
          <w:szCs w:val="30"/>
        </w:rPr>
        <w:t>%，其中：</w:t>
      </w:r>
    </w:p>
    <w:p w14:paraId="31AA5107">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69882305">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0.13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8.66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0.08</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61.53</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接待单位人数增加</w:t>
      </w:r>
      <w:r>
        <w:rPr>
          <w:rFonts w:hint="eastAsia" w:ascii="仿宋" w:hAnsi="仿宋" w:eastAsia="仿宋"/>
          <w:sz w:val="30"/>
          <w:szCs w:val="30"/>
        </w:rPr>
        <w:t>。</w:t>
      </w:r>
    </w:p>
    <w:p w14:paraId="6815189E">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2DEA417B">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45896D2B">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39.85</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7.62</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33.55</w:t>
      </w:r>
      <w:r>
        <w:rPr>
          <w:rFonts w:hint="eastAsia" w:ascii="仿宋" w:hAnsi="仿宋" w:eastAsia="仿宋"/>
          <w:sz w:val="30"/>
          <w:szCs w:val="30"/>
        </w:rPr>
        <w:t>%，主要原因是：</w:t>
      </w:r>
      <w:r>
        <w:rPr>
          <w:rFonts w:hint="eastAsia" w:ascii="仿宋" w:hAnsi="仿宋" w:eastAsia="仿宋"/>
          <w:sz w:val="30"/>
          <w:szCs w:val="30"/>
          <w:lang w:eastAsia="zh-CN"/>
        </w:rPr>
        <w:t>厉行节约，减少行政运行成本</w:t>
      </w:r>
      <w:r>
        <w:rPr>
          <w:rFonts w:hint="eastAsia" w:ascii="仿宋" w:hAnsi="仿宋" w:eastAsia="仿宋"/>
          <w:sz w:val="30"/>
          <w:szCs w:val="30"/>
        </w:rPr>
        <w:t>。</w:t>
      </w:r>
    </w:p>
    <w:p w14:paraId="6DF46F05">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1279213D">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041B0998">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001F2836">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截至</w:t>
      </w:r>
      <w:bookmarkStart w:id="2" w:name="_GoBack"/>
      <w:bookmarkEnd w:id="2"/>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604B5D40">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46BA7F64">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0C0C215A">
      <w:pPr>
        <w:ind w:firstLine="600" w:firstLineChars="200"/>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r>
        <w:rPr>
          <w:rFonts w:hint="eastAsia" w:ascii="仿宋" w:hAnsi="仿宋" w:eastAsia="仿宋" w:cs="仿宋"/>
          <w:kern w:val="2"/>
          <w:sz w:val="28"/>
          <w:szCs w:val="28"/>
          <w:lang w:val="en-US" w:eastAsia="zh-CN" w:bidi="ar-SA"/>
        </w:rPr>
        <w:t>绩效目标：</w:t>
      </w:r>
    </w:p>
    <w:p w14:paraId="76E5E2E8">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总目标：2019年，民盟景德镇市委会将在民盟江西省委，中共景德镇市委市政府，中共景德镇市委统战部的领导和关心下，以习近平新时代中国特色社会主义思想为指导，深入学习贯彻中共十九大、十九届二中、三中、四中全会等重要会议精神，不忘初心，砥砺奋进，以思想建设为核心，以履职尽责为重点，以自身建设为保障，以实践创新为动力，聚焦全市统战大调研，打造党派特色工作品牌，推进脱贫攻坚专项民主监督，深入开展“不忘合作初心，继续携手前进”主题教育活动，着眼大局积极参政议政，发挥优势服务于社会，稳步推进各项盟务工作。</w:t>
      </w:r>
    </w:p>
    <w:p w14:paraId="1CE6F335">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绩效目标1: 深入开展“不忘合作初心，继续携手前进”主题教育活动。第1、强基固本，加强自身建设；第2、学行并重，创新活动载体。</w:t>
      </w:r>
    </w:p>
    <w:p w14:paraId="021CB691">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绩效目标2：履职尽责，积极参政议政。第1、盟中央课题结硕果；第2、盟省委课题有收获；第3、陶瓷调研促发展；第4、大会发言展风采。</w:t>
      </w:r>
    </w:p>
    <w:p w14:paraId="133FB7D6">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绩效目标3：开展“黄丝带”帮教活动。</w:t>
      </w:r>
    </w:p>
    <w:p w14:paraId="630773FA">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绩效目标4：围绕中心，助力脱贫攻坚。</w:t>
      </w:r>
    </w:p>
    <w:p w14:paraId="30E87743">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绩效目标5：真情回馈，热情服务社会。</w:t>
      </w:r>
    </w:p>
    <w:p w14:paraId="7E461120">
      <w:pPr>
        <w:spacing w:line="240" w:lineRule="atLeast"/>
        <w:ind w:firstLine="560" w:firstLineChars="200"/>
        <w:rPr>
          <w:rFonts w:hint="eastAsia"/>
          <w:lang w:val="en-US" w:eastAsia="zh-CN"/>
        </w:rPr>
      </w:pPr>
      <w:r>
        <w:rPr>
          <w:rFonts w:hint="eastAsia" w:ascii="仿宋" w:hAnsi="仿宋" w:eastAsia="仿宋" w:cs="仿宋"/>
          <w:i w:val="0"/>
          <w:color w:val="000000"/>
          <w:kern w:val="0"/>
          <w:sz w:val="28"/>
          <w:szCs w:val="28"/>
          <w:u w:val="none"/>
          <w:lang w:val="en-US" w:eastAsia="zh-CN" w:bidi="ar"/>
        </w:rPr>
        <w:t>绩效目标6：强化监督，落实责任。第1、加强自我监督责任；第2、成立监督委员会；第3、强化制度建设。</w:t>
      </w:r>
    </w:p>
    <w:p w14:paraId="622D83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717B76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68B201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14:paraId="490DF0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(一）优秀经验及做法</w:t>
      </w:r>
      <w:bookmarkStart w:id="0" w:name="_Toc27453_WPSOffice_Level2"/>
    </w:p>
    <w:p w14:paraId="22C33DD4">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2019年，民盟景德镇市委会被民盟中央评为“《群言》优秀发行单位”，被民盟江西省委会评为全省盟务工作“综合先进单位”。盟员徐岚荣获“全国三八红旗手”称号；盟员汪洋荣获“全国五一劳动奖章”；盟员杜静洁荣获庆祝新中国暨人民政协成立70周年演讲比赛二等奖；盟市委组织科科长胥敏被评为全省盟务工作“优秀专干”。</w:t>
      </w:r>
    </w:p>
    <w:p w14:paraId="591F203C">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一、履职尽责，积极参政议政。民盟景德镇市委会深入调研，形成了调研文章《固本培元 加强乡村教师队伍建设的建议——以景德镇市浮梁县和昌江区乡村学校为例》，并受邀参加民盟中央教育论坛。民盟市委会承接了民盟中央课题子课题，形成调研文章《景德镇市制造业发展存在的问题及建议》。今年共有《关于在江西全面实施错时延时服务机制的建议》等四项课题被盟省委立项，其中，《完善乡村学校教师补充机制》被列为重点推进合作课题。参加省盟委会文化界别大调研，形成了《民盟景德镇市委会文化界别组织工作调研报告》，完成了省委统战部调研文章《浅析新时期民主党派基层组织建设的几点问题》。盟市委一直关注陶瓷产业，连续追踪做陶瓷课题研究，在陶瓷课题研究上有亮点。先后形成《咬定青山不放松 做大做强景德镇陶瓷产业的调研》等11篇调研报告，其中《咬定青山不放松——景德镇陶瓷电子商务发展定位与思考》被《景德镇党刊》刊发；《亮剑景德镇日用陶瓷乱象》三次获市政府领导批示；《量小也要当主角—与世界对话 做大景德镇日用陶瓷市场份额》获市委主要领导批示，助推我市陶瓷产业发展。年初，民盟盟员王安维等14位政协委员和陈菊明等2位人大代表参加景德镇市“两会”，围绕景德镇市社会经济发展建言献策。12月初，民盟景德镇市委会先后赴景德镇市文广新旅局和景德镇市党史和地方志工作办公室进行专题调研，了解我市名人故居、祖籍地和红色教育基地资源的挖掘、保护与开发情况，对接国际陶瓷文化传承创意试验区建设。</w:t>
      </w:r>
    </w:p>
    <w:p w14:paraId="416EB610">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二、开展“黄丝带”帮教活动。5月，民盟景德镇市委会在江西省景德镇监狱开展“庆祝建国七十周年 黄丝带帮教行动——送文化进监狱”活动。陶瓷艺术家们即兴创作陶瓷作品十八幅，现场指导服刑人员进行创作，宣传国家陶瓷文化传承创意试验区建设。6月，民盟景德镇市委会组织开展“黄丝带”法律援助活动，为部分服刑人员和干警共50余人上了一堂宪法教育课。8月，民盟景德镇市委会受景德镇监狱委托，派请专业人员赴景德镇监狱指导歌咏比赛，并获得佳绩。</w:t>
      </w:r>
    </w:p>
    <w:p w14:paraId="1DF0EC8D">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三、真情回馈，热情服务社会。1月，民盟乐平总支在塔前镇新园村委会开展健康扶贫专家义诊活动。4月，赴绍兴参加第二届国家首批历史文化名城九城市民盟书画展。专职副主委陈菊明作《发挥文化优势展风采，创新社会服务助发展》的专题发言，为推介景德镇优秀文化发声。9月，民盟乐平总支来到乐平市高家镇杨边小学，向每位学生赠送了学习文具和儿童益智读物，向17位贫困家庭学生赠送了精美书包，同时向学校赠送百科知识、世界名著、儿童文学等儿童读物400余册和一批文体用品，总价值一万五千余元。9月，民盟市委会帮助浮梁县湘湖镇东安村希望小学联系捐建音乐教室，所有音乐设备已到位。</w:t>
      </w:r>
    </w:p>
    <w:p w14:paraId="130F9973">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四、围绕中心，助力脱贫攻坚。2019年，民盟景德镇市委会通过电话咨询、座谈、实地走访等方式，在对乐平市鸬鹚乡、众埠镇、十里岗镇进行了脱贫攻坚民主监督。6月，民盟乐平市总支部委员会组织部分盟员来到江西蓝妮子农林发展有限公司，开展视察精准扶贫产业活动。11月，民盟市委会委员们和各基层支部主委赴乐平市鸬鹚乡召开脱贫攻坚民主监督座谈会。</w:t>
      </w:r>
    </w:p>
    <w:p w14:paraId="69C320C1">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五、其它工作</w:t>
      </w:r>
    </w:p>
    <w:p w14:paraId="4C985E8B">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加强自身建设。制定了《民盟景德镇市委会关于深入开展“不忘合作初心，继续携手前进”主题教育活动的实施方案》，成立了民盟景德镇市委会“不忘合作初心，继续携手前进”主题教育活动领导小组。为加强民盟自身建设，建立健全盟内监督机制，成立民盟景德镇市监督委员会。</w:t>
      </w:r>
    </w:p>
    <w:p w14:paraId="50012B0D">
      <w:pPr>
        <w:ind w:firstLine="560" w:firstLineChars="200"/>
        <w:rPr>
          <w:rFonts w:hint="eastAsia"/>
          <w:lang w:val="en-US" w:eastAsia="zh-CN"/>
        </w:rPr>
      </w:pPr>
      <w:r>
        <w:rPr>
          <w:rFonts w:hint="eastAsia" w:ascii="仿宋" w:hAnsi="仿宋" w:eastAsia="仿宋" w:cs="仿宋"/>
          <w:i w:val="0"/>
          <w:color w:val="000000"/>
          <w:kern w:val="0"/>
          <w:sz w:val="28"/>
          <w:szCs w:val="28"/>
          <w:u w:val="none"/>
          <w:lang w:val="en-US" w:eastAsia="zh-CN" w:bidi="ar"/>
        </w:rPr>
        <w:t>2、强化制度建设。为加强盟内监督，发扬盟内民主，严肃盟的纪律，维护盟的团结，切实加强自身建设，确保盟的各级组织和广大盟员坚持中国共产党领导，坚定不移地走中国特色社会主义政治发展道路，制定了《民盟景德镇市监督委员会工作办法（试行）》。</w:t>
      </w:r>
    </w:p>
    <w:p w14:paraId="4D6DEC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（二）主要存在问题</w:t>
      </w:r>
      <w:bookmarkEnd w:id="0"/>
    </w:p>
    <w:p w14:paraId="111883C5">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1、预算绩效目标设置有待改进的地方。部门整体支出绩效目标缺乏基础和依据，预算精准度待提高，缺乏分项预算金额。  </w:t>
      </w:r>
    </w:p>
    <w:p w14:paraId="04565C01">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2、参政议政能力待提高，提案议案的数量与质量待提高，与人民的要求有差距。</w:t>
      </w:r>
    </w:p>
    <w:p w14:paraId="08BC70A0">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3、社情民意工作存在短板，顺应人民关注不够。</w:t>
      </w:r>
    </w:p>
    <w:p w14:paraId="6D7CF189">
      <w:pPr>
        <w:ind w:firstLine="560" w:firstLineChars="200"/>
        <w:rPr>
          <w:rFonts w:hint="eastAsia"/>
          <w:lang w:val="en-US" w:eastAsia="zh-CN"/>
        </w:rPr>
      </w:pPr>
      <w:r>
        <w:rPr>
          <w:rFonts w:hint="eastAsia" w:ascii="仿宋" w:hAnsi="仿宋" w:eastAsia="仿宋" w:cs="仿宋"/>
          <w:i w:val="0"/>
          <w:color w:val="000000"/>
          <w:kern w:val="0"/>
          <w:sz w:val="28"/>
          <w:szCs w:val="28"/>
          <w:u w:val="none"/>
          <w:lang w:val="en-US" w:eastAsia="zh-CN" w:bidi="ar"/>
        </w:rPr>
        <w:t>4、机关效能待提高，基层组织建设工作发展不平衡。　</w:t>
      </w:r>
    </w:p>
    <w:p w14:paraId="28F431A3">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kern w:val="0"/>
          <w:sz w:val="30"/>
          <w:szCs w:val="30"/>
          <w:lang w:val="en-US" w:eastAsia="zh-CN" w:bidi="ar-SA"/>
        </w:rPr>
      </w:pPr>
      <w:bookmarkStart w:id="1" w:name="_Toc26819_WPSOffice_Level2"/>
      <w:r>
        <w:rPr>
          <w:rFonts w:hint="eastAsia" w:ascii="仿宋" w:hAnsi="仿宋" w:eastAsia="仿宋" w:cs="仿宋"/>
          <w:b/>
          <w:bCs/>
          <w:kern w:val="0"/>
          <w:sz w:val="30"/>
          <w:szCs w:val="30"/>
          <w:lang w:val="en-US" w:eastAsia="zh-CN" w:bidi="ar-SA"/>
        </w:rPr>
        <w:t>（三）整改措施</w:t>
      </w:r>
      <w:bookmarkEnd w:id="1"/>
    </w:p>
    <w:p w14:paraId="38693DD0">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1、提高对全面预算管理的重视程度。建立以绩效为导向的预算编制模式，借鉴其他部门在绩效管理方面的经验和做法，制定绩效管理制度，并将其贯彻到预算申请、预算分配、项目实施和绩效考评的全过程。</w:t>
      </w:r>
    </w:p>
    <w:p w14:paraId="6A3C5DAD">
      <w:pPr>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2、围绕全市中心工作加强调研，提升提案议案的质量，服务于全市经济社会的发展。</w:t>
      </w:r>
    </w:p>
    <w:p w14:paraId="0EF410CE">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3、实施预算进度跟踪，合理支出预算资金，做到目标管理与执行进度跟踪统一，项目产出与效益管理的统一。</w:t>
      </w:r>
    </w:p>
    <w:p w14:paraId="54CAC7CF">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4、加强机关效能建设，提高干部的素质，围绕市委市政府的中心任务创造性开展工作。</w:t>
      </w:r>
    </w:p>
    <w:p w14:paraId="4EB70D9E">
      <w:pPr>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5、注重基层组织建设，注重会员发展的质量，完善规章制度，切实发挥好基层组织的作用。</w:t>
      </w:r>
    </w:p>
    <w:p w14:paraId="3FD00BF8">
      <w:pPr>
        <w:ind w:firstLine="630"/>
        <w:jc w:val="left"/>
        <w:rPr>
          <w:rFonts w:hint="eastAsia" w:ascii="仿宋" w:hAnsi="仿宋" w:eastAsia="仿宋" w:cs="Times New Roman"/>
          <w:sz w:val="30"/>
          <w:szCs w:val="30"/>
          <w:lang w:eastAsia="zh-CN"/>
        </w:rPr>
      </w:pPr>
    </w:p>
    <w:p w14:paraId="305A62D6">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11A9201D">
      <w:pPr>
        <w:pStyle w:val="5"/>
        <w:spacing w:line="600" w:lineRule="atLeast"/>
        <w:ind w:firstLine="600"/>
        <w:rPr>
          <w:rFonts w:hint="eastAsia" w:ascii="仿宋" w:hAnsi="仿宋" w:eastAsia="仿宋"/>
          <w:sz w:val="30"/>
          <w:szCs w:val="30"/>
        </w:rPr>
      </w:pPr>
    </w:p>
    <w:p w14:paraId="601CF14A">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14:paraId="1E3BCC39">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14:paraId="3D42C248">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14:paraId="1034854F">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14:paraId="154DCF21">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14:paraId="48B4F98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14:paraId="2B9851BF">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14:paraId="15CE71A3">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14:paraId="50E41134">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14:paraId="485FE6E2">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14:paraId="5429DEE3">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14:paraId="2A31B82A">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14:paraId="58891984">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14:paraId="33AB9CB6">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14:paraId="017ACEA1">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14:paraId="13562FC5">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14:paraId="6B746737">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4339C302">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14:paraId="61081C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50CE"/>
    <w:rsid w:val="199402A8"/>
    <w:rsid w:val="22013EF6"/>
    <w:rsid w:val="2CA83B89"/>
    <w:rsid w:val="32C04EF8"/>
    <w:rsid w:val="352A495A"/>
    <w:rsid w:val="366B3731"/>
    <w:rsid w:val="36902988"/>
    <w:rsid w:val="3CAC1C0E"/>
    <w:rsid w:val="4A2A7E5F"/>
    <w:rsid w:val="4BB0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5615</Words>
  <Characters>5946</Characters>
  <Lines>0</Lines>
  <Paragraphs>0</Paragraphs>
  <TotalTime>0</TotalTime>
  <ScaleCrop>false</ScaleCrop>
  <LinksUpToDate>false</LinksUpToDate>
  <CharactersWithSpaces>6059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2026-07-17T08:43:11Z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82D0CFFC2E7D49D7840132115D82AE8C_12</vt:lpwstr>
  </property>
</Properties>
</file>