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bCs/>
          <w:sz w:val="44"/>
          <w:szCs w:val="44"/>
          <w:lang w:val="en-US" w:eastAsia="zh-CN"/>
        </w:rPr>
      </w:pPr>
      <w:r>
        <w:rPr>
          <w:rFonts w:hint="eastAsia"/>
          <w:b/>
          <w:bCs/>
          <w:sz w:val="44"/>
          <w:szCs w:val="44"/>
          <w:lang w:val="en-US" w:eastAsia="zh-CN"/>
        </w:rPr>
        <w:t>中国民主促进会景德镇市委员会</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中国民主促进会景德镇市委员会</w:t>
      </w:r>
      <w:r>
        <w:rPr>
          <w:rFonts w:hint="eastAsia" w:ascii="黑体" w:hAnsi="黑体" w:eastAsia="黑体"/>
          <w:b/>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中国民主同盟景德镇市委员会</w:t>
      </w:r>
      <w:r>
        <w:rPr>
          <w:rFonts w:hint="eastAsia" w:ascii="宋体" w:hAnsi="宋体"/>
          <w:b/>
          <w:sz w:val="32"/>
          <w:szCs w:val="30"/>
        </w:rPr>
        <w:t>部门概况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国民主促进会（简称民进）是以从事教育文化出版工作的高中级知识分子为主、具有政治联盟性质、致力于建设中国特色社会主义事业的政党，是爱国统一战线的组成部分，是发展先进生产力、社会主义民主政治、社会主义先进文化和构建社会主义和谐社会，实现 国家富强、祖国统一、民族振兴的重要力量。是同中国共产党通力合作的参政党。主要职能：参政议政、民主监督、社会服务。</w:t>
      </w:r>
    </w:p>
    <w:p>
      <w:pPr>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cs="Times New Roman"/>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val="en-US" w:eastAsia="zh-CN"/>
        </w:rPr>
        <w:t>中国民主促进会景德镇市委员会本级。</w:t>
      </w:r>
    </w:p>
    <w:p>
      <w:pPr>
        <w:ind w:firstLine="630"/>
        <w:jc w:val="left"/>
        <w:rPr>
          <w:rFonts w:hint="eastAsia" w:ascii="仿宋" w:hAnsi="仿宋" w:eastAsia="仿宋" w:cs="Times New Roman"/>
          <w:sz w:val="30"/>
          <w:szCs w:val="30"/>
        </w:rPr>
      </w:pPr>
      <w:r>
        <w:rPr>
          <w:rFonts w:hint="eastAsia" w:ascii="仿宋" w:hAnsi="仿宋" w:eastAsia="仿宋" w:cs="Times New Roman"/>
          <w:sz w:val="30"/>
          <w:szCs w:val="30"/>
          <w:lang w:eastAsia="zh-CN"/>
        </w:rPr>
        <w:t>人员情况：年末在职职工人数</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lang w:eastAsia="zh-CN"/>
        </w:rPr>
        <w:t>人，与上年比增加</w:t>
      </w:r>
      <w:r>
        <w:rPr>
          <w:rFonts w:hint="eastAsia" w:ascii="仿宋" w:hAnsi="仿宋" w:eastAsia="仿宋" w:cs="Times New Roman"/>
          <w:sz w:val="30"/>
          <w:szCs w:val="30"/>
          <w:lang w:val="en-US" w:eastAsia="zh-CN"/>
        </w:rPr>
        <w:t>1</w:t>
      </w:r>
      <w:r>
        <w:rPr>
          <w:rFonts w:hint="eastAsia" w:ascii="仿宋" w:hAnsi="仿宋" w:eastAsia="仿宋" w:cs="Times New Roman"/>
          <w:sz w:val="30"/>
          <w:szCs w:val="30"/>
          <w:lang w:eastAsia="zh-CN"/>
        </w:rPr>
        <w:t>人，其中一人招考入。年末退休</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lang w:eastAsia="zh-CN"/>
        </w:rPr>
        <w:t>人，无变动。</w:t>
      </w: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5272405" cy="490982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4909820"/>
                    </a:xfrm>
                    <a:prstGeom prst="rect">
                      <a:avLst/>
                    </a:prstGeom>
                    <a:noFill/>
                    <a:ln>
                      <a:noFill/>
                    </a:ln>
                  </pic:spPr>
                </pic:pic>
              </a:graphicData>
            </a:graphic>
          </wp:inline>
        </w:drawing>
      </w:r>
    </w:p>
    <w:p>
      <w:pPr>
        <w:autoSpaceDE w:val="0"/>
        <w:autoSpaceDN w:val="0"/>
        <w:adjustRightInd w:val="0"/>
        <w:spacing w:line="360" w:lineRule="auto"/>
        <w:jc w:val="left"/>
        <w:rPr>
          <w:rFonts w:hint="eastAsia" w:ascii="宋体" w:hAnsi="宋体" w:eastAsia="宋体"/>
          <w:b/>
          <w:sz w:val="32"/>
          <w:szCs w:val="32"/>
          <w:lang w:eastAsia="zh-CN"/>
        </w:rPr>
      </w:pPr>
      <w:r>
        <w:drawing>
          <wp:inline distT="0" distB="0" distL="114300" distR="114300">
            <wp:extent cx="5267325" cy="2197100"/>
            <wp:effectExtent l="0" t="0" r="952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2197100"/>
                    </a:xfrm>
                    <a:prstGeom prst="rect">
                      <a:avLst/>
                    </a:prstGeom>
                    <a:noFill/>
                    <a:ln>
                      <a:noFill/>
                    </a:ln>
                  </pic:spPr>
                </pic:pic>
              </a:graphicData>
            </a:graphic>
          </wp:inline>
        </w:drawing>
      </w:r>
      <w:r>
        <w:drawing>
          <wp:inline distT="0" distB="0" distL="114300" distR="114300">
            <wp:extent cx="5265420" cy="2705735"/>
            <wp:effectExtent l="0" t="0" r="1143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2705735"/>
                    </a:xfrm>
                    <a:prstGeom prst="rect">
                      <a:avLst/>
                    </a:prstGeom>
                    <a:noFill/>
                    <a:ln>
                      <a:noFill/>
                    </a:ln>
                  </pic:spPr>
                </pic:pic>
              </a:graphicData>
            </a:graphic>
          </wp:inline>
        </w:drawing>
      </w:r>
      <w:r>
        <w:drawing>
          <wp:inline distT="0" distB="0" distL="114300" distR="114300">
            <wp:extent cx="5273675" cy="4223385"/>
            <wp:effectExtent l="0" t="0" r="317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675" cy="4223385"/>
                    </a:xfrm>
                    <a:prstGeom prst="rect">
                      <a:avLst/>
                    </a:prstGeom>
                    <a:noFill/>
                    <a:ln>
                      <a:noFill/>
                    </a:ln>
                  </pic:spPr>
                </pic:pic>
              </a:graphicData>
            </a:graphic>
          </wp:inline>
        </w:drawing>
      </w:r>
      <w:r>
        <w:drawing>
          <wp:inline distT="0" distB="0" distL="114300" distR="114300">
            <wp:extent cx="5269865" cy="3658870"/>
            <wp:effectExtent l="0" t="0" r="698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9865" cy="3658870"/>
                    </a:xfrm>
                    <a:prstGeom prst="rect">
                      <a:avLst/>
                    </a:prstGeom>
                    <a:noFill/>
                    <a:ln>
                      <a:noFill/>
                    </a:ln>
                  </pic:spPr>
                </pic:pic>
              </a:graphicData>
            </a:graphic>
          </wp:inline>
        </w:drawing>
      </w:r>
      <w:r>
        <w:rPr>
          <w:rFonts w:hint="eastAsia" w:ascii="宋体" w:hAnsi="宋体" w:eastAsia="宋体"/>
          <w:b/>
          <w:sz w:val="32"/>
          <w:szCs w:val="32"/>
          <w:lang w:eastAsia="zh-CN"/>
        </w:rPr>
        <w:drawing>
          <wp:inline distT="0" distB="0" distL="114300" distR="114300">
            <wp:extent cx="5121275" cy="8853805"/>
            <wp:effectExtent l="0" t="0" r="3175" b="4445"/>
            <wp:docPr id="6" name="图片 6" descr="160259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95713(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drawing>
          <wp:inline distT="0" distB="0" distL="114300" distR="114300">
            <wp:extent cx="5271135" cy="4786630"/>
            <wp:effectExtent l="0" t="0" r="5715" b="139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1135" cy="4786630"/>
                    </a:xfrm>
                    <a:prstGeom prst="rect">
                      <a:avLst/>
                    </a:prstGeom>
                    <a:noFill/>
                    <a:ln>
                      <a:noFill/>
                    </a:ln>
                  </pic:spPr>
                </pic:pic>
              </a:graphicData>
            </a:graphic>
          </wp:inline>
        </w:drawing>
      </w:r>
      <w:r>
        <w:drawing>
          <wp:inline distT="0" distB="0" distL="114300" distR="114300">
            <wp:extent cx="5269865" cy="1712595"/>
            <wp:effectExtent l="0" t="0" r="6985" b="19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69865" cy="1712595"/>
                    </a:xfrm>
                    <a:prstGeom prst="rect">
                      <a:avLst/>
                    </a:prstGeom>
                    <a:noFill/>
                    <a:ln>
                      <a:noFill/>
                    </a:ln>
                  </pic:spPr>
                </pic:pic>
              </a:graphicData>
            </a:graphic>
          </wp:inline>
        </w:drawing>
      </w:r>
      <w:r>
        <w:drawing>
          <wp:inline distT="0" distB="0" distL="114300" distR="114300">
            <wp:extent cx="5273040" cy="2814320"/>
            <wp:effectExtent l="0" t="0" r="381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5273040" cy="2814320"/>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98.4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32.03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10.91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34.06</w:t>
      </w:r>
      <w:r>
        <w:rPr>
          <w:rFonts w:hint="eastAsia" w:ascii="仿宋" w:hAnsi="仿宋" w:eastAsia="仿宋"/>
          <w:sz w:val="30"/>
          <w:szCs w:val="30"/>
        </w:rPr>
        <w:t>%；本年收入合计</w:t>
      </w:r>
      <w:r>
        <w:rPr>
          <w:rFonts w:hint="eastAsia" w:ascii="仿宋" w:hAnsi="仿宋" w:eastAsia="仿宋"/>
          <w:sz w:val="30"/>
          <w:szCs w:val="30"/>
          <w:lang w:val="en-US" w:eastAsia="zh-CN"/>
        </w:rPr>
        <w:t>66.37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8.29</w:t>
      </w:r>
      <w:r>
        <w:rPr>
          <w:rFonts w:hint="eastAsia" w:ascii="仿宋" w:hAnsi="仿宋" w:eastAsia="仿宋"/>
          <w:sz w:val="30"/>
          <w:szCs w:val="30"/>
        </w:rPr>
        <w:t>万元，增长</w:t>
      </w:r>
      <w:r>
        <w:rPr>
          <w:rFonts w:hint="eastAsia" w:ascii="仿宋" w:hAnsi="仿宋" w:eastAsia="仿宋"/>
          <w:sz w:val="30"/>
          <w:szCs w:val="30"/>
          <w:lang w:val="en-US" w:eastAsia="zh-CN"/>
        </w:rPr>
        <w:t>12.49</w:t>
      </w:r>
      <w:r>
        <w:rPr>
          <w:rFonts w:hint="eastAsia" w:ascii="仿宋" w:hAnsi="仿宋" w:eastAsia="仿宋"/>
          <w:sz w:val="30"/>
          <w:szCs w:val="30"/>
        </w:rPr>
        <w:t>%，主要原因是：</w:t>
      </w:r>
      <w:r>
        <w:rPr>
          <w:rFonts w:hint="eastAsia" w:ascii="仿宋" w:hAnsi="仿宋" w:eastAsia="仿宋"/>
          <w:sz w:val="30"/>
          <w:szCs w:val="30"/>
          <w:lang w:eastAsia="zh-CN"/>
        </w:rPr>
        <w:t>人员经费和公用经费增加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65.85</w:t>
      </w:r>
      <w:r>
        <w:rPr>
          <w:rFonts w:hint="eastAsia" w:ascii="仿宋" w:hAnsi="仿宋" w:eastAsia="仿宋"/>
          <w:sz w:val="30"/>
          <w:szCs w:val="30"/>
        </w:rPr>
        <w:t>万元，占</w:t>
      </w:r>
      <w:r>
        <w:rPr>
          <w:rFonts w:hint="eastAsia" w:ascii="仿宋" w:hAnsi="仿宋" w:eastAsia="仿宋"/>
          <w:sz w:val="30"/>
          <w:szCs w:val="30"/>
          <w:lang w:val="en-US" w:eastAsia="zh-CN"/>
        </w:rPr>
        <w:t>99.21</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0.52</w:t>
      </w:r>
      <w:r>
        <w:rPr>
          <w:rFonts w:hint="eastAsia" w:ascii="仿宋" w:hAnsi="仿宋" w:eastAsia="仿宋"/>
          <w:sz w:val="30"/>
          <w:szCs w:val="30"/>
        </w:rPr>
        <w:t>万元，占</w:t>
      </w:r>
      <w:r>
        <w:rPr>
          <w:rFonts w:hint="eastAsia" w:ascii="仿宋" w:hAnsi="仿宋" w:eastAsia="仿宋"/>
          <w:sz w:val="30"/>
          <w:szCs w:val="30"/>
          <w:lang w:val="en-US" w:eastAsia="zh-CN"/>
        </w:rPr>
        <w:t>0.79</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98.4</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66.3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19.13</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28.85</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32.1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w:t>
      </w:r>
      <w:r>
        <w:rPr>
          <w:rFonts w:hint="eastAsia" w:ascii="仿宋" w:hAnsi="仿宋" w:eastAsia="仿宋"/>
          <w:sz w:val="30"/>
          <w:szCs w:val="30"/>
          <w:lang w:eastAsia="zh-CN"/>
        </w:rPr>
        <w:t>加</w:t>
      </w:r>
      <w:r>
        <w:rPr>
          <w:rFonts w:hint="eastAsia" w:ascii="仿宋" w:hAnsi="仿宋" w:eastAsia="仿宋"/>
          <w:sz w:val="30"/>
          <w:szCs w:val="30"/>
          <w:lang w:val="en-US" w:eastAsia="zh-CN"/>
        </w:rPr>
        <w:t>2.34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7.28</w:t>
      </w:r>
      <w:r>
        <w:rPr>
          <w:rFonts w:hint="eastAsia" w:ascii="仿宋" w:hAnsi="仿宋" w:eastAsia="仿宋"/>
          <w:sz w:val="30"/>
          <w:szCs w:val="30"/>
        </w:rPr>
        <w:t>%，主要原因是：</w:t>
      </w:r>
      <w:r>
        <w:rPr>
          <w:rFonts w:hint="eastAsia" w:ascii="仿宋" w:hAnsi="仿宋" w:eastAsia="仿宋"/>
          <w:sz w:val="30"/>
          <w:szCs w:val="30"/>
          <w:lang w:eastAsia="zh-CN"/>
        </w:rPr>
        <w:t>年末结余增加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66.3</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55.27</w:t>
      </w:r>
      <w:r>
        <w:rPr>
          <w:rFonts w:hint="eastAsia" w:ascii="仿宋" w:hAnsi="仿宋" w:eastAsia="仿宋"/>
          <w:sz w:val="30"/>
          <w:szCs w:val="30"/>
        </w:rPr>
        <w:t>万元，决算数为</w:t>
      </w:r>
      <w:r>
        <w:rPr>
          <w:rFonts w:hint="eastAsia" w:ascii="仿宋" w:hAnsi="仿宋" w:eastAsia="仿宋"/>
          <w:sz w:val="30"/>
          <w:szCs w:val="30"/>
          <w:lang w:val="en-US" w:eastAsia="zh-CN"/>
        </w:rPr>
        <w:t>66.3</w:t>
      </w:r>
      <w:r>
        <w:rPr>
          <w:rFonts w:hint="eastAsia" w:ascii="仿宋" w:hAnsi="仿宋" w:eastAsia="仿宋"/>
          <w:sz w:val="30"/>
          <w:szCs w:val="30"/>
        </w:rPr>
        <w:t>万元，完成年初预算的</w:t>
      </w:r>
      <w:r>
        <w:rPr>
          <w:rFonts w:hint="eastAsia" w:ascii="仿宋" w:hAnsi="仿宋" w:eastAsia="仿宋"/>
          <w:sz w:val="30"/>
          <w:szCs w:val="30"/>
          <w:lang w:val="en-US" w:eastAsia="zh-CN"/>
        </w:rPr>
        <w:t>119.95</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70.61</w:t>
      </w:r>
      <w:r>
        <w:rPr>
          <w:rFonts w:hint="eastAsia" w:ascii="仿宋" w:hAnsi="仿宋" w:eastAsia="仿宋"/>
          <w:sz w:val="30"/>
          <w:szCs w:val="30"/>
        </w:rPr>
        <w:t>万元，决算数为</w:t>
      </w:r>
      <w:r>
        <w:rPr>
          <w:rFonts w:hint="eastAsia" w:ascii="仿宋" w:hAnsi="仿宋" w:eastAsia="仿宋"/>
          <w:sz w:val="30"/>
          <w:szCs w:val="30"/>
          <w:lang w:val="en-US" w:eastAsia="zh-CN"/>
        </w:rPr>
        <w:t>58.12</w:t>
      </w:r>
      <w:r>
        <w:rPr>
          <w:rFonts w:hint="eastAsia" w:ascii="仿宋" w:hAnsi="仿宋" w:eastAsia="仿宋"/>
          <w:sz w:val="30"/>
          <w:szCs w:val="30"/>
        </w:rPr>
        <w:t>万元，完成年初预算的</w:t>
      </w:r>
      <w:r>
        <w:rPr>
          <w:rFonts w:hint="eastAsia" w:ascii="仿宋" w:hAnsi="仿宋" w:eastAsia="仿宋"/>
          <w:sz w:val="30"/>
          <w:szCs w:val="30"/>
          <w:lang w:val="en-US" w:eastAsia="zh-CN"/>
        </w:rPr>
        <w:t>82.31</w:t>
      </w:r>
      <w:r>
        <w:rPr>
          <w:rFonts w:hint="eastAsia" w:ascii="仿宋" w:hAnsi="仿宋" w:eastAsia="仿宋"/>
          <w:sz w:val="30"/>
          <w:szCs w:val="30"/>
        </w:rPr>
        <w:t>%，主要原因是：</w:t>
      </w:r>
      <w:r>
        <w:rPr>
          <w:rFonts w:hint="eastAsia" w:ascii="仿宋" w:hAnsi="仿宋" w:eastAsia="仿宋"/>
          <w:sz w:val="30"/>
          <w:szCs w:val="30"/>
          <w:lang w:eastAsia="zh-CN"/>
        </w:rPr>
        <w:t>厉行节约</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2.53</w:t>
      </w:r>
      <w:r>
        <w:rPr>
          <w:rFonts w:hint="eastAsia" w:ascii="仿宋" w:hAnsi="仿宋" w:eastAsia="仿宋"/>
          <w:sz w:val="30"/>
          <w:szCs w:val="30"/>
        </w:rPr>
        <w:t>万元，决算数为</w:t>
      </w:r>
      <w:r>
        <w:rPr>
          <w:rFonts w:hint="eastAsia" w:ascii="仿宋" w:hAnsi="仿宋" w:eastAsia="仿宋"/>
          <w:sz w:val="30"/>
          <w:szCs w:val="30"/>
          <w:lang w:val="en-US" w:eastAsia="zh-CN"/>
        </w:rPr>
        <w:t>2.53</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3.68</w:t>
      </w:r>
      <w:r>
        <w:rPr>
          <w:rFonts w:hint="eastAsia" w:ascii="仿宋" w:hAnsi="仿宋" w:eastAsia="仿宋"/>
          <w:sz w:val="30"/>
          <w:szCs w:val="30"/>
        </w:rPr>
        <w:t>万元，决算数为</w:t>
      </w:r>
      <w:r>
        <w:rPr>
          <w:rFonts w:hint="eastAsia" w:ascii="仿宋" w:hAnsi="仿宋" w:eastAsia="仿宋"/>
          <w:sz w:val="30"/>
          <w:szCs w:val="30"/>
          <w:lang w:val="en-US" w:eastAsia="zh-CN"/>
        </w:rPr>
        <w:t>3.68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1.45</w:t>
      </w:r>
      <w:r>
        <w:rPr>
          <w:rFonts w:hint="eastAsia" w:ascii="仿宋" w:hAnsi="仿宋" w:eastAsia="仿宋"/>
          <w:sz w:val="30"/>
          <w:szCs w:val="30"/>
        </w:rPr>
        <w:t>万元，决算数为</w:t>
      </w:r>
      <w:r>
        <w:rPr>
          <w:rFonts w:hint="eastAsia" w:ascii="仿宋" w:hAnsi="仿宋" w:eastAsia="仿宋"/>
          <w:sz w:val="30"/>
          <w:szCs w:val="30"/>
          <w:lang w:val="en-US" w:eastAsia="zh-CN"/>
        </w:rPr>
        <w:t>1.45</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lang w:eastAsia="zh-CN"/>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66.3</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42.99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6.64</w:t>
      </w:r>
      <w:r>
        <w:rPr>
          <w:rFonts w:hint="eastAsia" w:ascii="仿宋" w:hAnsi="仿宋" w:eastAsia="仿宋"/>
          <w:sz w:val="30"/>
          <w:szCs w:val="30"/>
        </w:rPr>
        <w:t>万元，增长</w:t>
      </w:r>
      <w:r>
        <w:rPr>
          <w:rFonts w:hint="eastAsia" w:ascii="仿宋" w:hAnsi="仿宋" w:eastAsia="仿宋"/>
          <w:sz w:val="30"/>
          <w:szCs w:val="30"/>
          <w:lang w:val="en-US" w:eastAsia="zh-CN"/>
        </w:rPr>
        <w:t>15.44</w:t>
      </w:r>
      <w:r>
        <w:rPr>
          <w:rFonts w:hint="eastAsia" w:ascii="仿宋" w:hAnsi="仿宋" w:eastAsia="仿宋"/>
          <w:sz w:val="30"/>
          <w:szCs w:val="30"/>
        </w:rPr>
        <w:t>%，主要原因是：</w:t>
      </w:r>
      <w:r>
        <w:rPr>
          <w:rFonts w:hint="eastAsia" w:ascii="仿宋" w:hAnsi="仿宋" w:eastAsia="仿宋"/>
          <w:sz w:val="30"/>
          <w:szCs w:val="30"/>
          <w:lang w:eastAsia="zh-CN"/>
        </w:rPr>
        <w:t>人员增资、补发</w:t>
      </w:r>
      <w:r>
        <w:rPr>
          <w:rFonts w:hint="eastAsia" w:ascii="仿宋" w:hAnsi="仿宋" w:eastAsia="仿宋"/>
          <w:sz w:val="30"/>
          <w:szCs w:val="30"/>
          <w:lang w:val="en-US" w:eastAsia="zh-CN"/>
        </w:rPr>
        <w:t>2018年奖励金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21.46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10.79</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50.27</w:t>
      </w:r>
      <w:r>
        <w:rPr>
          <w:rFonts w:hint="eastAsia" w:ascii="仿宋" w:hAnsi="仿宋" w:eastAsia="仿宋"/>
          <w:sz w:val="30"/>
          <w:szCs w:val="30"/>
        </w:rPr>
        <w:t>%，主要原因是：</w:t>
      </w:r>
      <w:r>
        <w:rPr>
          <w:rFonts w:hint="eastAsia" w:ascii="仿宋" w:hAnsi="仿宋" w:eastAsia="仿宋"/>
          <w:sz w:val="30"/>
          <w:szCs w:val="30"/>
          <w:lang w:eastAsia="zh-CN"/>
        </w:rPr>
        <w:t>开展业务活动增加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1.86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1.71</w:t>
      </w:r>
      <w:r>
        <w:rPr>
          <w:rFonts w:hint="eastAsia" w:ascii="仿宋" w:hAnsi="仿宋" w:eastAsia="仿宋"/>
          <w:sz w:val="30"/>
          <w:szCs w:val="30"/>
        </w:rPr>
        <w:t>万元，增长</w:t>
      </w:r>
      <w:r>
        <w:rPr>
          <w:rFonts w:hint="eastAsia" w:ascii="仿宋" w:hAnsi="仿宋" w:eastAsia="仿宋"/>
          <w:sz w:val="30"/>
          <w:szCs w:val="30"/>
          <w:lang w:val="en-US" w:eastAsia="zh-CN"/>
        </w:rPr>
        <w:t>91.93</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3</w:t>
      </w:r>
      <w:r>
        <w:rPr>
          <w:rFonts w:hint="eastAsia" w:ascii="仿宋" w:hAnsi="仿宋" w:eastAsia="仿宋"/>
          <w:sz w:val="30"/>
          <w:szCs w:val="30"/>
        </w:rPr>
        <w:t>万元，决算数为</w:t>
      </w:r>
      <w:r>
        <w:rPr>
          <w:rFonts w:hint="eastAsia" w:ascii="仿宋" w:hAnsi="仿宋" w:eastAsia="仿宋"/>
          <w:sz w:val="30"/>
          <w:szCs w:val="30"/>
          <w:lang w:val="en-US" w:eastAsia="zh-CN"/>
        </w:rPr>
        <w:t>1.45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48.33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1.04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71.72</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3</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1.45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48.33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1.04</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71.72</w:t>
      </w:r>
      <w:r>
        <w:rPr>
          <w:rFonts w:hint="eastAsia" w:ascii="仿宋" w:hAnsi="仿宋" w:eastAsia="仿宋"/>
          <w:sz w:val="30"/>
          <w:szCs w:val="30"/>
        </w:rPr>
        <w:t>%。决算数较年初预算数</w:t>
      </w:r>
      <w:r>
        <w:rPr>
          <w:rFonts w:hint="eastAsia" w:ascii="仿宋" w:hAnsi="仿宋" w:eastAsia="仿宋"/>
          <w:sz w:val="30"/>
          <w:szCs w:val="30"/>
          <w:lang w:eastAsia="zh-CN"/>
        </w:rPr>
        <w:t>增加</w:t>
      </w:r>
      <w:r>
        <w:rPr>
          <w:rFonts w:hint="eastAsia" w:ascii="仿宋" w:hAnsi="仿宋" w:eastAsia="仿宋"/>
          <w:sz w:val="30"/>
          <w:szCs w:val="30"/>
        </w:rPr>
        <w:t>的主要原因是：</w:t>
      </w:r>
      <w:r>
        <w:rPr>
          <w:rFonts w:hint="eastAsia" w:ascii="仿宋" w:hAnsi="仿宋" w:eastAsia="仿宋"/>
          <w:sz w:val="30"/>
          <w:szCs w:val="30"/>
          <w:lang w:eastAsia="zh-CN"/>
        </w:rPr>
        <w:t>接待单位人数增加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21.46</w:t>
      </w:r>
      <w:r>
        <w:rPr>
          <w:rFonts w:hint="eastAsia" w:ascii="仿宋" w:hAnsi="仿宋" w:eastAsia="仿宋"/>
          <w:sz w:val="30"/>
          <w:szCs w:val="30"/>
        </w:rPr>
        <w:t>万元（与部门决算中行政单位和参照公务员法管理事业单位一般公共预算财政拨款基本支出中公用经费之和保持一致），较年初预算数</w:t>
      </w:r>
      <w:r>
        <w:rPr>
          <w:rFonts w:hint="eastAsia" w:ascii="仿宋" w:hAnsi="仿宋" w:eastAsia="仿宋"/>
          <w:sz w:val="30"/>
          <w:szCs w:val="30"/>
          <w:lang w:eastAsia="zh-CN"/>
        </w:rPr>
        <w:t>减少</w:t>
      </w:r>
      <w:r>
        <w:rPr>
          <w:rFonts w:hint="eastAsia" w:ascii="仿宋" w:hAnsi="仿宋" w:eastAsia="仿宋"/>
          <w:sz w:val="30"/>
          <w:szCs w:val="30"/>
          <w:lang w:val="en-US" w:eastAsia="zh-CN"/>
        </w:rPr>
        <w:t>13.22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38.11</w:t>
      </w:r>
      <w:r>
        <w:rPr>
          <w:rFonts w:hint="eastAsia" w:ascii="仿宋" w:hAnsi="仿宋" w:eastAsia="仿宋"/>
          <w:sz w:val="30"/>
          <w:szCs w:val="30"/>
        </w:rPr>
        <w:t>%，主要原因是：</w:t>
      </w:r>
      <w:r>
        <w:rPr>
          <w:rFonts w:hint="eastAsia" w:ascii="仿宋" w:hAnsi="仿宋" w:eastAsia="仿宋"/>
          <w:sz w:val="30"/>
          <w:szCs w:val="30"/>
          <w:lang w:eastAsia="zh-CN"/>
        </w:rPr>
        <w:t>厉行节约，减少行政运行成本</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支出全面开展绩效自评，从评价情况来看，</w:t>
      </w:r>
      <w:r>
        <w:rPr>
          <w:rFonts w:hint="eastAsia" w:ascii="仿宋" w:hAnsi="仿宋" w:eastAsia="仿宋" w:cs="仿宋"/>
          <w:kern w:val="2"/>
          <w:sz w:val="28"/>
          <w:szCs w:val="28"/>
          <w:lang w:val="en-US" w:eastAsia="zh-CN" w:bidi="ar-SA"/>
        </w:rPr>
        <w:t>总目标：2019年，民进景德镇市委员会在民进江西省委会和中共景德镇市委的正确领导下，以“不忘合作初心，继续携手前进”主题教育活动为主线，按照习总书记“四新”“三好”要求，紧紧围绕中共景德镇市委、市政府的中心工作，充分发挥特色优势，努力完成年初制定的各项工作目标。</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绩效目标1: 凝聚思想共识，筑牢政治根基。第1、政治理论学习；第2、组织参与新中国成立70周年、人民政协成立70周年系列活动；第3、开展“不忘合作初心，继续携手前进”主题教育系列活动；第4、加大宣传工作力度，积极发好民进声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绩效目标2、积极参政议政，踊跃建言献策。第1、做好两会提案和议案工作。第2、做好课题调研工作。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绩效目标3：参与政治协商，广泛凝聚共识。</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绩效目标4:加强民主监督，助力脱贫攻坚。</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绩效目标5:强化创新思维，推动组织建设。第1、推动基层组织建设；第2、成立监督委员会。</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绩效目标6:打造亮点特色，提升服务实效。第1、1%志愿者服务活动；第2、双创双修工作；第3、促进对外合作交流。</w:t>
      </w:r>
    </w:p>
    <w:p>
      <w:pPr>
        <w:spacing w:line="240" w:lineRule="atLeast"/>
        <w:ind w:firstLine="420" w:firstLineChars="20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（一）主要经验及做法</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一、积极参政议政，踊跃建言献策</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做好两会提案和议案工作。2019年在市县两会上共撰写议案提案40余件。调研报告《充分利用现有资源，建设好“景德镇国家陶瓷文化传承创新试验区》被政协景德镇市第十三届委员会第四次会议选为大会口头发言报告，《抓住窗口期 支持景德镇御窑厂遗址申报世界文化遗产的建议》被省政协十二届第二次会议采用选为大会发言报告。</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做好课题调研工作。市委会紧紧围绕民进省委会制定的参政议政课题目标和景德镇市中心工作，提出《关于乐平蔬菜产业发展现状及对接粤港澳大湾区市场的几点思考》、《发展瓷都体育事业，促进体育国际化，为国际瓷都做贡献》、《培养发展新动能，促进陶瓷科技成果转化》、《关于建设“陶大小镇”的建议》四项课题任务的目标，围绕课题开展调研。</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二、参与政治协商，广泛凝聚共识。</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市委会领导积极参与市委市政府、市政协、市纪委和市委统战部召开的各种形式的民主协商会、座谈会和情况通报会，秉承肝胆相照、风雨同舟精神，坦诚建言，在我为试验区献计活动中，市委会广泛动员，积极参与献计出力。</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三、打造亮点特色，提升服务实效</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开展“1%工程”志愿者服务活动。1月，市委会开展“2019民进全国春联万家”活动，为盛家墩村送去春联350多幅，“福”字50多个，还为该村60岁以上老年人免费拍摄冲印照片40余张。组织会员参加统一战线2018年“同心·情暖瓷都”春节走访慰问活动，共捐赠6000余元慰问款。4月，积极配合民进“1%工程”爱心助学活动，考察推荐了10名困难学生接受了该工程的资助，发放助学金一万元。5月，市委会与浮梁直属支部赴长明小学开展“六一”捐赠活动，捐赠“1%工程”爱心足球10个、夏季校服40套，在得知该校篮球场建好多年却无钱购买篮球架的情况后，市委会又经多方协调报告，为该校争取了免费篮球并负责安装到位。同时还为乐平扶贫挂点村安装了价值三万余元休闲健身器材，配合民进江西省委会及江西省教育厅为支教生颁发“1%工程”志愿服务证书，并向学校赠送“1%工程”爱心足球130个。</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参与全市“双创双修”“创卫”工作。市委会带领机关干部多次对背街小巷进行实地查看。机关干部参与市政协、市委统战部“学雷锋志愿服务队”穿上红马甲、戴上小红帽，开展志愿活动，并发放环保宣传资料，宣传我市的“双创双修”工作。</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促进对外合作交流。一是配合市委会开展民进“1%工程”志愿“春联万家”进乡村活动，组织了20多名艺术家共同为村民写春联送福字，传递新春祝福。二是积极组织创作，由朱丹忱、李德真、程云、冯绍华、钟鸣创作的陶瓷作品，捐赠给瑞金中央革命根据地纪念馆献礼建国70周年。三是分两批组织八十余名艺术家赴威海采风，采风后创作的陶瓷作品分别在景德镇、威海两地展览。</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4.加强地市沟通交流。先后接待了民进广东省委会、民进北京市委会、民进广西柳州市委会调研组，组织艺术家赴杭州、南京等地交流展览。</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四、加强民主监督，助力脱贫攻坚。民进主委顾幸勇结对挂点乐平后港镇，民进市委会机关副科以上干部与乐平浯口镇、乐港镇贫困户结对进行一对一帮扶，一月两次走访贫困户。</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五、其它工作</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推动组织建设。2发展新会员17名，其中中级职称及以上9名，平均年龄37岁。截至2019年12月，共有会员329名。其中博士5名，硕士29名。全市会员中省政协委员1人，省人大代表1人，市人大代表4人，市政协委员14人，县区人大代表政协委员18人。</w:t>
      </w:r>
    </w:p>
    <w:p>
      <w:pPr>
        <w:spacing w:line="240" w:lineRule="atLeast"/>
        <w:ind w:firstLine="560" w:firstLineChars="200"/>
        <w:rPr>
          <w:rFonts w:hint="eastAsia" w:ascii="仿宋" w:hAnsi="仿宋" w:eastAsia="仿宋" w:cs="仿宋"/>
          <w:b/>
          <w:bCs/>
          <w:sz w:val="30"/>
          <w:szCs w:val="30"/>
          <w:lang w:val="en-US" w:eastAsia="zh-CN"/>
        </w:rPr>
      </w:pPr>
      <w:r>
        <w:rPr>
          <w:rFonts w:hint="eastAsia" w:ascii="仿宋" w:hAnsi="仿宋" w:eastAsia="仿宋" w:cs="仿宋"/>
          <w:i w:val="0"/>
          <w:color w:val="000000"/>
          <w:kern w:val="0"/>
          <w:sz w:val="28"/>
          <w:szCs w:val="28"/>
          <w:u w:val="none"/>
          <w:lang w:val="en-US" w:eastAsia="zh-CN" w:bidi="ar"/>
        </w:rPr>
        <w:t>2、凝聚思想共识，筑牢政治根基。加强政治理论学习。组织参与新中国成立70周年、人民政协成立70周年系列活动。扎实开展“不忘合作初心，继续携手前进”主题教育系列活动。加大宣传工作力度，积极发好民进声音。</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0"/>
          <w:szCs w:val="30"/>
          <w:lang w:val="en-US" w:eastAsia="zh-CN"/>
        </w:rPr>
      </w:pPr>
      <w:bookmarkStart w:id="0" w:name="_Toc27453_WPSOffice_Level2"/>
      <w:r>
        <w:rPr>
          <w:rFonts w:hint="eastAsia" w:ascii="仿宋" w:hAnsi="仿宋" w:eastAsia="仿宋" w:cs="仿宋"/>
          <w:b/>
          <w:bCs/>
          <w:sz w:val="30"/>
          <w:szCs w:val="30"/>
          <w:lang w:val="en-US" w:eastAsia="zh-CN"/>
        </w:rPr>
        <w:t>（二）主要存在问题</w:t>
      </w:r>
      <w:bookmarkEnd w:id="0"/>
      <w:bookmarkStart w:id="1" w:name="_Toc26819_WPSOffice_Level2"/>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1、预算绩效目标设置有待改进的地方。部门整体支出绩效目标缺乏基础和依据，预算的精确性不够，尤其是缺乏分项预算金额。  </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2、干部履职本领有待提高，为社会服务能力存在不足,工作效能待提高，</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3、履行参政议政的水平待提高，提案议案质量待提高，社情民意工作的力度待加强。</w:t>
      </w:r>
    </w:p>
    <w:p>
      <w:pPr>
        <w:spacing w:line="240" w:lineRule="atLeast"/>
        <w:ind w:firstLine="560" w:firstLineChars="200"/>
        <w:rPr>
          <w:rFonts w:hint="eastAsia" w:ascii="仿宋" w:hAnsi="仿宋" w:eastAsia="仿宋" w:cs="仿宋"/>
          <w:b/>
          <w:bCs/>
          <w:sz w:val="30"/>
          <w:szCs w:val="30"/>
          <w:lang w:val="en-US" w:eastAsia="zh-CN"/>
        </w:rPr>
      </w:pPr>
      <w:r>
        <w:rPr>
          <w:rFonts w:hint="eastAsia" w:ascii="仿宋" w:hAnsi="仿宋" w:eastAsia="仿宋" w:cs="仿宋"/>
          <w:i w:val="0"/>
          <w:color w:val="000000"/>
          <w:kern w:val="0"/>
          <w:sz w:val="28"/>
          <w:szCs w:val="28"/>
          <w:u w:val="none"/>
          <w:lang w:val="en-US" w:eastAsia="zh-CN" w:bidi="ar"/>
        </w:rPr>
        <w:t>4、基层组织建设工作发展不平衡，基层组织的活力发号不够。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（三）整改</w:t>
      </w:r>
      <w:bookmarkEnd w:id="1"/>
      <w:r>
        <w:rPr>
          <w:rFonts w:hint="eastAsia" w:ascii="仿宋" w:hAnsi="仿宋" w:eastAsia="仿宋" w:cs="仿宋"/>
          <w:b/>
          <w:bCs/>
          <w:kern w:val="0"/>
          <w:sz w:val="30"/>
          <w:szCs w:val="30"/>
          <w:lang w:val="en-US" w:eastAsia="zh-CN" w:bidi="ar-SA"/>
        </w:rPr>
        <w:t>措施</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1、提高对全面预算管理的重视程度。建立以绩效为导向的预算编制模式，借鉴其他部门在绩效管理方面的经验和做法，制定绩效管理制度，并将其贯彻到预算申请、预算分配、项目实施和绩效考评的全过程。</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2、增加课题项目的调研经费，提高调研的深度和广度，切实响应市民的关注，提高提案议案的质量。</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3、实施预算进度跟踪，合理支出预算资金，做到目标管理与执行进度跟踪统一，项目产出与效益管理的统一。</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4、加强机关效能建设，注重工作效率的提高，尤其要提高服务基层的本领。</w:t>
      </w:r>
    </w:p>
    <w:p>
      <w:pPr>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5、加强基层组织建设工作，创新管理方式，完善规章制度，发挥基层组织的作用。</w:t>
      </w:r>
    </w:p>
    <w:p>
      <w:pPr>
        <w:ind w:firstLine="630"/>
        <w:jc w:val="left"/>
        <w:rPr>
          <w:rFonts w:hint="eastAsia" w:ascii="仿宋" w:hAnsi="仿宋" w:eastAsia="仿宋" w:cs="Times New Roman"/>
          <w:sz w:val="30"/>
          <w:szCs w:val="30"/>
          <w:lang w:eastAsia="zh-CN"/>
        </w:rPr>
      </w:pPr>
    </w:p>
    <w:p>
      <w:pPr>
        <w:ind w:firstLine="630"/>
        <w:jc w:val="left"/>
        <w:rPr>
          <w:rFonts w:hint="eastAsia" w:ascii="仿宋" w:hAnsi="仿宋" w:eastAsia="仿宋" w:cs="Times New Roman"/>
          <w:sz w:val="30"/>
          <w:szCs w:val="30"/>
          <w:lang w:eastAsia="zh-CN"/>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pStyle w:val="5"/>
        <w:spacing w:line="600" w:lineRule="atLeast"/>
        <w:ind w:firstLine="600"/>
        <w:rPr>
          <w:rFonts w:hint="eastAsia" w:ascii="黑体" w:hAnsi="黑体" w:eastAsia="黑体" w:cs="黑体"/>
          <w:b w:val="0"/>
          <w:bCs w:val="0"/>
          <w:sz w:val="30"/>
          <w:szCs w:val="30"/>
        </w:rPr>
      </w:pPr>
      <w:r>
        <w:rPr>
          <w:rFonts w:hint="eastAsia" w:ascii="仿宋" w:hAnsi="仿宋" w:eastAsia="仿宋"/>
          <w:kern w:val="0"/>
          <w:sz w:val="30"/>
          <w:szCs w:val="30"/>
        </w:rPr>
        <w:t xml:space="preserve">    </w:t>
      </w: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：反映各民主党派用于保障机构正常运行，各项业务活动的支出。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其他民主党派及工商联事务支出：反映除上述项目以外其他用于民主党派及工商联事务方面的支出。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名词解释应以财务会计制度、政府收支分类科目以及部门预算管理等规定为基本说明，可在此基础上结合部门实际情况适当细化。“三公”经费支出和机关运行经费支出口径必需予以说明。</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402A8"/>
    <w:rsid w:val="22013EF6"/>
    <w:rsid w:val="28933649"/>
    <w:rsid w:val="2CA83B89"/>
    <w:rsid w:val="306B3322"/>
    <w:rsid w:val="32C04EF8"/>
    <w:rsid w:val="33825741"/>
    <w:rsid w:val="352A495A"/>
    <w:rsid w:val="36902988"/>
    <w:rsid w:val="3CAC1C0E"/>
    <w:rsid w:val="4A2A7E5F"/>
    <w:rsid w:val="4BB0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dcterms:modified xsi:type="dcterms:W3CDTF">2020-10-14T02:02:34Z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