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lang w:val="en-US" w:eastAsia="zh-CN"/>
        </w:rPr>
      </w:pPr>
      <w:r>
        <w:rPr>
          <w:rFonts w:hint="eastAsia" w:ascii="黑体" w:eastAsia="黑体"/>
          <w:sz w:val="44"/>
          <w:szCs w:val="36"/>
          <w:lang w:val="en-US" w:eastAsia="zh-CN"/>
        </w:rPr>
        <w:t>中国民主建国会景德镇市委员会</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b/>
          <w:sz w:val="32"/>
          <w:szCs w:val="32"/>
          <w:lang w:val="en-US" w:eastAsia="zh-CN"/>
        </w:rPr>
        <w:t>中国民主建国会景德镇市委员会</w:t>
      </w:r>
      <w:r>
        <w:rPr>
          <w:rFonts w:hint="eastAsia" w:ascii="黑体" w:hAnsi="黑体" w:eastAsia="黑体"/>
          <w:b/>
          <w:sz w:val="32"/>
          <w:szCs w:val="32"/>
        </w:rPr>
        <w:t>部门概况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中国民主同盟景德镇市委员会</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eastAsia="zh-CN"/>
        </w:rPr>
      </w:pPr>
      <w:r>
        <w:rPr>
          <w:rFonts w:hint="eastAsia" w:ascii="仿宋" w:hAnsi="仿宋" w:eastAsia="仿宋" w:cs="仿宋"/>
          <w:kern w:val="2"/>
          <w:sz w:val="28"/>
          <w:szCs w:val="28"/>
          <w:lang w:val="en-US" w:eastAsia="zh-CN" w:bidi="ar-SA"/>
        </w:rPr>
        <w:t>中国民主建国会（简称民建）是主要由经济界人士组成的、具有政治联盟特点的、致力于建设中国特色社会主义事业的政党，是中国 共产党领导的多党合作和政治协商制度中的参政党。主要职能：组织发展，民主监督，参政议政，社会服务，自身建设。</w:t>
      </w:r>
    </w:p>
    <w:p>
      <w:pPr>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cs="Times New Roman"/>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cs="仿宋"/>
          <w:kern w:val="2"/>
          <w:sz w:val="28"/>
          <w:szCs w:val="28"/>
          <w:lang w:val="en-US" w:eastAsia="zh-CN" w:bidi="ar-SA"/>
        </w:rPr>
        <w:t>中国民主建国会景德镇市委员会</w:t>
      </w:r>
      <w:r>
        <w:rPr>
          <w:rFonts w:hint="eastAsia" w:ascii="仿宋" w:hAnsi="仿宋" w:eastAsia="仿宋"/>
          <w:sz w:val="30"/>
          <w:szCs w:val="30"/>
          <w:lang w:val="en-US" w:eastAsia="zh-CN"/>
        </w:rPr>
        <w:t>本级。</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本部门编制人数5人，其中行政编制4人，事业编制0人，工勤编1人；年末实有人数4人。</w:t>
      </w: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r>
        <w:drawing>
          <wp:inline distT="0" distB="0" distL="114300" distR="114300">
            <wp:extent cx="5273675" cy="4867910"/>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867910"/>
                    </a:xfrm>
                    <a:prstGeom prst="rect">
                      <a:avLst/>
                    </a:prstGeom>
                    <a:noFill/>
                    <a:ln>
                      <a:noFill/>
                    </a:ln>
                  </pic:spPr>
                </pic:pic>
              </a:graphicData>
            </a:graphic>
          </wp:inline>
        </w:drawing>
      </w:r>
    </w:p>
    <w:p>
      <w:pPr>
        <w:autoSpaceDE w:val="0"/>
        <w:autoSpaceDN w:val="0"/>
        <w:adjustRightInd w:val="0"/>
        <w:spacing w:line="360" w:lineRule="auto"/>
        <w:jc w:val="left"/>
        <w:rPr>
          <w:rFonts w:hint="eastAsia" w:ascii="宋体" w:hAnsi="宋体" w:eastAsia="宋体"/>
          <w:b/>
          <w:sz w:val="32"/>
          <w:szCs w:val="32"/>
          <w:lang w:eastAsia="zh-CN"/>
        </w:rPr>
      </w:pPr>
      <w:r>
        <w:drawing>
          <wp:inline distT="0" distB="0" distL="114300" distR="114300">
            <wp:extent cx="5271135" cy="2022475"/>
            <wp:effectExtent l="0" t="0" r="571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2022475"/>
                    </a:xfrm>
                    <a:prstGeom prst="rect">
                      <a:avLst/>
                    </a:prstGeom>
                    <a:noFill/>
                    <a:ln>
                      <a:noFill/>
                    </a:ln>
                  </pic:spPr>
                </pic:pic>
              </a:graphicData>
            </a:graphic>
          </wp:inline>
        </w:drawing>
      </w:r>
      <w:r>
        <w:drawing>
          <wp:inline distT="0" distB="0" distL="114300" distR="114300">
            <wp:extent cx="5270500" cy="2499995"/>
            <wp:effectExtent l="0" t="0" r="635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2499995"/>
                    </a:xfrm>
                    <a:prstGeom prst="rect">
                      <a:avLst/>
                    </a:prstGeom>
                    <a:noFill/>
                    <a:ln>
                      <a:noFill/>
                    </a:ln>
                  </pic:spPr>
                </pic:pic>
              </a:graphicData>
            </a:graphic>
          </wp:inline>
        </w:drawing>
      </w:r>
      <w:r>
        <w:drawing>
          <wp:inline distT="0" distB="0" distL="114300" distR="114300">
            <wp:extent cx="5273675" cy="4064000"/>
            <wp:effectExtent l="0" t="0" r="317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675" cy="4064000"/>
                    </a:xfrm>
                    <a:prstGeom prst="rect">
                      <a:avLst/>
                    </a:prstGeom>
                    <a:noFill/>
                    <a:ln>
                      <a:noFill/>
                    </a:ln>
                  </pic:spPr>
                </pic:pic>
              </a:graphicData>
            </a:graphic>
          </wp:inline>
        </w:drawing>
      </w:r>
      <w:r>
        <w:drawing>
          <wp:inline distT="0" distB="0" distL="114300" distR="114300">
            <wp:extent cx="5273675" cy="3669665"/>
            <wp:effectExtent l="0" t="0" r="317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3675" cy="3669665"/>
                    </a:xfrm>
                    <a:prstGeom prst="rect">
                      <a:avLst/>
                    </a:prstGeom>
                    <a:noFill/>
                    <a:ln>
                      <a:noFill/>
                    </a:ln>
                  </pic:spPr>
                </pic:pic>
              </a:graphicData>
            </a:graphic>
          </wp:inline>
        </w:drawing>
      </w:r>
      <w:r>
        <w:rPr>
          <w:rFonts w:hint="eastAsia" w:ascii="宋体" w:hAnsi="宋体" w:eastAsia="宋体"/>
          <w:b/>
          <w:sz w:val="32"/>
          <w:szCs w:val="32"/>
          <w:lang w:eastAsia="zh-CN"/>
        </w:rPr>
        <w:drawing>
          <wp:inline distT="0" distB="0" distL="114300" distR="114300">
            <wp:extent cx="5121275" cy="8853805"/>
            <wp:effectExtent l="0" t="0" r="3175" b="4445"/>
            <wp:docPr id="6" name="图片 6" descr="1602597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02597144(1)"/>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r>
        <w:drawing>
          <wp:inline distT="0" distB="0" distL="114300" distR="114300">
            <wp:extent cx="5269865" cy="4791710"/>
            <wp:effectExtent l="0" t="0" r="698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69865" cy="4791710"/>
                    </a:xfrm>
                    <a:prstGeom prst="rect">
                      <a:avLst/>
                    </a:prstGeom>
                    <a:noFill/>
                    <a:ln>
                      <a:noFill/>
                    </a:ln>
                  </pic:spPr>
                </pic:pic>
              </a:graphicData>
            </a:graphic>
          </wp:inline>
        </w:drawing>
      </w:r>
      <w:r>
        <w:drawing>
          <wp:inline distT="0" distB="0" distL="114300" distR="114300">
            <wp:extent cx="5269865" cy="1697355"/>
            <wp:effectExtent l="0" t="0" r="6985" b="1714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69865" cy="1697355"/>
                    </a:xfrm>
                    <a:prstGeom prst="rect">
                      <a:avLst/>
                    </a:prstGeom>
                    <a:noFill/>
                    <a:ln>
                      <a:noFill/>
                    </a:ln>
                  </pic:spPr>
                </pic:pic>
              </a:graphicData>
            </a:graphic>
          </wp:inline>
        </w:drawing>
      </w:r>
      <w:r>
        <w:drawing>
          <wp:inline distT="0" distB="0" distL="114300" distR="114300">
            <wp:extent cx="5273040" cy="2780030"/>
            <wp:effectExtent l="0" t="0" r="3810" b="127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273040" cy="2780030"/>
                    </a:xfrm>
                    <a:prstGeom prst="rect">
                      <a:avLst/>
                    </a:prstGeom>
                    <a:noFill/>
                    <a:ln>
                      <a:noFill/>
                    </a:ln>
                  </pic:spPr>
                </pic:pic>
              </a:graphicData>
            </a:graphic>
          </wp:inline>
        </w:drawing>
      </w: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89.14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23.31</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3.41</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14.62</w:t>
      </w:r>
      <w:r>
        <w:rPr>
          <w:rFonts w:hint="eastAsia" w:ascii="仿宋" w:hAnsi="仿宋" w:eastAsia="仿宋"/>
          <w:sz w:val="30"/>
          <w:szCs w:val="30"/>
        </w:rPr>
        <w:t>%；本年收入合计</w:t>
      </w:r>
      <w:r>
        <w:rPr>
          <w:rFonts w:hint="eastAsia" w:ascii="仿宋" w:hAnsi="仿宋" w:eastAsia="仿宋"/>
          <w:sz w:val="30"/>
          <w:szCs w:val="30"/>
          <w:lang w:val="en-US" w:eastAsia="zh-CN"/>
        </w:rPr>
        <w:t>65.83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32.57</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49.47</w:t>
      </w:r>
      <w:r>
        <w:rPr>
          <w:rFonts w:hint="eastAsia" w:ascii="仿宋" w:hAnsi="仿宋" w:eastAsia="仿宋"/>
          <w:sz w:val="30"/>
          <w:szCs w:val="30"/>
        </w:rPr>
        <w:t>%，主要原因是：</w:t>
      </w:r>
      <w:r>
        <w:rPr>
          <w:rFonts w:hint="eastAsia" w:ascii="仿宋" w:hAnsi="仿宋" w:eastAsia="仿宋"/>
          <w:sz w:val="30"/>
          <w:szCs w:val="30"/>
          <w:lang w:eastAsia="zh-CN"/>
        </w:rPr>
        <w:t>厉行节约。降低行政运行成本</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65.83</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89.14</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58.68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36.31</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61.87</w:t>
      </w:r>
      <w:r>
        <w:rPr>
          <w:rFonts w:hint="eastAsia" w:ascii="仿宋" w:hAnsi="仿宋" w:eastAsia="仿宋"/>
          <w:sz w:val="30"/>
          <w:szCs w:val="30"/>
        </w:rPr>
        <w:t>%，主要原因是：</w:t>
      </w:r>
      <w:r>
        <w:rPr>
          <w:rFonts w:hint="eastAsia" w:ascii="仿宋" w:hAnsi="仿宋" w:eastAsia="仿宋"/>
          <w:sz w:val="30"/>
          <w:szCs w:val="30"/>
          <w:lang w:eastAsia="zh-CN"/>
        </w:rPr>
        <w:t>厉行节约，上年有退休人员死亡，抚恤金减少</w:t>
      </w:r>
      <w:r>
        <w:rPr>
          <w:rFonts w:hint="eastAsia" w:ascii="仿宋" w:hAnsi="仿宋" w:eastAsia="仿宋"/>
          <w:sz w:val="30"/>
          <w:szCs w:val="30"/>
        </w:rPr>
        <w:t>；年末结转和结余</w:t>
      </w:r>
      <w:r>
        <w:rPr>
          <w:rFonts w:hint="eastAsia" w:ascii="仿宋" w:hAnsi="仿宋" w:eastAsia="仿宋"/>
          <w:sz w:val="30"/>
          <w:szCs w:val="30"/>
          <w:lang w:val="en-US" w:eastAsia="zh-CN"/>
        </w:rPr>
        <w:t>30.46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w:t>
      </w:r>
      <w:r>
        <w:rPr>
          <w:rFonts w:hint="eastAsia" w:ascii="仿宋" w:hAnsi="仿宋" w:eastAsia="仿宋"/>
          <w:sz w:val="30"/>
          <w:szCs w:val="30"/>
          <w:lang w:eastAsia="zh-CN"/>
        </w:rPr>
        <w:t>加</w:t>
      </w:r>
      <w:r>
        <w:rPr>
          <w:rFonts w:hint="eastAsia" w:ascii="仿宋" w:hAnsi="仿宋" w:eastAsia="仿宋"/>
          <w:sz w:val="30"/>
          <w:szCs w:val="30"/>
          <w:lang w:val="en-US" w:eastAsia="zh-CN"/>
        </w:rPr>
        <w:t>10.56</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34.66</w:t>
      </w:r>
      <w:r>
        <w:rPr>
          <w:rFonts w:hint="eastAsia" w:ascii="仿宋" w:hAnsi="仿宋" w:eastAsia="仿宋"/>
          <w:sz w:val="30"/>
          <w:szCs w:val="30"/>
        </w:rPr>
        <w:t>%，主要原因是：</w:t>
      </w:r>
      <w:r>
        <w:rPr>
          <w:rFonts w:hint="eastAsia" w:ascii="仿宋" w:hAnsi="仿宋" w:eastAsia="仿宋"/>
          <w:sz w:val="30"/>
          <w:szCs w:val="30"/>
          <w:lang w:eastAsia="zh-CN"/>
        </w:rPr>
        <w:t>年末结余增加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58.68</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%；项目支出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62.38</w:t>
      </w:r>
      <w:r>
        <w:rPr>
          <w:rFonts w:hint="eastAsia" w:ascii="仿宋" w:hAnsi="仿宋" w:eastAsia="仿宋"/>
          <w:sz w:val="30"/>
          <w:szCs w:val="30"/>
        </w:rPr>
        <w:t>万元，决算数为</w:t>
      </w:r>
      <w:r>
        <w:rPr>
          <w:rFonts w:hint="eastAsia" w:ascii="仿宋" w:hAnsi="仿宋" w:eastAsia="仿宋"/>
          <w:sz w:val="30"/>
          <w:szCs w:val="30"/>
          <w:lang w:val="en-US" w:eastAsia="zh-CN"/>
        </w:rPr>
        <w:t>58.68</w:t>
      </w:r>
      <w:r>
        <w:rPr>
          <w:rFonts w:hint="eastAsia" w:ascii="仿宋" w:hAnsi="仿宋" w:eastAsia="仿宋"/>
          <w:sz w:val="30"/>
          <w:szCs w:val="30"/>
        </w:rPr>
        <w:t>万元，完成年初预算的</w:t>
      </w:r>
      <w:r>
        <w:rPr>
          <w:rFonts w:hint="eastAsia" w:ascii="仿宋" w:hAnsi="仿宋" w:eastAsia="仿宋"/>
          <w:sz w:val="30"/>
          <w:szCs w:val="30"/>
          <w:lang w:val="en-US" w:eastAsia="zh-CN"/>
        </w:rPr>
        <w:t>94.06</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75.2</w:t>
      </w:r>
      <w:r>
        <w:rPr>
          <w:rFonts w:hint="eastAsia" w:ascii="仿宋" w:hAnsi="仿宋" w:eastAsia="仿宋"/>
          <w:sz w:val="30"/>
          <w:szCs w:val="30"/>
        </w:rPr>
        <w:t>万元，决算数为</w:t>
      </w:r>
      <w:r>
        <w:rPr>
          <w:rFonts w:hint="eastAsia" w:ascii="仿宋" w:hAnsi="仿宋" w:eastAsia="仿宋"/>
          <w:sz w:val="30"/>
          <w:szCs w:val="30"/>
          <w:lang w:val="en-US" w:eastAsia="zh-CN"/>
        </w:rPr>
        <w:t>49.5</w:t>
      </w:r>
      <w:r>
        <w:rPr>
          <w:rFonts w:hint="eastAsia" w:ascii="仿宋" w:hAnsi="仿宋" w:eastAsia="仿宋"/>
          <w:sz w:val="30"/>
          <w:szCs w:val="30"/>
        </w:rPr>
        <w:t>万元，完成年初预算的</w:t>
      </w:r>
      <w:r>
        <w:rPr>
          <w:rFonts w:hint="eastAsia" w:ascii="仿宋" w:hAnsi="仿宋" w:eastAsia="仿宋"/>
          <w:sz w:val="30"/>
          <w:szCs w:val="30"/>
          <w:lang w:val="en-US" w:eastAsia="zh-CN"/>
        </w:rPr>
        <w:t>65.82</w:t>
      </w:r>
      <w:r>
        <w:rPr>
          <w:rFonts w:hint="eastAsia" w:ascii="仿宋" w:hAnsi="仿宋" w:eastAsia="仿宋"/>
          <w:sz w:val="30"/>
          <w:szCs w:val="30"/>
        </w:rPr>
        <w:t>%，主要原因是：</w:t>
      </w:r>
      <w:r>
        <w:rPr>
          <w:rFonts w:hint="eastAsia" w:ascii="仿宋" w:hAnsi="仿宋" w:eastAsia="仿宋"/>
          <w:sz w:val="30"/>
          <w:szCs w:val="30"/>
          <w:lang w:eastAsia="zh-CN"/>
        </w:rPr>
        <w:t>厉行节约</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3.49</w:t>
      </w:r>
      <w:r>
        <w:rPr>
          <w:rFonts w:hint="eastAsia" w:ascii="仿宋" w:hAnsi="仿宋" w:eastAsia="仿宋"/>
          <w:sz w:val="30"/>
          <w:szCs w:val="30"/>
        </w:rPr>
        <w:t>万元，决算数为</w:t>
      </w:r>
      <w:r>
        <w:rPr>
          <w:rFonts w:hint="eastAsia" w:ascii="仿宋" w:hAnsi="仿宋" w:eastAsia="仿宋"/>
          <w:sz w:val="30"/>
          <w:szCs w:val="30"/>
          <w:lang w:val="en-US" w:eastAsia="zh-CN"/>
        </w:rPr>
        <w:t>3.49</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（三）卫生健康支出年初</w:t>
      </w:r>
      <w:r>
        <w:rPr>
          <w:rFonts w:hint="eastAsia" w:ascii="仿宋" w:hAnsi="仿宋" w:eastAsia="仿宋"/>
          <w:sz w:val="30"/>
          <w:szCs w:val="30"/>
        </w:rPr>
        <w:t>预算数为</w:t>
      </w:r>
      <w:r>
        <w:rPr>
          <w:rFonts w:hint="eastAsia" w:ascii="仿宋" w:hAnsi="仿宋" w:eastAsia="仿宋"/>
          <w:sz w:val="30"/>
          <w:szCs w:val="30"/>
          <w:lang w:val="en-US" w:eastAsia="zh-CN"/>
        </w:rPr>
        <w:t>3.68</w:t>
      </w:r>
      <w:r>
        <w:rPr>
          <w:rFonts w:hint="eastAsia" w:ascii="仿宋" w:hAnsi="仿宋" w:eastAsia="仿宋"/>
          <w:sz w:val="30"/>
          <w:szCs w:val="30"/>
        </w:rPr>
        <w:t>万元，决算数为</w:t>
      </w:r>
      <w:r>
        <w:rPr>
          <w:rFonts w:hint="eastAsia" w:ascii="仿宋" w:hAnsi="仿宋" w:eastAsia="仿宋"/>
          <w:sz w:val="30"/>
          <w:szCs w:val="30"/>
          <w:lang w:val="en-US" w:eastAsia="zh-CN"/>
        </w:rPr>
        <w:t>3.68</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（四）住房保障支出支出年初</w:t>
      </w:r>
      <w:r>
        <w:rPr>
          <w:rFonts w:hint="eastAsia" w:ascii="仿宋" w:hAnsi="仿宋" w:eastAsia="仿宋"/>
          <w:sz w:val="30"/>
          <w:szCs w:val="30"/>
        </w:rPr>
        <w:t>预算数为</w:t>
      </w:r>
      <w:r>
        <w:rPr>
          <w:rFonts w:hint="eastAsia" w:ascii="仿宋" w:hAnsi="仿宋" w:eastAsia="仿宋"/>
          <w:sz w:val="30"/>
          <w:szCs w:val="30"/>
          <w:lang w:val="en-US" w:eastAsia="zh-CN"/>
        </w:rPr>
        <w:t>2.01</w:t>
      </w:r>
      <w:r>
        <w:rPr>
          <w:rFonts w:hint="eastAsia" w:ascii="仿宋" w:hAnsi="仿宋" w:eastAsia="仿宋"/>
          <w:sz w:val="30"/>
          <w:szCs w:val="30"/>
        </w:rPr>
        <w:t>万元，决算数为</w:t>
      </w:r>
      <w:r>
        <w:rPr>
          <w:rFonts w:hint="eastAsia" w:ascii="仿宋" w:hAnsi="仿宋" w:eastAsia="仿宋"/>
          <w:sz w:val="30"/>
          <w:szCs w:val="30"/>
          <w:lang w:val="en-US" w:eastAsia="zh-CN"/>
        </w:rPr>
        <w:t>2.01</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按预算支出</w:t>
      </w:r>
      <w:r>
        <w:rPr>
          <w:rFonts w:hint="eastAsia" w:ascii="仿宋" w:hAnsi="仿宋" w:eastAsia="仿宋"/>
          <w:sz w:val="30"/>
          <w:szCs w:val="30"/>
        </w:rPr>
        <w:t>。</w:t>
      </w:r>
    </w:p>
    <w:p>
      <w:pPr>
        <w:ind w:firstLine="630"/>
        <w:jc w:val="left"/>
        <w:rPr>
          <w:rFonts w:hint="eastAsia"/>
          <w:lang w:eastAsia="zh-CN"/>
        </w:rPr>
      </w:pP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83.96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42.18</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1.53</w:t>
      </w:r>
      <w:r>
        <w:rPr>
          <w:rFonts w:hint="eastAsia" w:ascii="仿宋" w:hAnsi="仿宋" w:eastAsia="仿宋"/>
          <w:sz w:val="30"/>
          <w:szCs w:val="30"/>
        </w:rPr>
        <w:t>万元，</w:t>
      </w:r>
      <w:r>
        <w:rPr>
          <w:rFonts w:hint="eastAsia" w:ascii="仿宋" w:hAnsi="仿宋" w:eastAsia="仿宋"/>
          <w:sz w:val="30"/>
          <w:szCs w:val="30"/>
          <w:lang w:eastAsia="zh-CN"/>
        </w:rPr>
        <w:t>降低</w:t>
      </w:r>
      <w:r>
        <w:rPr>
          <w:rFonts w:hint="eastAsia" w:ascii="仿宋" w:hAnsi="仿宋" w:eastAsia="仿宋"/>
          <w:sz w:val="30"/>
          <w:szCs w:val="30"/>
          <w:lang w:val="en-US" w:eastAsia="zh-CN"/>
        </w:rPr>
        <w:t>3.62</w:t>
      </w:r>
      <w:r>
        <w:rPr>
          <w:rFonts w:hint="eastAsia" w:ascii="仿宋" w:hAnsi="仿宋" w:eastAsia="仿宋"/>
          <w:sz w:val="30"/>
          <w:szCs w:val="30"/>
        </w:rPr>
        <w:t>%，主要原因是：</w:t>
      </w:r>
      <w:r>
        <w:rPr>
          <w:rFonts w:hint="eastAsia" w:ascii="仿宋" w:hAnsi="仿宋" w:eastAsia="仿宋"/>
          <w:sz w:val="30"/>
          <w:szCs w:val="30"/>
          <w:lang w:eastAsia="zh-CN"/>
        </w:rPr>
        <w:t>正常支出</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12.85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1.19</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9.26</w:t>
      </w:r>
      <w:r>
        <w:rPr>
          <w:rFonts w:hint="eastAsia" w:ascii="仿宋" w:hAnsi="仿宋" w:eastAsia="仿宋"/>
          <w:sz w:val="30"/>
          <w:szCs w:val="30"/>
        </w:rPr>
        <w:t>%，主要原因是：</w:t>
      </w:r>
      <w:r>
        <w:rPr>
          <w:rFonts w:hint="eastAsia" w:ascii="仿宋" w:hAnsi="仿宋" w:eastAsia="仿宋"/>
          <w:sz w:val="30"/>
          <w:szCs w:val="30"/>
          <w:lang w:eastAsia="zh-CN"/>
        </w:rPr>
        <w:t>正常开支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3.65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35.17</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963.56</w:t>
      </w:r>
      <w:r>
        <w:rPr>
          <w:rFonts w:hint="eastAsia" w:ascii="仿宋" w:hAnsi="仿宋" w:eastAsia="仿宋"/>
          <w:sz w:val="30"/>
          <w:szCs w:val="30"/>
        </w:rPr>
        <w:t>%，主要原因是：</w:t>
      </w:r>
      <w:r>
        <w:rPr>
          <w:rFonts w:hint="eastAsia" w:ascii="仿宋" w:hAnsi="仿宋" w:eastAsia="仿宋"/>
          <w:sz w:val="30"/>
          <w:szCs w:val="30"/>
          <w:lang w:eastAsia="zh-CN"/>
        </w:rPr>
        <w:t>上年度有退休人员死亡，付抚恤金</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减少</w:t>
      </w:r>
      <w:r>
        <w:rPr>
          <w:rFonts w:hint="eastAsia" w:ascii="仿宋" w:hAnsi="仿宋" w:eastAsia="仿宋"/>
          <w:sz w:val="30"/>
          <w:szCs w:val="30"/>
          <w:lang w:val="en-US" w:eastAsia="zh-CN"/>
        </w:rPr>
        <w:t>1.14</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无资本性支出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2.5</w:t>
      </w:r>
      <w:r>
        <w:rPr>
          <w:rFonts w:hint="eastAsia" w:ascii="仿宋" w:hAnsi="仿宋" w:eastAsia="仿宋"/>
          <w:sz w:val="30"/>
          <w:szCs w:val="30"/>
        </w:rPr>
        <w:t>万元，决算数为</w:t>
      </w:r>
      <w:r>
        <w:rPr>
          <w:rFonts w:hint="eastAsia" w:ascii="仿宋" w:hAnsi="仿宋" w:eastAsia="仿宋"/>
          <w:sz w:val="30"/>
          <w:szCs w:val="30"/>
          <w:lang w:val="en-US" w:eastAsia="zh-CN"/>
        </w:rPr>
        <w:t>0.63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25.2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0.35</w:t>
      </w:r>
      <w:r>
        <w:rPr>
          <w:rFonts w:hint="eastAsia" w:ascii="仿宋" w:hAnsi="仿宋" w:eastAsia="仿宋"/>
          <w:sz w:val="30"/>
          <w:szCs w:val="30"/>
        </w:rPr>
        <w:t>万元，</w:t>
      </w:r>
      <w:r>
        <w:rPr>
          <w:rFonts w:hint="eastAsia" w:ascii="仿宋" w:hAnsi="仿宋" w:eastAsia="仿宋"/>
          <w:sz w:val="30"/>
          <w:szCs w:val="30"/>
          <w:lang w:eastAsia="zh-CN"/>
        </w:rPr>
        <w:t>增加</w:t>
      </w:r>
      <w:r>
        <w:rPr>
          <w:rFonts w:hint="eastAsia" w:ascii="仿宋" w:hAnsi="仿宋" w:eastAsia="仿宋"/>
          <w:sz w:val="30"/>
          <w:szCs w:val="30"/>
          <w:lang w:val="en-US" w:eastAsia="zh-CN"/>
        </w:rPr>
        <w:t>55.55</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2.5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0.63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25.2</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w:t>
      </w:r>
      <w:r>
        <w:rPr>
          <w:rFonts w:hint="eastAsia" w:ascii="仿宋" w:hAnsi="仿宋" w:eastAsia="仿宋"/>
          <w:sz w:val="30"/>
          <w:szCs w:val="30"/>
          <w:lang w:eastAsia="zh-CN"/>
        </w:rPr>
        <w:t>增加</w:t>
      </w:r>
      <w:r>
        <w:rPr>
          <w:rFonts w:hint="eastAsia" w:ascii="仿宋" w:hAnsi="仿宋" w:eastAsia="仿宋"/>
          <w:sz w:val="30"/>
          <w:szCs w:val="30"/>
          <w:lang w:val="en-US" w:eastAsia="zh-CN"/>
        </w:rPr>
        <w:t>0.35</w:t>
      </w:r>
      <w:r>
        <w:rPr>
          <w:rFonts w:hint="eastAsia" w:ascii="仿宋" w:hAnsi="仿宋" w:eastAsia="仿宋"/>
          <w:sz w:val="30"/>
          <w:szCs w:val="30"/>
        </w:rPr>
        <w:t>万元，</w:t>
      </w:r>
      <w:r>
        <w:rPr>
          <w:rFonts w:hint="eastAsia" w:ascii="仿宋" w:hAnsi="仿宋" w:eastAsia="仿宋"/>
          <w:sz w:val="30"/>
          <w:szCs w:val="30"/>
          <w:lang w:eastAsia="zh-CN"/>
        </w:rPr>
        <w:t>增长</w:t>
      </w:r>
      <w:r>
        <w:rPr>
          <w:rFonts w:hint="eastAsia" w:ascii="仿宋" w:hAnsi="仿宋" w:eastAsia="仿宋"/>
          <w:sz w:val="30"/>
          <w:szCs w:val="30"/>
          <w:lang w:val="en-US" w:eastAsia="zh-CN"/>
        </w:rPr>
        <w:t>55.55</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接待单位人数增加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 xml:space="preserve">预算的 </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无支出</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w:t>
      </w:r>
      <w:r>
        <w:rPr>
          <w:rFonts w:hint="eastAsia" w:ascii="仿宋" w:hAnsi="仿宋" w:eastAsia="仿宋"/>
          <w:sz w:val="30"/>
          <w:szCs w:val="30"/>
          <w:lang w:val="en-US" w:eastAsia="zh-CN"/>
        </w:rPr>
        <w:t>0</w:t>
      </w:r>
      <w:r>
        <w:rPr>
          <w:rFonts w:hint="eastAsia" w:ascii="仿宋" w:hAnsi="仿宋" w:eastAsia="仿宋"/>
          <w:sz w:val="30"/>
          <w:szCs w:val="30"/>
        </w:rPr>
        <w:t>的主要原因是：</w:t>
      </w:r>
      <w:r>
        <w:rPr>
          <w:rFonts w:hint="eastAsia" w:ascii="仿宋" w:hAnsi="仿宋" w:eastAsia="仿宋"/>
          <w:sz w:val="30"/>
          <w:szCs w:val="30"/>
          <w:lang w:eastAsia="zh-CN"/>
        </w:rPr>
        <w:t>无支出</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12.85</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35.34</w:t>
      </w:r>
      <w:r>
        <w:rPr>
          <w:rFonts w:hint="eastAsia" w:ascii="仿宋" w:hAnsi="仿宋" w:eastAsia="仿宋"/>
          <w:sz w:val="30"/>
          <w:szCs w:val="30"/>
        </w:rPr>
        <w:t>万元，</w:t>
      </w:r>
      <w:r>
        <w:rPr>
          <w:rFonts w:hint="eastAsia" w:ascii="仿宋" w:hAnsi="仿宋" w:eastAsia="仿宋"/>
          <w:sz w:val="30"/>
          <w:szCs w:val="30"/>
          <w:lang w:eastAsia="zh-CN"/>
        </w:rPr>
        <w:t>减少</w:t>
      </w:r>
      <w:r>
        <w:rPr>
          <w:rFonts w:hint="eastAsia" w:ascii="仿宋" w:hAnsi="仿宋" w:eastAsia="仿宋"/>
          <w:sz w:val="30"/>
          <w:szCs w:val="30"/>
          <w:lang w:val="en-US" w:eastAsia="zh-CN"/>
        </w:rPr>
        <w:t>36.36</w:t>
      </w:r>
      <w:r>
        <w:rPr>
          <w:rFonts w:hint="eastAsia" w:ascii="仿宋" w:hAnsi="仿宋" w:eastAsia="仿宋"/>
          <w:sz w:val="30"/>
          <w:szCs w:val="30"/>
        </w:rPr>
        <w:t>%，主要原因是：</w:t>
      </w:r>
      <w:r>
        <w:rPr>
          <w:rFonts w:hint="eastAsia" w:ascii="仿宋" w:hAnsi="仿宋" w:eastAsia="仿宋"/>
          <w:sz w:val="30"/>
          <w:szCs w:val="30"/>
          <w:lang w:eastAsia="zh-CN"/>
        </w:rPr>
        <w:t>厉行节约，减少行政运行成本</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5"/>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0</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0</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 xml:space="preserve"> %。（省级部门公开的政府采购金额的计算口径为：本部门纳入201</w:t>
      </w:r>
      <w:r>
        <w:rPr>
          <w:rFonts w:hint="eastAsia" w:ascii="仿宋" w:hAnsi="仿宋" w:eastAsia="仿宋"/>
          <w:sz w:val="30"/>
          <w:szCs w:val="30"/>
          <w:lang w:val="en-US" w:eastAsia="zh-CN"/>
        </w:rPr>
        <w:t>9</w:t>
      </w:r>
      <w:r>
        <w:rPr>
          <w:rFonts w:hint="eastAsia" w:ascii="仿宋" w:hAnsi="仿宋" w:eastAsia="仿宋"/>
          <w:sz w:val="30"/>
          <w:szCs w:val="30"/>
        </w:rPr>
        <w:t>年部门预算范围的各项政府采购支出金额之和，</w:t>
      </w:r>
      <w:r>
        <w:rPr>
          <w:rFonts w:hint="eastAsia" w:ascii="仿宋" w:hAnsi="仿宋" w:eastAsia="仿宋"/>
          <w:sz w:val="30"/>
          <w:szCs w:val="30"/>
          <w:lang w:val="en-US" w:eastAsia="zh-CN"/>
        </w:rPr>
        <w:t>不包括涉密采购项目的支出金额</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lang w:val="en-US" w:eastAsia="zh-CN"/>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ind w:firstLine="600" w:firstLineChars="200"/>
        <w:rPr>
          <w:rFonts w:hint="eastAsia" w:ascii="仿宋" w:hAnsi="仿宋" w:eastAsia="仿宋" w:cs="仿宋"/>
          <w:kern w:val="2"/>
          <w:sz w:val="28"/>
          <w:szCs w:val="28"/>
          <w:lang w:val="en-US" w:eastAsia="zh-CN" w:bidi="ar-SA"/>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w:t>
      </w:r>
      <w:r>
        <w:rPr>
          <w:rFonts w:hint="eastAsia" w:ascii="仿宋" w:hAnsi="仿宋" w:eastAsia="仿宋" w:cs="仿宋_GB2312"/>
          <w:kern w:val="0"/>
          <w:sz w:val="30"/>
          <w:szCs w:val="30"/>
          <w:lang w:eastAsia="zh-CN"/>
        </w:rPr>
        <w:t>整体</w:t>
      </w:r>
      <w:r>
        <w:rPr>
          <w:rFonts w:hint="eastAsia" w:ascii="仿宋" w:hAnsi="仿宋" w:eastAsia="仿宋" w:cs="仿宋_GB2312"/>
          <w:kern w:val="0"/>
          <w:sz w:val="30"/>
          <w:szCs w:val="30"/>
        </w:rPr>
        <w:t>支出全面开展绩效自评，从评价情况来看，</w:t>
      </w:r>
      <w:r>
        <w:rPr>
          <w:rFonts w:hint="eastAsia" w:ascii="仿宋" w:hAnsi="仿宋" w:eastAsia="仿宋" w:cs="仿宋"/>
          <w:kern w:val="2"/>
          <w:sz w:val="28"/>
          <w:szCs w:val="28"/>
          <w:lang w:val="en-US" w:eastAsia="zh-CN" w:bidi="ar-SA"/>
        </w:rPr>
        <w:t>绩效目标：</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总目标：2019年，民建景德镇市委会将以习近平新时代中国特色社会主义思想为指导，深入学习贯彻中共十九大、中共江西省委十四届九、十次全会精神，按照中共景德镇市委十一届六、七次全会的部署，把广大会员的思想和行动统一到中央的决策和部署上来，统一到景德镇市经济社会发展大局上来，进一步解放思想，开拓进取，积极作为；坚持走中国特色社会主义政治发展道路，与中国共产党思想上同心同德、目标上同心同向、行动上同心同行，自觉践行社会主义核心价值观，增强政治意识、政党意识；把促进发展作为参政议政的第一要务，积极履行参政党的职能，增强参政议政的实效；不断加强自身建设，总结经验，探索参政党工作新规律，建立新机制，全面开创我市民建事业的新局面接续奋斗，把广大会员的思想和行动统一到中央的决策和部署上来，统一到景德镇市经济社会发展大局上来，主动适应经济发展新常态,围绕中心，服务大局,不断加强自身建设，切实履行参政党职能，务实开展社会服务。</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绩效目标1: 强化政治认同，树立理论自信，思想建设工作站上新高度。第1、打造理论学习高地；第2、夯实政治宣传阵地；第3、巩固主题教育活动领地；第4、强化意识形态工作；第5、落实统战工作责任制。</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绩效目标2、聚焦中心工作，强化履职意识，参政议政工作部署新举措。第1、调研工作。第2、社情民意工作。第3、两会议案提案工作。第4、“双创双修”工作。</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绩效目标3：坚持责任担当，脱贫攻坚民主监督工作。</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绩效目标4、坚持人才强会，激发支部活力，组织建设工作。第1、新会员发展。第2、基层组织建设；第3、支部换届工作。</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绩效目标5、强基固本，深入推进作风建设，狠抓自身建设。第1、党风廉政建设。第2、民主生活会。第3、提升干部素质。</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绩效目标6、发挥地方特色，弘扬奉献精神，社会服务工作力争取得新成果。第1、为会员企业服务；第2、引导会员积极回报社会；第3、做好社会服务工作。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我部门今年在省级部门决算中反映</w:t>
      </w:r>
      <w:r>
        <w:rPr>
          <w:rFonts w:hint="eastAsia" w:ascii="仿宋" w:hAnsi="仿宋" w:eastAsia="仿宋" w:cs="仿宋_GB2312"/>
          <w:kern w:val="0"/>
          <w:sz w:val="30"/>
          <w:szCs w:val="30"/>
          <w:lang w:eastAsia="zh-CN"/>
        </w:rPr>
        <w:t>整体支出</w:t>
      </w:r>
      <w:r>
        <w:rPr>
          <w:rFonts w:hint="eastAsia" w:ascii="仿宋" w:hAnsi="仿宋" w:eastAsia="仿宋" w:cs="仿宋_GB2312"/>
          <w:kern w:val="0"/>
          <w:sz w:val="30"/>
          <w:szCs w:val="30"/>
        </w:rPr>
        <w:t>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outlineLvl w:val="9"/>
        <w:rPr>
          <w:rFonts w:hint="eastAsia" w:ascii="仿宋" w:hAnsi="仿宋" w:eastAsia="仿宋" w:cs="仿宋_GB2312"/>
          <w:kern w:val="0"/>
          <w:sz w:val="30"/>
          <w:szCs w:val="30"/>
        </w:rPr>
      </w:pPr>
      <w:r>
        <w:rPr>
          <w:rFonts w:hint="eastAsia" w:ascii="仿宋" w:hAnsi="仿宋" w:eastAsia="仿宋" w:cs="仿宋_GB2312"/>
          <w:kern w:val="0"/>
          <w:sz w:val="30"/>
          <w:szCs w:val="30"/>
        </w:rPr>
        <w:t>绩效自评综述：</w:t>
      </w: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(一）主要经验及做法</w:t>
      </w:r>
    </w:p>
    <w:p>
      <w:pPr>
        <w:keepNext w:val="0"/>
        <w:keepLines w:val="0"/>
        <w:pageBreakBefore w:val="0"/>
        <w:numPr>
          <w:ilvl w:val="0"/>
          <w:numId w:val="0"/>
        </w:numPr>
        <w:kinsoku/>
        <w:wordWrap/>
        <w:overflowPunct/>
        <w:topLinePunct w:val="0"/>
        <w:autoSpaceDE/>
        <w:autoSpaceDN/>
        <w:bidi w:val="0"/>
        <w:adjustRightInd/>
        <w:snapToGrid/>
        <w:spacing w:line="560" w:lineRule="exact"/>
        <w:ind w:right="-512" w:rightChars="-24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一、参政议政工作部署推出新举措。</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以调研工作为着力点。围绕景德镇市转变经济发展方式、调整经济结构、加强和创新社会管理、改善中小企业经营环境、促进文化产业发展、保障和改善民生等重大问题，深入调查研究。三篇调研课题获得省委会立项，三篇调研报告全部完成。2018年的调研成果“关于建立景德镇市现代物流体系的思考”在2019年被确定为景德镇市政协重点督办提案。</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2、以社情民意工作为切入点。2019年建立社情民意稿件通报制度，按照一季度一通报的标准，加强社情民意信息报送工作，全年共报送社情民意18篇。</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3、以两会议案、提案为落脚点。在市政协第十三届四次会议上提交提案11件，委员来信1件，集体提案3件。我会两篇集体提案被列为领导督办提案。一篇提案被评为唯一一篇市政府重点督办提案。 </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4、以“双创双修”工作为突破点。配合统战部和市政协做好健步走活动，发现 、举报城市乱搭乱建，随意摆摊设点等问题。发动各支部、会员投入到“双创双修”活动中来。</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二、脱贫攻坚民主监督工作上了新台阶。</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市委会对口的3个乡镇，11个贫困村同11个支部对口，全覆盖做好脱贫攻坚民主监督工作。2019年民建市委会荣获民建中央颁发的“民建脱贫攻坚奖先进集体”荣誉称号，市委会专职副主委余少甲荣获“民建脱贫攻坚奖先进个人”荣誉称号。</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民建主要领导、部分政协委员、人大代表和特邀监督员积极配合我市2019年度开展的各项活动,参与对我市政府主要职能部门的行风评议工作、法院、检察院开放日等活动，小升初摇号工作发挥了有效监督促进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三、社会服务工作取得新成果</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1、为会员企业服务。密切与会员企业及会员企业家的联系,了解会员企业的经营状况,共分析探讨新常态下的发展思路,为许多会员企业适应新常态,谋划新发展增强信心；  </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引导会员企业家积极回报社会。信联物流为拿出一部分利润成立了"爱心基金"，专门帮助那些因为贫困而上不起学的孩子们；华达百货积极参与到市委市政府组织的"情暖万家"活动，出钱出力走访慰问社区困难群众两百多户；精益斋陶瓷有限公司总经理孔洋积极投身公益，为贫困人员捐赠物资、资助贫困学生等。</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扬优成势做好社会服务工作。江西省民建同心扶贫基金会在南昌举办慈善拍卖晚会。民建景德镇市委会组织会员张婧婧、汪春麟、欧阳敏等陶瓷艺术大师捐献20件陶瓷作品在慈善晚会上进行拍卖，捐赠陶瓷作品4件，价值18万余元，还有16件作品进行拍卖，共计拍卖所得近16万元，此次拍卖善款全额捐赠给江西省民建同心扶贫基金会用于扶贫济困、社会公益。表达了陶艺家们对慈善事业的关心和支持。民建景德镇市委会协助江西省同心扶贫基金会在景德镇昌江区、浮梁县和乐平市捐赠了6所“音乐响起”乡村音乐教室，让乡村孩子从小受到音乐的熏陶，感受音乐的魅力.</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四、其他主要工作：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1、着力打造好“四个平台”：新会员学习平台，领导班子定期学习平台，骨干会员学习平台，代表委员学习平台。</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加强意识形态方面的工作。深入学习贯彻习近平总书记视察江西时的重要讲话精神，中共十九届四中全会精神，中共江西省委十四届九、十次全会精神，全国、全省、全市两会精神，将全体会员思想和行动统一到中共中央决策部署上来。</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落实统战工作责任制。学习贯彻习近平总书记关于加强和改进统一战线工作的重要思想。积极发挥“人大代表政协委员”的作用，在中共的领导下，充分发挥参政议政、民主监督作用，积极行使权利，认真履职尽责。积极参加统一战线活动，支持统战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坚持人才强会战略。全年发展成员15人，其中，董事长、总经理一级的企业家5人，陶瓷美术家6人，事业单位3人，公务员1人，代表性强、层次高。推荐机关干部参加全省组织干部培训班，配合市委统战部纪检监察组做好机关财务审计工作，组织机关干部职工参加庆祝新中国成立70周年“同心向党·礼赞祖国”活动，参加庆祝政协成立70周年文艺汇演、积极参加市委统战部、市政协“健步走”活动。9月组织会员在广西南宁举办“同心向党——景德镇陶瓷艺术作品展”。</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重视基层组织建设。企业家支部积极开展“企业家沙龙”活动，取得了很好的交流、学习、提高的效果；陶瓷美术支部把技艺交流和兄弟友好单位往来结和起来，既交了朋友又传播了文化；一年来同广西南宁市委会以及海南三亚市委会、上海市委会、苏州市委会等开展了友好交流。截止到今年年底，14个支部基本完成换届工作，同时新成立民建景德镇直属高新区支部，正在筹备成立民建景德镇直属昌南新区支部。</w:t>
      </w:r>
    </w:p>
    <w:p>
      <w:pPr>
        <w:rPr>
          <w:rFonts w:hint="eastAsia" w:ascii="仿宋" w:hAnsi="仿宋" w:eastAsia="仿宋" w:cs="仿宋"/>
          <w:b/>
          <w:bCs/>
          <w:sz w:val="30"/>
          <w:szCs w:val="30"/>
          <w:lang w:val="en-US" w:eastAsia="zh-CN"/>
        </w:rPr>
      </w:pPr>
      <w:bookmarkStart w:id="0" w:name="_Toc27453_WPSOffice_Level2"/>
      <w:r>
        <w:rPr>
          <w:rFonts w:hint="eastAsia" w:ascii="仿宋" w:hAnsi="仿宋" w:eastAsia="仿宋" w:cs="仿宋"/>
          <w:b/>
          <w:bCs/>
          <w:sz w:val="30"/>
          <w:szCs w:val="30"/>
          <w:lang w:val="en-US" w:eastAsia="zh-CN"/>
        </w:rPr>
        <w:t>（二）主要存在问题</w:t>
      </w:r>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1、预算绩效目标设置有待改进的地方。部门整体支出绩效目标缺乏基础和依据，年度工作任务没有分解到内部机构岗位人员身上，缺乏分项预算金额。  </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2、代表人士及后备干部队伍建设滞后，跟不上时代的发展，为社会服务的本领不足。影响到作用的发挥。</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3、履行参政议政的水平有待提高，调研的深度和广度不够，高质量的提案议案较少。</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b/>
          <w:bCs/>
          <w:sz w:val="30"/>
          <w:szCs w:val="30"/>
          <w:lang w:val="en-US" w:eastAsia="zh-CN"/>
        </w:rPr>
      </w:pPr>
      <w:r>
        <w:rPr>
          <w:rFonts w:hint="eastAsia" w:ascii="仿宋" w:hAnsi="仿宋" w:eastAsia="仿宋" w:cs="仿宋"/>
          <w:kern w:val="2"/>
          <w:sz w:val="28"/>
          <w:szCs w:val="28"/>
          <w:lang w:val="en-US" w:eastAsia="zh-CN" w:bidi="ar-SA"/>
        </w:rPr>
        <w:t>4、专委会整体作用发挥不够充分，基层的活力待激发。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kern w:val="0"/>
          <w:sz w:val="30"/>
          <w:szCs w:val="30"/>
          <w:lang w:val="en-US" w:eastAsia="zh-CN" w:bidi="ar-SA"/>
        </w:rPr>
      </w:pPr>
      <w:bookmarkStart w:id="1" w:name="_Toc26819_WPSOffice_Level2"/>
      <w:r>
        <w:rPr>
          <w:rFonts w:hint="eastAsia" w:ascii="仿宋" w:hAnsi="仿宋" w:eastAsia="仿宋" w:cs="仿宋"/>
          <w:b/>
          <w:bCs/>
          <w:kern w:val="0"/>
          <w:sz w:val="30"/>
          <w:szCs w:val="30"/>
          <w:lang w:val="en-US" w:eastAsia="zh-CN" w:bidi="ar-SA"/>
        </w:rPr>
        <w:t>（三）整改措施</w:t>
      </w:r>
      <w:bookmarkEnd w:id="1"/>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1、提高对全面预算管理的重视程度。建立以绩效为导向的预算编制模式，借鉴其他部门在绩效管理方面的经验和做法，制定绩效管理制度，并将其贯彻到预算申请、预算分配、项目实施和绩效考评的全过程。</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2、适当增加课题项目的调研经费，提高调研的深度和广度，提升提案议案的质量。</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3、实施预算进度跟踪，合理支出预算资金，做到目标管理与执行进度跟踪统一，项目产出与效益管理的统一。</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200" w:right="-512" w:rightChars="-244"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4、进一步加强自身建设，提高干部的专业素质，注重机关效能的提升，尤其要加强基层组织的建设。</w:t>
      </w: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pStyle w:val="5"/>
        <w:spacing w:line="600" w:lineRule="atLeast"/>
        <w:ind w:firstLine="600"/>
        <w:rPr>
          <w:rFonts w:hint="eastAsia" w:ascii="黑体" w:hAnsi="黑体" w:eastAsia="黑体" w:cs="黑体"/>
          <w:b w:val="0"/>
          <w:bCs w:val="0"/>
          <w:sz w:val="30"/>
          <w:szCs w:val="30"/>
        </w:rPr>
      </w:pPr>
      <w:r>
        <w:rPr>
          <w:rFonts w:hint="eastAsia" w:ascii="仿宋" w:hAnsi="仿宋" w:eastAsia="仿宋"/>
          <w:kern w:val="0"/>
          <w:sz w:val="30"/>
          <w:szCs w:val="30"/>
        </w:rPr>
        <w:t xml:space="preserve">    </w:t>
      </w:r>
      <w:r>
        <w:rPr>
          <w:rFonts w:hint="eastAsia" w:ascii="黑体" w:hAnsi="黑体" w:eastAsia="黑体" w:cs="黑体"/>
          <w:b w:val="0"/>
          <w:bCs w:val="0"/>
          <w:sz w:val="30"/>
          <w:szCs w:val="30"/>
        </w:rPr>
        <w:t xml:space="preserve">一、收入科目 </w:t>
      </w:r>
    </w:p>
    <w:p>
      <w:pPr>
        <w:pStyle w:val="5"/>
        <w:spacing w:line="600" w:lineRule="atLeast"/>
        <w:ind w:firstLine="600"/>
        <w:rPr>
          <w:rFonts w:hint="eastAsia" w:ascii="仿宋" w:hAnsi="仿宋" w:eastAsia="仿宋" w:cs="仿宋"/>
          <w:sz w:val="30"/>
          <w:szCs w:val="30"/>
        </w:rPr>
      </w:pPr>
      <w:r>
        <w:rPr>
          <w:rFonts w:hint="eastAsia" w:ascii="仿宋" w:hAnsi="仿宋" w:eastAsia="仿宋" w:cs="仿宋"/>
          <w:sz w:val="30"/>
          <w:szCs w:val="30"/>
        </w:rPr>
        <w:t>（一）财政拨款：指省级财政当年拨付的资金。</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w:t>
      </w:r>
      <w:r>
        <w:rPr>
          <w:rFonts w:hint="eastAsia" w:ascii="仿宋" w:hAnsi="仿宋" w:eastAsia="仿宋" w:cs="仿宋"/>
          <w:sz w:val="30"/>
          <w:szCs w:val="30"/>
          <w:lang w:eastAsia="zh-CN"/>
        </w:rPr>
        <w:t>二</w:t>
      </w:r>
      <w:r>
        <w:rPr>
          <w:rFonts w:hint="eastAsia" w:ascii="仿宋" w:hAnsi="仿宋" w:eastAsia="仿宋" w:cs="仿宋"/>
          <w:sz w:val="30"/>
          <w:szCs w:val="30"/>
        </w:rPr>
        <w:t>）上年结转和结余：</w:t>
      </w:r>
      <w:r>
        <w:rPr>
          <w:rFonts w:hint="eastAsia" w:ascii="仿宋" w:hAnsi="仿宋" w:eastAsia="仿宋" w:cs="仿宋"/>
          <w:sz w:val="30"/>
          <w:szCs w:val="30"/>
          <w:lang w:eastAsia="zh-CN"/>
        </w:rPr>
        <w:t>指以前年度尚未完成，结转到本年仍按原规定用途继续使用的资金。</w:t>
      </w:r>
    </w:p>
    <w:p>
      <w:pPr>
        <w:pStyle w:val="5"/>
        <w:spacing w:line="600" w:lineRule="atLeast"/>
        <w:ind w:firstLine="600"/>
        <w:rPr>
          <w:rFonts w:hint="eastAsia" w:ascii="黑体" w:hAnsi="黑体" w:eastAsia="黑体" w:cs="黑体"/>
          <w:sz w:val="30"/>
          <w:szCs w:val="30"/>
        </w:rPr>
      </w:pPr>
      <w:r>
        <w:rPr>
          <w:rFonts w:hint="eastAsia" w:ascii="黑体" w:hAnsi="黑体" w:eastAsia="黑体" w:cs="黑体"/>
          <w:sz w:val="30"/>
          <w:szCs w:val="30"/>
        </w:rPr>
        <w:t xml:space="preserve"> 二、支出科目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rPr>
        <w:t>（一）</w:t>
      </w:r>
      <w:r>
        <w:rPr>
          <w:rFonts w:hint="eastAsia" w:ascii="仿宋" w:hAnsi="仿宋" w:eastAsia="仿宋"/>
          <w:sz w:val="30"/>
          <w:szCs w:val="30"/>
        </w:rPr>
        <w:t>一般公共服务</w:t>
      </w:r>
      <w:r>
        <w:rPr>
          <w:rFonts w:hint="eastAsia" w:ascii="仿宋" w:hAnsi="仿宋" w:eastAsia="仿宋" w:cs="仿宋"/>
          <w:sz w:val="30"/>
          <w:szCs w:val="30"/>
          <w:lang w:eastAsia="zh-CN"/>
        </w:rPr>
        <w:t>：反映各民主党派用于保障机构正常运行，各项业务活动的支出。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行政运行：反映行政单位的基本支出。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其他民主党派及工商联事务支出：反映除上述项目以外其他用于民主党派及工商联事务方面的支出。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（二）社会保障和就业支出：反映本单位用于未归口管理的行政事业单位离退休经费开支，机关事业单位实施养老保险制度由单位缴纳的基本养老保险费支出。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（三）医疗卫生与计划生育支出：反映本单位用于缴交职工基本医疗保险的补助支出。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（四）住房保障支出：反映单位按照国家政策规定，对无房和住房未达标职工发放的住房货币化改革补贴资金。</w:t>
      </w:r>
    </w:p>
    <w:p>
      <w:pPr>
        <w:pStyle w:val="5"/>
        <w:numPr>
          <w:ilvl w:val="0"/>
          <w:numId w:val="0"/>
        </w:numPr>
        <w:spacing w:line="600" w:lineRule="atLeast"/>
        <w:ind w:left="720" w:leftChars="0"/>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“三公”经费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纳入市级财政决算管理的“三公”经费，是指用于财政拨款安排的因公出国（境）费、公务用车购置及运行费和公务接待费。</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其中：因公出国（境）反映单位公务出国（境）的国际旅费、国外城市间交通费、住宿费、伙食费、培训费、公杂费等支出；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公务用车购置及运行费反映单位公务用车车辆购置支出（含车辆购置税）及租用费、燃料费、维修费、过路过桥费、保险费、安全奖励费用等支出；</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公务接待费反映单位按规定开支的各类公务接待（含外宾接待）支出运行公务接待费。</w:t>
      </w:r>
    </w:p>
    <w:p>
      <w:pPr>
        <w:pStyle w:val="5"/>
        <w:numPr>
          <w:ilvl w:val="0"/>
          <w:numId w:val="0"/>
        </w:numPr>
        <w:spacing w:line="600" w:lineRule="atLeast"/>
        <w:ind w:left="750" w:leftChars="0"/>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机关运行经费 </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按照财政部《地方预决算公开操作规程》明确的口径， 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5"/>
        <w:spacing w:line="600" w:lineRule="atLeast"/>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名词解释应以财务会计制度、政府收支分类科目以及部门预算管理等规定为基本说明，可在此基础上结合部门实际情况适当细化。“三公”经费支出和机关运行经费支出口径必需予以说明。</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20397"/>
    <w:rsid w:val="199402A8"/>
    <w:rsid w:val="22013EF6"/>
    <w:rsid w:val="2CA83B89"/>
    <w:rsid w:val="32C04EF8"/>
    <w:rsid w:val="352A495A"/>
    <w:rsid w:val="36902988"/>
    <w:rsid w:val="3CAC1C0E"/>
    <w:rsid w:val="42D8298C"/>
    <w:rsid w:val="45191BB2"/>
    <w:rsid w:val="4A2A7E5F"/>
    <w:rsid w:val="4BB0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pPr>
    <w:rPr>
      <w:kern w:val="0"/>
      <w:szCs w:val="21"/>
    </w:rPr>
  </w:style>
  <w:style w:type="paragraph" w:customStyle="1" w:styleId="6">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超</cp:lastModifiedBy>
  <dcterms:modified xsi:type="dcterms:W3CDTF">2020-10-14T02:02:22Z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