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Times New Roman" w:eastAsia="黑体" w:cs="Times New Roman"/>
          <w:sz w:val="44"/>
          <w:szCs w:val="36"/>
          <w:lang w:val="en-US" w:eastAsia="zh-CN"/>
        </w:rPr>
      </w:pPr>
      <w:r>
        <w:rPr>
          <w:rFonts w:hint="eastAsia" w:ascii="黑体" w:hAnsi="Times New Roman" w:eastAsia="黑体" w:cs="Times New Roman"/>
          <w:sz w:val="44"/>
          <w:szCs w:val="36"/>
          <w:lang w:val="en-US" w:eastAsia="zh-CN"/>
        </w:rPr>
        <w:t>中国国民党革命委员会景德镇市委员会</w:t>
      </w:r>
    </w:p>
    <w:p>
      <w:pPr>
        <w:spacing w:line="600" w:lineRule="exact"/>
        <w:jc w:val="center"/>
        <w:rPr>
          <w:rFonts w:hint="eastAsia" w:ascii="黑体" w:eastAsia="黑体"/>
          <w:sz w:val="44"/>
          <w:szCs w:val="36"/>
        </w:rPr>
      </w:pPr>
      <w:bookmarkStart w:id="2" w:name="_GoBack"/>
      <w:bookmarkEnd w:id="2"/>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cs="Times New Roman"/>
          <w:sz w:val="32"/>
          <w:szCs w:val="32"/>
          <w:lang w:val="en-US" w:eastAsia="zh-CN"/>
        </w:rPr>
        <w:t>中国国民党革命委员会景德镇市委员会</w:t>
      </w:r>
      <w:r>
        <w:rPr>
          <w:rFonts w:hint="eastAsia" w:ascii="黑体" w:hAnsi="黑体" w:eastAsia="黑体"/>
          <w:sz w:val="32"/>
          <w:szCs w:val="32"/>
        </w:rPr>
        <w:t>部门</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cs="Times New Roman"/>
          <w:b/>
          <w:sz w:val="32"/>
          <w:szCs w:val="32"/>
          <w:lang w:val="en-US" w:eastAsia="zh-CN"/>
        </w:rPr>
        <w:t>中国国民党革命委员会景德镇市委员会</w:t>
      </w:r>
      <w:r>
        <w:rPr>
          <w:rFonts w:hint="eastAsia" w:ascii="宋体" w:hAnsi="宋体"/>
          <w:b/>
          <w:sz w:val="32"/>
          <w:szCs w:val="32"/>
        </w:rPr>
        <w:t>部门</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ind w:firstLine="630"/>
        <w:jc w:val="left"/>
        <w:rPr>
          <w:rFonts w:hint="eastAsia"/>
          <w:lang w:val="en-US" w:eastAsia="zh-CN"/>
        </w:rPr>
      </w:pPr>
      <w:r>
        <w:rPr>
          <w:rFonts w:hint="eastAsia" w:ascii="仿宋" w:hAnsi="仿宋" w:eastAsia="仿宋"/>
          <w:sz w:val="30"/>
          <w:szCs w:val="30"/>
          <w:lang w:eastAsia="zh-CN"/>
        </w:rPr>
        <w:t>具有政治联盟性质的、致力于建设中国特色社会主义和祖国统一事业的政党，是中国共产党领导的多党合作和政治协商制度中的参政党。</w:t>
      </w:r>
    </w:p>
    <w:p>
      <w:pPr>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cs="Times New Roman"/>
          <w:sz w:val="30"/>
          <w:szCs w:val="30"/>
        </w:rPr>
      </w:pPr>
      <w:r>
        <w:rPr>
          <w:rFonts w:hint="eastAsia" w:ascii="仿宋" w:hAnsi="仿宋" w:eastAsia="仿宋"/>
          <w:sz w:val="30"/>
          <w:szCs w:val="30"/>
        </w:rPr>
        <w:t>纳入本套部门决算汇编范围的单位共</w:t>
      </w:r>
      <w:r>
        <w:rPr>
          <w:rFonts w:hint="eastAsia" w:ascii="仿宋" w:hAnsi="仿宋" w:eastAsia="仿宋"/>
          <w:sz w:val="30"/>
          <w:szCs w:val="30"/>
          <w:lang w:val="en-US" w:eastAsia="zh-CN"/>
        </w:rPr>
        <w:t>1</w:t>
      </w:r>
      <w:r>
        <w:rPr>
          <w:rFonts w:hint="eastAsia" w:ascii="仿宋" w:hAnsi="仿宋" w:eastAsia="仿宋"/>
          <w:sz w:val="30"/>
          <w:szCs w:val="30"/>
        </w:rPr>
        <w:t>个，包括：</w:t>
      </w:r>
      <w:r>
        <w:rPr>
          <w:rFonts w:hint="eastAsia" w:ascii="仿宋" w:hAnsi="仿宋" w:eastAsia="仿宋" w:cs="Times New Roman"/>
          <w:sz w:val="30"/>
          <w:szCs w:val="30"/>
          <w:lang w:val="en-US" w:eastAsia="zh-CN"/>
        </w:rPr>
        <w:t>中国国民党革命委员会景德镇市委员会本级。</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
          <w:sz w:val="32"/>
          <w:szCs w:val="32"/>
        </w:rPr>
      </w:pPr>
      <w:r>
        <w:rPr>
          <w:rFonts w:hint="eastAsia" w:ascii="仿宋" w:hAnsi="仿宋" w:eastAsia="仿宋" w:cs="仿宋"/>
          <w:kern w:val="2"/>
          <w:sz w:val="28"/>
          <w:szCs w:val="28"/>
          <w:lang w:val="en-US" w:eastAsia="zh-CN" w:bidi="ar-SA"/>
        </w:rPr>
        <w:t>人员编制数为 4人，其中行政编制4人。实有人数4人，在职4人。</w:t>
      </w:r>
    </w:p>
    <w:p>
      <w:pPr>
        <w:widowControl/>
        <w:spacing w:line="600" w:lineRule="exact"/>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r>
        <w:drawing>
          <wp:inline distT="0" distB="0" distL="114300" distR="114300">
            <wp:extent cx="5268595" cy="4844415"/>
            <wp:effectExtent l="0" t="0" r="825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8595" cy="4844415"/>
                    </a:xfrm>
                    <a:prstGeom prst="rect">
                      <a:avLst/>
                    </a:prstGeom>
                    <a:noFill/>
                    <a:ln>
                      <a:noFill/>
                    </a:ln>
                  </pic:spPr>
                </pic:pic>
              </a:graphicData>
            </a:graphic>
          </wp:inline>
        </w:drawing>
      </w:r>
    </w:p>
    <w:p>
      <w:pPr>
        <w:autoSpaceDE w:val="0"/>
        <w:autoSpaceDN w:val="0"/>
        <w:adjustRightInd w:val="0"/>
        <w:spacing w:line="360" w:lineRule="auto"/>
        <w:jc w:val="left"/>
        <w:rPr>
          <w:rFonts w:hint="eastAsia" w:ascii="宋体" w:hAnsi="宋体" w:eastAsia="宋体"/>
          <w:b/>
          <w:sz w:val="32"/>
          <w:szCs w:val="32"/>
          <w:lang w:eastAsia="zh-CN"/>
        </w:rPr>
      </w:pPr>
      <w:r>
        <w:drawing>
          <wp:inline distT="0" distB="0" distL="114300" distR="114300">
            <wp:extent cx="5267325" cy="2515235"/>
            <wp:effectExtent l="0" t="0" r="9525"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7325" cy="2515235"/>
                    </a:xfrm>
                    <a:prstGeom prst="rect">
                      <a:avLst/>
                    </a:prstGeom>
                    <a:noFill/>
                    <a:ln>
                      <a:noFill/>
                    </a:ln>
                  </pic:spPr>
                </pic:pic>
              </a:graphicData>
            </a:graphic>
          </wp:inline>
        </w:drawing>
      </w:r>
      <w:r>
        <w:drawing>
          <wp:inline distT="0" distB="0" distL="114300" distR="114300">
            <wp:extent cx="5265420" cy="2590165"/>
            <wp:effectExtent l="0" t="0" r="1143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5420" cy="2590165"/>
                    </a:xfrm>
                    <a:prstGeom prst="rect">
                      <a:avLst/>
                    </a:prstGeom>
                    <a:noFill/>
                    <a:ln>
                      <a:noFill/>
                    </a:ln>
                  </pic:spPr>
                </pic:pic>
              </a:graphicData>
            </a:graphic>
          </wp:inline>
        </w:drawing>
      </w:r>
      <w:r>
        <w:drawing>
          <wp:inline distT="0" distB="0" distL="114300" distR="114300">
            <wp:extent cx="5265420" cy="4208145"/>
            <wp:effectExtent l="0" t="0" r="1143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5420" cy="4208145"/>
                    </a:xfrm>
                    <a:prstGeom prst="rect">
                      <a:avLst/>
                    </a:prstGeom>
                    <a:noFill/>
                    <a:ln>
                      <a:noFill/>
                    </a:ln>
                  </pic:spPr>
                </pic:pic>
              </a:graphicData>
            </a:graphic>
          </wp:inline>
        </w:drawing>
      </w:r>
      <w:r>
        <w:drawing>
          <wp:inline distT="0" distB="0" distL="114300" distR="114300">
            <wp:extent cx="5274310" cy="3830955"/>
            <wp:effectExtent l="0" t="0" r="2540" b="171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4310" cy="3830955"/>
                    </a:xfrm>
                    <a:prstGeom prst="rect">
                      <a:avLst/>
                    </a:prstGeom>
                    <a:noFill/>
                    <a:ln>
                      <a:noFill/>
                    </a:ln>
                  </pic:spPr>
                </pic:pic>
              </a:graphicData>
            </a:graphic>
          </wp:inline>
        </w:drawing>
      </w:r>
      <w:r>
        <w:rPr>
          <w:rFonts w:hint="eastAsia" w:ascii="宋体" w:hAnsi="宋体" w:eastAsia="宋体"/>
          <w:b/>
          <w:sz w:val="32"/>
          <w:szCs w:val="32"/>
          <w:lang w:eastAsia="zh-CN"/>
        </w:rPr>
        <w:drawing>
          <wp:inline distT="0" distB="0" distL="114300" distR="114300">
            <wp:extent cx="5121275" cy="8853805"/>
            <wp:effectExtent l="0" t="0" r="3175" b="4445"/>
            <wp:docPr id="6" name="图片 6" descr="16025918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02591877(1)"/>
                    <pic:cNvPicPr>
                      <a:picLocks noChangeAspect="1"/>
                    </pic:cNvPicPr>
                  </pic:nvPicPr>
                  <pic:blipFill>
                    <a:blip r:embed="rId9"/>
                    <a:stretch>
                      <a:fillRect/>
                    </a:stretch>
                  </pic:blipFill>
                  <pic:spPr>
                    <a:xfrm>
                      <a:off x="0" y="0"/>
                      <a:ext cx="5121275" cy="8853805"/>
                    </a:xfrm>
                    <a:prstGeom prst="rect">
                      <a:avLst/>
                    </a:prstGeom>
                  </pic:spPr>
                </pic:pic>
              </a:graphicData>
            </a:graphic>
          </wp:inline>
        </w:drawing>
      </w:r>
      <w:r>
        <w:rPr>
          <w:rFonts w:hint="eastAsia" w:ascii="宋体" w:hAnsi="宋体" w:eastAsia="宋体"/>
          <w:b/>
          <w:sz w:val="32"/>
          <w:szCs w:val="32"/>
          <w:lang w:eastAsia="zh-CN"/>
        </w:rPr>
        <w:drawing>
          <wp:inline distT="0" distB="0" distL="114300" distR="114300">
            <wp:extent cx="5269230" cy="4779010"/>
            <wp:effectExtent l="0" t="0" r="7620" b="2540"/>
            <wp:docPr id="7" name="图片 7" descr="16025918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02591897(1)"/>
                    <pic:cNvPicPr>
                      <a:picLocks noChangeAspect="1"/>
                    </pic:cNvPicPr>
                  </pic:nvPicPr>
                  <pic:blipFill>
                    <a:blip r:embed="rId10"/>
                    <a:stretch>
                      <a:fillRect/>
                    </a:stretch>
                  </pic:blipFill>
                  <pic:spPr>
                    <a:xfrm>
                      <a:off x="0" y="0"/>
                      <a:ext cx="5269230" cy="4779010"/>
                    </a:xfrm>
                    <a:prstGeom prst="rect">
                      <a:avLst/>
                    </a:prstGeom>
                  </pic:spPr>
                </pic:pic>
              </a:graphicData>
            </a:graphic>
          </wp:inline>
        </w:drawing>
      </w:r>
      <w:r>
        <w:rPr>
          <w:rFonts w:hint="eastAsia" w:ascii="宋体" w:hAnsi="宋体" w:eastAsia="宋体"/>
          <w:b/>
          <w:sz w:val="32"/>
          <w:szCs w:val="32"/>
          <w:lang w:eastAsia="zh-CN"/>
        </w:rPr>
        <w:drawing>
          <wp:inline distT="0" distB="0" distL="114300" distR="114300">
            <wp:extent cx="5268595" cy="1692910"/>
            <wp:effectExtent l="0" t="0" r="8255" b="2540"/>
            <wp:docPr id="8" name="图片 8" descr="16025919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02591918(1)"/>
                    <pic:cNvPicPr>
                      <a:picLocks noChangeAspect="1"/>
                    </pic:cNvPicPr>
                  </pic:nvPicPr>
                  <pic:blipFill>
                    <a:blip r:embed="rId11"/>
                    <a:stretch>
                      <a:fillRect/>
                    </a:stretch>
                  </pic:blipFill>
                  <pic:spPr>
                    <a:xfrm>
                      <a:off x="0" y="0"/>
                      <a:ext cx="5268595" cy="1692910"/>
                    </a:xfrm>
                    <a:prstGeom prst="rect">
                      <a:avLst/>
                    </a:prstGeom>
                  </pic:spPr>
                </pic:pic>
              </a:graphicData>
            </a:graphic>
          </wp:inline>
        </w:drawing>
      </w:r>
      <w:r>
        <w:rPr>
          <w:rFonts w:hint="eastAsia" w:ascii="宋体" w:hAnsi="宋体" w:eastAsia="宋体"/>
          <w:b/>
          <w:sz w:val="32"/>
          <w:szCs w:val="32"/>
          <w:lang w:eastAsia="zh-CN"/>
        </w:rPr>
        <w:drawing>
          <wp:inline distT="0" distB="0" distL="114300" distR="114300">
            <wp:extent cx="5105400" cy="2962275"/>
            <wp:effectExtent l="0" t="0" r="0" b="9525"/>
            <wp:docPr id="9" name="图片 9" descr="16025919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02591936(1)"/>
                    <pic:cNvPicPr>
                      <a:picLocks noChangeAspect="1"/>
                    </pic:cNvPicPr>
                  </pic:nvPicPr>
                  <pic:blipFill>
                    <a:blip r:embed="rId12"/>
                    <a:stretch>
                      <a:fillRect/>
                    </a:stretch>
                  </pic:blipFill>
                  <pic:spPr>
                    <a:xfrm>
                      <a:off x="0" y="0"/>
                      <a:ext cx="5105400" cy="2962275"/>
                    </a:xfrm>
                    <a:prstGeom prst="rect">
                      <a:avLst/>
                    </a:prstGeom>
                  </pic:spPr>
                </pic:pic>
              </a:graphicData>
            </a:graphic>
          </wp:inline>
        </w:drawing>
      </w: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144.43</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41.6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9.59</w:t>
      </w:r>
      <w:r>
        <w:rPr>
          <w:rFonts w:hint="eastAsia" w:ascii="仿宋" w:hAnsi="仿宋" w:eastAsia="仿宋"/>
          <w:sz w:val="30"/>
          <w:szCs w:val="30"/>
        </w:rPr>
        <w:t>万元，增长</w:t>
      </w:r>
      <w:r>
        <w:rPr>
          <w:rFonts w:hint="eastAsia" w:ascii="仿宋" w:hAnsi="仿宋" w:eastAsia="仿宋"/>
          <w:sz w:val="30"/>
          <w:szCs w:val="30"/>
          <w:lang w:val="en-US" w:eastAsia="zh-CN"/>
        </w:rPr>
        <w:t>23.05</w:t>
      </w:r>
      <w:r>
        <w:rPr>
          <w:rFonts w:hint="eastAsia" w:ascii="仿宋" w:hAnsi="仿宋" w:eastAsia="仿宋"/>
          <w:sz w:val="30"/>
          <w:szCs w:val="30"/>
        </w:rPr>
        <w:t>%；本年收入合计</w:t>
      </w:r>
      <w:r>
        <w:rPr>
          <w:rFonts w:hint="eastAsia" w:ascii="仿宋" w:hAnsi="仿宋" w:eastAsia="仿宋"/>
          <w:sz w:val="30"/>
          <w:szCs w:val="30"/>
          <w:lang w:val="en-US" w:eastAsia="zh-CN"/>
        </w:rPr>
        <w:t>102.83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32.22</w:t>
      </w:r>
      <w:r>
        <w:rPr>
          <w:rFonts w:hint="eastAsia" w:ascii="仿宋" w:hAnsi="仿宋" w:eastAsia="仿宋"/>
          <w:sz w:val="30"/>
          <w:szCs w:val="30"/>
        </w:rPr>
        <w:t>万元，增长</w:t>
      </w:r>
      <w:r>
        <w:rPr>
          <w:rFonts w:hint="eastAsia" w:ascii="仿宋" w:hAnsi="仿宋" w:eastAsia="仿宋"/>
          <w:sz w:val="30"/>
          <w:szCs w:val="30"/>
          <w:lang w:val="en-US" w:eastAsia="zh-CN"/>
        </w:rPr>
        <w:t>31.33</w:t>
      </w:r>
      <w:r>
        <w:rPr>
          <w:rFonts w:hint="eastAsia" w:ascii="仿宋" w:hAnsi="仿宋" w:eastAsia="仿宋"/>
          <w:sz w:val="30"/>
          <w:szCs w:val="30"/>
        </w:rPr>
        <w:t>%，主要原因是：</w:t>
      </w:r>
      <w:r>
        <w:rPr>
          <w:rFonts w:hint="eastAsia" w:ascii="仿宋" w:hAnsi="仿宋" w:eastAsia="仿宋"/>
          <w:sz w:val="30"/>
          <w:szCs w:val="30"/>
          <w:lang w:eastAsia="zh-CN"/>
        </w:rPr>
        <w:t>人员经费和公用经费增加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99.83</w:t>
      </w:r>
      <w:r>
        <w:rPr>
          <w:rFonts w:hint="eastAsia" w:ascii="仿宋" w:hAnsi="仿宋" w:eastAsia="仿宋"/>
          <w:sz w:val="30"/>
          <w:szCs w:val="30"/>
        </w:rPr>
        <w:t>万元，占</w:t>
      </w:r>
      <w:r>
        <w:rPr>
          <w:rFonts w:hint="eastAsia" w:ascii="仿宋" w:hAnsi="仿宋" w:eastAsia="仿宋"/>
          <w:sz w:val="30"/>
          <w:szCs w:val="30"/>
          <w:lang w:val="en-US" w:eastAsia="zh-CN"/>
        </w:rPr>
        <w:t>97.08</w:t>
      </w:r>
      <w:r>
        <w:rPr>
          <w:rFonts w:hint="eastAsia" w:ascii="仿宋" w:hAnsi="仿宋" w:eastAsia="仿宋"/>
          <w:sz w:val="30"/>
          <w:szCs w:val="30"/>
        </w:rPr>
        <w:t>%；事业收入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%；其他收入</w:t>
      </w:r>
      <w:r>
        <w:rPr>
          <w:rFonts w:hint="eastAsia" w:ascii="仿宋" w:hAnsi="仿宋" w:eastAsia="仿宋"/>
          <w:sz w:val="30"/>
          <w:szCs w:val="30"/>
          <w:lang w:val="en-US" w:eastAsia="zh-CN"/>
        </w:rPr>
        <w:t>3</w:t>
      </w:r>
      <w:r>
        <w:rPr>
          <w:rFonts w:hint="eastAsia" w:ascii="仿宋" w:hAnsi="仿宋" w:eastAsia="仿宋"/>
          <w:sz w:val="30"/>
          <w:szCs w:val="30"/>
        </w:rPr>
        <w:t>万元，占</w:t>
      </w:r>
      <w:r>
        <w:rPr>
          <w:rFonts w:hint="eastAsia" w:ascii="仿宋" w:hAnsi="仿宋" w:eastAsia="仿宋"/>
          <w:sz w:val="30"/>
          <w:szCs w:val="30"/>
          <w:lang w:val="en-US" w:eastAsia="zh-CN"/>
        </w:rPr>
        <w:t>2.92</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144.43</w:t>
      </w:r>
      <w:r>
        <w:rPr>
          <w:rFonts w:hint="eastAsia" w:ascii="仿宋" w:hAnsi="仿宋" w:eastAsia="仿宋"/>
          <w:sz w:val="30"/>
          <w:szCs w:val="30"/>
        </w:rPr>
        <w:t xml:space="preserve">万元，其中本年支出合计   </w:t>
      </w:r>
      <w:r>
        <w:rPr>
          <w:rFonts w:hint="eastAsia" w:ascii="仿宋" w:hAnsi="仿宋" w:eastAsia="仿宋"/>
          <w:sz w:val="30"/>
          <w:szCs w:val="30"/>
          <w:lang w:val="en-US" w:eastAsia="zh-CN"/>
        </w:rPr>
        <w:t>92.65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24.63</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26.58</w:t>
      </w:r>
      <w:r>
        <w:rPr>
          <w:rFonts w:hint="eastAsia" w:ascii="仿宋" w:hAnsi="仿宋" w:eastAsia="仿宋"/>
          <w:sz w:val="30"/>
          <w:szCs w:val="30"/>
        </w:rPr>
        <w:t xml:space="preserve"> %，主要原因是：</w:t>
      </w:r>
      <w:r>
        <w:rPr>
          <w:rFonts w:hint="eastAsia" w:ascii="仿宋" w:hAnsi="仿宋" w:eastAsia="仿宋"/>
          <w:sz w:val="30"/>
          <w:szCs w:val="30"/>
          <w:lang w:eastAsia="zh-CN"/>
        </w:rPr>
        <w:t>支出增加</w:t>
      </w:r>
      <w:r>
        <w:rPr>
          <w:rFonts w:hint="eastAsia" w:ascii="仿宋" w:hAnsi="仿宋" w:eastAsia="仿宋"/>
          <w:sz w:val="30"/>
          <w:szCs w:val="30"/>
        </w:rPr>
        <w:t>；年末结转和结余</w:t>
      </w:r>
      <w:r>
        <w:rPr>
          <w:rFonts w:hint="eastAsia" w:ascii="仿宋" w:hAnsi="仿宋" w:eastAsia="仿宋"/>
          <w:sz w:val="30"/>
          <w:szCs w:val="30"/>
          <w:lang w:val="en-US" w:eastAsia="zh-CN"/>
        </w:rPr>
        <w:t>51.78</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w:t>
      </w:r>
      <w:r>
        <w:rPr>
          <w:rFonts w:hint="eastAsia" w:ascii="仿宋" w:hAnsi="仿宋" w:eastAsia="仿宋"/>
          <w:sz w:val="30"/>
          <w:szCs w:val="30"/>
          <w:lang w:eastAsia="zh-CN"/>
        </w:rPr>
        <w:t>加</w:t>
      </w:r>
      <w:r>
        <w:rPr>
          <w:rFonts w:hint="eastAsia" w:ascii="仿宋" w:hAnsi="仿宋" w:eastAsia="仿宋"/>
          <w:sz w:val="30"/>
          <w:szCs w:val="30"/>
          <w:lang w:val="en-US" w:eastAsia="zh-CN"/>
        </w:rPr>
        <w:t>10.18</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30.28</w:t>
      </w:r>
      <w:r>
        <w:rPr>
          <w:rFonts w:hint="eastAsia" w:ascii="仿宋" w:hAnsi="仿宋" w:eastAsia="仿宋"/>
          <w:sz w:val="30"/>
          <w:szCs w:val="30"/>
        </w:rPr>
        <w:t>%，主要原因是：</w:t>
      </w:r>
      <w:r>
        <w:rPr>
          <w:rFonts w:hint="eastAsia" w:ascii="仿宋" w:hAnsi="仿宋" w:eastAsia="仿宋"/>
          <w:sz w:val="30"/>
          <w:szCs w:val="30"/>
          <w:lang w:eastAsia="zh-CN"/>
        </w:rPr>
        <w:t>年末结余增加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92.65</w:t>
      </w:r>
      <w:r>
        <w:rPr>
          <w:rFonts w:hint="eastAsia" w:ascii="仿宋" w:hAnsi="仿宋" w:eastAsia="仿宋"/>
          <w:sz w:val="30"/>
          <w:szCs w:val="30"/>
        </w:rPr>
        <w:t>万元，占</w:t>
      </w:r>
      <w:r>
        <w:rPr>
          <w:rFonts w:hint="eastAsia" w:ascii="仿宋" w:hAnsi="仿宋" w:eastAsia="仿宋"/>
          <w:sz w:val="30"/>
          <w:szCs w:val="30"/>
          <w:lang w:val="en-US" w:eastAsia="zh-CN"/>
        </w:rPr>
        <w:t>100</w:t>
      </w:r>
      <w:r>
        <w:rPr>
          <w:rFonts w:hint="eastAsia" w:ascii="仿宋" w:hAnsi="仿宋" w:eastAsia="仿宋"/>
          <w:sz w:val="30"/>
          <w:szCs w:val="30"/>
        </w:rPr>
        <w:t>%；项目支出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62.3</w:t>
      </w:r>
      <w:r>
        <w:rPr>
          <w:rFonts w:hint="eastAsia" w:ascii="仿宋" w:hAnsi="仿宋" w:eastAsia="仿宋"/>
          <w:sz w:val="30"/>
          <w:szCs w:val="30"/>
        </w:rPr>
        <w:t>万元，决算数为</w:t>
      </w:r>
      <w:r>
        <w:rPr>
          <w:rFonts w:hint="eastAsia" w:ascii="仿宋" w:hAnsi="仿宋" w:eastAsia="仿宋"/>
          <w:sz w:val="30"/>
          <w:szCs w:val="30"/>
          <w:lang w:val="en-US" w:eastAsia="zh-CN"/>
        </w:rPr>
        <w:t>92.65</w:t>
      </w:r>
      <w:r>
        <w:rPr>
          <w:rFonts w:hint="eastAsia" w:ascii="仿宋" w:hAnsi="仿宋" w:eastAsia="仿宋"/>
          <w:sz w:val="30"/>
          <w:szCs w:val="30"/>
        </w:rPr>
        <w:t>万元，完成年初预算的</w:t>
      </w:r>
      <w:r>
        <w:rPr>
          <w:rFonts w:hint="eastAsia" w:ascii="仿宋" w:hAnsi="仿宋" w:eastAsia="仿宋"/>
          <w:sz w:val="30"/>
          <w:szCs w:val="30"/>
          <w:lang w:val="en-US" w:eastAsia="zh-CN"/>
        </w:rPr>
        <w:t>148.71</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w:t>
      </w:r>
      <w:r>
        <w:rPr>
          <w:rFonts w:hint="eastAsia" w:ascii="仿宋" w:hAnsi="仿宋" w:eastAsia="仿宋"/>
          <w:sz w:val="30"/>
          <w:szCs w:val="30"/>
          <w:lang w:val="en-US" w:eastAsia="zh-CN"/>
        </w:rPr>
        <w:t>51.32</w:t>
      </w:r>
      <w:r>
        <w:rPr>
          <w:rFonts w:hint="eastAsia" w:ascii="仿宋" w:hAnsi="仿宋" w:eastAsia="仿宋"/>
          <w:sz w:val="30"/>
          <w:szCs w:val="30"/>
        </w:rPr>
        <w:t>万元，决算数为</w:t>
      </w:r>
      <w:r>
        <w:rPr>
          <w:rFonts w:hint="eastAsia" w:ascii="仿宋" w:hAnsi="仿宋" w:eastAsia="仿宋"/>
          <w:sz w:val="30"/>
          <w:szCs w:val="30"/>
          <w:lang w:val="en-US" w:eastAsia="zh-CN"/>
        </w:rPr>
        <w:t>82.44</w:t>
      </w:r>
      <w:r>
        <w:rPr>
          <w:rFonts w:hint="eastAsia" w:ascii="仿宋" w:hAnsi="仿宋" w:eastAsia="仿宋"/>
          <w:sz w:val="30"/>
          <w:szCs w:val="30"/>
        </w:rPr>
        <w:t>万元，完成年初预算的</w:t>
      </w:r>
      <w:r>
        <w:rPr>
          <w:rFonts w:hint="eastAsia" w:ascii="仿宋" w:hAnsi="仿宋" w:eastAsia="仿宋"/>
          <w:sz w:val="30"/>
          <w:szCs w:val="30"/>
          <w:lang w:val="en-US" w:eastAsia="zh-CN"/>
        </w:rPr>
        <w:t>160.63</w:t>
      </w:r>
      <w:r>
        <w:rPr>
          <w:rFonts w:hint="eastAsia" w:ascii="仿宋" w:hAnsi="仿宋" w:eastAsia="仿宋"/>
          <w:sz w:val="30"/>
          <w:szCs w:val="30"/>
        </w:rPr>
        <w:t>%，主要原因是：</w:t>
      </w:r>
      <w:r>
        <w:rPr>
          <w:rFonts w:hint="eastAsia" w:ascii="仿宋" w:hAnsi="仿宋" w:eastAsia="仿宋"/>
          <w:sz w:val="30"/>
          <w:szCs w:val="30"/>
          <w:lang w:eastAsia="zh-CN"/>
        </w:rPr>
        <w:t>业务活动增加开支</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eastAsia="zh-CN"/>
        </w:rPr>
        <w:t>社会保障和就业支出</w:t>
      </w:r>
      <w:r>
        <w:rPr>
          <w:rFonts w:hint="eastAsia" w:ascii="仿宋" w:hAnsi="仿宋" w:eastAsia="仿宋"/>
          <w:sz w:val="30"/>
          <w:szCs w:val="30"/>
        </w:rPr>
        <w:t>年初预算数为</w:t>
      </w:r>
      <w:r>
        <w:rPr>
          <w:rFonts w:hint="eastAsia" w:ascii="仿宋" w:hAnsi="仿宋" w:eastAsia="仿宋"/>
          <w:sz w:val="30"/>
          <w:szCs w:val="30"/>
          <w:lang w:val="en-US" w:eastAsia="zh-CN"/>
        </w:rPr>
        <w:t>3.86</w:t>
      </w:r>
      <w:r>
        <w:rPr>
          <w:rFonts w:hint="eastAsia" w:ascii="仿宋" w:hAnsi="仿宋" w:eastAsia="仿宋"/>
          <w:sz w:val="30"/>
          <w:szCs w:val="30"/>
        </w:rPr>
        <w:t>万元，决算数为</w:t>
      </w:r>
      <w:r>
        <w:rPr>
          <w:rFonts w:hint="eastAsia" w:ascii="仿宋" w:hAnsi="仿宋" w:eastAsia="仿宋"/>
          <w:sz w:val="30"/>
          <w:szCs w:val="30"/>
          <w:lang w:val="en-US" w:eastAsia="zh-CN"/>
        </w:rPr>
        <w:t>4.63</w:t>
      </w:r>
      <w:r>
        <w:rPr>
          <w:rFonts w:hint="eastAsia" w:ascii="仿宋" w:hAnsi="仿宋" w:eastAsia="仿宋"/>
          <w:sz w:val="30"/>
          <w:szCs w:val="30"/>
        </w:rPr>
        <w:t>万元，完成年初预算的</w:t>
      </w:r>
      <w:r>
        <w:rPr>
          <w:rFonts w:hint="eastAsia" w:ascii="仿宋" w:hAnsi="仿宋" w:eastAsia="仿宋"/>
          <w:sz w:val="30"/>
          <w:szCs w:val="30"/>
          <w:lang w:val="en-US" w:eastAsia="zh-CN"/>
        </w:rPr>
        <w:t>119.94</w:t>
      </w:r>
      <w:r>
        <w:rPr>
          <w:rFonts w:hint="eastAsia" w:ascii="仿宋" w:hAnsi="仿宋" w:eastAsia="仿宋"/>
          <w:sz w:val="30"/>
          <w:szCs w:val="30"/>
        </w:rPr>
        <w:t>%，主要原因是：</w:t>
      </w:r>
      <w:r>
        <w:rPr>
          <w:rFonts w:hint="eastAsia" w:ascii="仿宋" w:hAnsi="仿宋" w:eastAsia="仿宋"/>
          <w:sz w:val="30"/>
          <w:szCs w:val="30"/>
          <w:lang w:eastAsia="zh-CN"/>
        </w:rPr>
        <w:t>社会保障支出增加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lang w:eastAsia="zh-CN"/>
        </w:rPr>
        <w:t>（三）卫生健康支出年初</w:t>
      </w:r>
      <w:r>
        <w:rPr>
          <w:rFonts w:hint="eastAsia" w:ascii="仿宋" w:hAnsi="仿宋" w:eastAsia="仿宋"/>
          <w:sz w:val="30"/>
          <w:szCs w:val="30"/>
        </w:rPr>
        <w:t>预算数为</w:t>
      </w:r>
      <w:r>
        <w:rPr>
          <w:rFonts w:hint="eastAsia" w:ascii="仿宋" w:hAnsi="仿宋" w:eastAsia="仿宋"/>
          <w:sz w:val="30"/>
          <w:szCs w:val="30"/>
          <w:lang w:val="en-US" w:eastAsia="zh-CN"/>
        </w:rPr>
        <w:t>4.91</w:t>
      </w:r>
      <w:r>
        <w:rPr>
          <w:rFonts w:hint="eastAsia" w:ascii="仿宋" w:hAnsi="仿宋" w:eastAsia="仿宋"/>
          <w:sz w:val="30"/>
          <w:szCs w:val="30"/>
        </w:rPr>
        <w:t>万元，决算数为</w:t>
      </w:r>
      <w:r>
        <w:rPr>
          <w:rFonts w:hint="eastAsia" w:ascii="仿宋" w:hAnsi="仿宋" w:eastAsia="仿宋"/>
          <w:sz w:val="30"/>
          <w:szCs w:val="30"/>
          <w:lang w:val="en-US" w:eastAsia="zh-CN"/>
        </w:rPr>
        <w:t>4.91</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按预算支出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lang w:eastAsia="zh-CN"/>
        </w:rPr>
        <w:t>（四）住房保障支出支出年初</w:t>
      </w:r>
      <w:r>
        <w:rPr>
          <w:rFonts w:hint="eastAsia" w:ascii="仿宋" w:hAnsi="仿宋" w:eastAsia="仿宋"/>
          <w:sz w:val="30"/>
          <w:szCs w:val="30"/>
        </w:rPr>
        <w:t>预算数为</w:t>
      </w:r>
      <w:r>
        <w:rPr>
          <w:rFonts w:hint="eastAsia" w:ascii="仿宋" w:hAnsi="仿宋" w:eastAsia="仿宋"/>
          <w:sz w:val="30"/>
          <w:szCs w:val="30"/>
          <w:lang w:val="en-US" w:eastAsia="zh-CN"/>
        </w:rPr>
        <w:t>2.21</w:t>
      </w:r>
      <w:r>
        <w:rPr>
          <w:rFonts w:hint="eastAsia" w:ascii="仿宋" w:hAnsi="仿宋" w:eastAsia="仿宋"/>
          <w:sz w:val="30"/>
          <w:szCs w:val="30"/>
        </w:rPr>
        <w:t>万元，决算数为</w:t>
      </w:r>
      <w:r>
        <w:rPr>
          <w:rFonts w:hint="eastAsia" w:ascii="仿宋" w:hAnsi="仿宋" w:eastAsia="仿宋"/>
          <w:sz w:val="30"/>
          <w:szCs w:val="30"/>
          <w:lang w:val="en-US" w:eastAsia="zh-CN"/>
        </w:rPr>
        <w:t>2.21</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按预算支出</w:t>
      </w:r>
      <w:r>
        <w:rPr>
          <w:rFonts w:hint="eastAsia" w:ascii="仿宋" w:hAnsi="仿宋" w:eastAsia="仿宋"/>
          <w:sz w:val="30"/>
          <w:szCs w:val="30"/>
        </w:rPr>
        <w:t>。</w:t>
      </w:r>
    </w:p>
    <w:p>
      <w:pPr>
        <w:ind w:firstLine="630"/>
        <w:jc w:val="left"/>
        <w:rPr>
          <w:rFonts w:hint="eastAsia"/>
          <w:lang w:eastAsia="zh-CN"/>
        </w:rPr>
      </w:pP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92.65</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50.1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7.28</w:t>
      </w:r>
      <w:r>
        <w:rPr>
          <w:rFonts w:hint="eastAsia" w:ascii="仿宋" w:hAnsi="仿宋" w:eastAsia="仿宋"/>
          <w:sz w:val="30"/>
          <w:szCs w:val="30"/>
        </w:rPr>
        <w:t>万元，增长</w:t>
      </w:r>
      <w:r>
        <w:rPr>
          <w:rFonts w:hint="eastAsia" w:ascii="仿宋" w:hAnsi="仿宋" w:eastAsia="仿宋"/>
          <w:sz w:val="30"/>
          <w:szCs w:val="30"/>
          <w:lang w:val="en-US" w:eastAsia="zh-CN"/>
        </w:rPr>
        <w:t>14.53</w:t>
      </w:r>
      <w:r>
        <w:rPr>
          <w:rFonts w:hint="eastAsia" w:ascii="仿宋" w:hAnsi="仿宋" w:eastAsia="仿宋"/>
          <w:sz w:val="30"/>
          <w:szCs w:val="30"/>
        </w:rPr>
        <w:t>%，主要原因是：</w:t>
      </w:r>
      <w:r>
        <w:rPr>
          <w:rFonts w:hint="eastAsia" w:ascii="仿宋" w:hAnsi="仿宋" w:eastAsia="仿宋"/>
          <w:sz w:val="30"/>
          <w:szCs w:val="30"/>
          <w:lang w:eastAsia="zh-CN"/>
        </w:rPr>
        <w:t>人员增资、补发</w:t>
      </w:r>
      <w:r>
        <w:rPr>
          <w:rFonts w:hint="eastAsia" w:ascii="仿宋" w:hAnsi="仿宋" w:eastAsia="仿宋"/>
          <w:sz w:val="30"/>
          <w:szCs w:val="30"/>
          <w:lang w:val="en-US" w:eastAsia="zh-CN"/>
        </w:rPr>
        <w:t>2018年奖励金</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38.63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21.05</w:t>
      </w:r>
      <w:r>
        <w:rPr>
          <w:rFonts w:hint="eastAsia" w:ascii="仿宋" w:hAnsi="仿宋" w:eastAsia="仿宋"/>
          <w:sz w:val="30"/>
          <w:szCs w:val="30"/>
        </w:rPr>
        <w:t>万元，增长</w:t>
      </w:r>
      <w:r>
        <w:rPr>
          <w:rFonts w:hint="eastAsia" w:ascii="仿宋" w:hAnsi="仿宋" w:eastAsia="仿宋"/>
          <w:sz w:val="30"/>
          <w:szCs w:val="30"/>
          <w:lang w:val="en-US" w:eastAsia="zh-CN"/>
        </w:rPr>
        <w:t>54.49</w:t>
      </w:r>
      <w:r>
        <w:rPr>
          <w:rFonts w:hint="eastAsia" w:ascii="仿宋" w:hAnsi="仿宋" w:eastAsia="仿宋"/>
          <w:sz w:val="30"/>
          <w:szCs w:val="30"/>
        </w:rPr>
        <w:t>%，主要原因是：</w:t>
      </w:r>
      <w:r>
        <w:rPr>
          <w:rFonts w:hint="eastAsia" w:ascii="仿宋" w:hAnsi="仿宋" w:eastAsia="仿宋"/>
          <w:sz w:val="30"/>
          <w:szCs w:val="30"/>
          <w:lang w:eastAsia="zh-CN"/>
        </w:rPr>
        <w:t>业务活动开展增加，行政成本增加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2.7</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2.65</w:t>
      </w:r>
      <w:r>
        <w:rPr>
          <w:rFonts w:hint="eastAsia" w:ascii="仿宋" w:hAnsi="仿宋" w:eastAsia="仿宋"/>
          <w:sz w:val="30"/>
          <w:szCs w:val="30"/>
        </w:rPr>
        <w:t>万元，增长</w:t>
      </w:r>
      <w:r>
        <w:rPr>
          <w:rFonts w:hint="eastAsia" w:ascii="仿宋" w:hAnsi="仿宋" w:eastAsia="仿宋"/>
          <w:sz w:val="30"/>
          <w:szCs w:val="30"/>
          <w:lang w:val="en-US" w:eastAsia="zh-CN"/>
        </w:rPr>
        <w:t>98.14</w:t>
      </w:r>
      <w:r>
        <w:rPr>
          <w:rFonts w:hint="eastAsia" w:ascii="仿宋" w:hAnsi="仿宋" w:eastAsia="仿宋"/>
          <w:sz w:val="30"/>
          <w:szCs w:val="30"/>
        </w:rPr>
        <w:t>%，主要原因是：</w:t>
      </w:r>
      <w:r>
        <w:rPr>
          <w:rFonts w:hint="eastAsia" w:ascii="仿宋" w:hAnsi="仿宋" w:eastAsia="仿宋"/>
          <w:sz w:val="30"/>
          <w:szCs w:val="30"/>
          <w:lang w:eastAsia="zh-CN"/>
        </w:rPr>
        <w:t>支出增加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1.23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0.65</w:t>
      </w:r>
      <w:r>
        <w:rPr>
          <w:rFonts w:hint="eastAsia" w:ascii="仿宋" w:hAnsi="仿宋" w:eastAsia="仿宋"/>
          <w:sz w:val="30"/>
          <w:szCs w:val="30"/>
        </w:rPr>
        <w:t>万元，增长</w:t>
      </w:r>
      <w:r>
        <w:rPr>
          <w:rFonts w:hint="eastAsia" w:ascii="仿宋" w:hAnsi="仿宋" w:eastAsia="仿宋"/>
          <w:sz w:val="30"/>
          <w:szCs w:val="30"/>
          <w:lang w:val="en-US" w:eastAsia="zh-CN"/>
        </w:rPr>
        <w:t>52.84</w:t>
      </w:r>
      <w:r>
        <w:rPr>
          <w:rFonts w:hint="eastAsia" w:ascii="仿宋" w:hAnsi="仿宋" w:eastAsia="仿宋"/>
          <w:sz w:val="30"/>
          <w:szCs w:val="30"/>
        </w:rPr>
        <w:t>%，主要原因是：</w:t>
      </w:r>
      <w:r>
        <w:rPr>
          <w:rFonts w:hint="eastAsia" w:ascii="仿宋" w:hAnsi="仿宋" w:eastAsia="仿宋"/>
          <w:sz w:val="30"/>
          <w:szCs w:val="30"/>
          <w:lang w:eastAsia="zh-CN"/>
        </w:rPr>
        <w:t>新购办公设备</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5.7</w:t>
      </w:r>
      <w:r>
        <w:rPr>
          <w:rFonts w:hint="eastAsia" w:ascii="仿宋" w:hAnsi="仿宋" w:eastAsia="仿宋"/>
          <w:sz w:val="30"/>
          <w:szCs w:val="30"/>
        </w:rPr>
        <w:t>万元，决算数为</w:t>
      </w:r>
      <w:r>
        <w:rPr>
          <w:rFonts w:hint="eastAsia" w:ascii="仿宋" w:hAnsi="仿宋" w:eastAsia="仿宋"/>
          <w:sz w:val="30"/>
          <w:szCs w:val="30"/>
          <w:lang w:val="en-US" w:eastAsia="zh-CN"/>
        </w:rPr>
        <w:t>0.6</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10.52</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0.15</w:t>
      </w:r>
      <w:r>
        <w:rPr>
          <w:rFonts w:hint="eastAsia" w:ascii="仿宋" w:hAnsi="仿宋" w:eastAsia="仿宋"/>
          <w:sz w:val="30"/>
          <w:szCs w:val="30"/>
        </w:rPr>
        <w:t>万元，下降</w:t>
      </w:r>
      <w:r>
        <w:rPr>
          <w:rFonts w:hint="eastAsia" w:ascii="仿宋" w:hAnsi="仿宋" w:eastAsia="仿宋"/>
          <w:sz w:val="30"/>
          <w:szCs w:val="30"/>
          <w:lang w:val="en-US" w:eastAsia="zh-CN"/>
        </w:rPr>
        <w:t>25</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  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%。决算数较年初预算数增加的主要原因是：</w:t>
      </w:r>
      <w:r>
        <w:rPr>
          <w:rFonts w:hint="eastAsia" w:ascii="仿宋" w:hAnsi="仿宋" w:eastAsia="仿宋"/>
          <w:sz w:val="30"/>
          <w:szCs w:val="30"/>
          <w:lang w:eastAsia="zh-CN"/>
        </w:rPr>
        <w:t>无支出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5.7</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0.6</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10.52</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0.15</w:t>
      </w:r>
      <w:r>
        <w:rPr>
          <w:rFonts w:hint="eastAsia" w:ascii="仿宋" w:hAnsi="仿宋" w:eastAsia="仿宋"/>
          <w:sz w:val="30"/>
          <w:szCs w:val="30"/>
        </w:rPr>
        <w:t>万元，下降</w:t>
      </w:r>
      <w:r>
        <w:rPr>
          <w:rFonts w:hint="eastAsia" w:ascii="仿宋" w:hAnsi="仿宋" w:eastAsia="仿宋"/>
          <w:sz w:val="30"/>
          <w:szCs w:val="30"/>
          <w:lang w:val="en-US" w:eastAsia="zh-CN"/>
        </w:rPr>
        <w:t>25</w:t>
      </w:r>
      <w:r>
        <w:rPr>
          <w:rFonts w:hint="eastAsia" w:ascii="仿宋" w:hAnsi="仿宋" w:eastAsia="仿宋"/>
          <w:sz w:val="30"/>
          <w:szCs w:val="30"/>
        </w:rPr>
        <w:t>%。决算数较年初预算数减少的主要原因是：</w:t>
      </w:r>
      <w:r>
        <w:rPr>
          <w:rFonts w:hint="eastAsia" w:ascii="仿宋" w:hAnsi="仿宋" w:eastAsia="仿宋"/>
          <w:sz w:val="30"/>
          <w:szCs w:val="30"/>
          <w:lang w:eastAsia="zh-CN"/>
        </w:rPr>
        <w:t>接待单位人数减少</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0</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 xml:space="preserve">预算的 </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%。决算数较年初预算数增加（的主要原因是：</w:t>
      </w:r>
      <w:r>
        <w:rPr>
          <w:rFonts w:hint="eastAsia" w:ascii="仿宋" w:hAnsi="仿宋" w:eastAsia="仿宋"/>
          <w:sz w:val="30"/>
          <w:szCs w:val="30"/>
          <w:lang w:eastAsia="zh-CN"/>
        </w:rPr>
        <w:t>无支出</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w:t>
      </w:r>
      <w:r>
        <w:rPr>
          <w:rFonts w:hint="eastAsia" w:ascii="仿宋" w:hAnsi="仿宋" w:eastAsia="仿宋"/>
          <w:sz w:val="30"/>
          <w:szCs w:val="30"/>
          <w:lang w:val="en-US" w:eastAsia="zh-CN"/>
        </w:rPr>
        <w:t>0</w:t>
      </w:r>
      <w:r>
        <w:rPr>
          <w:rFonts w:hint="eastAsia" w:ascii="仿宋" w:hAnsi="仿宋" w:eastAsia="仿宋"/>
          <w:sz w:val="30"/>
          <w:szCs w:val="30"/>
        </w:rPr>
        <w:t>的主要原因是：</w:t>
      </w:r>
      <w:r>
        <w:rPr>
          <w:rFonts w:hint="eastAsia" w:ascii="仿宋" w:hAnsi="仿宋" w:eastAsia="仿宋"/>
          <w:sz w:val="30"/>
          <w:szCs w:val="30"/>
          <w:lang w:eastAsia="zh-CN"/>
        </w:rPr>
        <w:t>无支出</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39.85</w:t>
      </w:r>
      <w:r>
        <w:rPr>
          <w:rFonts w:hint="eastAsia" w:ascii="仿宋" w:hAnsi="仿宋" w:eastAsia="仿宋"/>
          <w:sz w:val="30"/>
          <w:szCs w:val="30"/>
        </w:rPr>
        <w:t>万元（与部门决算中行政单位和参照公务员法管理事业单位一般公共预算财政拨款基本支出中公用经费之和保持一致），较年初预算数增加</w:t>
      </w:r>
      <w:r>
        <w:rPr>
          <w:rFonts w:hint="eastAsia" w:ascii="仿宋" w:hAnsi="仿宋" w:eastAsia="仿宋"/>
          <w:sz w:val="30"/>
          <w:szCs w:val="30"/>
          <w:lang w:val="en-US" w:eastAsia="zh-CN"/>
        </w:rPr>
        <w:t>17.58</w:t>
      </w:r>
      <w:r>
        <w:rPr>
          <w:rFonts w:hint="eastAsia" w:ascii="仿宋" w:hAnsi="仿宋" w:eastAsia="仿宋"/>
          <w:sz w:val="30"/>
          <w:szCs w:val="30"/>
        </w:rPr>
        <w:t>万元，增长</w:t>
      </w:r>
      <w:r>
        <w:rPr>
          <w:rFonts w:hint="eastAsia" w:ascii="仿宋" w:hAnsi="仿宋" w:eastAsia="仿宋"/>
          <w:sz w:val="30"/>
          <w:szCs w:val="30"/>
          <w:lang w:val="en-US" w:eastAsia="zh-CN"/>
        </w:rPr>
        <w:t>44.11</w:t>
      </w:r>
      <w:r>
        <w:rPr>
          <w:rFonts w:hint="eastAsia" w:ascii="仿宋" w:hAnsi="仿宋" w:eastAsia="仿宋"/>
          <w:sz w:val="30"/>
          <w:szCs w:val="30"/>
        </w:rPr>
        <w:t>%，主要原因是：</w:t>
      </w:r>
      <w:r>
        <w:rPr>
          <w:rFonts w:hint="eastAsia" w:ascii="仿宋" w:hAnsi="仿宋" w:eastAsia="仿宋"/>
          <w:sz w:val="30"/>
          <w:szCs w:val="30"/>
          <w:lang w:eastAsia="zh-CN"/>
        </w:rPr>
        <w:t>业务活动开展增加，行政成本增加</w:t>
      </w:r>
      <w:r>
        <w:rPr>
          <w:rFonts w:hint="eastAsia" w:ascii="仿宋" w:hAnsi="仿宋" w:eastAsia="仿宋"/>
          <w:sz w:val="30"/>
          <w:szCs w:val="30"/>
        </w:rPr>
        <w:t>。</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5"/>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1.23</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1.23</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0</w:t>
      </w:r>
      <w:r>
        <w:rPr>
          <w:rFonts w:hint="eastAsia" w:ascii="仿宋" w:hAnsi="仿宋" w:eastAsia="仿宋"/>
          <w:sz w:val="30"/>
          <w:szCs w:val="30"/>
        </w:rPr>
        <w:t>万元。授予中小企业合同金额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 xml:space="preserve"> %。（省级部门公开的政府采购金额的计算口径为：本部门纳入201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lang w:val="en-US" w:eastAsia="zh-CN"/>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ind w:firstLine="630"/>
        <w:jc w:val="left"/>
        <w:rPr>
          <w:rFonts w:hint="eastAsia" w:ascii="仿宋" w:hAnsi="仿宋" w:eastAsia="仿宋" w:cs="Times New Roman"/>
          <w:sz w:val="30"/>
          <w:szCs w:val="30"/>
          <w:lang w:val="en-US" w:eastAsia="zh-CN"/>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w:t>
      </w:r>
      <w:r>
        <w:rPr>
          <w:rFonts w:hint="eastAsia" w:ascii="仿宋" w:hAnsi="仿宋" w:eastAsia="仿宋" w:cs="仿宋_GB2312"/>
          <w:kern w:val="0"/>
          <w:sz w:val="30"/>
          <w:szCs w:val="30"/>
          <w:lang w:eastAsia="zh-CN"/>
        </w:rPr>
        <w:t>整体</w:t>
      </w:r>
      <w:r>
        <w:rPr>
          <w:rFonts w:hint="eastAsia" w:ascii="仿宋" w:hAnsi="仿宋" w:eastAsia="仿宋" w:cs="仿宋_GB2312"/>
          <w:kern w:val="0"/>
          <w:sz w:val="30"/>
          <w:szCs w:val="30"/>
        </w:rPr>
        <w:t>支出全面开展绩效自评，从评价情况来看，</w:t>
      </w:r>
      <w:r>
        <w:rPr>
          <w:rFonts w:hint="eastAsia" w:ascii="仿宋" w:hAnsi="仿宋" w:eastAsia="仿宋" w:cs="Times New Roman"/>
          <w:sz w:val="30"/>
          <w:szCs w:val="30"/>
          <w:lang w:val="en-US" w:eastAsia="zh-CN"/>
        </w:rPr>
        <w:t>1、提高对全面预算管理的重视程度。建立以绩效为导向的预算编制模式，借鉴其他部门在绩效管理方面的经验和做法，制定绩效管理制度，并将其贯彻到预算申请、预算分配、项目实施和绩效考评的全过程。</w:t>
      </w:r>
    </w:p>
    <w:p>
      <w:pPr>
        <w:ind w:firstLine="630"/>
        <w:jc w:val="left"/>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2、强化课题的调研，提高调研工作的质量，提升提案议案的影响力。</w:t>
      </w:r>
    </w:p>
    <w:p>
      <w:pPr>
        <w:ind w:firstLine="63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3、实施预算进度跟踪，合理支出预算资金，做到目标管理与执行进度跟踪统一，项目产出与效益管理的统一。</w:t>
      </w:r>
    </w:p>
    <w:p>
      <w:pPr>
        <w:ind w:firstLine="63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4、加强机关效能建设，注重教育培训工作，提高干部的管理素质。</w:t>
      </w:r>
    </w:p>
    <w:p>
      <w:pPr>
        <w:ind w:firstLine="630"/>
        <w:jc w:val="left"/>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5、注重基层组织建设，建立完善激励制度，发挥基层组织的作用。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600" w:firstLineChars="200"/>
        <w:jc w:val="both"/>
        <w:textAlignment w:val="auto"/>
        <w:outlineLvl w:val="9"/>
        <w:rPr>
          <w:rFonts w:hint="eastAsia" w:ascii="仿宋" w:hAnsi="仿宋" w:eastAsia="仿宋" w:cs="仿宋_GB2312"/>
          <w:kern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outlineLvl w:val="9"/>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outlineLvl w:val="9"/>
        <w:rPr>
          <w:rFonts w:hint="eastAsia" w:ascii="仿宋" w:hAnsi="仿宋" w:eastAsia="仿宋" w:cs="仿宋_GB2312"/>
          <w:kern w:val="0"/>
          <w:sz w:val="30"/>
          <w:szCs w:val="30"/>
        </w:rPr>
      </w:pPr>
      <w:r>
        <w:rPr>
          <w:rFonts w:hint="eastAsia" w:ascii="仿宋" w:hAnsi="仿宋" w:eastAsia="仿宋" w:cs="仿宋_GB2312"/>
          <w:kern w:val="0"/>
          <w:sz w:val="30"/>
          <w:szCs w:val="30"/>
        </w:rPr>
        <w:t>我部门今年在省级部门决算中反映</w:t>
      </w:r>
      <w:r>
        <w:rPr>
          <w:rFonts w:hint="eastAsia" w:ascii="仿宋" w:hAnsi="仿宋" w:eastAsia="仿宋" w:cs="仿宋_GB2312"/>
          <w:kern w:val="0"/>
          <w:sz w:val="30"/>
          <w:szCs w:val="30"/>
          <w:lang w:eastAsia="zh-CN"/>
        </w:rPr>
        <w:t>整体支出</w:t>
      </w:r>
      <w:r>
        <w:rPr>
          <w:rFonts w:hint="eastAsia" w:ascii="仿宋" w:hAnsi="仿宋" w:eastAsia="仿宋" w:cs="仿宋_GB2312"/>
          <w:kern w:val="0"/>
          <w:sz w:val="30"/>
          <w:szCs w:val="30"/>
        </w:rPr>
        <w:t>绩效自评结果。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outlineLvl w:val="9"/>
        <w:rPr>
          <w:rFonts w:hint="eastAsia" w:ascii="仿宋" w:hAnsi="仿宋" w:eastAsia="仿宋" w:cs="仿宋_GB2312"/>
          <w:kern w:val="0"/>
          <w:sz w:val="30"/>
          <w:szCs w:val="30"/>
        </w:rPr>
      </w:pPr>
      <w:r>
        <w:rPr>
          <w:rFonts w:hint="eastAsia" w:ascii="仿宋" w:hAnsi="仿宋" w:eastAsia="仿宋" w:cs="仿宋_GB2312"/>
          <w:kern w:val="0"/>
          <w:sz w:val="30"/>
          <w:szCs w:val="30"/>
        </w:rPr>
        <w:t>绩效自评综述：</w:t>
      </w:r>
    </w:p>
    <w:p>
      <w:pPr>
        <w:ind w:firstLine="63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(一）优秀经验及做法</w:t>
      </w:r>
      <w:bookmarkStart w:id="0" w:name="_Toc27453_WPSOffice_Level2"/>
    </w:p>
    <w:p>
      <w:pPr>
        <w:ind w:firstLine="63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2019年，一批民革党员获得全国及省、市级表彰，刘文斌同志入选国家百千万人才工程，并被授予“有突出贡献中青年专家”荣誉称号；蔡文娟同志被授予“江西省巾帼建功标兵”荣誉称号；蔡文娟、陈菊荣、田田等三名同志被评为“景德镇市劳动模范”。</w:t>
      </w:r>
    </w:p>
    <w:p>
      <w:pPr>
        <w:ind w:firstLine="63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一、围绕经济社会发展大局，不断增强履职实效。</w:t>
      </w:r>
    </w:p>
    <w:p>
      <w:pPr>
        <w:ind w:firstLine="63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围绕“景德镇国家陶瓷文化传承创新试验区”建设主动作为，承接民革江西省委会《借力“国际陶瓷博览会” 开启景德镇对话世界新篇章》课题，提出做好战略层面引领、做好操作层面协调、加强优势产业联动发展等12条建议，该报告入选省政协书面大会发言材料。其中《关于提升景德镇“国际陶瓷博览会”的建议》被省政协列为重点督办提案，主笔江志瑜同志荣获2019年度为民革省委会参政议政工作先进个人。</w:t>
      </w:r>
    </w:p>
    <w:p>
      <w:pPr>
        <w:ind w:firstLine="63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积极参与中共景德镇市委、市委统战部召开的专题协商座谈会、人事协商座谈会、调研协商座谈会、情况通报会等10余次，围绕脱贫攻坚民主监督、全省经济工作、法院和检察院工作、发展改革工作等提出意见建议。参加景德镇市党外人士座谈会和市政府工作报告协商会，都提出有价值的建议。在市政协十三届四次会议上，大会口头发言《打造特色背街小巷 塑造国际瓷都新形象》得到钟书记重要批示并被列为市政协列为重点督办提案。</w:t>
      </w:r>
    </w:p>
    <w:p>
      <w:pPr>
        <w:ind w:firstLine="63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贴近基层、深入一线，撰写社情民意信息，促进了一批热点难点问题的有效解决。全年共向市政协报送社情民意信息12条，向省民革报送社情民意信息4条，其中1条被省政协采用。抗击新冠肺炎疫情期间，广大党员积极建言献策，《关于超市预防新型冠状病毒传播的建议》等社情民意信息被民革省委会采纳。</w:t>
      </w:r>
    </w:p>
    <w:p>
      <w:pPr>
        <w:ind w:firstLine="63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二、扎实推进脱贫攻坚民主监督，提升社会服务能力。</w:t>
      </w:r>
    </w:p>
    <w:p>
      <w:pPr>
        <w:ind w:firstLine="63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突出重点开展脱贫攻坚民主监督，市委会多次赴乐平市洪岩镇、高家镇、临港镇开展脱贫攻坚民主监督工作，围绕脱贫攻坚可持续发展、教育扶贫、问题落实整改等方面开展监督。利用民革江西省企业家联谊会景德镇分会的资源优势，发挥民革经济领域人才和资源优势，从乡村旅游、特色农业、农产品产销等领域入手，积极参与支持产业扶贫。</w:t>
      </w:r>
    </w:p>
    <w:p>
      <w:pPr>
        <w:ind w:firstLine="63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强化社会服务品牌建设。联合浙江商会、晨阳志愿者协会、益启行动志愿者协会举办“行善有道.善行天下”爱心慈善联欢会，开展“关爱老兵”慈善活动，共募集善款4万余万元。全市各级组织持续推进“博爱牵手活动”开展，共开展法律援助、法律咨询、义诊、关爱留守儿童、留守老人等活动10余次，受益群众200余人次。</w:t>
      </w:r>
    </w:p>
    <w:p>
      <w:pPr>
        <w:ind w:firstLine="63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三、拓宽赣台交流渠道，稳步推进祖统工作。引导全市民革党员密切关注两岸热点问题。开展了走访龙艺、宝哥、台达等台资企业、联系台商工作，拓宽台湾同胞意见表达、思想转化的渠道。参加中共景德镇市委统战部举办的全市港澳台统战工作研讨会，发挥桥梁纽带作用，团结广大港澳台同胞回报桑梓、为国服务。</w:t>
      </w:r>
    </w:p>
    <w:p>
      <w:pPr>
        <w:ind w:firstLine="63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四、其它工作</w:t>
      </w:r>
    </w:p>
    <w:p>
      <w:pPr>
        <w:ind w:firstLine="63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1，以思想政治建设为统领，夯实共同思想政治基础。深入开展“不忘合作初心，继续携手前进”主题教育活动。开展形式多样、内容丰富的系列庆祝活动。做好宣传阵地线上线下建设。</w:t>
      </w:r>
    </w:p>
    <w:p>
      <w:pPr>
        <w:ind w:firstLine="63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2、“五型三化”机关建设取得新成效。市委会强化机关作风建设，规范机关内部管理，压实各项工作责任。</w:t>
      </w:r>
    </w:p>
    <w:p>
      <w:pPr>
        <w:ind w:firstLine="63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（二）主要存在问题</w:t>
      </w:r>
      <w:bookmarkEnd w:id="0"/>
    </w:p>
    <w:p>
      <w:pPr>
        <w:ind w:firstLine="63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 xml:space="preserve">1、预算绩效目标设置有待改进的地方。部门整体支出绩效目标缺乏基础和依据，预算精确度待提高，缺乏分项预算金额。  </w:t>
      </w:r>
    </w:p>
    <w:p>
      <w:pPr>
        <w:ind w:firstLine="63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2、思想政治建设还需提高。干部的服务意识需增强，机关工作效能还需提高。</w:t>
      </w:r>
    </w:p>
    <w:p>
      <w:pPr>
        <w:ind w:firstLine="63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3、参政议政能力需提高，高质量的参政议政成果不多，社情民意信息工作还需深入。</w:t>
      </w:r>
    </w:p>
    <w:p>
      <w:pPr>
        <w:ind w:firstLine="63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4、高层次人才发展及后备干部的培养还需加大，后备干部储备不足，基层组织的活力发挥不够。　</w:t>
      </w:r>
    </w:p>
    <w:p>
      <w:pPr>
        <w:ind w:firstLine="630"/>
        <w:jc w:val="left"/>
        <w:rPr>
          <w:rFonts w:hint="eastAsia" w:ascii="仿宋" w:hAnsi="仿宋" w:eastAsia="仿宋" w:cs="Times New Roman"/>
          <w:sz w:val="30"/>
          <w:szCs w:val="30"/>
          <w:lang w:val="en-US" w:eastAsia="zh-CN"/>
        </w:rPr>
      </w:pPr>
      <w:bookmarkStart w:id="1" w:name="_Toc26819_WPSOffice_Level2"/>
      <w:r>
        <w:rPr>
          <w:rFonts w:hint="eastAsia" w:ascii="仿宋" w:hAnsi="仿宋" w:eastAsia="仿宋" w:cs="Times New Roman"/>
          <w:sz w:val="30"/>
          <w:szCs w:val="30"/>
          <w:lang w:val="en-US" w:eastAsia="zh-CN"/>
        </w:rPr>
        <w:t>（三）整改措施</w:t>
      </w:r>
      <w:bookmarkEnd w:id="1"/>
    </w:p>
    <w:p>
      <w:pPr>
        <w:ind w:firstLine="63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1、提高对全面预算管理的重视程度。建立以绩效为导向的预算编制模式，借鉴其他部门在绩效管理方面的经验和做法，制定绩效管理制度，并将其贯彻到预算申请、预算分配、项目实施和绩效考评的全过程。</w:t>
      </w:r>
    </w:p>
    <w:p>
      <w:pPr>
        <w:ind w:firstLine="630"/>
        <w:jc w:val="left"/>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2、强化课题的调研，提高调研的深度和广度，顺应市民的关注，提升提案议案的质量。</w:t>
      </w:r>
    </w:p>
    <w:p>
      <w:pPr>
        <w:ind w:firstLine="63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3、实施预算进度跟踪，合理支出预算资金，做到目标管理与执行进度跟踪统一，项目产出与效益管理的统一。</w:t>
      </w:r>
    </w:p>
    <w:p>
      <w:pPr>
        <w:ind w:firstLine="63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4、加强机关效能建设，注重教育培训工作，构建有效的激励机制，着力提高干部的专业素质。</w:t>
      </w:r>
    </w:p>
    <w:p>
      <w:pPr>
        <w:ind w:firstLine="630"/>
        <w:jc w:val="left"/>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5、注重基层组织建设，加强新社员的发展工作，完善规章制度，进一步激活基层组织的活力。</w:t>
      </w:r>
    </w:p>
    <w:p>
      <w:pPr>
        <w:ind w:firstLine="630"/>
        <w:jc w:val="left"/>
        <w:rPr>
          <w:rFonts w:hint="eastAsia" w:ascii="仿宋" w:hAnsi="仿宋" w:eastAsia="仿宋" w:cs="Times New Roman"/>
          <w:sz w:val="30"/>
          <w:szCs w:val="30"/>
          <w:lang w:eastAsia="zh-CN"/>
        </w:rPr>
      </w:pPr>
    </w:p>
    <w:p>
      <w:pPr>
        <w:ind w:firstLine="630"/>
        <w:jc w:val="left"/>
        <w:rPr>
          <w:rFonts w:hint="eastAsia" w:ascii="仿宋" w:hAnsi="仿宋" w:eastAsia="仿宋" w:cs="Times New Roman"/>
          <w:sz w:val="30"/>
          <w:szCs w:val="30"/>
          <w:lang w:eastAsia="zh-CN"/>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5"/>
        <w:spacing w:line="600" w:lineRule="atLeast"/>
        <w:ind w:firstLine="600"/>
        <w:rPr>
          <w:rFonts w:hint="eastAsia" w:ascii="仿宋" w:hAnsi="仿宋" w:eastAsia="仿宋"/>
          <w:sz w:val="30"/>
          <w:szCs w:val="30"/>
        </w:rPr>
      </w:pPr>
    </w:p>
    <w:p>
      <w:pPr>
        <w:pStyle w:val="5"/>
        <w:spacing w:line="600" w:lineRule="atLeast"/>
        <w:ind w:firstLine="600"/>
        <w:rPr>
          <w:rFonts w:hint="eastAsia" w:ascii="黑体" w:hAnsi="黑体" w:eastAsia="黑体" w:cs="黑体"/>
          <w:b w:val="0"/>
          <w:bCs w:val="0"/>
          <w:sz w:val="30"/>
          <w:szCs w:val="30"/>
        </w:rPr>
      </w:pPr>
      <w:r>
        <w:rPr>
          <w:rFonts w:hint="eastAsia" w:ascii="仿宋" w:hAnsi="仿宋" w:eastAsia="仿宋"/>
          <w:kern w:val="0"/>
          <w:sz w:val="30"/>
          <w:szCs w:val="30"/>
        </w:rPr>
        <w:t xml:space="preserve">    </w:t>
      </w:r>
      <w:r>
        <w:rPr>
          <w:rFonts w:hint="eastAsia" w:ascii="黑体" w:hAnsi="黑体" w:eastAsia="黑体" w:cs="黑体"/>
          <w:b w:val="0"/>
          <w:bCs w:val="0"/>
          <w:sz w:val="30"/>
          <w:szCs w:val="30"/>
        </w:rPr>
        <w:t xml:space="preserve">一、收入科目 </w:t>
      </w:r>
    </w:p>
    <w:p>
      <w:pPr>
        <w:pStyle w:val="5"/>
        <w:spacing w:line="600" w:lineRule="atLeast"/>
        <w:ind w:firstLine="600"/>
        <w:rPr>
          <w:rFonts w:hint="eastAsia" w:ascii="仿宋" w:hAnsi="仿宋" w:eastAsia="仿宋" w:cs="仿宋"/>
          <w:sz w:val="30"/>
          <w:szCs w:val="30"/>
        </w:rPr>
      </w:pPr>
      <w:r>
        <w:rPr>
          <w:rFonts w:hint="eastAsia" w:ascii="仿宋" w:hAnsi="仿宋" w:eastAsia="仿宋" w:cs="仿宋"/>
          <w:sz w:val="30"/>
          <w:szCs w:val="30"/>
        </w:rPr>
        <w:t>（一）财政拨款：指省级财政当年拨付的资金。</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rPr>
        <w:t>（</w:t>
      </w:r>
      <w:r>
        <w:rPr>
          <w:rFonts w:hint="eastAsia" w:ascii="仿宋" w:hAnsi="仿宋" w:eastAsia="仿宋" w:cs="仿宋"/>
          <w:sz w:val="30"/>
          <w:szCs w:val="30"/>
          <w:lang w:eastAsia="zh-CN"/>
        </w:rPr>
        <w:t>二</w:t>
      </w:r>
      <w:r>
        <w:rPr>
          <w:rFonts w:hint="eastAsia" w:ascii="仿宋" w:hAnsi="仿宋" w:eastAsia="仿宋" w:cs="仿宋"/>
          <w:sz w:val="30"/>
          <w:szCs w:val="30"/>
        </w:rPr>
        <w:t>）上年结转和结余：</w:t>
      </w:r>
      <w:r>
        <w:rPr>
          <w:rFonts w:hint="eastAsia" w:ascii="仿宋" w:hAnsi="仿宋" w:eastAsia="仿宋" w:cs="仿宋"/>
          <w:sz w:val="30"/>
          <w:szCs w:val="30"/>
          <w:lang w:eastAsia="zh-CN"/>
        </w:rPr>
        <w:t>指以前年度尚未完成，结转到本年仍按原规定用途继续使用的资金。</w:t>
      </w:r>
    </w:p>
    <w:p>
      <w:pPr>
        <w:pStyle w:val="5"/>
        <w:spacing w:line="600" w:lineRule="atLeast"/>
        <w:ind w:firstLine="600"/>
        <w:rPr>
          <w:rFonts w:hint="eastAsia" w:ascii="黑体" w:hAnsi="黑体" w:eastAsia="黑体" w:cs="黑体"/>
          <w:sz w:val="30"/>
          <w:szCs w:val="30"/>
        </w:rPr>
      </w:pPr>
      <w:r>
        <w:rPr>
          <w:rFonts w:hint="eastAsia" w:ascii="黑体" w:hAnsi="黑体" w:eastAsia="黑体" w:cs="黑体"/>
          <w:sz w:val="30"/>
          <w:szCs w:val="30"/>
        </w:rPr>
        <w:t xml:space="preserve"> 二、支出科目 </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rPr>
        <w:t>（一）</w:t>
      </w:r>
      <w:r>
        <w:rPr>
          <w:rFonts w:hint="eastAsia" w:ascii="仿宋" w:hAnsi="仿宋" w:eastAsia="仿宋"/>
          <w:sz w:val="30"/>
          <w:szCs w:val="30"/>
        </w:rPr>
        <w:t>一般公共服务</w:t>
      </w:r>
      <w:r>
        <w:rPr>
          <w:rFonts w:hint="eastAsia" w:ascii="仿宋" w:hAnsi="仿宋" w:eastAsia="仿宋" w:cs="仿宋"/>
          <w:sz w:val="30"/>
          <w:szCs w:val="30"/>
          <w:lang w:eastAsia="zh-CN"/>
        </w:rPr>
        <w:t>：反映各民主党派用于保障机构正常运行，各项业务活动的支出。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行政运行：反映行政单位的基本支出。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其他民主党派及工商联事务支出：反映除上述项目以外其他用于民主党派及工商联事务方面的支出。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（二）社会保障和就业支出：反映本单位用于未归口管理的行政事业单位离退休经费开支，机关事业单位实施养老保险制度由单位缴纳的基本养老保险费支出。 </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（三）医疗卫生与计划生育支出：反映本单位用于缴交职工基本医疗保险的补助支出。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（四）住房保障支出：反映单位按照国家政策规定，对无房和住房未达标职工发放的住房货币化改革补贴资金。</w:t>
      </w:r>
    </w:p>
    <w:p>
      <w:pPr>
        <w:pStyle w:val="5"/>
        <w:numPr>
          <w:ilvl w:val="0"/>
          <w:numId w:val="0"/>
        </w:numPr>
        <w:spacing w:line="600" w:lineRule="atLeast"/>
        <w:ind w:left="720" w:leftChars="0"/>
        <w:rPr>
          <w:rFonts w:hint="eastAsia"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“三公”经费</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纳入市级财政决算管理的“三公”经费，是指用于财政拨款安排的因公出国（境）费、公务用车购置及运行费和公务接待费。</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其中：因公出国（境）反映单位公务出国（境）的国际旅费、国外城市间交通费、住宿费、伙食费、培训费、公杂费等支出；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公务用车购置及运行费反映单位公务用车车辆购置支出（含车辆购置税）及租用费、燃料费、维修费、过路过桥费、保险费、安全奖励费用等支出；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公务接待费反映单位按规定开支的各类公务接待（含外宾接待）支出运行公务接待费。</w:t>
      </w:r>
    </w:p>
    <w:p>
      <w:pPr>
        <w:pStyle w:val="5"/>
        <w:numPr>
          <w:ilvl w:val="0"/>
          <w:numId w:val="0"/>
        </w:numPr>
        <w:spacing w:line="600" w:lineRule="atLeast"/>
        <w:ind w:left="750" w:leftChars="0"/>
        <w:rPr>
          <w:rFonts w:hint="eastAsia" w:ascii="黑体" w:hAnsi="黑体" w:eastAsia="黑体" w:cs="黑体"/>
          <w:sz w:val="30"/>
          <w:szCs w:val="30"/>
        </w:rPr>
      </w:pPr>
      <w:r>
        <w:rPr>
          <w:rFonts w:hint="eastAsia" w:ascii="黑体" w:hAnsi="黑体" w:eastAsia="黑体" w:cs="黑体"/>
          <w:sz w:val="30"/>
          <w:szCs w:val="30"/>
          <w:lang w:eastAsia="zh-CN"/>
        </w:rPr>
        <w:t>四、</w:t>
      </w:r>
      <w:r>
        <w:rPr>
          <w:rFonts w:hint="eastAsia" w:ascii="黑体" w:hAnsi="黑体" w:eastAsia="黑体" w:cs="黑体"/>
          <w:sz w:val="30"/>
          <w:szCs w:val="30"/>
        </w:rPr>
        <w:t xml:space="preserve">机关运行经费 </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按照财政部《地方预决算公开操作规程》明确的口径， 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名词解释应以财务会计制度、政府收支分类科目以及部门预算管理等规定为基本说明，可在此基础上结合部门实际情况适当细化。“三公”经费支出和机关运行经费支出口径必需予以说明。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013EF6"/>
    <w:rsid w:val="2CA83B89"/>
    <w:rsid w:val="32C04EF8"/>
    <w:rsid w:val="352A495A"/>
    <w:rsid w:val="3CAC1C0E"/>
    <w:rsid w:val="4A2A7E5F"/>
    <w:rsid w:val="4BB02704"/>
    <w:rsid w:val="4F381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p0"/>
    <w:basedOn w:val="1"/>
    <w:qFormat/>
    <w:uiPriority w:val="0"/>
    <w:pPr>
      <w:widowControl/>
    </w:pPr>
    <w:rPr>
      <w:kern w:val="0"/>
      <w:szCs w:val="21"/>
    </w:rPr>
  </w:style>
  <w:style w:type="paragraph" w:customStyle="1" w:styleId="6">
    <w:name w:val="闻政正文"/>
    <w:basedOn w:val="1"/>
    <w:qFormat/>
    <w:uiPriority w:val="0"/>
    <w:pPr>
      <w:spacing w:line="500" w:lineRule="exact"/>
      <w:ind w:firstLine="560" w:firstLineChars="200"/>
    </w:pPr>
    <w:rPr>
      <w:rFonts w:eastAsia="仿宋_GB2312"/>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超</cp:lastModifiedBy>
  <dcterms:modified xsi:type="dcterms:W3CDTF">2020-10-14T02:01:42Z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