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b/>
          <w:spacing w:val="-20"/>
          <w:sz w:val="44"/>
          <w:szCs w:val="44"/>
        </w:rPr>
      </w:pPr>
      <w:r>
        <w:rPr>
          <w:rFonts w:hint="eastAsia" w:ascii="方正小标宋简体" w:eastAsia="方正小标宋简体"/>
          <w:b/>
          <w:spacing w:val="-20"/>
          <w:sz w:val="44"/>
          <w:szCs w:val="44"/>
        </w:rPr>
        <w:t>景德镇市推进国家生态文明试验区建设</w:t>
      </w:r>
    </w:p>
    <w:p>
      <w:pPr>
        <w:spacing w:line="360" w:lineRule="auto"/>
        <w:jc w:val="center"/>
        <w:rPr>
          <w:rFonts w:ascii="方正小标宋简体" w:eastAsia="方正小标宋简体"/>
          <w:b/>
          <w:spacing w:val="-20"/>
          <w:sz w:val="44"/>
          <w:szCs w:val="44"/>
        </w:rPr>
      </w:pPr>
      <w:r>
        <w:rPr>
          <w:rFonts w:hint="eastAsia" w:ascii="方正小标宋简体" w:eastAsia="方正小标宋简体"/>
          <w:b/>
          <w:spacing w:val="-20"/>
          <w:sz w:val="44"/>
          <w:szCs w:val="44"/>
        </w:rPr>
        <w:t>情况报告</w:t>
      </w:r>
    </w:p>
    <w:p>
      <w:pPr>
        <w:spacing w:line="360" w:lineRule="auto"/>
        <w:rPr>
          <w:rFonts w:ascii="宋体" w:hAnsi="宋体" w:eastAsia="仿宋_GB2312" w:cs="宋体"/>
          <w:color w:val="000000"/>
          <w:sz w:val="32"/>
          <w:szCs w:val="32"/>
        </w:rPr>
      </w:pPr>
    </w:p>
    <w:p>
      <w:pPr>
        <w:spacing w:line="360" w:lineRule="auto"/>
        <w:ind w:firstLine="640" w:firstLineChars="200"/>
        <w:rPr>
          <w:rFonts w:ascii="宋体" w:hAnsi="宋体" w:eastAsia="仿宋_GB2312" w:cs="Times New Roman"/>
          <w:color w:val="000000"/>
          <w:sz w:val="32"/>
          <w:szCs w:val="32"/>
        </w:rPr>
      </w:pPr>
      <w:r>
        <w:rPr>
          <w:rFonts w:hint="eastAsia" w:ascii="宋体" w:hAnsi="宋体" w:eastAsia="仿宋_GB2312" w:cs="宋体"/>
          <w:color w:val="000000"/>
          <w:sz w:val="32"/>
          <w:szCs w:val="32"/>
        </w:rPr>
        <w:t>近年来，景德镇市深入贯彻落实习近平总书记关于生态文明建设重要战略思想，按照省第十四次党代会上提出的景德镇要在打造美丽中国“江西样板”上多出经验的要求，对标</w:t>
      </w:r>
      <w:r>
        <w:rPr>
          <w:rFonts w:hint="eastAsia" w:ascii="宋体" w:hAnsi="宋体" w:eastAsia="仿宋_GB2312" w:cs="Times New Roman"/>
          <w:color w:val="222222"/>
          <w:sz w:val="32"/>
          <w:szCs w:val="32"/>
        </w:rPr>
        <w:t>国家生态文明试验区建设的总体要求和</w:t>
      </w:r>
      <w:r>
        <w:rPr>
          <w:rFonts w:hint="eastAsia" w:ascii="宋体" w:hAnsi="宋体" w:eastAsia="仿宋_GB2312"/>
          <w:color w:val="222222"/>
          <w:sz w:val="32"/>
          <w:szCs w:val="32"/>
        </w:rPr>
        <w:t>六大制度体系等重点</w:t>
      </w:r>
      <w:r>
        <w:rPr>
          <w:rFonts w:hint="eastAsia" w:ascii="宋体" w:hAnsi="宋体" w:eastAsia="仿宋_GB2312" w:cs="Times New Roman"/>
          <w:color w:val="222222"/>
          <w:sz w:val="32"/>
          <w:szCs w:val="32"/>
        </w:rPr>
        <w:t>目标任务，着力在</w:t>
      </w:r>
      <w:r>
        <w:rPr>
          <w:rFonts w:hint="eastAsia" w:ascii="宋体" w:hAnsi="宋体" w:eastAsia="仿宋_GB2312" w:cs="Times New Roman"/>
          <w:color w:val="000000"/>
          <w:sz w:val="32"/>
          <w:szCs w:val="32"/>
        </w:rPr>
        <w:t>严格</w:t>
      </w:r>
      <w:r>
        <w:rPr>
          <w:rFonts w:hint="eastAsia" w:ascii="宋体" w:hAnsi="宋体" w:eastAsia="仿宋_GB2312" w:cs="Times New Roman"/>
          <w:kern w:val="0"/>
          <w:sz w:val="32"/>
          <w:szCs w:val="32"/>
        </w:rPr>
        <w:t>生态保护、培育绿色产业、提升共建共享、创新绿色制度等方面积极探索，生态文明试验区建设取得积极成效</w:t>
      </w:r>
      <w:r>
        <w:rPr>
          <w:rFonts w:hint="eastAsia" w:ascii="宋体" w:hAnsi="宋体" w:eastAsia="仿宋_GB2312" w:cs="Times New Roman"/>
          <w:color w:val="000000"/>
          <w:sz w:val="32"/>
          <w:szCs w:val="32"/>
        </w:rPr>
        <w:t>。</w:t>
      </w:r>
    </w:p>
    <w:p>
      <w:pPr>
        <w:spacing w:line="360" w:lineRule="auto"/>
        <w:ind w:firstLine="640" w:firstLineChars="200"/>
        <w:outlineLvl w:val="0"/>
        <w:rPr>
          <w:rFonts w:ascii="宋体" w:hAnsi="宋体" w:eastAsia="黑体"/>
          <w:bCs/>
          <w:sz w:val="32"/>
          <w:szCs w:val="32"/>
        </w:rPr>
      </w:pPr>
      <w:r>
        <w:rPr>
          <w:rFonts w:hint="eastAsia" w:ascii="宋体" w:hAnsi="宋体" w:eastAsia="黑体" w:cs="Times New Roman"/>
          <w:bCs/>
          <w:sz w:val="32"/>
          <w:szCs w:val="32"/>
        </w:rPr>
        <w:t>一、进展</w:t>
      </w:r>
      <w:r>
        <w:rPr>
          <w:rFonts w:hint="eastAsia" w:ascii="宋体" w:hAnsi="宋体" w:eastAsia="黑体"/>
          <w:bCs/>
          <w:sz w:val="32"/>
          <w:szCs w:val="32"/>
        </w:rPr>
        <w:t>情况</w:t>
      </w:r>
    </w:p>
    <w:p>
      <w:pPr>
        <w:widowControl/>
        <w:spacing w:line="360" w:lineRule="auto"/>
        <w:ind w:firstLine="645"/>
        <w:jc w:val="left"/>
        <w:rPr>
          <w:rFonts w:ascii="仿宋_GB2312" w:hAnsi="Calibri" w:eastAsia="仿宋_GB2312" w:cs="Times New Roman"/>
          <w:sz w:val="32"/>
          <w:szCs w:val="32"/>
        </w:rPr>
      </w:pPr>
      <w:r>
        <w:rPr>
          <w:rFonts w:hint="eastAsia" w:ascii="仿宋_GB2312" w:hAnsi="Calibri" w:eastAsia="仿宋_GB2312" w:cs="Times New Roman"/>
          <w:b/>
          <w:sz w:val="32"/>
          <w:szCs w:val="32"/>
        </w:rPr>
        <w:t>1、全面开展城乡环境大整治。</w:t>
      </w:r>
      <w:r>
        <w:rPr>
          <w:rFonts w:hint="eastAsia" w:ascii="仿宋_GB2312" w:hAnsi="Calibri" w:eastAsia="仿宋_GB2312" w:cs="Times New Roman"/>
          <w:sz w:val="32"/>
          <w:szCs w:val="32"/>
        </w:rPr>
        <w:t>2017年8月出台《景德镇市市容和环境卫生管理条例》。经江西省第十二届人民代表大会常务委员会第三十四次会议批准，《景德镇市市容和环境卫生管理条例》（以下简称《条例》）于9月1日起正式施行。《条例》规定：加强垃圾分类投放、收集、运输、处理、对产生生活垃圾的单位和个人，应当按照生活垃圾处理费收费标准缴纳生活垃圾处理费；对陶瓷废瓷不得随意倾倒、填埋，由单位和个人统一送市人民政府陶瓷废瓷消纳场所，推行陶瓷废瓷综合利用；强调扬尘污染防治，规定建设主管部门应当根据本部门的职责，加强对建设单位和施工单位防止扬尘责任的监督管理。要求将扬尘污染防治费用列入工程造价，在施工合同中明确施工单位的扬尘污染防治责任；对餐厨垃圾和扬尘产生单位和个人违反垃圾管理规定的，由市容和环境卫生主管部门责令其限期改正，逾期未改正的，视情节轻重处1000-10万不等处罚，一年多时间，该市共清理各类垃圾130多万吨，消除城市“牛皮癣”12万条，清除河岸杂草菜地3万多平方米，清理水域230多万平米。以整齐治乱，重点解决乱搭乱建、乱贴乱画、乱摆乱设的问题，全市拆除违建30多万平方米，拆除临街店面10多万平方米，拆除违建顶棚400多处，拆除蓝顶棚700多处，拆除占道广告牌600多块，清理广告横幅3000多条。这座与世界对话的城市已然踏上了发展的高速公路，宏伟蓝图正向世人徐徐展开。毋庸置疑，随着城乡环境的变美，景德镇人文环境、政务环境、投资环境都在悄然改变，市民荣誉感增强了、干部作风扎实了、外界关注度更高了。人们纷纷评价，这里已然成为宜居宜业宜游的美丽家园。</w:t>
      </w:r>
    </w:p>
    <w:p>
      <w:pPr>
        <w:widowControl/>
        <w:spacing w:line="360" w:lineRule="auto"/>
        <w:ind w:firstLine="645"/>
        <w:jc w:val="left"/>
        <w:rPr>
          <w:rFonts w:ascii="仿宋_GB2312" w:hAnsi="Calibri" w:eastAsia="仿宋_GB2312" w:cs="Times New Roman"/>
          <w:sz w:val="32"/>
          <w:szCs w:val="32"/>
        </w:rPr>
      </w:pPr>
      <w:r>
        <w:rPr>
          <w:rFonts w:hint="eastAsia" w:ascii="仿宋_GB2312" w:hAnsi="Calibri" w:eastAsia="仿宋_GB2312" w:cs="Times New Roman"/>
          <w:b/>
          <w:sz w:val="32"/>
          <w:szCs w:val="32"/>
        </w:rPr>
        <w:t>2、强力开展入河湖排污口整治行动。</w:t>
      </w:r>
      <w:r>
        <w:rPr>
          <w:rFonts w:hint="eastAsia" w:ascii="仿宋_GB2312" w:hAnsi="Calibri" w:eastAsia="仿宋_GB2312" w:cs="Times New Roman"/>
          <w:sz w:val="32"/>
          <w:szCs w:val="32"/>
        </w:rPr>
        <w:t>全面核查入昌江、南河、西河等水系排污口，结合我市“河长制”工作实际，印发严格的《景德镇市水面及河道环境专项整治实施方案》，同步开展侵占河湖水域及岸线、非法采砂、非法设置入河湖排污口、水库水环境综合治理、工矿企业及工业聚集区水污染、城镇生活污水、畜禽养殖污染、农业化学肥料农药零增长、农村生活垃圾及生活污水、船舶港口污染、渔业资源保护、饮用水源保护、城市黑臭水体治理、非法侵占林地破坏湿地和野生动物资源等“清河行动”14项专项整治行动，持续整治河湖“乱占乱建、乱围乱堵、乱采乱挖、乱倒乱排”突出问题，通过加大违法犯罪行为的打击力度，从源头上清理影响河湖健康的各类污染源。截至目前，景德镇市“清河行动”投入整治资金1.93亿元，80个与江河湖泊水域有关的突出问题已经整改到位。开展黑臭水体整治，全面打响了消灭劣Ⅴ类水攻坚战。2017年8月下发了</w:t>
      </w:r>
      <w:r>
        <w:rPr>
          <w:rFonts w:hint="eastAsia" w:ascii="仿宋_GB2312" w:eastAsia="仿宋_GB2312"/>
          <w:color w:val="000000" w:themeColor="text1"/>
          <w:sz w:val="32"/>
          <w:szCs w:val="32"/>
        </w:rPr>
        <w:t>《景德镇市人民政府办公室关于印发景德镇市水污染防治工作方案实施情况考核规定（试行）的通知》和《景德镇市人民政府办公室关于印发景德镇市突发生态环境事件应急预案的通知》，</w:t>
      </w:r>
      <w:r>
        <w:rPr>
          <w:rFonts w:hint="eastAsia" w:ascii="仿宋_GB2312" w:hAnsi="Calibri" w:eastAsia="仿宋_GB2312" w:cs="Times New Roman"/>
          <w:sz w:val="32"/>
          <w:szCs w:val="32"/>
        </w:rPr>
        <w:t>我市积极筹措项目资金，采取系统治理措施，全力推进消灭劣V类水专项整治行动，河流水质明显改善，水生态环境保护取得了阶段性重大成效。目前20个治理项目全部开工建设，其中15个项目已完成，完成投资约5.2亿元。同时，我市确定昌江支流南河、西河，乐安河支流</w:t>
      </w:r>
      <w:r>
        <w:rPr>
          <w:rFonts w:hint="eastAsia" w:ascii="宋体" w:hAnsi="宋体" w:eastAsia="宋体" w:cs="宋体"/>
          <w:sz w:val="32"/>
          <w:szCs w:val="32"/>
        </w:rPr>
        <w:t>磻</w:t>
      </w:r>
      <w:r>
        <w:rPr>
          <w:rFonts w:hint="eastAsia" w:ascii="仿宋_GB2312" w:hAnsi="仿宋_GB2312" w:eastAsia="仿宋_GB2312" w:cs="仿宋_GB2312"/>
          <w:sz w:val="32"/>
          <w:szCs w:val="32"/>
        </w:rPr>
        <w:t>溪水作为示范河流，积极开展流域生态综合治理示范河流试点工作，从</w:t>
      </w:r>
      <w:r>
        <w:rPr>
          <w:rFonts w:hint="eastAsia" w:ascii="仿宋_GB2312" w:hAnsi="Calibri" w:eastAsia="仿宋_GB2312" w:cs="Times New Roman"/>
          <w:sz w:val="32"/>
          <w:szCs w:val="32"/>
        </w:rPr>
        <w:t xml:space="preserve">2017年开始，用3年左右的时间，不断提高河湖流域资源利用效率，提升生态系统质量，改善人居环境，把示范河流打造成保平安绿色的河流、有乡愁故事的河流、藏文化底蕴的河流、能致富造福的河流、可持续发展的河流，实现“河畅、水清、岸绿、景美”的目标。 </w:t>
      </w:r>
    </w:p>
    <w:p>
      <w:pPr>
        <w:spacing w:line="360" w:lineRule="auto"/>
        <w:ind w:firstLine="643" w:firstLineChars="200"/>
        <w:rPr>
          <w:rFonts w:ascii="仿宋_GB2312" w:eastAsia="仿宋_GB2312"/>
          <w:sz w:val="32"/>
          <w:szCs w:val="32"/>
        </w:rPr>
      </w:pPr>
      <w:r>
        <w:rPr>
          <w:rFonts w:hint="eastAsia" w:ascii="仿宋_GB2312" w:hAnsi="Calibri" w:eastAsia="仿宋_GB2312" w:cs="Times New Roman"/>
          <w:b/>
          <w:sz w:val="32"/>
          <w:szCs w:val="32"/>
        </w:rPr>
        <w:t>3、积极开展大气污染防治工作。</w:t>
      </w:r>
      <w:r>
        <w:rPr>
          <w:rFonts w:hint="eastAsia" w:ascii="仿宋_GB2312" w:hAnsi="Calibri" w:eastAsia="仿宋_GB2312" w:cs="Times New Roman"/>
          <w:sz w:val="32"/>
          <w:szCs w:val="32"/>
        </w:rPr>
        <w:t>2014年5月，我市出台了《景德镇市大气污染防治行动计划实施方案》，2017年又下发了</w:t>
      </w:r>
      <w:r>
        <w:rPr>
          <w:rFonts w:hint="eastAsia" w:ascii="仿宋_GB2312" w:eastAsia="仿宋_GB2312"/>
          <w:color w:val="000000" w:themeColor="text1"/>
          <w:sz w:val="32"/>
          <w:szCs w:val="32"/>
        </w:rPr>
        <w:t>《景德镇市人民政府办公室关于中心城区大气污染防治实行网格化管理（试行）的通知》</w:t>
      </w:r>
      <w:r>
        <w:rPr>
          <w:rFonts w:hint="eastAsia" w:ascii="仿宋_GB2312" w:hAnsi="Calibri" w:eastAsia="仿宋_GB2312" w:cs="Times New Roman"/>
          <w:sz w:val="32"/>
          <w:szCs w:val="32"/>
        </w:rPr>
        <w:t>，并制定大气污染防治行动任务分解表。市委、市政府多次调度大气污染防治工作，针对面临的环保严峻形势，要求各级党政领导干部必须要站在讲政治、讲大局的高度，站在对城市负责的态度，站在城市长远发展的角度看问题，始终和党中央国务院、省委省政府、市委市政府保持高度一致，坚决不能有任何侥幸心理、有任何松懈情绪，把扬尘污染治理抓实抓牢。针对重点问题、重点区域、重点项目，采取技术处理、装备处理相结合，吸收外地先进的经验做法，结合我市实际，制定具体方案。落实好部门、企业一把手负责制、属地管理责任制，决不允许出现推诿扯皮，履行好各自职责，见事管事、主动作为，坚决打好这场扬尘污染治理攻坚战。</w:t>
      </w:r>
      <w:r>
        <w:rPr>
          <w:rFonts w:hint="eastAsia" w:ascii="仿宋_GB2312" w:hAnsi="Calibri" w:eastAsia="仿宋_GB2312"/>
          <w:sz w:val="32"/>
          <w:szCs w:val="32"/>
          <w:lang w:val="zh-TW"/>
        </w:rPr>
        <w:t>积极打好“防”“治”组合拳。</w:t>
      </w:r>
      <w:r>
        <w:rPr>
          <w:rFonts w:hint="eastAsia" w:ascii="仿宋_GB2312" w:hAnsi="Calibri" w:eastAsia="仿宋_GB2312" w:cs="Times New Roman"/>
          <w:sz w:val="32"/>
          <w:szCs w:val="32"/>
        </w:rPr>
        <w:t>2017年，我市空气质量优良天数</w:t>
      </w:r>
      <w:r>
        <w:rPr>
          <w:rFonts w:hint="eastAsia" w:ascii="仿宋_GB2312" w:eastAsia="仿宋_GB2312"/>
          <w:sz w:val="32"/>
          <w:szCs w:val="32"/>
        </w:rPr>
        <w:t>达</w:t>
      </w:r>
      <w:r>
        <w:rPr>
          <w:rFonts w:hint="eastAsia" w:ascii="仿宋_GB2312" w:hAnsi="Calibri" w:eastAsia="仿宋_GB2312" w:cs="Times New Roman"/>
          <w:sz w:val="32"/>
          <w:szCs w:val="32"/>
        </w:rPr>
        <w:t>335天。</w:t>
      </w:r>
    </w:p>
    <w:p>
      <w:pPr>
        <w:spacing w:line="360" w:lineRule="auto"/>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4、加快推进“城市双修”工作。</w:t>
      </w:r>
      <w:r>
        <w:rPr>
          <w:rFonts w:hint="eastAsia" w:ascii="仿宋_GB2312" w:hAnsi="Calibri" w:eastAsia="仿宋_GB2312" w:cs="Times New Roman"/>
          <w:sz w:val="32"/>
          <w:szCs w:val="32"/>
        </w:rPr>
        <w:t>2017年3月，我市成立了生态修复城市修补工作领导小组，出台了《景德镇市“双创双修”工作方案》，将“双创双修”作为城市发展建设的主要任务，着力完善城市功能，着力改善人居环境质量，着力保护历史文化遗产，着力打造“一带两城”，实施“十大行动”，展示昌江百里风光、千年古镇、万里瓷路，努力打造和谐宜居、富有活力、具有特色的国家生态文明试验区景德镇样本。现景德镇市根据城市总体规划、相关规划和评估结果，确定开展“城市双修”的地区和范围，组织编制完成《景德镇市生态修复专项规划》、《景德镇市城市修补专项规划》和《景德镇市总体城市设计及风貌控制规划》。2017年内景德镇市重点推进14个有实效、有影响、可示范的“城市双修”项目，包括31个子项目、总投资估算约150亿元。重点推进整治建设“一带两城”，着力开展“十大行动”，特别是开展生态修复城市修补“六个专项行动”。</w:t>
      </w:r>
      <w:r>
        <w:rPr>
          <w:rFonts w:hint="eastAsia" w:ascii="仿宋_GB2312" w:hAnsi="Calibri" w:eastAsia="仿宋_GB2312" w:cs="Times New Roman"/>
          <w:b/>
          <w:sz w:val="32"/>
          <w:szCs w:val="32"/>
        </w:rPr>
        <w:t>一带：</w:t>
      </w:r>
      <w:r>
        <w:rPr>
          <w:rFonts w:hint="eastAsia" w:ascii="仿宋_GB2312" w:hAnsi="Calibri" w:eastAsia="仿宋_GB2312" w:cs="Times New Roman"/>
          <w:sz w:val="32"/>
          <w:szCs w:val="32"/>
        </w:rPr>
        <w:t>以北起浯溪口南至航空小镇为主轴的昌江百里风光带，区域内有昌江河及其西河、南河、东河三条支流等水系和五龙山、凤凰山、</w:t>
      </w:r>
      <w:r>
        <w:rPr>
          <w:rFonts w:hint="eastAsia" w:ascii="仿宋_GB2312" w:hAnsi="宋体" w:eastAsia="宋体" w:cs="宋体"/>
          <w:sz w:val="32"/>
          <w:szCs w:val="32"/>
        </w:rPr>
        <w:t>旸</w:t>
      </w:r>
      <w:r>
        <w:rPr>
          <w:rFonts w:hint="eastAsia" w:ascii="仿宋_GB2312" w:hAnsi="仿宋_GB2312" w:eastAsia="仿宋_GB2312" w:cs="仿宋_GB2312"/>
          <w:sz w:val="32"/>
          <w:szCs w:val="32"/>
        </w:rPr>
        <w:t>府山、石埭山、龙塘山、南山等山体。</w:t>
      </w:r>
      <w:r>
        <w:rPr>
          <w:rFonts w:hint="eastAsia" w:ascii="仿宋_GB2312" w:hAnsi="Calibri" w:eastAsia="仿宋_GB2312" w:cs="Times New Roman"/>
          <w:b/>
          <w:sz w:val="32"/>
          <w:szCs w:val="32"/>
        </w:rPr>
        <w:t>两城：</w:t>
      </w:r>
      <w:r>
        <w:rPr>
          <w:rFonts w:hint="eastAsia" w:ascii="仿宋_GB2312" w:hAnsi="Calibri" w:eastAsia="仿宋_GB2312" w:cs="Times New Roman"/>
          <w:sz w:val="32"/>
          <w:szCs w:val="32"/>
        </w:rPr>
        <w:t>城市总体规划划定的约36平方公里范围的老城，老城之外中心城区范围之内约74平方公里的新城。六个专项行动：包含山体生态修复、水系生态治理、增加城区绿化、历史城区保护、补足基础设施、城市风貌等。截至</w:t>
      </w:r>
      <w:bookmarkStart w:id="2" w:name="_GoBack"/>
      <w:bookmarkEnd w:id="2"/>
      <w:r>
        <w:rPr>
          <w:rFonts w:hint="eastAsia" w:ascii="仿宋_GB2312" w:hAnsi="Calibri" w:eastAsia="仿宋_GB2312" w:cs="Times New Roman"/>
          <w:sz w:val="32"/>
          <w:szCs w:val="32"/>
        </w:rPr>
        <w:t>目前，通过市委、市政府真抓实干和全市干部群众共同努力，城市整体面貌发生根本的改变。去</w:t>
      </w:r>
      <w:r>
        <w:rPr>
          <w:rFonts w:hint="eastAsia" w:ascii="仿宋_GB2312" w:hAnsi="仿宋_GB2312" w:eastAsia="仿宋_GB2312" w:cs="仿宋_GB2312"/>
          <w:sz w:val="32"/>
          <w:szCs w:val="32"/>
        </w:rPr>
        <w:t>年11月，省人民政府在景德镇隆重召开“双创双修”现场会。</w:t>
      </w:r>
    </w:p>
    <w:p>
      <w:pPr>
        <w:spacing w:line="360" w:lineRule="auto"/>
        <w:ind w:firstLine="643"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5、严格重点生态功能区负面清单。</w:t>
      </w:r>
      <w:r>
        <w:rPr>
          <w:rFonts w:hint="eastAsia" w:ascii="仿宋_GB2312" w:hAnsi="Calibri" w:eastAsia="仿宋_GB2312" w:cs="Times New Roman"/>
          <w:sz w:val="32"/>
          <w:szCs w:val="32"/>
        </w:rPr>
        <w:t>我市浮梁县是江西省第二批重点生态功能区，该县按鼓励允许类和限制类分两类四十项清单制定了严格的产业准入负面清单，并报省发改委备案。切实加强组织领导，建立工作机制，开展必要的政策解读和宣传，并按时做好现有企业关停并转、改造升级、进园入区等工作。该县坚持“生态优先”的理念，严格执行环境保护“三同时”制度。工业项目把好“环评”关，从源头上防止破坏生态和环境的行为发生，如先后否决了中药饮片、乐华电镀等有一定污染的项目引进。城市建设项目把好“绿化”关，从规划审批等环节提高小区绿化率和公共绿地率。禁止采伐阔叶林，禁伐封育阔叶林长达10年，面积200余万亩；从严审批针叶林采伐，严厉打击乱砍滥伐行为，林木采伐指标逐年下降10%。2017年，我市森林覆盖率65.73%，该县森林覆盖率达到81%。同年10月，国家林业局授予景德镇市“国家森林城市”称号。</w:t>
      </w:r>
    </w:p>
    <w:p>
      <w:pPr>
        <w:spacing w:line="360" w:lineRule="auto"/>
        <w:ind w:firstLine="643"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6、构建生态文明建设责任追究制度</w:t>
      </w:r>
    </w:p>
    <w:p>
      <w:pPr>
        <w:spacing w:line="360" w:lineRule="auto"/>
        <w:ind w:firstLine="643" w:firstLineChars="200"/>
        <w:rPr>
          <w:rFonts w:ascii="宋体" w:hAnsi="宋体" w:eastAsia="黑体"/>
          <w:bCs/>
          <w:sz w:val="32"/>
          <w:szCs w:val="32"/>
        </w:rPr>
      </w:pPr>
      <w:r>
        <w:rPr>
          <w:rFonts w:hint="eastAsia" w:ascii="仿宋_GB2312" w:hAnsi="Calibri" w:eastAsia="仿宋_GB2312" w:cs="Times New Roman"/>
          <w:b/>
          <w:sz w:val="32"/>
          <w:szCs w:val="32"/>
        </w:rPr>
        <w:t>一是</w:t>
      </w:r>
      <w:r>
        <w:rPr>
          <w:rFonts w:hint="eastAsia" w:ascii="仿宋_GB2312" w:hAnsi="Calibri" w:eastAsia="仿宋_GB2312" w:cs="Times New Roman"/>
          <w:sz w:val="32"/>
          <w:szCs w:val="32"/>
        </w:rPr>
        <w:t>完善了生态文明考核制度。制定出台了《景德镇市绿色发展评价方案》、《景德镇市贯彻落实&lt;国家生态文明试验区（江西）实施方案&gt;行动计划》等。我市绿色发展评价方案分7项一级指标，58项二级指标。夯实数据基础，多次召开全市绿色发展评价体系会议，完善“绿色发展”统计数据库。强化数据审核把关，对基础数据进行查询核实。从2017年起实行生态文明建设目标一年一评价两年一考核。实行加大环境保护在年度绩效考核指标体系中的分值比重，同时扩大了考核范围。将生态文明建设与环境保护作为各级，特别是县级领导班子和领导干部考核的重要内容。</w:t>
      </w:r>
      <w:r>
        <w:rPr>
          <w:rFonts w:hint="eastAsia" w:ascii="仿宋_GB2312" w:hAnsi="Calibri" w:eastAsia="仿宋_GB2312" w:cs="Times New Roman"/>
          <w:b/>
          <w:sz w:val="32"/>
          <w:szCs w:val="32"/>
        </w:rPr>
        <w:t>二是</w:t>
      </w:r>
      <w:r>
        <w:rPr>
          <w:rFonts w:hint="eastAsia" w:ascii="仿宋_GB2312" w:hAnsi="Calibri" w:eastAsia="仿宋_GB2312" w:cs="Times New Roman"/>
          <w:sz w:val="32"/>
          <w:szCs w:val="32"/>
        </w:rPr>
        <w:t>稳步推进领导干部自然资源资产离任审计。出台《景德镇市领导干部自然资源资产责任审计工作方案》，探索领导干部自然资源资产离任审计、任中审计与流域生态资金专项审计相结合的模式。</w:t>
      </w:r>
      <w:r>
        <w:rPr>
          <w:rFonts w:hint="eastAsia" w:ascii="仿宋_GB2312" w:hAnsi="Calibri" w:eastAsia="仿宋_GB2312" w:cs="Times New Roman"/>
          <w:b/>
          <w:sz w:val="32"/>
          <w:szCs w:val="32"/>
        </w:rPr>
        <w:t>三是</w:t>
      </w:r>
      <w:r>
        <w:rPr>
          <w:rFonts w:hint="eastAsia" w:ascii="仿宋_GB2312" w:eastAsia="仿宋_GB2312"/>
          <w:color w:val="000000" w:themeColor="text1"/>
          <w:sz w:val="32"/>
          <w:szCs w:val="32"/>
        </w:rPr>
        <w:t>出台《景德镇市党政领导干部生态环境损害责任追究实施细则（试行）》。2017年8月，景德镇市委第23次常委会研究通过了该“实施细则”。全市各级各相关部门以大局为重，增强协调意识，横向互相配合，纵向互为补充，建立协调一致的联动机制，共同抓好生态文明建设工作，确保各项工作落到实处。</w:t>
      </w:r>
    </w:p>
    <w:p>
      <w:pPr>
        <w:spacing w:line="360" w:lineRule="auto"/>
        <w:ind w:firstLine="640" w:firstLineChars="200"/>
        <w:outlineLvl w:val="0"/>
        <w:rPr>
          <w:rFonts w:ascii="宋体" w:hAnsi="宋体" w:eastAsia="黑体" w:cs="Times New Roman"/>
          <w:bCs/>
          <w:sz w:val="32"/>
          <w:szCs w:val="32"/>
        </w:rPr>
      </w:pPr>
      <w:r>
        <w:rPr>
          <w:rFonts w:hint="eastAsia" w:ascii="宋体" w:hAnsi="宋体" w:eastAsia="黑体" w:cs="Times New Roman"/>
          <w:bCs/>
          <w:sz w:val="32"/>
          <w:szCs w:val="32"/>
        </w:rPr>
        <w:t>二、</w:t>
      </w:r>
      <w:r>
        <w:rPr>
          <w:rFonts w:hint="eastAsia" w:ascii="宋体" w:hAnsi="宋体" w:eastAsia="黑体"/>
          <w:bCs/>
          <w:sz w:val="32"/>
          <w:szCs w:val="32"/>
        </w:rPr>
        <w:t>经验做法</w:t>
      </w:r>
    </w:p>
    <w:p>
      <w:pPr>
        <w:spacing w:line="360" w:lineRule="auto"/>
        <w:ind w:firstLine="643" w:firstLineChars="200"/>
        <w:outlineLvl w:val="0"/>
        <w:rPr>
          <w:rFonts w:ascii="仿宋_GB2312" w:hAnsi="Calibri" w:eastAsia="仿宋_GB2312" w:cs="Times New Roman"/>
          <w:b/>
          <w:sz w:val="32"/>
          <w:szCs w:val="32"/>
        </w:rPr>
      </w:pPr>
      <w:r>
        <w:rPr>
          <w:rFonts w:hint="eastAsia" w:ascii="仿宋_GB2312" w:hAnsi="Calibri" w:eastAsia="仿宋_GB2312" w:cs="Times New Roman"/>
          <w:b/>
          <w:sz w:val="32"/>
          <w:szCs w:val="32"/>
        </w:rPr>
        <w:t>（一）修复城市生态，修补城市功能，提升环境品质</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开展生态修复城市修补试点工作。坚持高位推动、共治共管，全面统筹协调“城市双修”工作。设置山体、水系、城区绿化、文物保护、基础设施、提升风貌等六个责任工作组，密切协作配合，积极作为、主动作为。</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1、开展山体生态修复行动</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加强对我市城市山体自然风貌的保护，严禁在生态敏感区域开山采石、破山修路、劈山造城，注重对自然风貌、自然地形的保护。根据城市山体受损情况，因地制宜采取科学的工程措施，消除安全隐患，恢复自然形态，突出低山丘陵地带的宜人特色。保护山体原有植被，种植乡土适生植物，重建植被群落，保护好山体的原生态。在保障安全和生态功能的基础上，探索多种山体修复利用模式。建设近千亩的新昌南湖和西河湾湿地公园，以及昌江百里风光带、宝石码头、南河蓄洪湖公园；启动了以枫树山为主体的国家森林公园、五龙山公园、松涛公园、如意湖公园、王家坞公园、宝石公园等改造建设。重点推进凤凰山及周边环境修复、马鞍山风貌提升与生态修复、龙塘山山体修复工程、横溪桥水库南侧山体修复及周边生态环境修复、如意湖北侧山体修复及周边生态环境修复等山体生态修复工程，加强对城市山体区域的违法建设行为的防范打击力度。</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2、开展水系生态治理行动</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全面落实海绵城市建设理念，系统开展沟河水系的整治提升。加强对城市水系自然形态的保护，避免盲目截弯取直，禁止明河改暗渠、违法取砂等破坏行为。结合防洪排涝措施，综合整治城市黑臭水体，全面实施控源截污，强化排水口、管道和检查井的系统治理，科学开展水体清淤，恢复和保持河湖水系的自然连通和流动性。保护好历史水系，适当恢复1至2条有条件的历史水系，因地制宜改造渠化河道，恢复自然岸线、滩涂和滨水植被群落，增强水体自净能力。重点推进“一江三河”河岸生态修复、河流水域水污染防治、河流水系净污防洪等修复治理项目，完善主城区雨污分流及收集排放系统，开展西河流域、南河流域等重点河流流域的水污染防治行动，启动实施西河流域、南河流域河道疏浚清淤治理工程</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3、增加城区绿化行动</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推进绿廊、绿环、绿楔、绿心等绿地建设，构建完整连贯的绿地系统，按照居民出行“300米见绿、500米入园”的要求，优化城乡的开放空间布局。通过拆迁建绿、破硬复绿、见缝插绿等，安排建设一批口袋公园、袖珍绿地，拓展绿色空间，提高城市绿化效果。因地制宜建设湿地公园、雨水花园等海绵绿地，对老旧公园提质改造，提升存量绿地品质和功能。优化中心城区的绿地系统，推进中心城区各公园的整治提升建设和街头花园、路边绿地的建设。重点打造30左右个15分钟绿色生态休闲圈，实施206国道、迎宾路、瓷都大道、梧桐大道、新厂路等市区主干道综合环境提升项目。加强对违法占用绿地的违法建设行为的防范打击力度和巡查力度。</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4、开展历史城区保护行动</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加强历史城区保护，做好风貌协调地区的城市设计，保护瓷都历史文化，更好地延续历史文脉，展现城市风貌。采取小规模、渐进式模式更新改造历史城区和保护历史城区传统格局及空间肌理，力争2年内使历史城区的传统城市风貌得到初步恢复。加快推动工业遗存的功能置换，合理活化利用工业遗存，优先将旧厂房用于公共文化、公共体育、养老和创意产业。确定并公布历史建筑，改进历史建筑保护方法，加强城市历史文化挖掘整理，传承优秀传统建筑文化。编制和实施老城更新改造规划、历史文化名城保护规划、历史文化街区保护规划，建立老城历史建筑修缮管理机制。加快实施“陶阳十三里”环境整治与提升、“三红一光”工业遗产片区环境整治与提升、麻石弄片区整治与提升、戴家弄片区整治与提升、落马桥青花遗址保护等项目。重点打造陶瓷文化产业圈、推进以“三陶一区”为核心的老城保护更新行动，整治历史城区的环境和补足历史城区的基础设施欠账。加强历史城区违法建设行为的防范打击力度，加强广告牌匾整治工作，大力拆除乱搭乱建、侵占绿地、侵占道路等违规设置。</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5、补足基础设施行动</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优化交通空间布局，推行“窄马路、密路网”的城市道路布局理念，打通断头路，形成完整路网，提高道路通达性。加大市政基础设施建设和公共服务设施配套建设的力度，大力完善城市给水、排水、燃气、供热、通信、电力等基础设施，加快老旧管网改造，有序推进各类架空线入廊。加强污水处理设施、垃圾处理设施、公共厕所、应急避难场所建设，提高基础设施承载能力。推进土地集约混合使用，增加商业商务、创新创意等城市功能，统筹建设医疗、教育、文化、体育等城市公共设施，完善社区菜市场、便利店、养老、物流配送等配套服务设施。重点打造30左右个15分钟便民服务圈。</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6、提升城市风貌行动</w:t>
      </w:r>
    </w:p>
    <w:p>
      <w:pPr>
        <w:spacing w:line="360" w:lineRule="auto"/>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优化城市色调协调，加强对城市色彩的规划设计管理，开展临街立面相关规划课题研究，合理控制中心城区天际线，扩大城市公共开放空间，使城市街道空间环境得以连贯，慢行系统空间得以提升。做好城市亮化建设，重点推进“昌江百里风光带”滨水岸线亮化、珠山路等市区主干道和重要建筑亮化工程。大力开展拆除违章违法建筑、推进棚户区改造的工作，加强对昌南拓展区、高铁商务区、重要街道、城市广场、昌江河滨水岸线等重要地区、节点的城市设计，完善夜景照明、街道家具和标识指引，满足现代城市生活需要。加强新建、改扩建建筑设计管理，贯彻“适用、经济、绿色、美观”的建筑方针，鼓励出精品佳作，促进现代建筑文化发展。加强广告牌匾设置和城市雕塑建设管理，通过控制措施实现治乱治脏目的。</w:t>
      </w:r>
    </w:p>
    <w:p>
      <w:pPr>
        <w:spacing w:line="360" w:lineRule="auto"/>
        <w:ind w:firstLine="643" w:firstLineChars="200"/>
        <w:outlineLvl w:val="0"/>
        <w:rPr>
          <w:rFonts w:ascii="仿宋_GB2312" w:hAnsi="Calibri" w:eastAsia="仿宋_GB2312" w:cs="Times New Roman"/>
          <w:b/>
          <w:sz w:val="32"/>
          <w:szCs w:val="32"/>
        </w:rPr>
      </w:pPr>
      <w:r>
        <w:rPr>
          <w:rFonts w:hint="eastAsia" w:ascii="仿宋_GB2312" w:hAnsi="Calibri" w:eastAsia="仿宋_GB2312" w:cs="Times New Roman"/>
          <w:b/>
          <w:sz w:val="32"/>
          <w:szCs w:val="32"/>
        </w:rPr>
        <w:t>（二）以“3+1”特色优势产业为抓手，发展绿色经济</w:t>
      </w:r>
    </w:p>
    <w:p>
      <w:pPr>
        <w:spacing w:line="360" w:lineRule="auto"/>
        <w:ind w:firstLine="640" w:firstLineChars="200"/>
        <w:rPr>
          <w:rFonts w:ascii="仿宋_GB2312" w:eastAsia="仿宋_GB2312"/>
          <w:b/>
          <w:sz w:val="32"/>
          <w:szCs w:val="32"/>
        </w:rPr>
      </w:pPr>
      <w:r>
        <w:rPr>
          <w:rFonts w:hint="eastAsia" w:ascii="仿宋_GB2312" w:eastAsia="仿宋_GB2312" w:cs="仿宋_GB2312"/>
          <w:sz w:val="32"/>
          <w:szCs w:val="32"/>
        </w:rPr>
        <w:t>景德镇是一个有历史、有文化、有故事的地方，是一座有作为、可作为、要作为的城市，发展绿色产业基础雄厚。</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1、深挖陶瓷文化底蕴，发展文化产业。</w:t>
      </w:r>
      <w:r>
        <w:rPr>
          <w:rFonts w:hint="eastAsia" w:ascii="仿宋_GB2312" w:eastAsia="仿宋_GB2312"/>
          <w:sz w:val="32"/>
          <w:szCs w:val="32"/>
        </w:rPr>
        <w:t>陶瓷产业是景德镇的立市之本，改造提升传统粗放的陶瓷产业，擦亮“千年瓷都”这块金字招牌，已成为景德镇人的自觉行动。一直以来，景德镇历届党委、政府立足做大做精陶瓷产业，全面推进“陶瓷+”行动，形成了集陶瓷制作、陶瓷经贸、陶瓷科技、陶瓷文化为一体的陶瓷文化大融合、大发展的格局，紧紧围绕做强陶瓷产业，加强技术研发创新，注重品牌塑造和市场渠道建设，努力打造“陶瓷产业升级版”陶瓷产业转型厚积薄发，红叶陶瓷、陶溪川、名坊园、三宝瓷谷、陶瓷创意孵化基地等一批重大项目建成，陶瓷股份公司获评中国陶瓷行业最具竞争力十强企业。</w:t>
      </w:r>
      <w:r>
        <w:rPr>
          <w:rFonts w:hint="eastAsia" w:ascii="仿宋_GB2312" w:eastAsia="仿宋_GB2312"/>
          <w:b/>
          <w:sz w:val="32"/>
          <w:szCs w:val="32"/>
        </w:rPr>
        <w:t>2017年，在发展特色优势产业方面获国务院表彰。</w:t>
      </w:r>
    </w:p>
    <w:p>
      <w:pPr>
        <w:spacing w:line="360" w:lineRule="auto"/>
        <w:ind w:firstLine="630" w:firstLineChars="196"/>
        <w:rPr>
          <w:rFonts w:ascii="仿宋_GB2312" w:eastAsia="仿宋_GB2312"/>
          <w:b/>
          <w:sz w:val="32"/>
          <w:szCs w:val="32"/>
        </w:rPr>
      </w:pPr>
      <w:r>
        <w:rPr>
          <w:rFonts w:hint="eastAsia" w:ascii="仿宋_GB2312" w:eastAsia="仿宋_GB2312"/>
          <w:b/>
          <w:sz w:val="32"/>
          <w:szCs w:val="32"/>
        </w:rPr>
        <w:t>2、依托现有优势，发展航空产业。</w:t>
      </w:r>
      <w:r>
        <w:rPr>
          <w:rFonts w:hint="eastAsia" w:ascii="仿宋_GB2312" w:eastAsia="仿宋_GB2312"/>
          <w:sz w:val="32"/>
          <w:szCs w:val="32"/>
        </w:rPr>
        <w:t>景德镇作为中国直升机的摇篮，借鉴全球航空发达地区的先进经验，依托昌飞、602所等研发生产优势，不断做强航空产业，逐步形成了“产能百架、产值百亿”的航空产业集群。现拥有航空企业超过50家，整机生产企业3家，分别是昌飞公司、江直公司、德利直升机公司；零部件配套和通航运营企业48家。2017年，直升机产业基地实现销售收入275.3亿元，利润总额为5.76亿元，产值、产量占全国比重50%以上，现有产业集聚区公共服务平台17个，国家级、省级科技创新和服务机构14个，完成研究开发、技术改造、科技条件建设等各类科技投入44.6亿元，专利申请数196项。2017年，全力推动“航空小镇”建设，</w:t>
      </w:r>
      <w:r>
        <w:rPr>
          <w:rFonts w:hint="eastAsia" w:ascii="仿宋_GB2312" w:eastAsia="仿宋_GB2312" w:cs="仿宋_GB2312"/>
          <w:sz w:val="32"/>
          <w:szCs w:val="32"/>
        </w:rPr>
        <w:t>推动航空产业向集聚化发展，深化军民融合，</w:t>
      </w:r>
      <w:r>
        <w:rPr>
          <w:rFonts w:hint="eastAsia" w:ascii="仿宋_GB2312" w:eastAsia="仿宋_GB2312"/>
          <w:sz w:val="32"/>
          <w:szCs w:val="32"/>
        </w:rPr>
        <w:t>培植景德镇航空“产业树”，规模以上航空产业增加值增长13%，</w:t>
      </w:r>
      <w:r>
        <w:rPr>
          <w:rFonts w:hint="eastAsia" w:ascii="仿宋_GB2312" w:eastAsia="仿宋_GB2312"/>
          <w:b/>
          <w:sz w:val="32"/>
          <w:szCs w:val="32"/>
        </w:rPr>
        <w:t>获批“江西省第一批军民融合产业示范基地”，成功入选全国首批通航产业综合示范区。</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3、推进战略重组，发展新能源汽车产业。</w:t>
      </w:r>
      <w:r>
        <w:rPr>
          <w:rFonts w:hint="eastAsia" w:ascii="仿宋_GB2312" w:eastAsia="仿宋_GB2312"/>
          <w:sz w:val="32"/>
          <w:szCs w:val="32"/>
        </w:rPr>
        <w:t>重组昌河汽车，引导汽车产业转型升级是景德镇的现实潜力。在北汽集团战略重组昌河汽车后，汽车产业给景德镇汽车产业带来了加速发展的新机遇。2017年，北汽洪源基地整车项目一期竣工投产，北汽昌河H40D、北斗星X5E等新车型成功上市，全市规模以上汽车及零部件产业增加值13.17亿元，增长7.2%，较上年同期增加17.3个百分点，汽车产业发展势头提档加速。今年1月18日，北汽昌河汽车研发中心奠基开工，标志着整合后的“大昌河”全新发展战略的正式启动，同时也标志着江西景德镇将成为北汽集团自主双品牌战略南方总部基地。围绕做优汽车及零部件产业全产业链营业收入超500亿元的目标，将昌河汽车打造成集整车产、供、销、研于一体的北汽南方基地。</w:t>
      </w:r>
    </w:p>
    <w:p>
      <w:pPr>
        <w:spacing w:line="360" w:lineRule="auto"/>
        <w:ind w:firstLine="643" w:firstLineChars="200"/>
        <w:rPr>
          <w:rFonts w:ascii="仿宋_GB2312" w:eastAsia="仿宋_GB2312"/>
          <w:b/>
          <w:spacing w:val="-2"/>
          <w:sz w:val="32"/>
          <w:szCs w:val="32"/>
        </w:rPr>
      </w:pPr>
      <w:r>
        <w:rPr>
          <w:rFonts w:hint="eastAsia" w:ascii="仿宋_GB2312" w:eastAsia="仿宋_GB2312"/>
          <w:b/>
          <w:sz w:val="32"/>
          <w:szCs w:val="32"/>
        </w:rPr>
        <w:t>4、开展遗产大保护，发展文旅产业。</w:t>
      </w:r>
      <w:r>
        <w:rPr>
          <w:rFonts w:hint="eastAsia" w:ascii="仿宋_GB2312" w:eastAsia="仿宋_GB2312"/>
          <w:sz w:val="32"/>
          <w:szCs w:val="32"/>
        </w:rPr>
        <w:t>我市立足于千</w:t>
      </w:r>
      <w:r>
        <w:rPr>
          <w:rFonts w:hint="eastAsia" w:ascii="仿宋_GB2312" w:eastAsia="仿宋_GB2312"/>
          <w:spacing w:val="-2"/>
          <w:sz w:val="32"/>
          <w:szCs w:val="32"/>
        </w:rPr>
        <w:t>年陶瓷工业文明和历史文化特色，积极推进文化、生态</w:t>
      </w:r>
      <w:r>
        <w:rPr>
          <w:rFonts w:hint="eastAsia" w:eastAsia="仿宋_GB2312"/>
          <w:spacing w:val="-2"/>
          <w:sz w:val="32"/>
          <w:szCs w:val="32"/>
        </w:rPr>
        <w:t>与旅游的深度融合，成功打造了全国唯一一个以陶瓷文化为主题的5A级景区—古窑，以及御窑厂遗址公园、高岭瑶里风景名胜区等8个国家4A级景区。</w:t>
      </w:r>
      <w:r>
        <w:rPr>
          <w:rFonts w:hint="eastAsia" w:ascii="仿宋_GB2312" w:hAnsi="仿宋" w:eastAsia="仿宋_GB2312"/>
          <w:spacing w:val="-2"/>
          <w:sz w:val="32"/>
          <w:szCs w:val="32"/>
        </w:rPr>
        <w:t>以陶瓷文创引转型，文化遗产保护和利用达到新高度。实施工业文化遗产保护和开发利用，实现城市老城区的复兴，成为景德镇老工业基地真抓实干推进转型发展的重点工作。景德镇在陶瓷文化遗产保护和利用工作上取得了巨大成效，党和国家领导人曾对我市国家御窑遗址保护工作亲自做出了批示。</w:t>
      </w:r>
      <w:r>
        <w:rPr>
          <w:rFonts w:hint="eastAsia" w:ascii="仿宋_GB2312" w:eastAsia="仿宋_GB2312"/>
          <w:spacing w:val="-2"/>
          <w:sz w:val="32"/>
          <w:szCs w:val="32"/>
        </w:rPr>
        <w:t>景德镇是国务院首批公布国家历史文化名城，是中国独有的以陶瓷文化为特色的旅游城市，也</w:t>
      </w:r>
      <w:r>
        <w:rPr>
          <w:rFonts w:hint="eastAsia" w:eastAsia="仿宋_GB2312"/>
          <w:spacing w:val="-2"/>
          <w:sz w:val="32"/>
          <w:szCs w:val="32"/>
        </w:rPr>
        <w:t>先后被</w:t>
      </w:r>
      <w:r>
        <w:rPr>
          <w:rFonts w:hint="eastAsia" w:ascii="仿宋_GB2312" w:eastAsia="仿宋_GB2312"/>
          <w:spacing w:val="-2"/>
          <w:sz w:val="32"/>
          <w:szCs w:val="32"/>
        </w:rPr>
        <w:t>评为“中国最具魅力文化旅游城市”，被联合国教科文组织授予“世界手工艺与民间艺术之都”</w:t>
      </w:r>
      <w:r>
        <w:rPr>
          <w:rFonts w:hint="eastAsia" w:eastAsia="仿宋_GB2312"/>
          <w:spacing w:val="-2"/>
          <w:sz w:val="32"/>
          <w:szCs w:val="32"/>
        </w:rPr>
        <w:t>。</w:t>
      </w:r>
      <w:r>
        <w:rPr>
          <w:rFonts w:hint="eastAsia" w:ascii="仿宋_GB2312" w:hAnsi="仿宋" w:eastAsia="仿宋_GB2312"/>
          <w:spacing w:val="-2"/>
          <w:sz w:val="32"/>
          <w:szCs w:val="32"/>
        </w:rPr>
        <w:t>以宇宙瓷厂工业遗存为基础建设的陶溪川文创产业园一期已经开业，已经成为老工业区遗产保护和利用的“新地标”，陶溪川一期已经筹集项目资金</w:t>
      </w:r>
      <w:r>
        <w:rPr>
          <w:rFonts w:ascii="仿宋_GB2312" w:hAnsi="仿宋" w:eastAsia="仿宋_GB2312"/>
          <w:spacing w:val="-2"/>
          <w:sz w:val="32"/>
          <w:szCs w:val="32"/>
        </w:rPr>
        <w:t>50</w:t>
      </w:r>
      <w:r>
        <w:rPr>
          <w:rFonts w:hint="eastAsia" w:ascii="仿宋_GB2312" w:hAnsi="仿宋" w:eastAsia="仿宋_GB2312"/>
          <w:spacing w:val="-2"/>
          <w:sz w:val="32"/>
          <w:szCs w:val="32"/>
        </w:rPr>
        <w:t>亿，可以撬动建设资金</w:t>
      </w:r>
      <w:r>
        <w:rPr>
          <w:rFonts w:ascii="仿宋_GB2312" w:hAnsi="仿宋" w:eastAsia="仿宋_GB2312"/>
          <w:spacing w:val="-2"/>
          <w:sz w:val="32"/>
          <w:szCs w:val="32"/>
        </w:rPr>
        <w:t>150</w:t>
      </w:r>
      <w:r>
        <w:rPr>
          <w:rFonts w:hint="eastAsia" w:ascii="仿宋_GB2312" w:hAnsi="仿宋" w:eastAsia="仿宋_GB2312"/>
          <w:spacing w:val="-2"/>
          <w:sz w:val="32"/>
          <w:szCs w:val="32"/>
        </w:rPr>
        <w:t>多亿，拉动经济</w:t>
      </w:r>
      <w:r>
        <w:rPr>
          <w:rFonts w:ascii="仿宋_GB2312" w:hAnsi="仿宋" w:eastAsia="仿宋_GB2312"/>
          <w:spacing w:val="-2"/>
          <w:sz w:val="32"/>
          <w:szCs w:val="32"/>
        </w:rPr>
        <w:t>300</w:t>
      </w:r>
      <w:r>
        <w:rPr>
          <w:rFonts w:hint="eastAsia" w:ascii="仿宋_GB2312" w:hAnsi="仿宋" w:eastAsia="仿宋_GB2312"/>
          <w:spacing w:val="-2"/>
          <w:sz w:val="32"/>
          <w:szCs w:val="32"/>
        </w:rPr>
        <w:t>多亿，提供就业岗位一万个以上，为</w:t>
      </w:r>
      <w:r>
        <w:rPr>
          <w:rFonts w:ascii="仿宋_GB2312" w:hAnsi="仿宋" w:eastAsia="仿宋_GB2312"/>
          <w:spacing w:val="-2"/>
          <w:sz w:val="32"/>
          <w:szCs w:val="32"/>
        </w:rPr>
        <w:t>6500</w:t>
      </w:r>
      <w:r>
        <w:rPr>
          <w:rFonts w:hint="eastAsia" w:ascii="仿宋_GB2312" w:hAnsi="仿宋" w:eastAsia="仿宋_GB2312"/>
          <w:spacing w:val="-2"/>
          <w:sz w:val="32"/>
          <w:szCs w:val="32"/>
        </w:rPr>
        <w:t>户棚户区居民安置新家，未来陶溪川二期将继续实施“五年百亿”工程。陶溪川片区</w:t>
      </w:r>
      <w:r>
        <w:rPr>
          <w:rFonts w:ascii="仿宋_GB2312" w:hAnsi="仿宋" w:eastAsia="仿宋_GB2312"/>
          <w:spacing w:val="-2"/>
          <w:sz w:val="32"/>
          <w:szCs w:val="32"/>
        </w:rPr>
        <w:t>2016</w:t>
      </w:r>
      <w:r>
        <w:rPr>
          <w:rFonts w:hint="eastAsia" w:ascii="仿宋_GB2312" w:hAnsi="仿宋" w:eastAsia="仿宋_GB2312"/>
          <w:spacing w:val="-2"/>
          <w:sz w:val="32"/>
          <w:szCs w:val="32"/>
        </w:rPr>
        <w:t>年成功入选住建部城市双修（即城市修补、生态修复）产业升级与园区整合规划示范样板，是景德镇打造的最重要的文化创意产业基地。</w:t>
      </w:r>
      <w:r>
        <w:rPr>
          <w:rFonts w:ascii="仿宋_GB2312" w:hAnsi="仿宋" w:eastAsia="仿宋_GB2312"/>
          <w:spacing w:val="-2"/>
          <w:sz w:val="32"/>
          <w:szCs w:val="32"/>
        </w:rPr>
        <w:t>201</w:t>
      </w:r>
      <w:r>
        <w:rPr>
          <w:rFonts w:hint="eastAsia" w:ascii="仿宋_GB2312" w:hAnsi="仿宋" w:eastAsia="仿宋_GB2312"/>
          <w:spacing w:val="-2"/>
          <w:sz w:val="32"/>
          <w:szCs w:val="32"/>
        </w:rPr>
        <w:t>7年底，全市已经培育陶瓷文化创意产业实体</w:t>
      </w:r>
      <w:r>
        <w:rPr>
          <w:rFonts w:ascii="仿宋_GB2312" w:hAnsi="仿宋" w:eastAsia="仿宋_GB2312"/>
          <w:spacing w:val="-2"/>
          <w:sz w:val="32"/>
          <w:szCs w:val="32"/>
        </w:rPr>
        <w:t>5000</w:t>
      </w:r>
      <w:r>
        <w:rPr>
          <w:rFonts w:hint="eastAsia" w:ascii="仿宋_GB2312" w:hAnsi="仿宋" w:eastAsia="仿宋_GB2312"/>
          <w:spacing w:val="-2"/>
          <w:sz w:val="32"/>
          <w:szCs w:val="32"/>
        </w:rPr>
        <w:t>家，其中，国家级文化产业示范基地</w:t>
      </w:r>
      <w:r>
        <w:rPr>
          <w:rFonts w:ascii="仿宋_GB2312" w:hAnsi="仿宋" w:eastAsia="仿宋_GB2312"/>
          <w:spacing w:val="-2"/>
          <w:sz w:val="32"/>
          <w:szCs w:val="32"/>
        </w:rPr>
        <w:t>2</w:t>
      </w:r>
      <w:r>
        <w:rPr>
          <w:rFonts w:hint="eastAsia" w:ascii="仿宋_GB2312" w:hAnsi="仿宋" w:eastAsia="仿宋_GB2312"/>
          <w:spacing w:val="-2"/>
          <w:sz w:val="32"/>
          <w:szCs w:val="32"/>
        </w:rPr>
        <w:t>家，省级文化产业示范基地</w:t>
      </w:r>
      <w:r>
        <w:rPr>
          <w:rFonts w:ascii="仿宋_GB2312" w:hAnsi="仿宋" w:eastAsia="仿宋_GB2312"/>
          <w:spacing w:val="-2"/>
          <w:sz w:val="32"/>
          <w:szCs w:val="32"/>
        </w:rPr>
        <w:t>5</w:t>
      </w:r>
      <w:r>
        <w:rPr>
          <w:rFonts w:hint="eastAsia" w:ascii="仿宋_GB2312" w:hAnsi="仿宋" w:eastAsia="仿宋_GB2312"/>
          <w:spacing w:val="-2"/>
          <w:sz w:val="32"/>
          <w:szCs w:val="32"/>
        </w:rPr>
        <w:t>家，全市文化产业主营业务收入达</w:t>
      </w:r>
      <w:r>
        <w:rPr>
          <w:rFonts w:ascii="仿宋_GB2312" w:hAnsi="仿宋" w:eastAsia="仿宋_GB2312"/>
          <w:spacing w:val="-2"/>
          <w:sz w:val="32"/>
          <w:szCs w:val="32"/>
        </w:rPr>
        <w:t>128.4</w:t>
      </w:r>
      <w:r>
        <w:rPr>
          <w:rFonts w:hint="eastAsia" w:ascii="仿宋_GB2312" w:hAnsi="仿宋" w:eastAsia="仿宋_GB2312"/>
          <w:spacing w:val="-2"/>
          <w:sz w:val="32"/>
          <w:szCs w:val="32"/>
        </w:rPr>
        <w:t>亿，比</w:t>
      </w:r>
      <w:r>
        <w:rPr>
          <w:rFonts w:ascii="仿宋_GB2312" w:hAnsi="仿宋" w:eastAsia="仿宋_GB2312"/>
          <w:spacing w:val="-2"/>
          <w:sz w:val="32"/>
          <w:szCs w:val="32"/>
        </w:rPr>
        <w:t>2011</w:t>
      </w:r>
      <w:r>
        <w:rPr>
          <w:rFonts w:hint="eastAsia" w:ascii="仿宋_GB2312" w:hAnsi="仿宋" w:eastAsia="仿宋_GB2312"/>
          <w:spacing w:val="-2"/>
          <w:sz w:val="32"/>
          <w:szCs w:val="32"/>
        </w:rPr>
        <w:t>年增长</w:t>
      </w:r>
      <w:r>
        <w:rPr>
          <w:rFonts w:ascii="仿宋_GB2312" w:hAnsi="仿宋" w:eastAsia="仿宋_GB2312"/>
          <w:spacing w:val="-2"/>
          <w:sz w:val="32"/>
          <w:szCs w:val="32"/>
        </w:rPr>
        <w:t>125.8%</w:t>
      </w:r>
      <w:r>
        <w:rPr>
          <w:rFonts w:hint="eastAsia" w:ascii="仿宋_GB2312" w:hAnsi="仿宋" w:eastAsia="仿宋_GB2312"/>
          <w:spacing w:val="-2"/>
          <w:sz w:val="32"/>
          <w:szCs w:val="32"/>
        </w:rPr>
        <w:t>。文化产业增加值由</w:t>
      </w:r>
      <w:r>
        <w:rPr>
          <w:rFonts w:ascii="仿宋_GB2312" w:hAnsi="仿宋" w:eastAsia="仿宋_GB2312"/>
          <w:spacing w:val="-2"/>
          <w:sz w:val="32"/>
          <w:szCs w:val="32"/>
        </w:rPr>
        <w:t>2012</w:t>
      </w:r>
      <w:r>
        <w:rPr>
          <w:rFonts w:hint="eastAsia" w:ascii="仿宋_GB2312" w:hAnsi="仿宋" w:eastAsia="仿宋_GB2312"/>
          <w:spacing w:val="-2"/>
          <w:sz w:val="32"/>
          <w:szCs w:val="32"/>
        </w:rPr>
        <w:t>年</w:t>
      </w:r>
      <w:r>
        <w:rPr>
          <w:rFonts w:ascii="仿宋_GB2312" w:hAnsi="仿宋" w:eastAsia="仿宋_GB2312"/>
          <w:spacing w:val="-2"/>
          <w:sz w:val="32"/>
          <w:szCs w:val="32"/>
        </w:rPr>
        <w:t>15.65</w:t>
      </w:r>
      <w:r>
        <w:rPr>
          <w:rFonts w:hint="eastAsia" w:ascii="仿宋_GB2312" w:hAnsi="仿宋" w:eastAsia="仿宋_GB2312"/>
          <w:spacing w:val="-2"/>
          <w:sz w:val="32"/>
          <w:szCs w:val="32"/>
        </w:rPr>
        <w:t>亿元增长到</w:t>
      </w:r>
      <w:r>
        <w:rPr>
          <w:rFonts w:ascii="仿宋_GB2312" w:hAnsi="仿宋" w:eastAsia="仿宋_GB2312"/>
          <w:spacing w:val="-2"/>
          <w:sz w:val="32"/>
          <w:szCs w:val="32"/>
        </w:rPr>
        <w:t>201</w:t>
      </w:r>
      <w:r>
        <w:rPr>
          <w:rFonts w:hint="eastAsia" w:ascii="仿宋_GB2312" w:hAnsi="仿宋" w:eastAsia="仿宋_GB2312"/>
          <w:spacing w:val="-2"/>
          <w:sz w:val="32"/>
          <w:szCs w:val="32"/>
        </w:rPr>
        <w:t>7年</w:t>
      </w:r>
      <w:r>
        <w:rPr>
          <w:rFonts w:ascii="仿宋_GB2312" w:hAnsi="仿宋" w:eastAsia="仿宋_GB2312"/>
          <w:spacing w:val="-2"/>
          <w:sz w:val="32"/>
          <w:szCs w:val="32"/>
        </w:rPr>
        <w:t>4</w:t>
      </w:r>
      <w:r>
        <w:rPr>
          <w:rFonts w:hint="eastAsia" w:ascii="仿宋_GB2312" w:hAnsi="仿宋" w:eastAsia="仿宋_GB2312"/>
          <w:spacing w:val="-2"/>
          <w:sz w:val="32"/>
          <w:szCs w:val="32"/>
        </w:rPr>
        <w:t>8亿元，增长近两倍，占</w:t>
      </w:r>
      <w:r>
        <w:rPr>
          <w:rFonts w:ascii="仿宋_GB2312" w:hAnsi="仿宋" w:eastAsia="仿宋_GB2312"/>
          <w:spacing w:val="-2"/>
          <w:sz w:val="32"/>
          <w:szCs w:val="32"/>
        </w:rPr>
        <w:t>GDP</w:t>
      </w:r>
      <w:r>
        <w:rPr>
          <w:rFonts w:hint="eastAsia" w:ascii="仿宋_GB2312" w:hAnsi="仿宋" w:eastAsia="仿宋_GB2312"/>
          <w:spacing w:val="-2"/>
          <w:sz w:val="32"/>
          <w:szCs w:val="32"/>
        </w:rPr>
        <w:t>比重约为</w:t>
      </w:r>
      <w:r>
        <w:rPr>
          <w:rFonts w:ascii="仿宋_GB2312" w:hAnsi="仿宋" w:eastAsia="仿宋_GB2312"/>
          <w:spacing w:val="-2"/>
          <w:sz w:val="32"/>
          <w:szCs w:val="32"/>
        </w:rPr>
        <w:t>6%</w:t>
      </w:r>
      <w:r>
        <w:rPr>
          <w:rFonts w:hint="eastAsia" w:ascii="仿宋_GB2312" w:hAnsi="仿宋" w:eastAsia="仿宋_GB2312"/>
          <w:spacing w:val="-2"/>
          <w:sz w:val="32"/>
          <w:szCs w:val="32"/>
        </w:rPr>
        <w:t>。</w:t>
      </w:r>
      <w:r>
        <w:rPr>
          <w:rFonts w:hint="eastAsia" w:eastAsia="仿宋_GB2312"/>
          <w:spacing w:val="-2"/>
          <w:sz w:val="32"/>
          <w:szCs w:val="32"/>
        </w:rPr>
        <w:t>目前，</w:t>
      </w:r>
      <w:r>
        <w:rPr>
          <w:rFonts w:hint="eastAsia" w:ascii="仿宋_GB2312" w:eastAsia="仿宋_GB2312" w:cs="仿宋"/>
          <w:spacing w:val="-2"/>
          <w:sz w:val="32"/>
          <w:szCs w:val="32"/>
        </w:rPr>
        <w:t>陶文旅集团投资建设、北京清华城市规划研究院总体设计、日本HMA、韩国履露斋等国际知名机构参与设计</w:t>
      </w:r>
      <w:r>
        <w:rPr>
          <w:rFonts w:hint="eastAsia" w:eastAsia="仿宋_GB2312"/>
          <w:spacing w:val="-2"/>
          <w:sz w:val="32"/>
          <w:szCs w:val="32"/>
        </w:rPr>
        <w:t>的陶溪川文创街区，</w:t>
      </w:r>
      <w:r>
        <w:rPr>
          <w:rFonts w:hint="eastAsia" w:ascii="仿宋_GB2312" w:eastAsia="仿宋_GB2312" w:cs="仿宋"/>
          <w:spacing w:val="-2"/>
          <w:sz w:val="32"/>
          <w:szCs w:val="32"/>
        </w:rPr>
        <w:t>按照“整体规划、分步实施、滚动开发”的思路，力争实现建成首个世界级近现代陶瓷工业遗存与传统手工制瓷活的博物馆、形成一个300亿元规模的特色文化产业。以文化创意产业和文化旅游产业为主业态，立足于高端产业和产业高端，发展文化创意产业、商务会展产业、休闲旅游产业等“大陶瓷”产业及跨界经营的混合经济，打造一个具有地方影响力的“陶瓷+”全业态、全产业链城市文创街区。打造成国际一流的城市工厂保护区、新兴城市创意综合体、国家文化复兴先锋示范区。使</w:t>
      </w:r>
      <w:r>
        <w:rPr>
          <w:rFonts w:hint="eastAsia" w:eastAsia="仿宋_GB2312"/>
          <w:spacing w:val="-2"/>
          <w:sz w:val="32"/>
          <w:szCs w:val="32"/>
        </w:rPr>
        <w:t>景德镇历史与时尚完美融合、文化与科技交相辉映、人文与山水相得益彰，每年都吸引着成千上万的国内外游客、艺术家慕名而来，朝拜</w:t>
      </w:r>
      <w:r>
        <w:rPr>
          <w:rFonts w:hint="eastAsia" w:ascii="仿宋_GB2312" w:eastAsia="仿宋_GB2312" w:cs="仿宋"/>
          <w:spacing w:val="-2"/>
          <w:sz w:val="32"/>
          <w:szCs w:val="32"/>
        </w:rPr>
        <w:t>这座世界陶瓷“麦加圣地”。</w:t>
      </w:r>
      <w:bookmarkStart w:id="0" w:name="_Toc493841723"/>
      <w:bookmarkStart w:id="1" w:name="_Toc493592337"/>
      <w:r>
        <w:rPr>
          <w:rFonts w:hint="eastAsia" w:ascii="仿宋_GB2312" w:eastAsia="仿宋_GB2312" w:cs="仿宋"/>
          <w:spacing w:val="-2"/>
          <w:sz w:val="32"/>
          <w:szCs w:val="32"/>
        </w:rPr>
        <w:t xml:space="preserve"> 2017年，景德镇市实现旅游总收入增长47.2%，荣获国家全域旅游示范区荣誉称号，陶溪川文创街区被文化部列为国家文化产业示范园。</w:t>
      </w:r>
    </w:p>
    <w:p>
      <w:pPr>
        <w:spacing w:line="360" w:lineRule="auto"/>
        <w:ind w:firstLine="643" w:firstLineChars="200"/>
        <w:outlineLvl w:val="0"/>
        <w:rPr>
          <w:rFonts w:ascii="仿宋_GB2312" w:hAnsi="Calibri" w:eastAsia="仿宋_GB2312" w:cs="Times New Roman"/>
          <w:b/>
          <w:sz w:val="32"/>
          <w:szCs w:val="32"/>
        </w:rPr>
      </w:pPr>
      <w:r>
        <w:rPr>
          <w:rFonts w:hint="eastAsia" w:ascii="仿宋_GB2312" w:hAnsi="Calibri" w:eastAsia="仿宋_GB2312" w:cs="Times New Roman"/>
          <w:b/>
          <w:sz w:val="32"/>
          <w:szCs w:val="32"/>
        </w:rPr>
        <w:t>（三）以舆论引领为动力，确保生态文明建设工作凝聚人心</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通过营造生态文明建设工作浓厚氛围，取得了“宣传铺天盖地，舆论监督有力，教育渐入人心”的效果。中央、省属媒体、境外媒体，包括网络媒体和新媒体，高度关注景德镇经济社会发展，共刊发、转发各类稿件25000多篇。外宣有亮点。人民日报推出《千年瓷都集聚3万“景漂” 人才引擎激发产业功能》、《景德镇 为非遗注生气》、《老手艺、新创意，振兴工艺有底气》等重磅报道。新华社《江西领导专供》头条以《“洗脸化妆”升颜值  再造发展新优势——景德镇打响城乡环境大整治攻坚战》为题，专门报道我市大整治工作。人民网首页、人民网江西频道头条、人民日报客户端以《景德镇的“贵气”不能掩埋在“泥巴”里》为题，就我市开展城乡环境大整治活动进行了大篇幅报道，并评论说,“终于抓住了景德镇的痛点”，对大整治工作给予高度评价。9月24日，中央电视台新闻频道迎接党的十九大专题节目《还看今朝》栏目，用近8分钟时长，通过展现我市陶溪川的发展变迁，聚焦我市改革发展取得的巨大成就。省委宣传部组织省属主要媒体对景德镇背街小巷改造情况进行了重点报道，《江西日报》头版以《于细微处惠民生——景德镇市改造整治背街小巷纪实》为题刊登了景德镇改造整治背街小巷的文章，并配发了评论员文章。9月29日，《江西日报》头版又以《景德镇：抓环境抓出发展“加速度”》为题跟进报道我市城乡环境大整治取得的成就，并围绕招才引智、“3+1”产业、党建、“三个五”战略行动，从消息、评论、图片等多种形式，在B版推出整版报道。10月5日，省电视台《江西新闻联播》头条重磅推出《瓷都新活力》，用超过8分钟时长报道我市环境整治、产业发展、文化传承的显著变化。中国江西网、江西网络广播电视台、江西手机报共推出30余篇有关宣传我市整治工作的长篇网评文章。专栏有声势。景德镇日报、景德镇广播电视台、瓷都晚报从整治初期就推出“开展城乡环境大整治 打造一座与世界对话的城市”专题报道，到5月份正式推出“城乡环境大整治”报纸专刊（电视频道、广播频率），总共推出专版（专题）2200多个，专栏30多个，刊发文章万余篇，图片上千幅，收集市民（网友）对于大整治的意见和建议过万条，特别是抓住我市党政代表团考察海口双创、三亚双修，省委书记鹿心社在我市调研等契机，推出系列专刊，深度报道了我市大整治的成果与成效，形成了铺天盖地、家喻户晓的浓厚氛围。红黑榜有威力。从2月21日开始，市属新闻媒体统一开辟了“红黑榜”栏目，连续刊播各类红黑榜40余期，特别是推出大整治半月工作排名、背街小巷项目进度表、社区对帮扶单位满意程度情况后，市民踊跃跟帖，纷纷建言献策，并曝光更多环境“脏乱差”问题，形成关注—报道—整改—再报道的模式。城乡面貌焕然一新，生态宜居品质城市建设取得显著成效，群众幸福指数不断提升，由补齐民生“短板”向塑造“样本”实现跨越。</w:t>
      </w:r>
    </w:p>
    <w:bookmarkEnd w:id="0"/>
    <w:bookmarkEnd w:id="1"/>
    <w:p>
      <w:pPr>
        <w:spacing w:line="360" w:lineRule="auto"/>
        <w:ind w:firstLine="640" w:firstLineChars="200"/>
        <w:outlineLvl w:val="0"/>
        <w:rPr>
          <w:rFonts w:ascii="宋体" w:hAnsi="宋体" w:eastAsia="黑体" w:cs="Times New Roman"/>
          <w:bCs/>
          <w:sz w:val="32"/>
          <w:szCs w:val="32"/>
        </w:rPr>
      </w:pPr>
      <w:r>
        <w:rPr>
          <w:rFonts w:hint="eastAsia" w:ascii="宋体" w:hAnsi="宋体" w:eastAsia="黑体"/>
          <w:bCs/>
          <w:sz w:val="32"/>
          <w:szCs w:val="32"/>
        </w:rPr>
        <w:t>三</w:t>
      </w:r>
      <w:r>
        <w:rPr>
          <w:rFonts w:hint="eastAsia" w:ascii="宋体" w:hAnsi="宋体" w:eastAsia="黑体" w:cs="Times New Roman"/>
          <w:bCs/>
          <w:sz w:val="32"/>
          <w:szCs w:val="32"/>
        </w:rPr>
        <w:t>、</w:t>
      </w:r>
      <w:r>
        <w:rPr>
          <w:rFonts w:hint="eastAsia" w:ascii="宋体" w:hAnsi="宋体" w:eastAsia="黑体"/>
          <w:bCs/>
          <w:sz w:val="32"/>
          <w:szCs w:val="32"/>
        </w:rPr>
        <w:t>存在的问题及下步打算</w:t>
      </w:r>
    </w:p>
    <w:p>
      <w:pPr>
        <w:spacing w:line="360" w:lineRule="auto"/>
        <w:ind w:firstLine="640" w:firstLineChars="200"/>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（一）存在的问题</w:t>
      </w:r>
    </w:p>
    <w:p>
      <w:pPr>
        <w:spacing w:line="360" w:lineRule="auto"/>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1、节能减排任务重</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我市“十三五”万元生产总值能耗比2015年下降16%，年均能源消费总量增量控制在12.2万吨。</w:t>
      </w:r>
      <w:r>
        <w:rPr>
          <w:rFonts w:ascii="仿宋_GB2312" w:hAnsi="宋体" w:eastAsia="仿宋_GB2312"/>
          <w:color w:val="000000" w:themeColor="text1"/>
          <w:sz w:val="32"/>
          <w:szCs w:val="32"/>
        </w:rPr>
        <w:t>2017</w:t>
      </w:r>
      <w:r>
        <w:rPr>
          <w:rFonts w:hint="eastAsia" w:ascii="仿宋_GB2312" w:hAnsi="宋体" w:eastAsia="仿宋_GB2312"/>
          <w:color w:val="000000" w:themeColor="text1"/>
          <w:sz w:val="32"/>
          <w:szCs w:val="32"/>
        </w:rPr>
        <w:t>年第三季度单位规上工业增加值能耗</w:t>
      </w:r>
      <w:r>
        <w:rPr>
          <w:rFonts w:ascii="仿宋_GB2312" w:hAnsi="宋体" w:eastAsia="仿宋_GB2312"/>
          <w:color w:val="000000" w:themeColor="text1"/>
          <w:sz w:val="32"/>
          <w:szCs w:val="32"/>
        </w:rPr>
        <w:t>1.06</w:t>
      </w:r>
      <w:r>
        <w:rPr>
          <w:rFonts w:hint="eastAsia" w:ascii="仿宋_GB2312" w:hAnsi="宋体" w:eastAsia="仿宋_GB2312"/>
          <w:color w:val="000000" w:themeColor="text1"/>
          <w:sz w:val="32"/>
          <w:szCs w:val="32"/>
        </w:rPr>
        <w:t>吨标准煤</w:t>
      </w:r>
      <w:r>
        <w:rPr>
          <w:rFonts w:ascii="仿宋_GB2312" w:hAnsi="宋体" w:eastAsia="仿宋_GB2312"/>
          <w:color w:val="000000" w:themeColor="text1"/>
          <w:sz w:val="32"/>
          <w:szCs w:val="32"/>
        </w:rPr>
        <w:t>/</w:t>
      </w:r>
      <w:r>
        <w:rPr>
          <w:rFonts w:hint="eastAsia" w:ascii="仿宋_GB2312" w:hAnsi="宋体" w:eastAsia="仿宋_GB2312"/>
          <w:color w:val="000000" w:themeColor="text1"/>
          <w:sz w:val="32"/>
          <w:szCs w:val="32"/>
        </w:rPr>
        <w:t>万元，同比下降</w:t>
      </w:r>
      <w:r>
        <w:rPr>
          <w:rFonts w:ascii="仿宋_GB2312" w:hAnsi="宋体" w:eastAsia="仿宋_GB2312"/>
          <w:color w:val="000000" w:themeColor="text1"/>
          <w:sz w:val="32"/>
          <w:szCs w:val="32"/>
        </w:rPr>
        <w:t>7.79%</w:t>
      </w:r>
      <w:r>
        <w:rPr>
          <w:rFonts w:hint="eastAsia" w:ascii="仿宋_GB2312" w:hAnsi="宋体" w:eastAsia="仿宋_GB2312"/>
          <w:color w:val="000000" w:themeColor="text1"/>
          <w:sz w:val="32"/>
          <w:szCs w:val="32"/>
        </w:rPr>
        <w:t>。</w:t>
      </w:r>
      <w:r>
        <w:rPr>
          <w:rFonts w:ascii="仿宋_GB2312" w:hAnsi="宋体" w:eastAsia="仿宋_GB2312"/>
          <w:color w:val="000000" w:themeColor="text1"/>
          <w:sz w:val="32"/>
          <w:szCs w:val="32"/>
        </w:rPr>
        <w:t>2017</w:t>
      </w:r>
      <w:r>
        <w:rPr>
          <w:rFonts w:hint="eastAsia" w:ascii="仿宋_GB2312" w:hAnsi="宋体" w:eastAsia="仿宋_GB2312"/>
          <w:color w:val="000000" w:themeColor="text1"/>
          <w:sz w:val="32"/>
          <w:szCs w:val="32"/>
        </w:rPr>
        <w:t>年第三季度</w:t>
      </w:r>
      <w:r>
        <w:rPr>
          <w:rFonts w:ascii="仿宋_GB2312" w:hAnsi="宋体" w:eastAsia="仿宋_GB2312"/>
          <w:color w:val="000000" w:themeColor="text1"/>
          <w:sz w:val="32"/>
          <w:szCs w:val="32"/>
        </w:rPr>
        <w:t>13</w:t>
      </w:r>
      <w:r>
        <w:rPr>
          <w:rFonts w:hint="eastAsia" w:ascii="仿宋_GB2312" w:hAnsi="宋体" w:eastAsia="仿宋_GB2312"/>
          <w:color w:val="000000" w:themeColor="text1"/>
          <w:sz w:val="32"/>
          <w:szCs w:val="32"/>
        </w:rPr>
        <w:t>户省重点用能企业总能耗</w:t>
      </w:r>
      <w:r>
        <w:rPr>
          <w:rFonts w:ascii="仿宋_GB2312" w:hAnsi="宋体" w:eastAsia="仿宋_GB2312"/>
          <w:color w:val="000000" w:themeColor="text1"/>
          <w:sz w:val="32"/>
          <w:szCs w:val="32"/>
        </w:rPr>
        <w:t>163.22</w:t>
      </w:r>
      <w:r>
        <w:rPr>
          <w:rFonts w:hint="eastAsia" w:ascii="仿宋_GB2312" w:hAnsi="宋体" w:eastAsia="仿宋_GB2312"/>
          <w:color w:val="000000" w:themeColor="text1"/>
          <w:sz w:val="32"/>
          <w:szCs w:val="32"/>
        </w:rPr>
        <w:t>万吨标煤，工业总产值</w:t>
      </w:r>
      <w:r>
        <w:rPr>
          <w:rFonts w:ascii="仿宋_GB2312" w:hAnsi="宋体" w:eastAsia="仿宋_GB2312"/>
          <w:color w:val="000000" w:themeColor="text1"/>
          <w:sz w:val="32"/>
          <w:szCs w:val="32"/>
        </w:rPr>
        <w:t>258.9</w:t>
      </w:r>
      <w:r>
        <w:rPr>
          <w:rFonts w:hint="eastAsia" w:ascii="仿宋_GB2312" w:hAnsi="宋体" w:eastAsia="仿宋_GB2312"/>
          <w:color w:val="000000" w:themeColor="text1"/>
          <w:sz w:val="32"/>
          <w:szCs w:val="32"/>
        </w:rPr>
        <w:t>亿元，万元产值能耗</w:t>
      </w:r>
      <w:r>
        <w:rPr>
          <w:rFonts w:ascii="仿宋_GB2312" w:hAnsi="宋体" w:eastAsia="仿宋_GB2312"/>
          <w:color w:val="000000" w:themeColor="text1"/>
          <w:sz w:val="32"/>
          <w:szCs w:val="32"/>
        </w:rPr>
        <w:t>0.63</w:t>
      </w:r>
      <w:r>
        <w:rPr>
          <w:rFonts w:hint="eastAsia" w:ascii="仿宋_GB2312" w:hAnsi="宋体" w:eastAsia="仿宋_GB2312"/>
          <w:color w:val="000000" w:themeColor="text1"/>
          <w:sz w:val="32"/>
          <w:szCs w:val="32"/>
        </w:rPr>
        <w:t>吨</w:t>
      </w:r>
      <w:r>
        <w:rPr>
          <w:rFonts w:ascii="仿宋_GB2312" w:hAnsi="宋体" w:eastAsia="仿宋_GB2312"/>
          <w:color w:val="000000" w:themeColor="text1"/>
          <w:sz w:val="32"/>
          <w:szCs w:val="32"/>
        </w:rPr>
        <w:t>/</w:t>
      </w:r>
      <w:r>
        <w:rPr>
          <w:rFonts w:hint="eastAsia" w:ascii="仿宋_GB2312" w:hAnsi="宋体" w:eastAsia="仿宋_GB2312"/>
          <w:color w:val="000000" w:themeColor="text1"/>
          <w:sz w:val="32"/>
          <w:szCs w:val="32"/>
        </w:rPr>
        <w:t>万元，能源消费总量增量预计完不成目标任务。</w:t>
      </w:r>
      <w:r>
        <w:rPr>
          <w:rFonts w:hint="eastAsia" w:ascii="仿宋_GB2312" w:eastAsia="仿宋_GB2312"/>
          <w:color w:val="000000" w:themeColor="text1"/>
          <w:sz w:val="32"/>
          <w:szCs w:val="32"/>
        </w:rPr>
        <w:t>产业结构有待进一步优化，资源节约和环境保护历史欠账较多，能耗双控任务重。</w:t>
      </w:r>
    </w:p>
    <w:p>
      <w:pPr>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2、环境保护压力大</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景德镇城市降水酸雨化严重，降水中酸雨频率大于80%，在全省范围内仅次于南昌市， 2017年3月南河河口、野鸡山交界断面出现劣V类情况（如TP等）；同时，汽车、住房等消费结构和消费方式转型升级，消费生活型污染突显，全市机动车新增量加大了空气质量改善的压力，重点区域大气复合污染趋于加重，结构性环境污染突出。</w:t>
      </w:r>
    </w:p>
    <w:p>
      <w:pPr>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3、体制机制待完善</w:t>
      </w:r>
    </w:p>
    <w:p>
      <w:pPr>
        <w:spacing w:line="360" w:lineRule="auto"/>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一是</w:t>
      </w:r>
      <w:r>
        <w:rPr>
          <w:rFonts w:hint="eastAsia" w:ascii="仿宋_GB2312" w:eastAsia="仿宋_GB2312"/>
          <w:color w:val="000000" w:themeColor="text1"/>
          <w:sz w:val="32"/>
          <w:szCs w:val="32"/>
        </w:rPr>
        <w:t>按照《江西省生活垃圾分类制度具体实施方案》（赣府厅发〔2017〕48号）文件精神， 2018年底前，我市中心城区要完成实施生活垃圾强制分类。但目前垃圾混装、混运、混处现象仍很普遍。垃圾分类收集处理推行困难，垃圾资源化、减量化利用率还有待提高。</w:t>
      </w:r>
      <w:r>
        <w:rPr>
          <w:rFonts w:hint="eastAsia" w:ascii="仿宋_GB2312" w:eastAsia="仿宋_GB2312"/>
          <w:b/>
          <w:color w:val="000000" w:themeColor="text1"/>
          <w:sz w:val="32"/>
          <w:szCs w:val="32"/>
        </w:rPr>
        <w:t>二是</w:t>
      </w:r>
      <w:r>
        <w:rPr>
          <w:rFonts w:hint="eastAsia" w:ascii="仿宋_GB2312" w:eastAsia="仿宋_GB2312"/>
          <w:color w:val="000000" w:themeColor="text1"/>
          <w:sz w:val="32"/>
          <w:szCs w:val="32"/>
        </w:rPr>
        <w:t>资源、环境和生态管理部门职能分工不合理。我市资源管理、环境保护分属不同部门主管，生态保护职能分散在多个部门，由于资源、环境、生态之间存在着不可分割的联系，加上部门之间协调合作困难，这种分散管理模式有待完善。</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（二）下一步工作打算</w:t>
      </w:r>
    </w:p>
    <w:p>
      <w:pPr>
        <w:ind w:firstLine="640"/>
        <w:rPr>
          <w:rFonts w:ascii="Times New Roman" w:hAnsi="Times New Roman" w:eastAsia="仿宋_GB2312"/>
          <w:color w:val="000000"/>
          <w:sz w:val="32"/>
          <w:szCs w:val="32"/>
        </w:rPr>
      </w:pPr>
      <w:r>
        <w:rPr>
          <w:rFonts w:hint="eastAsia" w:ascii="楷体_GB2312" w:hAnsi="黑体" w:eastAsia="楷体_GB2312" w:cs="黑体"/>
          <w:sz w:val="32"/>
          <w:szCs w:val="32"/>
        </w:rPr>
        <w:t>1、着力抓好环保问题整改。</w:t>
      </w:r>
      <w:r>
        <w:rPr>
          <w:rFonts w:hint="eastAsia" w:ascii="仿宋_GB2312" w:hAnsi="仿宋_GB2312" w:eastAsia="仿宋_GB2312" w:cs="仿宋_GB2312"/>
          <w:sz w:val="32"/>
          <w:szCs w:val="32"/>
        </w:rPr>
        <w:t>一年多来，市委市政府高位推动，加大资金投入，各部门齐抓共管，环保突出问题整改基本完成。但历史欠账多、考核要求越来越严，环保整改永远在路上。我们将</w:t>
      </w:r>
      <w:r>
        <w:rPr>
          <w:rFonts w:hint="eastAsia" w:ascii="Times New Roman" w:hAnsi="Times New Roman" w:eastAsia="仿宋_GB2312"/>
          <w:color w:val="000000"/>
          <w:sz w:val="32"/>
          <w:szCs w:val="32"/>
        </w:rPr>
        <w:t>坚持以中央标准为唯一标准，充分发挥环保部门综合协调职能，进一步加强督查督办，督促各级各部门对照问题整改措施清单，加快补齐生态环境短板，推动我市生态环境质量持续改善。</w:t>
      </w:r>
    </w:p>
    <w:p>
      <w:pPr>
        <w:ind w:firstLine="640"/>
        <w:rPr>
          <w:rFonts w:ascii="Times New Roman" w:hAnsi="Times New Roman" w:eastAsia="仿宋_GB2312"/>
          <w:color w:val="000000"/>
          <w:sz w:val="32"/>
          <w:szCs w:val="32"/>
        </w:rPr>
      </w:pPr>
      <w:r>
        <w:rPr>
          <w:rFonts w:hint="eastAsia" w:ascii="楷体_GB2312" w:hAnsi="黑体" w:eastAsia="楷体_GB2312" w:cs="黑体"/>
          <w:sz w:val="32"/>
          <w:szCs w:val="32"/>
        </w:rPr>
        <w:t>2、着力打好污染防治攻坚战。</w:t>
      </w:r>
      <w:r>
        <w:rPr>
          <w:rFonts w:hint="eastAsia" w:ascii="Times New Roman" w:hAnsi="Times New Roman" w:eastAsia="仿宋_GB2312"/>
          <w:color w:val="000000"/>
          <w:sz w:val="32"/>
          <w:szCs w:val="32"/>
        </w:rPr>
        <w:t>能否打好污染防治攻坚战，关系到全面建成小康社会的伟大目标。我们将立足于科学谋划、综合施策，围绕“净空、净水、净土”，持续开展</w:t>
      </w:r>
      <w:r>
        <w:rPr>
          <w:rFonts w:ascii="Times New Roman" w:hAnsi="Times New Roman" w:eastAsia="仿宋_GB2312"/>
          <w:color w:val="000000"/>
          <w:sz w:val="32"/>
          <w:szCs w:val="32"/>
        </w:rPr>
        <w:t>扬尘污染</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燃煤锅炉</w:t>
      </w:r>
      <w:r>
        <w:rPr>
          <w:rFonts w:hint="eastAsia" w:ascii="Times New Roman" w:hAnsi="Times New Roman" w:eastAsia="仿宋_GB2312"/>
          <w:color w:val="000000"/>
          <w:sz w:val="32"/>
          <w:szCs w:val="32"/>
        </w:rPr>
        <w:t>、烟花爆竹禁燃禁放等</w:t>
      </w:r>
      <w:r>
        <w:rPr>
          <w:rFonts w:ascii="Times New Roman" w:hAnsi="Times New Roman" w:eastAsia="仿宋_GB2312"/>
          <w:color w:val="000000"/>
          <w:sz w:val="32"/>
          <w:szCs w:val="32"/>
        </w:rPr>
        <w:t>专项整治工作</w:t>
      </w:r>
      <w:r>
        <w:rPr>
          <w:rFonts w:hint="eastAsia" w:ascii="Times New Roman" w:hAnsi="Times New Roman" w:eastAsia="仿宋_GB2312"/>
          <w:color w:val="000000"/>
          <w:sz w:val="32"/>
          <w:szCs w:val="32"/>
        </w:rPr>
        <w:t>，继续推动饮用水水源地保护和水污染物总量减排，继续落实土壤污染源详查和矿山污染摸底调查，全力打好污染防治攻坚战。</w:t>
      </w:r>
    </w:p>
    <w:p>
      <w:pPr>
        <w:ind w:firstLine="640" w:firstLineChars="200"/>
        <w:rPr>
          <w:rFonts w:ascii="Times New Roman" w:hAnsi="Times New Roman" w:eastAsia="仿宋_GB2312"/>
          <w:color w:val="000000"/>
          <w:sz w:val="32"/>
          <w:szCs w:val="32"/>
        </w:rPr>
      </w:pPr>
      <w:r>
        <w:rPr>
          <w:rFonts w:hint="eastAsia" w:ascii="楷体_GB2312" w:hAnsi="黑体" w:eastAsia="楷体_GB2312" w:cs="黑体"/>
          <w:sz w:val="32"/>
          <w:szCs w:val="32"/>
        </w:rPr>
        <w:t>3、着力严格环境监管执法。</w:t>
      </w:r>
      <w:r>
        <w:rPr>
          <w:rFonts w:hint="eastAsia" w:ascii="仿宋_GB2312" w:hAnsi="仿宋_GB2312" w:eastAsia="仿宋_GB2312" w:cs="仿宋_GB2312"/>
          <w:color w:val="000000"/>
          <w:sz w:val="32"/>
          <w:szCs w:val="32"/>
        </w:rPr>
        <w:t>我们将</w:t>
      </w:r>
      <w:r>
        <w:rPr>
          <w:rFonts w:ascii="Times New Roman" w:hAnsi="Times New Roman" w:eastAsia="仿宋_GB2312"/>
          <w:color w:val="000000"/>
          <w:sz w:val="32"/>
          <w:szCs w:val="32"/>
        </w:rPr>
        <w:t>继续加大现场环境执法力度，积极开展执法大练兵活动，加强执法能力建设</w:t>
      </w:r>
      <w:r>
        <w:rPr>
          <w:rFonts w:hint="eastAsia" w:ascii="Times New Roman" w:hAnsi="Times New Roman" w:eastAsia="仿宋_GB2312"/>
          <w:color w:val="000000"/>
          <w:sz w:val="32"/>
          <w:szCs w:val="32"/>
        </w:rPr>
        <w:t>和队伍素质建设</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以日常监管和重点监管相结合，以双随机一公开为原则，注重抓好环保领域典型违法案件，做到“处罚一个、警示一批、教育一片”，切实保障全市环境安全</w:t>
      </w:r>
      <w:r>
        <w:rPr>
          <w:rFonts w:ascii="Times New Roman" w:hAnsi="Times New Roman" w:eastAsia="仿宋_GB2312"/>
          <w:color w:val="000000"/>
          <w:sz w:val="32"/>
          <w:szCs w:val="32"/>
        </w:rPr>
        <w:t>。同时，认真做好环保热线信访工作</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做到“有诉必接、有接必查、有查必果、有果必复”，</w:t>
      </w:r>
      <w:r>
        <w:rPr>
          <w:rFonts w:hint="eastAsia" w:ascii="Times New Roman" w:hAnsi="Times New Roman" w:eastAsia="仿宋_GB2312"/>
          <w:color w:val="000000"/>
          <w:sz w:val="32"/>
          <w:szCs w:val="32"/>
        </w:rPr>
        <w:t>努力</w:t>
      </w:r>
      <w:r>
        <w:rPr>
          <w:rFonts w:ascii="Times New Roman" w:hAnsi="Times New Roman" w:eastAsia="仿宋_GB2312"/>
          <w:color w:val="000000"/>
          <w:sz w:val="32"/>
          <w:szCs w:val="32"/>
        </w:rPr>
        <w:t>解决群众关心的热点、焦点、难点环境问题，维护全市环境和谐稳定。</w:t>
      </w:r>
    </w:p>
    <w:p>
      <w:pPr>
        <w:widowControl/>
        <w:spacing w:line="360" w:lineRule="auto"/>
        <w:ind w:firstLine="645"/>
        <w:jc w:val="left"/>
        <w:rPr>
          <w:rFonts w:ascii="仿宋_GB2312" w:eastAsia="仿宋_GB2312"/>
          <w:sz w:val="32"/>
          <w:szCs w:val="32"/>
        </w:rPr>
      </w:pPr>
      <w:r>
        <w:rPr>
          <w:rFonts w:hint="eastAsia" w:ascii="楷体_GB2312" w:hAnsi="黑体" w:eastAsia="楷体_GB2312" w:cs="黑体"/>
          <w:sz w:val="32"/>
          <w:szCs w:val="32"/>
        </w:rPr>
        <w:t>4、着力抓好环境监管体制改革。</w:t>
      </w:r>
      <w:r>
        <w:rPr>
          <w:rFonts w:hint="eastAsia" w:ascii="Times New Roman" w:hAnsi="Times New Roman" w:eastAsia="仿宋_GB2312"/>
          <w:color w:val="000000"/>
          <w:sz w:val="32"/>
          <w:szCs w:val="32"/>
        </w:rPr>
        <w:t>我们将根据全省环保机构监测监察执法体制改革总体部署，全面贯彻市委加强作风建设的重要部署，把作风建设贯穿于生态环境保护全过程，着力解决污染防治领域“怕、慢、假、庸、散”等作风方面的突出问题，努力打造一支政治强、本领高、作风硬、敢担当，特别能吃苦、特别能战斗、特别能奉献的生态环境保护铁军。</w:t>
      </w:r>
    </w:p>
    <w:p>
      <w:pPr>
        <w:spacing w:line="360" w:lineRule="auto"/>
        <w:ind w:firstLine="643" w:firstLineChars="200"/>
        <w:rPr>
          <w:rFonts w:ascii="仿宋_GB2312" w:eastAsia="仿宋_GB2312"/>
          <w:b/>
          <w:sz w:val="32"/>
          <w:szCs w:val="32"/>
        </w:rPr>
      </w:pPr>
    </w:p>
    <w:sectPr>
      <w:footerReference r:id="rId3" w:type="default"/>
      <w:footerReference r:id="rId4" w:type="even"/>
      <w:pgSz w:w="11906" w:h="16838"/>
      <w:pgMar w:top="1701" w:right="1474" w:bottom="190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274"/>
      <w:docPartObj>
        <w:docPartGallery w:val="AutoText"/>
      </w:docPartObj>
    </w:sdtPr>
    <w:sdtEndPr>
      <w:rPr>
        <w:sz w:val="28"/>
      </w:rPr>
    </w:sdtEndPr>
    <w:sdtContent>
      <w:p>
        <w:pPr>
          <w:pStyle w:val="6"/>
          <w:jc w:val="right"/>
          <w:rPr>
            <w:sz w:val="28"/>
          </w:rPr>
        </w:pPr>
        <w:r>
          <w:rPr>
            <w:sz w:val="28"/>
          </w:rPr>
          <w:fldChar w:fldCharType="begin"/>
        </w:r>
        <w:r>
          <w:rPr>
            <w:sz w:val="28"/>
          </w:rPr>
          <w:instrText xml:space="preserve"> PAGE   \* MERGEFORMAT </w:instrText>
        </w:r>
        <w:r>
          <w:rPr>
            <w:sz w:val="28"/>
          </w:rPr>
          <w:fldChar w:fldCharType="separate"/>
        </w:r>
        <w:r>
          <w:rPr>
            <w:sz w:val="28"/>
            <w:lang w:val="zh-CN"/>
          </w:rPr>
          <w:t>-</w:t>
        </w:r>
        <w:r>
          <w:rPr>
            <w:sz w:val="28"/>
          </w:rPr>
          <w:t xml:space="preserve"> 19 -</w:t>
        </w:r>
        <w:r>
          <w:rPr>
            <w:sz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280"/>
      <w:docPartObj>
        <w:docPartGallery w:val="AutoText"/>
      </w:docPartObj>
    </w:sdtPr>
    <w:sdtEndPr>
      <w:rPr>
        <w:sz w:val="28"/>
      </w:rPr>
    </w:sdtEndPr>
    <w:sdtContent>
      <w:p>
        <w:pPr>
          <w:pStyle w:val="6"/>
          <w:rPr>
            <w:sz w:val="28"/>
          </w:rPr>
        </w:pPr>
        <w:r>
          <w:rPr>
            <w:sz w:val="28"/>
          </w:rPr>
          <w:fldChar w:fldCharType="begin"/>
        </w:r>
        <w:r>
          <w:rPr>
            <w:sz w:val="28"/>
          </w:rPr>
          <w:instrText xml:space="preserve"> PAGE   \* MERGEFORMAT </w:instrText>
        </w:r>
        <w:r>
          <w:rPr>
            <w:sz w:val="28"/>
          </w:rPr>
          <w:fldChar w:fldCharType="separate"/>
        </w:r>
        <w:r>
          <w:rPr>
            <w:sz w:val="28"/>
            <w:lang w:val="zh-CN"/>
          </w:rPr>
          <w:t>-</w:t>
        </w:r>
        <w:r>
          <w:rPr>
            <w:sz w:val="28"/>
          </w:rPr>
          <w:t xml:space="preserve"> 18 -</w:t>
        </w:r>
        <w:r>
          <w:rPr>
            <w:sz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E2YWY5NzI1MThhZDljY2U3MzkwYzYyOTljZjg5ZmIifQ=="/>
  </w:docVars>
  <w:rsids>
    <w:rsidRoot w:val="33EE2437"/>
    <w:rsid w:val="000030F5"/>
    <w:rsid w:val="00003B6B"/>
    <w:rsid w:val="000129F0"/>
    <w:rsid w:val="00012F32"/>
    <w:rsid w:val="000474B4"/>
    <w:rsid w:val="000528BB"/>
    <w:rsid w:val="000549C3"/>
    <w:rsid w:val="00056D02"/>
    <w:rsid w:val="0006172F"/>
    <w:rsid w:val="00064429"/>
    <w:rsid w:val="000800A1"/>
    <w:rsid w:val="00086C44"/>
    <w:rsid w:val="000A56FC"/>
    <w:rsid w:val="000A7656"/>
    <w:rsid w:val="000B116B"/>
    <w:rsid w:val="000B15CB"/>
    <w:rsid w:val="000C492E"/>
    <w:rsid w:val="000D793F"/>
    <w:rsid w:val="000E00BB"/>
    <w:rsid w:val="00103052"/>
    <w:rsid w:val="00107964"/>
    <w:rsid w:val="00115E41"/>
    <w:rsid w:val="00122943"/>
    <w:rsid w:val="0013444C"/>
    <w:rsid w:val="00136132"/>
    <w:rsid w:val="001409AC"/>
    <w:rsid w:val="001512E7"/>
    <w:rsid w:val="00153A9A"/>
    <w:rsid w:val="00165802"/>
    <w:rsid w:val="00177129"/>
    <w:rsid w:val="00182407"/>
    <w:rsid w:val="001A29D1"/>
    <w:rsid w:val="001C140E"/>
    <w:rsid w:val="001C15EC"/>
    <w:rsid w:val="001C7C74"/>
    <w:rsid w:val="001E17C2"/>
    <w:rsid w:val="001E76D6"/>
    <w:rsid w:val="00200AA2"/>
    <w:rsid w:val="0024194C"/>
    <w:rsid w:val="0024285B"/>
    <w:rsid w:val="00246749"/>
    <w:rsid w:val="002617DF"/>
    <w:rsid w:val="00262164"/>
    <w:rsid w:val="00264419"/>
    <w:rsid w:val="00270955"/>
    <w:rsid w:val="00273392"/>
    <w:rsid w:val="00273421"/>
    <w:rsid w:val="0028207C"/>
    <w:rsid w:val="00286C7B"/>
    <w:rsid w:val="00294E80"/>
    <w:rsid w:val="00297BA8"/>
    <w:rsid w:val="002A2EE4"/>
    <w:rsid w:val="002A3540"/>
    <w:rsid w:val="002A3549"/>
    <w:rsid w:val="002B1268"/>
    <w:rsid w:val="002B51D7"/>
    <w:rsid w:val="002B5A4B"/>
    <w:rsid w:val="002C38C3"/>
    <w:rsid w:val="002E0C1E"/>
    <w:rsid w:val="002F0A10"/>
    <w:rsid w:val="002F4CD6"/>
    <w:rsid w:val="002F77C7"/>
    <w:rsid w:val="003061F2"/>
    <w:rsid w:val="0031243C"/>
    <w:rsid w:val="00312981"/>
    <w:rsid w:val="003146A7"/>
    <w:rsid w:val="003242FF"/>
    <w:rsid w:val="00330401"/>
    <w:rsid w:val="0035250D"/>
    <w:rsid w:val="00357707"/>
    <w:rsid w:val="00363857"/>
    <w:rsid w:val="003737FA"/>
    <w:rsid w:val="00391CAE"/>
    <w:rsid w:val="003C46F0"/>
    <w:rsid w:val="003C6A71"/>
    <w:rsid w:val="003E124D"/>
    <w:rsid w:val="003E749B"/>
    <w:rsid w:val="00403A72"/>
    <w:rsid w:val="00404F3D"/>
    <w:rsid w:val="0040521D"/>
    <w:rsid w:val="00405236"/>
    <w:rsid w:val="00413C99"/>
    <w:rsid w:val="00423782"/>
    <w:rsid w:val="004449CE"/>
    <w:rsid w:val="00445AF0"/>
    <w:rsid w:val="00471810"/>
    <w:rsid w:val="00486C3C"/>
    <w:rsid w:val="00493FD7"/>
    <w:rsid w:val="004959C4"/>
    <w:rsid w:val="004A3A9A"/>
    <w:rsid w:val="004B07F7"/>
    <w:rsid w:val="004B2D4E"/>
    <w:rsid w:val="004C14BB"/>
    <w:rsid w:val="004C4180"/>
    <w:rsid w:val="004E2240"/>
    <w:rsid w:val="005059EF"/>
    <w:rsid w:val="00511901"/>
    <w:rsid w:val="00517838"/>
    <w:rsid w:val="00534220"/>
    <w:rsid w:val="00535A91"/>
    <w:rsid w:val="00575BF5"/>
    <w:rsid w:val="00581228"/>
    <w:rsid w:val="00584EF7"/>
    <w:rsid w:val="005867DD"/>
    <w:rsid w:val="005C4662"/>
    <w:rsid w:val="005E1F28"/>
    <w:rsid w:val="006042E8"/>
    <w:rsid w:val="006058B3"/>
    <w:rsid w:val="00612E53"/>
    <w:rsid w:val="00614DA1"/>
    <w:rsid w:val="00615AB5"/>
    <w:rsid w:val="006173BB"/>
    <w:rsid w:val="00617436"/>
    <w:rsid w:val="0063268C"/>
    <w:rsid w:val="006329DD"/>
    <w:rsid w:val="00643C9D"/>
    <w:rsid w:val="00643D26"/>
    <w:rsid w:val="0067600F"/>
    <w:rsid w:val="006805F2"/>
    <w:rsid w:val="00681C8E"/>
    <w:rsid w:val="0069016C"/>
    <w:rsid w:val="00690F3D"/>
    <w:rsid w:val="006B4EFD"/>
    <w:rsid w:val="006D655F"/>
    <w:rsid w:val="006D7F73"/>
    <w:rsid w:val="006E2D00"/>
    <w:rsid w:val="00706412"/>
    <w:rsid w:val="00707439"/>
    <w:rsid w:val="00710216"/>
    <w:rsid w:val="007124AC"/>
    <w:rsid w:val="00717FE9"/>
    <w:rsid w:val="00720EB4"/>
    <w:rsid w:val="0072439F"/>
    <w:rsid w:val="00732993"/>
    <w:rsid w:val="0074206E"/>
    <w:rsid w:val="007425FA"/>
    <w:rsid w:val="007531C4"/>
    <w:rsid w:val="00756B2B"/>
    <w:rsid w:val="00756F1B"/>
    <w:rsid w:val="007708B6"/>
    <w:rsid w:val="00770E31"/>
    <w:rsid w:val="00771BAD"/>
    <w:rsid w:val="00786B0C"/>
    <w:rsid w:val="007956A5"/>
    <w:rsid w:val="007B12CA"/>
    <w:rsid w:val="007B7EE3"/>
    <w:rsid w:val="007C25AD"/>
    <w:rsid w:val="007C6DED"/>
    <w:rsid w:val="007C6F12"/>
    <w:rsid w:val="007E0904"/>
    <w:rsid w:val="007E7090"/>
    <w:rsid w:val="007F1644"/>
    <w:rsid w:val="007F2022"/>
    <w:rsid w:val="00803DD8"/>
    <w:rsid w:val="00822EA2"/>
    <w:rsid w:val="00826004"/>
    <w:rsid w:val="00836DEF"/>
    <w:rsid w:val="008428FF"/>
    <w:rsid w:val="008463A4"/>
    <w:rsid w:val="00860F40"/>
    <w:rsid w:val="008659FB"/>
    <w:rsid w:val="00871E0E"/>
    <w:rsid w:val="00872B5E"/>
    <w:rsid w:val="008804CF"/>
    <w:rsid w:val="0088595E"/>
    <w:rsid w:val="00890C98"/>
    <w:rsid w:val="00893D6D"/>
    <w:rsid w:val="008979EB"/>
    <w:rsid w:val="008A64AF"/>
    <w:rsid w:val="008B6072"/>
    <w:rsid w:val="008B6AF7"/>
    <w:rsid w:val="008C3BD5"/>
    <w:rsid w:val="008D5756"/>
    <w:rsid w:val="008E5B72"/>
    <w:rsid w:val="008F23C6"/>
    <w:rsid w:val="008F4D6E"/>
    <w:rsid w:val="00904DDD"/>
    <w:rsid w:val="00915CAD"/>
    <w:rsid w:val="00925229"/>
    <w:rsid w:val="00946786"/>
    <w:rsid w:val="00955EDE"/>
    <w:rsid w:val="00960175"/>
    <w:rsid w:val="00960ACF"/>
    <w:rsid w:val="00975FC7"/>
    <w:rsid w:val="009A43F3"/>
    <w:rsid w:val="009A719B"/>
    <w:rsid w:val="009B067C"/>
    <w:rsid w:val="009B0A45"/>
    <w:rsid w:val="009E0A0F"/>
    <w:rsid w:val="009F0904"/>
    <w:rsid w:val="009F4619"/>
    <w:rsid w:val="00A010BD"/>
    <w:rsid w:val="00A1178A"/>
    <w:rsid w:val="00A21720"/>
    <w:rsid w:val="00A22400"/>
    <w:rsid w:val="00A26507"/>
    <w:rsid w:val="00A500FD"/>
    <w:rsid w:val="00A52F40"/>
    <w:rsid w:val="00A550F1"/>
    <w:rsid w:val="00A55F05"/>
    <w:rsid w:val="00A61CFB"/>
    <w:rsid w:val="00A75F00"/>
    <w:rsid w:val="00A80E1C"/>
    <w:rsid w:val="00AA5F17"/>
    <w:rsid w:val="00AB351E"/>
    <w:rsid w:val="00AB37C7"/>
    <w:rsid w:val="00AB415E"/>
    <w:rsid w:val="00AB694B"/>
    <w:rsid w:val="00AB7CA9"/>
    <w:rsid w:val="00AC6FC0"/>
    <w:rsid w:val="00AD0A7D"/>
    <w:rsid w:val="00AD3B4F"/>
    <w:rsid w:val="00AE3334"/>
    <w:rsid w:val="00B12B84"/>
    <w:rsid w:val="00B4690C"/>
    <w:rsid w:val="00B56062"/>
    <w:rsid w:val="00B606E9"/>
    <w:rsid w:val="00B732BE"/>
    <w:rsid w:val="00B772F8"/>
    <w:rsid w:val="00B82607"/>
    <w:rsid w:val="00B859B3"/>
    <w:rsid w:val="00B85FD6"/>
    <w:rsid w:val="00B96528"/>
    <w:rsid w:val="00BA0FBE"/>
    <w:rsid w:val="00BB2C41"/>
    <w:rsid w:val="00BD024A"/>
    <w:rsid w:val="00BD0905"/>
    <w:rsid w:val="00BD47AC"/>
    <w:rsid w:val="00BF0DC1"/>
    <w:rsid w:val="00BF47CC"/>
    <w:rsid w:val="00BF50D4"/>
    <w:rsid w:val="00C01241"/>
    <w:rsid w:val="00C11CC0"/>
    <w:rsid w:val="00C11EF2"/>
    <w:rsid w:val="00C27639"/>
    <w:rsid w:val="00C27C40"/>
    <w:rsid w:val="00C30BCE"/>
    <w:rsid w:val="00C318A1"/>
    <w:rsid w:val="00C33E41"/>
    <w:rsid w:val="00C43F2A"/>
    <w:rsid w:val="00C6008C"/>
    <w:rsid w:val="00C62BFC"/>
    <w:rsid w:val="00C657DF"/>
    <w:rsid w:val="00C93016"/>
    <w:rsid w:val="00C955B8"/>
    <w:rsid w:val="00C9571B"/>
    <w:rsid w:val="00C96A0C"/>
    <w:rsid w:val="00CA2F62"/>
    <w:rsid w:val="00CB36E7"/>
    <w:rsid w:val="00CB4AEC"/>
    <w:rsid w:val="00CC1BB0"/>
    <w:rsid w:val="00CC4075"/>
    <w:rsid w:val="00CC66B3"/>
    <w:rsid w:val="00CD2812"/>
    <w:rsid w:val="00CD69CA"/>
    <w:rsid w:val="00CE349C"/>
    <w:rsid w:val="00CE61AB"/>
    <w:rsid w:val="00D13B8E"/>
    <w:rsid w:val="00D2424D"/>
    <w:rsid w:val="00D24598"/>
    <w:rsid w:val="00D24FE8"/>
    <w:rsid w:val="00D36B12"/>
    <w:rsid w:val="00D43447"/>
    <w:rsid w:val="00D54570"/>
    <w:rsid w:val="00D60725"/>
    <w:rsid w:val="00D66482"/>
    <w:rsid w:val="00D93091"/>
    <w:rsid w:val="00DA5B80"/>
    <w:rsid w:val="00DB2172"/>
    <w:rsid w:val="00DC46D1"/>
    <w:rsid w:val="00DC78A7"/>
    <w:rsid w:val="00DD5743"/>
    <w:rsid w:val="00DE3834"/>
    <w:rsid w:val="00E16AD4"/>
    <w:rsid w:val="00E249B1"/>
    <w:rsid w:val="00E42967"/>
    <w:rsid w:val="00E52356"/>
    <w:rsid w:val="00E53C7F"/>
    <w:rsid w:val="00E6523C"/>
    <w:rsid w:val="00E7348D"/>
    <w:rsid w:val="00E77C35"/>
    <w:rsid w:val="00E8018C"/>
    <w:rsid w:val="00EC0AC7"/>
    <w:rsid w:val="00EC4192"/>
    <w:rsid w:val="00EC5EE5"/>
    <w:rsid w:val="00ED3F78"/>
    <w:rsid w:val="00ED5F70"/>
    <w:rsid w:val="00EE2529"/>
    <w:rsid w:val="00EF3833"/>
    <w:rsid w:val="00EF79FE"/>
    <w:rsid w:val="00F0025E"/>
    <w:rsid w:val="00F170FD"/>
    <w:rsid w:val="00F23DA5"/>
    <w:rsid w:val="00F2722F"/>
    <w:rsid w:val="00F37D4D"/>
    <w:rsid w:val="00F413AB"/>
    <w:rsid w:val="00F41903"/>
    <w:rsid w:val="00F43310"/>
    <w:rsid w:val="00F479B6"/>
    <w:rsid w:val="00F57392"/>
    <w:rsid w:val="00F67338"/>
    <w:rsid w:val="00F72ED7"/>
    <w:rsid w:val="00F768DF"/>
    <w:rsid w:val="00F8675F"/>
    <w:rsid w:val="00F9643E"/>
    <w:rsid w:val="00FA507D"/>
    <w:rsid w:val="00FA7B97"/>
    <w:rsid w:val="00FB04A7"/>
    <w:rsid w:val="00FC4141"/>
    <w:rsid w:val="00FD0EC0"/>
    <w:rsid w:val="00FD2B60"/>
    <w:rsid w:val="00FE490F"/>
    <w:rsid w:val="00FF4E0D"/>
    <w:rsid w:val="0403773A"/>
    <w:rsid w:val="12AD52B4"/>
    <w:rsid w:val="143E38E0"/>
    <w:rsid w:val="20BD0F00"/>
    <w:rsid w:val="20C167B9"/>
    <w:rsid w:val="24216238"/>
    <w:rsid w:val="24F606AB"/>
    <w:rsid w:val="2570455E"/>
    <w:rsid w:val="2FA94D0C"/>
    <w:rsid w:val="33EE2437"/>
    <w:rsid w:val="350A3297"/>
    <w:rsid w:val="45096BA2"/>
    <w:rsid w:val="4B6942C4"/>
    <w:rsid w:val="4F3F0AC0"/>
    <w:rsid w:val="57097EFB"/>
    <w:rsid w:val="59F645CC"/>
    <w:rsid w:val="683E0B37"/>
    <w:rsid w:val="6A61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3"/>
    <w:unhideWhenUsed/>
    <w:qFormat/>
    <w:uiPriority w:val="0"/>
    <w:pPr>
      <w:keepNext/>
      <w:keepLines/>
      <w:spacing w:line="415"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uiPriority w:val="0"/>
    <w:rPr>
      <w:rFonts w:ascii="宋体" w:eastAsia="宋体"/>
      <w:sz w:val="18"/>
      <w:szCs w:val="18"/>
    </w:rPr>
  </w:style>
  <w:style w:type="paragraph" w:styleId="4">
    <w:name w:val="Date"/>
    <w:basedOn w:val="1"/>
    <w:next w:val="1"/>
    <w:link w:val="25"/>
    <w:autoRedefine/>
    <w:qFormat/>
    <w:uiPriority w:val="0"/>
    <w:pPr>
      <w:ind w:left="100" w:leftChars="2500"/>
    </w:pPr>
  </w:style>
  <w:style w:type="paragraph" w:styleId="5">
    <w:name w:val="Balloon Text"/>
    <w:basedOn w:val="1"/>
    <w:link w:val="24"/>
    <w:autoRedefine/>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paragraph" w:styleId="9">
    <w:name w:val="Title"/>
    <w:basedOn w:val="1"/>
    <w:next w:val="1"/>
    <w:link w:val="22"/>
    <w:autoRedefine/>
    <w:qFormat/>
    <w:uiPriority w:val="10"/>
    <w:pPr>
      <w:spacing w:before="240" w:after="60"/>
      <w:jc w:val="center"/>
      <w:outlineLvl w:val="0"/>
    </w:pPr>
    <w:rPr>
      <w:rFonts w:ascii="Cambria" w:hAnsi="Cambria" w:cs="Times New Roman"/>
      <w:b/>
      <w:bCs/>
      <w:kern w:val="0"/>
      <w:sz w:val="32"/>
      <w:szCs w:val="32"/>
    </w:rPr>
  </w:style>
  <w:style w:type="character" w:styleId="12">
    <w:name w:val="page number"/>
    <w:basedOn w:val="11"/>
    <w:uiPriority w:val="0"/>
  </w:style>
  <w:style w:type="character" w:customStyle="1" w:styleId="13">
    <w:name w:val="标题 3 Char"/>
    <w:basedOn w:val="11"/>
    <w:link w:val="2"/>
    <w:semiHidden/>
    <w:qFormat/>
    <w:uiPriority w:val="9"/>
    <w:rPr>
      <w:b/>
      <w:bCs/>
      <w:sz w:val="32"/>
      <w:szCs w:val="32"/>
    </w:rPr>
  </w:style>
  <w:style w:type="paragraph" w:customStyle="1" w:styleId="14">
    <w:name w:val="p0"/>
    <w:basedOn w:val="1"/>
    <w:qFormat/>
    <w:uiPriority w:val="0"/>
    <w:pPr>
      <w:widowControl/>
      <w:spacing w:line="365" w:lineRule="atLeast"/>
      <w:ind w:left="1"/>
    </w:pPr>
    <w:rPr>
      <w:kern w:val="0"/>
      <w:sz w:val="20"/>
      <w:szCs w:val="20"/>
    </w:rPr>
  </w:style>
  <w:style w:type="character" w:customStyle="1" w:styleId="15">
    <w:name w:val="页脚 Char"/>
    <w:basedOn w:val="11"/>
    <w:link w:val="6"/>
    <w:autoRedefine/>
    <w:qFormat/>
    <w:uiPriority w:val="99"/>
    <w:rPr>
      <w:kern w:val="2"/>
      <w:sz w:val="18"/>
      <w:szCs w:val="18"/>
    </w:rPr>
  </w:style>
  <w:style w:type="paragraph" w:styleId="16">
    <w:name w:val="No Spacing"/>
    <w:link w:val="17"/>
    <w:qFormat/>
    <w:uiPriority w:val="1"/>
    <w:rPr>
      <w:rFonts w:asciiTheme="minorHAnsi" w:hAnsiTheme="minorHAnsi" w:eastAsiaTheme="minorEastAsia" w:cstheme="minorBidi"/>
      <w:sz w:val="22"/>
      <w:szCs w:val="22"/>
      <w:lang w:val="en-US" w:eastAsia="zh-CN" w:bidi="ar-SA"/>
    </w:rPr>
  </w:style>
  <w:style w:type="character" w:customStyle="1" w:styleId="17">
    <w:name w:val="无间隔 Char"/>
    <w:basedOn w:val="11"/>
    <w:link w:val="16"/>
    <w:uiPriority w:val="1"/>
    <w:rPr>
      <w:sz w:val="22"/>
      <w:szCs w:val="22"/>
    </w:rPr>
  </w:style>
  <w:style w:type="character" w:customStyle="1" w:styleId="18">
    <w:name w:val="页眉 Char"/>
    <w:basedOn w:val="11"/>
    <w:link w:val="7"/>
    <w:autoRedefine/>
    <w:qFormat/>
    <w:uiPriority w:val="99"/>
    <w:rPr>
      <w:kern w:val="2"/>
      <w:sz w:val="18"/>
      <w:szCs w:val="18"/>
    </w:rPr>
  </w:style>
  <w:style w:type="paragraph" w:styleId="19">
    <w:name w:val="List Paragraph"/>
    <w:basedOn w:val="1"/>
    <w:unhideWhenUsed/>
    <w:uiPriority w:val="99"/>
    <w:pPr>
      <w:ind w:firstLine="420" w:firstLineChars="200"/>
    </w:pPr>
  </w:style>
  <w:style w:type="character" w:customStyle="1" w:styleId="20">
    <w:name w:val="文档结构图 Char"/>
    <w:basedOn w:val="11"/>
    <w:link w:val="3"/>
    <w:uiPriority w:val="0"/>
    <w:rPr>
      <w:rFonts w:ascii="宋体" w:eastAsia="宋体"/>
      <w:kern w:val="2"/>
      <w:sz w:val="18"/>
      <w:szCs w:val="18"/>
    </w:rPr>
  </w:style>
  <w:style w:type="character" w:customStyle="1" w:styleId="21">
    <w:name w:val="标题 Char"/>
    <w:link w:val="9"/>
    <w:autoRedefine/>
    <w:qFormat/>
    <w:uiPriority w:val="10"/>
    <w:rPr>
      <w:rFonts w:ascii="Cambria" w:hAnsi="Cambria" w:cs="Times New Roman"/>
      <w:b/>
      <w:bCs/>
      <w:sz w:val="32"/>
      <w:szCs w:val="32"/>
    </w:rPr>
  </w:style>
  <w:style w:type="character" w:customStyle="1" w:styleId="22">
    <w:name w:val="标题 Char1"/>
    <w:basedOn w:val="11"/>
    <w:link w:val="9"/>
    <w:uiPriority w:val="0"/>
    <w:rPr>
      <w:rFonts w:eastAsia="宋体" w:asciiTheme="majorHAnsi" w:hAnsiTheme="majorHAnsi" w:cstheme="majorBidi"/>
      <w:b/>
      <w:bCs/>
      <w:kern w:val="2"/>
      <w:sz w:val="32"/>
      <w:szCs w:val="32"/>
    </w:rPr>
  </w:style>
  <w:style w:type="paragraph" w:customStyle="1" w:styleId="23">
    <w:name w:val="标题2"/>
    <w:basedOn w:val="1"/>
    <w:next w:val="1"/>
    <w:autoRedefine/>
    <w:qFormat/>
    <w:uiPriority w:val="0"/>
    <w:pPr>
      <w:spacing w:line="550" w:lineRule="exact"/>
      <w:ind w:firstLine="200" w:firstLineChars="200"/>
      <w:jc w:val="left"/>
      <w:outlineLvl w:val="0"/>
    </w:pPr>
    <w:rPr>
      <w:rFonts w:ascii="楷体_GB2312" w:hAnsi="Times New Roman" w:eastAsia="楷体_GB2312" w:cs="Times New Roman"/>
      <w:b/>
      <w:bCs/>
      <w:sz w:val="32"/>
      <w:szCs w:val="32"/>
    </w:rPr>
  </w:style>
  <w:style w:type="character" w:customStyle="1" w:styleId="24">
    <w:name w:val="批注框文本 Char"/>
    <w:basedOn w:val="11"/>
    <w:link w:val="5"/>
    <w:uiPriority w:val="0"/>
    <w:rPr>
      <w:kern w:val="2"/>
      <w:sz w:val="18"/>
      <w:szCs w:val="18"/>
    </w:rPr>
  </w:style>
  <w:style w:type="character" w:customStyle="1" w:styleId="25">
    <w:name w:val="日期 Char"/>
    <w:basedOn w:val="11"/>
    <w:link w:val="4"/>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9F13A-9E54-4EBB-BC5C-DB323DC148D9}">
  <ds:schemaRefs/>
</ds:datastoreItem>
</file>

<file path=docProps/app.xml><?xml version="1.0" encoding="utf-8"?>
<Properties xmlns="http://schemas.openxmlformats.org/officeDocument/2006/extended-properties" xmlns:vt="http://schemas.openxmlformats.org/officeDocument/2006/docPropsVTypes">
  <Template>Normal</Template>
  <Pages>19</Pages>
  <Words>1571</Words>
  <Characters>8960</Characters>
  <Lines>74</Lines>
  <Paragraphs>21</Paragraphs>
  <TotalTime>91</TotalTime>
  <ScaleCrop>false</ScaleCrop>
  <LinksUpToDate>false</LinksUpToDate>
  <CharactersWithSpaces>10510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2018-04-10T02:24:00Z</dcterms:created>
  <dc:creator>ASUS</dc:creator>
  <cp:lastModifiedBy>L</cp:lastModifiedBy>
  <dcterms:modified xsi:type="dcterms:W3CDTF">2024-05-06T06:30:16Z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B9691E2F98DD45C4BFE098E088179425_12</vt:lpwstr>
  </property>
</Properties>
</file>