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52"/>
          <w:szCs w:val="52"/>
        </w:rPr>
      </w:pPr>
      <w:r>
        <w:rPr>
          <w:rFonts w:hint="eastAsia"/>
          <w:sz w:val="52"/>
          <w:szCs w:val="52"/>
        </w:rPr>
        <w:t>学校重大事故隐患判定标准</w:t>
      </w:r>
    </w:p>
    <w:p>
      <w:pPr>
        <w:rPr>
          <w:rFonts w:hint="eastAsia"/>
        </w:rPr>
      </w:pPr>
      <w:r>
        <w:rPr>
          <w:rFonts w:hint="eastAsia"/>
        </w:rPr>
        <w:t xml:space="preserve"> </w:t>
      </w:r>
    </w:p>
    <w:p>
      <w:pPr>
        <w:rPr>
          <w:rFonts w:hint="eastAsia"/>
          <w:sz w:val="28"/>
          <w:szCs w:val="28"/>
        </w:rPr>
      </w:pPr>
      <w:r>
        <w:rPr>
          <w:rFonts w:hint="eastAsia"/>
          <w:sz w:val="28"/>
          <w:szCs w:val="28"/>
        </w:rPr>
        <w:t>- 加强学习培训 ：将《教育系统重大事故隐患判定指南（2024版）》纳入开学前安全会议必学内容，由学校主要负责人讲解重点、注意事项和运用要求。同时，纳入学校安全管理培训、安全教育培训计划，组织安全管理人员、一线教师等认真学习，还可通过线上线下结合的方式开展专题培训，提高全体人员对判定标准的理解和掌握程度。</w:t>
      </w:r>
    </w:p>
    <w:p>
      <w:pPr>
        <w:rPr>
          <w:rFonts w:hint="eastAsia"/>
          <w:sz w:val="28"/>
          <w:szCs w:val="28"/>
        </w:rPr>
      </w:pPr>
      <w:r>
        <w:rPr>
          <w:rFonts w:hint="eastAsia"/>
          <w:sz w:val="28"/>
          <w:szCs w:val="28"/>
        </w:rPr>
        <w:t>- 建立排查清单 ：依据判定指南，建立重大事故隐患自查、检查重点事项清单，明确检查对象、内容、频次、整改内容等，确定排查的重点区域、场所、设施等以及相应整改措施，逐一明确排查责任人员，确保隐患排查工作有章可循。</w:t>
      </w:r>
    </w:p>
    <w:p>
      <w:pPr>
        <w:rPr>
          <w:rFonts w:hint="eastAsia"/>
          <w:sz w:val="28"/>
          <w:szCs w:val="28"/>
        </w:rPr>
      </w:pPr>
      <w:r>
        <w:rPr>
          <w:rFonts w:hint="eastAsia"/>
          <w:sz w:val="28"/>
          <w:szCs w:val="28"/>
        </w:rPr>
        <w:t>- 深入开展排查整治：聚焦校园消防、校舍安全、食品安全、实验实训等重要领域和关键环节，按照判定标准进行全面排查。例如，消防方面，检查是否存在未建立消防安全工作责任体系、人员密集场所安全出口不符合要求等情况；校舍方面，查看是否存在地基不均匀沉降、使用危房等问题。对排查出的重大事故隐患，要及时整改，明确整改责任人和整改期限，确保隐患及时消除。</w:t>
      </w:r>
    </w:p>
    <w:p>
      <w:pPr>
        <w:rPr>
          <w:rFonts w:hint="eastAsia"/>
          <w:sz w:val="28"/>
          <w:szCs w:val="28"/>
        </w:rPr>
      </w:pPr>
      <w:r>
        <w:rPr>
          <w:rFonts w:hint="eastAsia"/>
          <w:sz w:val="28"/>
          <w:szCs w:val="28"/>
        </w:rPr>
        <w:t>- 强化监督检查 ：将教育系统重大事故隐患判定标准贯彻落实情况纳入每次监督检查的必查项，对学校一线从业人员进行现场询问、测试，抽查检查标准贯彻落实成效。采取“四不两直”的方式开展暗访检查，跟进问题整改，形成闭环管理。</w:t>
      </w:r>
    </w:p>
    <w:p>
      <w:pPr>
        <w:rPr>
          <w:rFonts w:hint="eastAsia"/>
          <w:sz w:val="28"/>
          <w:szCs w:val="28"/>
        </w:rPr>
      </w:pPr>
      <w:r>
        <w:rPr>
          <w:rFonts w:hint="eastAsia"/>
          <w:sz w:val="28"/>
          <w:szCs w:val="28"/>
        </w:rPr>
        <w:t>- 加强宣传教育 ：通过学校电子屏、公示栏、微信公众号等渠道，对重大事故隐患判定标准进行滚动宣传，推动判定标准上墙。同时，将其纳入安全警示教育必学内容，通过学习反面事故典型案例，深刻吸取教训，增强师生的安全意识和隐患排查能力。</w:t>
      </w:r>
    </w:p>
    <w:p>
      <w:pPr>
        <w:rPr>
          <w:rFonts w:hint="eastAsia"/>
          <w:sz w:val="28"/>
          <w:szCs w:val="28"/>
        </w:rPr>
      </w:pPr>
    </w:p>
    <w:p>
      <w:pPr>
        <w:rPr>
          <w:rFonts w:hint="eastAsia"/>
          <w:sz w:val="28"/>
          <w:szCs w:val="28"/>
          <w:lang w:val="en-US" w:eastAsia="zh-CN"/>
        </w:rPr>
      </w:pPr>
      <w:r>
        <w:rPr>
          <w:rFonts w:hint="eastAsia"/>
          <w:sz w:val="28"/>
          <w:szCs w:val="28"/>
          <w:lang w:val="en-US" w:eastAsia="zh-CN"/>
        </w:rPr>
        <w:t xml:space="preserve">                                </w:t>
      </w:r>
    </w:p>
    <w:p>
      <w:pPr>
        <w:rPr>
          <w:rFonts w:hint="eastAsia"/>
          <w:sz w:val="28"/>
          <w:szCs w:val="28"/>
          <w:lang w:val="en-US" w:eastAsia="zh-CN"/>
        </w:rPr>
      </w:pPr>
    </w:p>
    <w:p>
      <w:pPr>
        <w:rPr>
          <w:rFonts w:hint="eastAsia"/>
          <w:sz w:val="28"/>
          <w:szCs w:val="28"/>
          <w:lang w:val="en-US" w:eastAsia="zh-CN"/>
        </w:rPr>
      </w:pPr>
    </w:p>
    <w:p>
      <w:pPr>
        <w:rPr>
          <w:rFonts w:hint="eastAsia"/>
          <w:sz w:val="28"/>
          <w:szCs w:val="28"/>
          <w:lang w:val="en-US" w:eastAsia="zh-CN"/>
        </w:rPr>
      </w:pPr>
    </w:p>
    <w:p>
      <w:pPr>
        <w:ind w:firstLine="5320" w:firstLineChars="1900"/>
        <w:rPr>
          <w:rFonts w:hint="eastAsia" w:eastAsiaTheme="minorEastAsia"/>
          <w:sz w:val="28"/>
          <w:szCs w:val="28"/>
          <w:lang w:val="en-US" w:eastAsia="zh-CN"/>
        </w:rPr>
      </w:pPr>
      <w:bookmarkStart w:id="0" w:name="_GoBack"/>
      <w:bookmarkEnd w:id="0"/>
      <w:r>
        <w:rPr>
          <w:rFonts w:hint="eastAsia"/>
          <w:sz w:val="28"/>
          <w:szCs w:val="28"/>
          <w:lang w:val="en-US" w:eastAsia="zh-CN"/>
        </w:rPr>
        <w:t xml:space="preserve"> 景德镇市二十六中学</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Lucida Sans Unicode">
    <w:panose1 w:val="020B0602030504020204"/>
    <w:charset w:val="00"/>
    <w:family w:val="auto"/>
    <w:pitch w:val="default"/>
    <w:sig w:usb0="80001AFF" w:usb1="0000396B" w:usb2="00000000" w:usb3="00000000" w:csb0="0000003F" w:csb1="D7F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AA201B"/>
    <w:rsid w:val="0B9869AA"/>
    <w:rsid w:val="21AA201B"/>
    <w:rsid w:val="653A649A"/>
    <w:rsid w:val="7E2C3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2025-11-05T05:31:00Z</dcterms:created>
  <dc:creator>Administrator</dc:creator>
  <cp:lastModifiedBy>Administrator</cp:lastModifiedBy>
  <dcterms:modified xsi:type="dcterms:W3CDTF">2025-11-07T05:32:38Z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