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2DCBF">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rPr>
        <w:t>景德镇市</w:t>
      </w:r>
      <w:r>
        <w:rPr>
          <w:rFonts w:hint="eastAsia" w:ascii="方正小标宋简体" w:hAnsi="方正小标宋简体" w:eastAsia="方正小标宋简体" w:cs="方正小标宋简体"/>
          <w:b w:val="0"/>
          <w:bCs w:val="0"/>
          <w:color w:val="000000"/>
          <w:kern w:val="0"/>
          <w:sz w:val="44"/>
          <w:szCs w:val="44"/>
          <w:lang w:eastAsia="zh-CN"/>
        </w:rPr>
        <w:t>第二十六中学2025</w:t>
      </w:r>
      <w:r>
        <w:rPr>
          <w:rFonts w:hint="eastAsia" w:ascii="方正小标宋简体" w:hAnsi="方正小标宋简体" w:eastAsia="方正小标宋简体" w:cs="方正小标宋简体"/>
          <w:b w:val="0"/>
          <w:bCs w:val="0"/>
          <w:color w:val="000000"/>
          <w:kern w:val="0"/>
          <w:sz w:val="44"/>
          <w:szCs w:val="44"/>
        </w:rPr>
        <w:t>年</w:t>
      </w:r>
      <w:r>
        <w:rPr>
          <w:rFonts w:hint="eastAsia" w:ascii="方正小标宋简体" w:hAnsi="方正小标宋简体" w:eastAsia="方正小标宋简体" w:cs="方正小标宋简体"/>
          <w:b w:val="0"/>
          <w:bCs w:val="0"/>
          <w:color w:val="000000"/>
          <w:kern w:val="0"/>
          <w:sz w:val="44"/>
          <w:szCs w:val="44"/>
          <w:lang w:eastAsia="zh-CN"/>
        </w:rPr>
        <w:t>单位</w:t>
      </w:r>
      <w:r>
        <w:rPr>
          <w:rFonts w:hint="eastAsia" w:ascii="方正小标宋简体" w:hAnsi="方正小标宋简体" w:eastAsia="方正小标宋简体" w:cs="方正小标宋简体"/>
          <w:b w:val="0"/>
          <w:bCs w:val="0"/>
          <w:color w:val="000000"/>
          <w:kern w:val="0"/>
          <w:sz w:val="44"/>
          <w:szCs w:val="44"/>
        </w:rPr>
        <w:t>预算</w:t>
      </w:r>
    </w:p>
    <w:p w14:paraId="712743D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大标宋简体" w:hAnsi="方正大标宋简体" w:eastAsia="方正大标宋简体" w:cs="方正大标宋简体"/>
          <w:b w:val="0"/>
          <w:bCs w:val="0"/>
          <w:color w:val="000000"/>
          <w:kern w:val="0"/>
          <w:sz w:val="44"/>
          <w:szCs w:val="44"/>
        </w:rPr>
      </w:pPr>
    </w:p>
    <w:p w14:paraId="5F7730C0">
      <w:pPr>
        <w:pStyle w:val="12"/>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color w:val="000000"/>
          <w:sz w:val="32"/>
          <w:szCs w:val="32"/>
        </w:rPr>
      </w:pPr>
      <w:r>
        <w:rPr>
          <w:rFonts w:hint="eastAsia" w:ascii="黑体" w:hAnsi="黑体" w:eastAsia="黑体"/>
          <w:color w:val="000000"/>
          <w:sz w:val="32"/>
          <w:szCs w:val="32"/>
        </w:rPr>
        <w:t>目    录</w:t>
      </w:r>
    </w:p>
    <w:p w14:paraId="744466FC">
      <w:pPr>
        <w:pStyle w:val="1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olor w:val="000000"/>
          <w:sz w:val="32"/>
          <w:szCs w:val="32"/>
        </w:rPr>
      </w:pPr>
    </w:p>
    <w:p w14:paraId="70FEC159">
      <w:pPr>
        <w:pStyle w:val="12"/>
        <w:keepNext w:val="0"/>
        <w:keepLines w:val="0"/>
        <w:pageBreakBefore w:val="0"/>
        <w:widowControl/>
        <w:tabs>
          <w:tab w:val="right" w:pos="8306"/>
        </w:tabs>
        <w:kinsoku/>
        <w:wordWrap/>
        <w:overflowPunct/>
        <w:topLinePunct w:val="0"/>
        <w:autoSpaceDE/>
        <w:autoSpaceDN/>
        <w:bidi w:val="0"/>
        <w:adjustRightInd/>
        <w:snapToGrid/>
        <w:spacing w:line="560" w:lineRule="exact"/>
        <w:ind w:firstLine="643" w:firstLineChars="200"/>
        <w:jc w:val="both"/>
        <w:textAlignment w:val="auto"/>
        <w:rPr>
          <w:rFonts w:ascii="仿宋_GB2312" w:eastAsia="仿宋_GB2312"/>
          <w:b/>
          <w:bCs/>
          <w:color w:val="000000"/>
          <w:sz w:val="32"/>
          <w:szCs w:val="32"/>
        </w:rPr>
      </w:pPr>
      <w:r>
        <w:rPr>
          <w:rFonts w:hint="eastAsia" w:ascii="黑体" w:hAnsi="黑体" w:eastAsia="黑体" w:cs="黑体"/>
          <w:b/>
          <w:bCs/>
          <w:color w:val="000000"/>
          <w:sz w:val="32"/>
          <w:szCs w:val="32"/>
        </w:rPr>
        <w:t xml:space="preserve">第一部分  </w:t>
      </w:r>
      <w:r>
        <w:rPr>
          <w:rFonts w:hint="eastAsia" w:ascii="黑体" w:hAnsi="黑体" w:eastAsia="黑体" w:cs="黑体"/>
          <w:b/>
          <w:bCs/>
          <w:color w:val="000000"/>
          <w:sz w:val="32"/>
          <w:szCs w:val="32"/>
        </w:rPr>
        <w:fldChar w:fldCharType="begin"/>
      </w:r>
      <w:r>
        <w:rPr>
          <w:rFonts w:hint="eastAsia" w:ascii="黑体" w:hAnsi="黑体" w:eastAsia="黑体" w:cs="黑体"/>
          <w:b/>
          <w:bCs/>
          <w:color w:val="000000"/>
          <w:sz w:val="32"/>
          <w:szCs w:val="32"/>
        </w:rPr>
        <w:instrText xml:space="preserve">MERGEFIELD ${page400644146.ds509943833_REP_JXJC_AGENCY_WZR_NAME}</w:instrText>
      </w:r>
      <w:r>
        <w:rPr>
          <w:rFonts w:hint="eastAsia" w:ascii="黑体" w:hAnsi="黑体" w:eastAsia="黑体" w:cs="黑体"/>
          <w:b/>
          <w:bCs/>
          <w:color w:val="000000"/>
          <w:sz w:val="32"/>
          <w:szCs w:val="32"/>
        </w:rPr>
        <w:fldChar w:fldCharType="separate"/>
      </w:r>
      <w:r>
        <w:rPr>
          <w:rFonts w:hint="eastAsia" w:ascii="黑体" w:hAnsi="黑体" w:eastAsia="黑体" w:cs="黑体"/>
          <w:b/>
          <w:bCs/>
          <w:color w:val="000000"/>
          <w:sz w:val="32"/>
          <w:szCs w:val="32"/>
        </w:rPr>
        <w:t>景德镇市</w:t>
      </w:r>
      <w:r>
        <w:rPr>
          <w:rFonts w:hint="eastAsia" w:ascii="黑体" w:hAnsi="黑体" w:eastAsia="黑体" w:cs="黑体"/>
          <w:b/>
          <w:bCs/>
          <w:color w:val="000000"/>
          <w:sz w:val="32"/>
          <w:szCs w:val="32"/>
          <w:lang w:eastAsia="zh-CN"/>
        </w:rPr>
        <w:t>第</w:t>
      </w:r>
      <w:r>
        <w:rPr>
          <w:rFonts w:hint="eastAsia" w:ascii="黑体" w:hAnsi="黑体" w:eastAsia="黑体" w:cs="黑体"/>
          <w:sz w:val="32"/>
          <w:szCs w:val="32"/>
        </w:rPr>
        <w:fldChar w:fldCharType="end"/>
      </w:r>
      <w:r>
        <w:rPr>
          <w:rFonts w:hint="eastAsia" w:ascii="黑体" w:hAnsi="黑体" w:eastAsia="黑体" w:cs="黑体"/>
          <w:sz w:val="32"/>
          <w:szCs w:val="32"/>
          <w:lang w:eastAsia="zh-CN"/>
        </w:rPr>
        <w:t>二十六中学</w:t>
      </w:r>
      <w:r>
        <w:rPr>
          <w:rFonts w:hint="eastAsia" w:ascii="黑体" w:hAnsi="黑体" w:eastAsia="黑体" w:cs="黑体"/>
          <w:b/>
          <w:bCs/>
          <w:color w:val="000000"/>
          <w:sz w:val="32"/>
          <w:szCs w:val="32"/>
        </w:rPr>
        <w:t>概况</w:t>
      </w:r>
    </w:p>
    <w:p w14:paraId="252BD6C6">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一、</w:t>
      </w:r>
      <w:r>
        <w:rPr>
          <w:rFonts w:hint="eastAsia" w:ascii="仿宋_GB2312" w:hAnsi="仿宋_GB2312" w:eastAsia="仿宋_GB2312" w:cs="仿宋_GB2312"/>
          <w:kern w:val="2"/>
          <w:sz w:val="32"/>
          <w:szCs w:val="30"/>
          <w:lang w:eastAsia="zh-CN"/>
        </w:rPr>
        <w:t>单位</w:t>
      </w:r>
      <w:r>
        <w:rPr>
          <w:rFonts w:hint="eastAsia" w:ascii="仿宋_GB2312" w:hAnsi="仿宋_GB2312" w:eastAsia="仿宋_GB2312" w:cs="仿宋_GB2312"/>
          <w:kern w:val="2"/>
          <w:sz w:val="32"/>
          <w:szCs w:val="30"/>
        </w:rPr>
        <w:t>主要职责</w:t>
      </w:r>
    </w:p>
    <w:p w14:paraId="696E1669">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ascii="Adobe 仿宋 Std R" w:hAnsi="Adobe 仿宋 Std R" w:eastAsia="Adobe 仿宋 Std R" w:cstheme="minorBidi"/>
          <w:kern w:val="2"/>
          <w:sz w:val="32"/>
          <w:szCs w:val="30"/>
        </w:rPr>
      </w:pPr>
      <w:r>
        <w:rPr>
          <w:rFonts w:hint="eastAsia" w:ascii="仿宋_GB2312" w:hAnsi="仿宋_GB2312" w:eastAsia="仿宋_GB2312" w:cs="仿宋_GB2312"/>
          <w:kern w:val="2"/>
          <w:sz w:val="32"/>
          <w:szCs w:val="30"/>
        </w:rPr>
        <w:t>二、机构设置及人员情况</w:t>
      </w:r>
    </w:p>
    <w:p w14:paraId="04B6B2AB">
      <w:pPr>
        <w:pStyle w:val="12"/>
        <w:keepNext w:val="0"/>
        <w:keepLines w:val="0"/>
        <w:pageBreakBefore w:val="0"/>
        <w:widowControl/>
        <w:tabs>
          <w:tab w:val="right" w:pos="8306"/>
        </w:tabs>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rPr>
        <w:t>第</w:t>
      </w:r>
      <w:r>
        <w:rPr>
          <w:rFonts w:hint="eastAsia" w:ascii="黑体" w:hAnsi="黑体" w:eastAsia="黑体" w:cs="黑体"/>
          <w:b/>
          <w:bCs/>
          <w:color w:val="000000"/>
          <w:sz w:val="32"/>
          <w:szCs w:val="32"/>
          <w:lang w:val="en-US" w:eastAsia="zh-CN"/>
        </w:rPr>
        <w:t>二</w:t>
      </w:r>
      <w:r>
        <w:rPr>
          <w:rFonts w:hint="eastAsia" w:ascii="黑体" w:hAnsi="黑体" w:eastAsia="黑体" w:cs="黑体"/>
          <w:b/>
          <w:bCs/>
          <w:color w:val="000000"/>
          <w:sz w:val="32"/>
          <w:szCs w:val="32"/>
        </w:rPr>
        <w:t>部分</w:t>
      </w:r>
      <w:r>
        <w:rPr>
          <w:rFonts w:hint="eastAsia" w:ascii="黑体" w:hAnsi="黑体" w:eastAsia="黑体" w:cs="黑体"/>
          <w:b/>
          <w:bCs/>
          <w:color w:val="000000"/>
          <w:sz w:val="32"/>
          <w:szCs w:val="32"/>
          <w:lang w:val="en-US" w:eastAsia="zh-CN"/>
        </w:rPr>
        <w:t xml:space="preserve"> </w:t>
      </w:r>
      <w:r>
        <w:rPr>
          <w:rFonts w:hint="eastAsia" w:ascii="黑体" w:hAnsi="黑体" w:eastAsia="黑体" w:cs="黑体"/>
          <w:b/>
          <w:bCs/>
          <w:color w:val="000000"/>
          <w:sz w:val="32"/>
          <w:szCs w:val="32"/>
        </w:rPr>
        <w:t xml:space="preserve"> </w:t>
      </w:r>
      <w:r>
        <w:rPr>
          <w:rFonts w:hint="eastAsia" w:ascii="黑体" w:hAnsi="黑体" w:eastAsia="黑体" w:cs="黑体"/>
          <w:b/>
          <w:bCs/>
          <w:color w:val="000000"/>
          <w:sz w:val="32"/>
          <w:szCs w:val="32"/>
        </w:rPr>
        <w:fldChar w:fldCharType="begin"/>
      </w:r>
      <w:r>
        <w:rPr>
          <w:rFonts w:hint="eastAsia" w:ascii="黑体" w:hAnsi="黑体" w:eastAsia="黑体" w:cs="黑体"/>
          <w:b/>
          <w:bCs/>
          <w:color w:val="000000"/>
          <w:sz w:val="32"/>
          <w:szCs w:val="32"/>
        </w:rPr>
        <w:instrText xml:space="preserve">MERGEFIELD ${page400644146.ds509943833_REP_JXJC_AGENCY_WZR_NAME}</w:instrText>
      </w:r>
      <w:r>
        <w:rPr>
          <w:rFonts w:hint="eastAsia" w:ascii="黑体" w:hAnsi="黑体" w:eastAsia="黑体" w:cs="黑体"/>
          <w:b/>
          <w:bCs/>
          <w:color w:val="000000"/>
          <w:sz w:val="32"/>
          <w:szCs w:val="32"/>
        </w:rPr>
        <w:fldChar w:fldCharType="separate"/>
      </w:r>
      <w:r>
        <w:rPr>
          <w:rFonts w:hint="eastAsia" w:ascii="黑体" w:hAnsi="黑体" w:eastAsia="黑体" w:cs="黑体"/>
          <w:b/>
          <w:bCs/>
          <w:color w:val="000000"/>
          <w:sz w:val="32"/>
          <w:szCs w:val="32"/>
        </w:rPr>
        <w:t>景德镇市</w:t>
      </w:r>
      <w:r>
        <w:rPr>
          <w:rFonts w:hint="eastAsia" w:ascii="黑体" w:hAnsi="黑体" w:eastAsia="黑体" w:cs="黑体"/>
          <w:b/>
          <w:bCs/>
          <w:color w:val="000000"/>
          <w:sz w:val="32"/>
          <w:szCs w:val="32"/>
          <w:lang w:val="en-US" w:eastAsia="zh-CN"/>
        </w:rPr>
        <w:t>第</w:t>
      </w:r>
      <w:r>
        <w:rPr>
          <w:rFonts w:hint="eastAsia" w:ascii="黑体" w:hAnsi="黑体" w:eastAsia="黑体" w:cs="黑体"/>
          <w:b/>
          <w:bCs/>
          <w:color w:val="000000"/>
          <w:sz w:val="32"/>
          <w:szCs w:val="32"/>
        </w:rPr>
        <w:fldChar w:fldCharType="end"/>
      </w:r>
      <w:r>
        <w:rPr>
          <w:rFonts w:hint="eastAsia" w:ascii="黑体" w:hAnsi="黑体" w:eastAsia="黑体" w:cs="黑体"/>
          <w:b/>
          <w:bCs/>
          <w:color w:val="000000"/>
          <w:sz w:val="32"/>
          <w:szCs w:val="32"/>
          <w:lang w:eastAsia="zh-CN"/>
        </w:rPr>
        <w:t>二十六中学2025</w:t>
      </w:r>
      <w:r>
        <w:rPr>
          <w:rFonts w:hint="eastAsia" w:ascii="黑体" w:hAnsi="黑体" w:eastAsia="黑体" w:cs="黑体"/>
          <w:b/>
          <w:bCs/>
          <w:color w:val="000000"/>
          <w:sz w:val="32"/>
          <w:szCs w:val="32"/>
        </w:rPr>
        <w:t>年</w:t>
      </w:r>
      <w:r>
        <w:rPr>
          <w:rFonts w:hint="eastAsia" w:ascii="黑体" w:hAnsi="黑体" w:eastAsia="黑体" w:cs="黑体"/>
          <w:b/>
          <w:bCs/>
          <w:color w:val="000000"/>
          <w:sz w:val="32"/>
          <w:szCs w:val="32"/>
          <w:lang w:eastAsia="zh-CN"/>
        </w:rPr>
        <w:t>单位</w:t>
      </w:r>
      <w:r>
        <w:rPr>
          <w:rFonts w:hint="eastAsia" w:ascii="黑体" w:hAnsi="黑体" w:eastAsia="黑体" w:cs="黑体"/>
          <w:b/>
          <w:bCs/>
          <w:color w:val="000000"/>
          <w:sz w:val="32"/>
          <w:szCs w:val="32"/>
        </w:rPr>
        <w:t>预算表</w:t>
      </w:r>
    </w:p>
    <w:p w14:paraId="50344FD4">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一、《收支预算总表》</w:t>
      </w:r>
    </w:p>
    <w:p w14:paraId="4F1BA076">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二、《</w:t>
      </w:r>
      <w:r>
        <w:rPr>
          <w:rFonts w:hint="eastAsia" w:ascii="仿宋_GB2312" w:hAnsi="仿宋_GB2312" w:eastAsia="仿宋_GB2312" w:cs="仿宋_GB2312"/>
          <w:kern w:val="2"/>
          <w:sz w:val="32"/>
          <w:szCs w:val="30"/>
          <w:lang w:eastAsia="zh-CN"/>
        </w:rPr>
        <w:t>单位</w:t>
      </w:r>
      <w:r>
        <w:rPr>
          <w:rFonts w:hint="eastAsia" w:ascii="仿宋_GB2312" w:hAnsi="仿宋_GB2312" w:eastAsia="仿宋_GB2312" w:cs="仿宋_GB2312"/>
          <w:kern w:val="2"/>
          <w:sz w:val="32"/>
          <w:szCs w:val="30"/>
        </w:rPr>
        <w:t>收入总表》</w:t>
      </w:r>
    </w:p>
    <w:p w14:paraId="7FB80AC7">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三、《</w:t>
      </w:r>
      <w:r>
        <w:rPr>
          <w:rFonts w:hint="eastAsia" w:ascii="仿宋_GB2312" w:hAnsi="仿宋_GB2312" w:eastAsia="仿宋_GB2312" w:cs="仿宋_GB2312"/>
          <w:kern w:val="2"/>
          <w:sz w:val="32"/>
          <w:szCs w:val="30"/>
          <w:lang w:eastAsia="zh-CN"/>
        </w:rPr>
        <w:t>单位</w:t>
      </w:r>
      <w:r>
        <w:rPr>
          <w:rFonts w:hint="eastAsia" w:ascii="仿宋_GB2312" w:hAnsi="仿宋_GB2312" w:eastAsia="仿宋_GB2312" w:cs="仿宋_GB2312"/>
          <w:kern w:val="2"/>
          <w:sz w:val="32"/>
          <w:szCs w:val="30"/>
        </w:rPr>
        <w:t>支出总表》</w:t>
      </w:r>
    </w:p>
    <w:p w14:paraId="6790BA76">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四、《财政拨款收支总表》</w:t>
      </w:r>
    </w:p>
    <w:p w14:paraId="7B5003EF">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五、《一般公共预算支出表》</w:t>
      </w:r>
    </w:p>
    <w:p w14:paraId="32E26EFD">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六、《一般公共预算基本支出表》</w:t>
      </w:r>
    </w:p>
    <w:p w14:paraId="5C2C23A5">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七、《财政拨款“三公”经费支出表》</w:t>
      </w:r>
    </w:p>
    <w:p w14:paraId="2E25E714">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八、《政府性基金预算支出表》</w:t>
      </w:r>
    </w:p>
    <w:p w14:paraId="07EE8523">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九、《国有资本经营预算支出表》</w:t>
      </w:r>
    </w:p>
    <w:p w14:paraId="0019BA7A">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ascii="Adobe 仿宋 Std R" w:hAnsi="Adobe 仿宋 Std R" w:eastAsia="Adobe 仿宋 Std R" w:cstheme="minorBidi"/>
          <w:kern w:val="2"/>
          <w:sz w:val="32"/>
          <w:szCs w:val="30"/>
        </w:rPr>
      </w:pPr>
      <w:r>
        <w:rPr>
          <w:rFonts w:hint="eastAsia" w:ascii="仿宋_GB2312" w:hAnsi="仿宋_GB2312" w:eastAsia="仿宋_GB2312" w:cs="仿宋_GB2312"/>
          <w:kern w:val="2"/>
          <w:sz w:val="32"/>
          <w:szCs w:val="30"/>
        </w:rPr>
        <w:t>十、《项目绩效目标表》</w:t>
      </w:r>
    </w:p>
    <w:p w14:paraId="2731E47A">
      <w:pPr>
        <w:pStyle w:val="12"/>
        <w:keepNext w:val="0"/>
        <w:keepLines w:val="0"/>
        <w:pageBreakBefore w:val="0"/>
        <w:widowControl/>
        <w:tabs>
          <w:tab w:val="right" w:pos="8306"/>
        </w:tabs>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rPr>
        <w:t>第</w:t>
      </w:r>
      <w:r>
        <w:rPr>
          <w:rFonts w:hint="eastAsia" w:ascii="黑体" w:hAnsi="黑体" w:eastAsia="黑体" w:cs="黑体"/>
          <w:b/>
          <w:bCs/>
          <w:color w:val="000000"/>
          <w:sz w:val="32"/>
          <w:szCs w:val="32"/>
          <w:lang w:val="en-US" w:eastAsia="zh-CN"/>
        </w:rPr>
        <w:t>三</w:t>
      </w:r>
      <w:r>
        <w:rPr>
          <w:rFonts w:hint="eastAsia" w:ascii="黑体" w:hAnsi="黑体" w:eastAsia="黑体" w:cs="黑体"/>
          <w:b/>
          <w:bCs/>
          <w:color w:val="000000"/>
          <w:sz w:val="32"/>
          <w:szCs w:val="32"/>
        </w:rPr>
        <w:t>部分  景德镇市</w:t>
      </w:r>
      <w:r>
        <w:rPr>
          <w:rFonts w:hint="eastAsia" w:ascii="黑体" w:hAnsi="黑体" w:eastAsia="黑体" w:cs="黑体"/>
          <w:b/>
          <w:bCs/>
          <w:color w:val="000000"/>
          <w:sz w:val="32"/>
          <w:szCs w:val="32"/>
          <w:lang w:eastAsia="zh-CN"/>
        </w:rPr>
        <w:t>第二十六中学2025</w:t>
      </w:r>
      <w:r>
        <w:rPr>
          <w:rFonts w:hint="eastAsia" w:ascii="黑体" w:hAnsi="黑体" w:eastAsia="黑体" w:cs="黑体"/>
          <w:b/>
          <w:bCs/>
          <w:color w:val="000000"/>
          <w:sz w:val="32"/>
          <w:szCs w:val="32"/>
        </w:rPr>
        <w:t>年</w:t>
      </w:r>
      <w:r>
        <w:rPr>
          <w:rFonts w:hint="eastAsia" w:ascii="黑体" w:hAnsi="黑体" w:eastAsia="黑体" w:cs="黑体"/>
          <w:b/>
          <w:bCs/>
          <w:color w:val="000000"/>
          <w:sz w:val="32"/>
          <w:szCs w:val="32"/>
          <w:lang w:eastAsia="zh-CN"/>
        </w:rPr>
        <w:t>单位</w:t>
      </w:r>
      <w:r>
        <w:rPr>
          <w:rFonts w:hint="eastAsia" w:ascii="黑体" w:hAnsi="黑体" w:eastAsia="黑体" w:cs="黑体"/>
          <w:b/>
          <w:bCs/>
          <w:color w:val="000000"/>
          <w:sz w:val="32"/>
          <w:szCs w:val="32"/>
        </w:rPr>
        <w:t>预算情况说明</w:t>
      </w:r>
    </w:p>
    <w:p w14:paraId="19B15354">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一、</w:t>
      </w:r>
      <w:r>
        <w:rPr>
          <w:rFonts w:hint="eastAsia" w:ascii="仿宋_GB2312" w:hAnsi="仿宋_GB2312" w:eastAsia="仿宋_GB2312" w:cs="仿宋_GB2312"/>
          <w:kern w:val="2"/>
          <w:sz w:val="32"/>
          <w:szCs w:val="30"/>
          <w:lang w:eastAsia="zh-CN"/>
        </w:rPr>
        <w:t>2025</w:t>
      </w:r>
      <w:r>
        <w:rPr>
          <w:rFonts w:hint="eastAsia" w:ascii="仿宋_GB2312" w:hAnsi="仿宋_GB2312" w:eastAsia="仿宋_GB2312" w:cs="仿宋_GB2312"/>
          <w:kern w:val="2"/>
          <w:sz w:val="32"/>
          <w:szCs w:val="30"/>
        </w:rPr>
        <w:t>年</w:t>
      </w:r>
      <w:r>
        <w:rPr>
          <w:rFonts w:hint="eastAsia" w:ascii="仿宋_GB2312" w:hAnsi="仿宋_GB2312" w:eastAsia="仿宋_GB2312" w:cs="仿宋_GB2312"/>
          <w:kern w:val="2"/>
          <w:sz w:val="32"/>
          <w:szCs w:val="30"/>
          <w:lang w:eastAsia="zh-CN"/>
        </w:rPr>
        <w:t>单位</w:t>
      </w:r>
      <w:r>
        <w:rPr>
          <w:rFonts w:hint="eastAsia" w:ascii="仿宋_GB2312" w:hAnsi="仿宋_GB2312" w:eastAsia="仿宋_GB2312" w:cs="仿宋_GB2312"/>
          <w:kern w:val="2"/>
          <w:sz w:val="32"/>
          <w:szCs w:val="30"/>
        </w:rPr>
        <w:t>预算收支情况说明</w:t>
      </w:r>
    </w:p>
    <w:p w14:paraId="7EC22066">
      <w:pPr>
        <w:pStyle w:val="12"/>
        <w:keepNext w:val="0"/>
        <w:keepLines w:val="0"/>
        <w:pageBreakBefore w:val="0"/>
        <w:widowControl/>
        <w:kinsoku/>
        <w:wordWrap/>
        <w:overflowPunct/>
        <w:topLinePunct w:val="0"/>
        <w:autoSpaceDE/>
        <w:autoSpaceDN/>
        <w:bidi w:val="0"/>
        <w:adjustRightInd/>
        <w:snapToGrid/>
        <w:spacing w:line="560" w:lineRule="exact"/>
        <w:ind w:firstLine="1280" w:firstLineChars="400"/>
        <w:jc w:val="both"/>
        <w:textAlignment w:val="auto"/>
        <w:rPr>
          <w:rFonts w:hint="eastAsia" w:ascii="仿宋_GB2312" w:hAnsi="仿宋_GB2312" w:eastAsia="仿宋_GB2312" w:cs="仿宋_GB2312"/>
          <w:kern w:val="2"/>
          <w:sz w:val="32"/>
          <w:szCs w:val="30"/>
        </w:rPr>
      </w:pPr>
      <w:r>
        <w:rPr>
          <w:rFonts w:hint="eastAsia" w:ascii="仿宋_GB2312" w:hAnsi="仿宋_GB2312" w:eastAsia="仿宋_GB2312" w:cs="仿宋_GB2312"/>
          <w:kern w:val="2"/>
          <w:sz w:val="32"/>
          <w:szCs w:val="30"/>
        </w:rPr>
        <w:t>二、</w:t>
      </w:r>
      <w:r>
        <w:rPr>
          <w:rFonts w:hint="eastAsia" w:ascii="仿宋_GB2312" w:hAnsi="仿宋_GB2312" w:eastAsia="仿宋_GB2312" w:cs="仿宋_GB2312"/>
          <w:kern w:val="2"/>
          <w:sz w:val="32"/>
          <w:szCs w:val="30"/>
          <w:lang w:eastAsia="zh-CN"/>
        </w:rPr>
        <w:t>2025</w:t>
      </w:r>
      <w:r>
        <w:rPr>
          <w:rFonts w:hint="eastAsia" w:ascii="仿宋_GB2312" w:hAnsi="仿宋_GB2312" w:eastAsia="仿宋_GB2312" w:cs="仿宋_GB2312"/>
          <w:kern w:val="2"/>
          <w:sz w:val="32"/>
          <w:szCs w:val="30"/>
        </w:rPr>
        <w:t>年“三公”经费预算情况说明</w:t>
      </w:r>
    </w:p>
    <w:p w14:paraId="5C2F663F">
      <w:pPr>
        <w:pStyle w:val="12"/>
        <w:keepNext w:val="0"/>
        <w:keepLines w:val="0"/>
        <w:pageBreakBefore w:val="0"/>
        <w:widowControl/>
        <w:tabs>
          <w:tab w:val="right" w:pos="8306"/>
        </w:tabs>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rPr>
        <w:t>第四部分  名词解释</w:t>
      </w:r>
    </w:p>
    <w:p w14:paraId="20086EDD">
      <w:pPr>
        <w:rPr>
          <w:rFonts w:hint="eastAsia" w:ascii="黑体" w:hAnsi="黑体" w:eastAsia="黑体" w:cs="黑体"/>
          <w:b/>
          <w:bCs/>
          <w:color w:val="000000"/>
          <w:sz w:val="32"/>
          <w:szCs w:val="32"/>
        </w:rPr>
      </w:pPr>
      <w:r>
        <w:rPr>
          <w:rFonts w:hint="eastAsia" w:ascii="黑体" w:hAnsi="黑体" w:eastAsia="黑体" w:cs="黑体"/>
          <w:b/>
          <w:bCs/>
          <w:color w:val="000000"/>
          <w:sz w:val="32"/>
          <w:szCs w:val="32"/>
        </w:rPr>
        <w:br w:type="page"/>
      </w:r>
    </w:p>
    <w:p w14:paraId="61D28DE1">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仿宋_GB2312" w:eastAsia="仿宋_GB2312"/>
          <w:b/>
          <w:sz w:val="32"/>
          <w:szCs w:val="30"/>
        </w:rPr>
      </w:pPr>
      <w:r>
        <w:rPr>
          <w:rFonts w:hint="eastAsia" w:ascii="方正小标宋简体" w:hAnsi="方正小标宋简体" w:eastAsia="方正小标宋简体" w:cs="方正小标宋简体"/>
          <w:b/>
          <w:sz w:val="32"/>
          <w:szCs w:val="30"/>
        </w:rPr>
        <w:t>第一部分  景德镇市</w:t>
      </w:r>
      <w:r>
        <w:rPr>
          <w:rFonts w:hint="eastAsia" w:ascii="方正小标宋简体" w:hAnsi="方正小标宋简体" w:eastAsia="方正小标宋简体" w:cs="方正小标宋简体"/>
          <w:b/>
          <w:sz w:val="32"/>
          <w:szCs w:val="30"/>
          <w:lang w:eastAsia="zh-CN"/>
        </w:rPr>
        <w:t>第二十六中学</w:t>
      </w:r>
      <w:r>
        <w:rPr>
          <w:rFonts w:hint="eastAsia" w:ascii="方正小标宋简体" w:hAnsi="方正小标宋简体" w:eastAsia="方正小标宋简体" w:cs="方正小标宋简体"/>
          <w:b/>
          <w:sz w:val="32"/>
          <w:szCs w:val="30"/>
        </w:rPr>
        <w:t>概况</w:t>
      </w:r>
    </w:p>
    <w:p w14:paraId="048B803D">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asciiTheme="minorEastAsia" w:hAnsiTheme="minorEastAsia"/>
          <w:b/>
          <w:sz w:val="36"/>
          <w:szCs w:val="36"/>
        </w:rPr>
      </w:pPr>
    </w:p>
    <w:p w14:paraId="02691211">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asciiTheme="minorEastAsia" w:hAnsiTheme="minorEastAsia"/>
          <w:b/>
          <w:sz w:val="36"/>
          <w:szCs w:val="36"/>
        </w:rPr>
      </w:pPr>
      <w:r>
        <w:rPr>
          <w:rFonts w:hint="eastAsia" w:ascii="黑体" w:hAnsi="黑体" w:eastAsia="黑体" w:cs="黑体"/>
          <w:b/>
          <w:sz w:val="32"/>
          <w:szCs w:val="32"/>
        </w:rPr>
        <w:t>一、</w:t>
      </w:r>
      <w:r>
        <w:rPr>
          <w:rFonts w:hint="eastAsia" w:ascii="黑体" w:hAnsi="黑体" w:eastAsia="黑体" w:cs="黑体"/>
          <w:b/>
          <w:sz w:val="32"/>
          <w:szCs w:val="32"/>
          <w:lang w:eastAsia="zh-CN"/>
        </w:rPr>
        <w:t>单位</w:t>
      </w:r>
      <w:r>
        <w:rPr>
          <w:rFonts w:hint="eastAsia" w:ascii="黑体" w:hAnsi="黑体" w:eastAsia="黑体" w:cs="黑体"/>
          <w:b/>
          <w:sz w:val="32"/>
          <w:szCs w:val="32"/>
        </w:rPr>
        <w:t>主要职责</w:t>
      </w:r>
    </w:p>
    <w:p w14:paraId="09E96621">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景德镇市第二十六中学是景德镇市教育局下属单位，主要职责是：</w:t>
      </w:r>
    </w:p>
    <w:p w14:paraId="2FC6340D">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1.宣传贯彻执行党和国家的教育方针、政策、法律法规等，坚持依法治教、依法治学，贯彻执行市教育局的行政规章制度。</w:t>
      </w:r>
    </w:p>
    <w:p w14:paraId="1A6A18EA">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2.配合市委、市人民政府制定符合党的教育方针和国家教育法律法规以及本校实际的教育发展规划和学校布局调整规划，并抓好组织实施和落实工作。</w:t>
      </w:r>
    </w:p>
    <w:p w14:paraId="1E12D64B">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3.巩固提高“两基”工作成果和整体水平，配合各级人民政府依法动员、组织适龄少年入学，严格控制辍学，推进普及义务教育。负责全市普通高中教育招生工作，在市教育局核定的招生计划内进行统一招生，为高等学校输送更多优秀的学生，培养具有扎实的文化基础和较高创新能力的高中毕业生。</w:t>
      </w:r>
    </w:p>
    <w:p w14:paraId="0C0603B9">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4.组织开展本校的教育教学科研和教育教学改革，科研兴教，科研兴校。负责对本校教育教学业务的具体管理，负责教育教学管理及教研教改工作，全力推进素质教育实施。</w:t>
      </w:r>
    </w:p>
    <w:p w14:paraId="53D47B45">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5.按照干部和教师的职数、编制和管理权限，制定切实可行的学校工作规章制度，以提高教育教学质量为目的，负责本校教师人事管理、继续教育、考核考评等工作。</w:t>
      </w:r>
    </w:p>
    <w:p w14:paraId="0577BA2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6.负责本校财务和基建管理，筹措资金，改善办学条件等工作，为师生提供优美和谐的学习和工作环境。核算和发放教职工工资</w:t>
      </w:r>
      <w:r>
        <w:rPr>
          <w:rFonts w:hint="eastAsia" w:ascii="仿宋_GB2312" w:hAnsi="仿宋_GB2312" w:eastAsia="仿宋_GB2312" w:cs="仿宋_GB2312"/>
          <w:snapToGrid/>
          <w:kern w:val="2"/>
          <w:sz w:val="32"/>
          <w:szCs w:val="30"/>
          <w:lang w:val="en-US" w:eastAsia="zh-CN" w:bidi="ar-SA"/>
        </w:rPr>
        <w:t>，</w:t>
      </w:r>
      <w:r>
        <w:rPr>
          <w:rFonts w:hint="eastAsia" w:ascii="仿宋_GB2312" w:hAnsi="仿宋_GB2312" w:eastAsia="仿宋_GB2312" w:cs="仿宋_GB2312"/>
          <w:snapToGrid/>
          <w:kern w:val="2"/>
          <w:sz w:val="32"/>
          <w:szCs w:val="30"/>
          <w:lang w:val="en-US" w:eastAsia="en-US" w:bidi="ar-SA"/>
        </w:rPr>
        <w:t>维护教职工利益，保障教职工合法权益。</w:t>
      </w:r>
    </w:p>
    <w:p w14:paraId="029954D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7.指导、管理、检查、评价本校的教育教学工作，提高办学质量和办学效益。按照义务教育课程计划，开齐课程，开足课时，认真实施高、初中的教育教学管理，全面推进素质教育，全面提高教育教学质量。</w:t>
      </w:r>
    </w:p>
    <w:p w14:paraId="556F0B9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8.建立健全学生学籍管理制度，按</w:t>
      </w:r>
      <w:r>
        <w:rPr>
          <w:rFonts w:hint="eastAsia" w:ascii="仿宋_GB2312" w:hAnsi="仿宋_GB2312" w:eastAsia="仿宋_GB2312" w:cs="仿宋_GB2312"/>
          <w:snapToGrid/>
          <w:kern w:val="2"/>
          <w:sz w:val="32"/>
          <w:szCs w:val="30"/>
          <w:lang w:val="en-US" w:eastAsia="zh-CN" w:bidi="ar-SA"/>
        </w:rPr>
        <w:t>教育部</w:t>
      </w:r>
      <w:r>
        <w:rPr>
          <w:rFonts w:hint="eastAsia" w:ascii="仿宋_GB2312" w:hAnsi="仿宋_GB2312" w:eastAsia="仿宋_GB2312" w:cs="仿宋_GB2312"/>
          <w:snapToGrid/>
          <w:kern w:val="2"/>
          <w:sz w:val="32"/>
          <w:szCs w:val="30"/>
          <w:lang w:val="en-US" w:eastAsia="en-US" w:bidi="ar-SA"/>
        </w:rPr>
        <w:t>颁布的规定管理学生学籍，建立学生档案。</w:t>
      </w:r>
    </w:p>
    <w:p w14:paraId="2C14455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9.在上级党委、政府和教育行政部门的领导下，认真按要求组织实施学生营养改善计划，让广大学生享受到国家的惠民政策。</w:t>
      </w:r>
    </w:p>
    <w:p w14:paraId="04090A26">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10.在市教体局的领导下，积极开展学校的安全管理，不断提高安全管理水平，努力营造安全和谐的校园环境。</w:t>
      </w:r>
    </w:p>
    <w:p w14:paraId="66E93D10">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en-US" w:bidi="ar-SA"/>
        </w:rPr>
      </w:pPr>
      <w:r>
        <w:rPr>
          <w:rFonts w:hint="eastAsia" w:ascii="仿宋_GB2312" w:hAnsi="仿宋_GB2312" w:eastAsia="仿宋_GB2312" w:cs="仿宋_GB2312"/>
          <w:snapToGrid/>
          <w:kern w:val="2"/>
          <w:sz w:val="32"/>
          <w:szCs w:val="30"/>
          <w:lang w:val="en-US" w:eastAsia="en-US" w:bidi="ar-SA"/>
        </w:rPr>
        <w:t>11.在市政府和市教体局的领导下，谋划布局，全面推进义务教育均衡发展。</w:t>
      </w:r>
    </w:p>
    <w:p w14:paraId="3B9670B2">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b/>
          <w:sz w:val="36"/>
          <w:szCs w:val="36"/>
        </w:rPr>
      </w:pPr>
      <w:r>
        <w:rPr>
          <w:rFonts w:hint="eastAsia" w:ascii="黑体" w:hAnsi="黑体" w:eastAsia="黑体" w:cs="黑体"/>
          <w:b/>
          <w:sz w:val="32"/>
          <w:szCs w:val="32"/>
        </w:rPr>
        <w:t>二、机构设置及人员情况</w:t>
      </w:r>
    </w:p>
    <w:p w14:paraId="5D70C0D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napToGrid/>
          <w:kern w:val="2"/>
          <w:sz w:val="32"/>
          <w:szCs w:val="30"/>
          <w:lang w:val="en-US" w:eastAsia="zh-CN" w:bidi="ar-SA"/>
        </w:rPr>
      </w:pPr>
      <w:r>
        <w:rPr>
          <w:rFonts w:hint="eastAsia" w:ascii="仿宋_GB2312" w:hAnsi="仿宋_GB2312" w:eastAsia="仿宋_GB2312" w:cs="仿宋_GB2312"/>
          <w:snapToGrid/>
          <w:kern w:val="2"/>
          <w:sz w:val="32"/>
          <w:szCs w:val="30"/>
          <w:lang w:val="en-US" w:eastAsia="zh-CN" w:bidi="ar-SA"/>
        </w:rPr>
        <w:t xml:space="preserve">景德镇市第二十六中学内设科室8个，包括办公室、政教处、教务处、总务处、保卫科、科研处、团委、小学部。 </w:t>
      </w:r>
    </w:p>
    <w:p w14:paraId="51CCD12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编制人数共计174人，其中：行政编制人数0人、参照公务员管理的事业编制人数0人、全部补助事业编制人数174人、部分补助事业编制人数0人。实有人数共计203人，其中：在职人数小计152，包括行政在职人数0人、参照公务员管理的事业人员在职人数0人、全部补助事业人员在职人数152人，部分补助事业人员在职人数0人；离休人数小计0人；退休人数小计50人,遗属人数1人。</w:t>
      </w:r>
      <w:r>
        <w:rPr>
          <w:rFonts w:hint="eastAsia" w:ascii="仿宋_GB2312" w:hAnsi="仿宋_GB2312" w:eastAsia="仿宋_GB2312" w:cs="仿宋_GB2312"/>
          <w:snapToGrid/>
          <w:kern w:val="2"/>
          <w:sz w:val="32"/>
          <w:szCs w:val="30"/>
          <w:lang w:val="en-US" w:eastAsia="zh-CN" w:bidi="ar-SA"/>
        </w:rPr>
        <w:t>在校生人数：2618人，其中：小学475人，初中1320人，高中823人。</w:t>
      </w:r>
    </w:p>
    <w:p w14:paraId="06CEE64A">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578EE7D7">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2170213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469100B7">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224B3E5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232DDB7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16C5051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1E71F63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1C97C24B">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7531D7C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7F8BBD21">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54F31088">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ascii="仿宋_GB2312" w:eastAsia="仿宋_GB2312"/>
          <w:b/>
          <w:sz w:val="32"/>
          <w:szCs w:val="30"/>
        </w:rPr>
      </w:pPr>
      <w:r>
        <w:rPr>
          <w:rFonts w:hint="eastAsia" w:ascii="方正小标宋简体" w:hAnsi="方正小标宋简体" w:eastAsia="方正小标宋简体" w:cs="方正小标宋简体"/>
          <w:b/>
          <w:sz w:val="32"/>
          <w:szCs w:val="30"/>
        </w:rPr>
        <w:t>第</w:t>
      </w:r>
      <w:r>
        <w:rPr>
          <w:rFonts w:hint="eastAsia" w:ascii="方正小标宋简体" w:hAnsi="方正小标宋简体" w:eastAsia="方正小标宋简体" w:cs="方正小标宋简体"/>
          <w:b/>
          <w:sz w:val="32"/>
          <w:szCs w:val="30"/>
          <w:lang w:val="en-US" w:eastAsia="zh-CN"/>
        </w:rPr>
        <w:t>二</w:t>
      </w:r>
      <w:r>
        <w:rPr>
          <w:rFonts w:hint="eastAsia" w:ascii="方正小标宋简体" w:hAnsi="方正小标宋简体" w:eastAsia="方正小标宋简体" w:cs="方正小标宋简体"/>
          <w:b/>
          <w:sz w:val="32"/>
          <w:szCs w:val="30"/>
        </w:rPr>
        <w:t xml:space="preserve">部分  </w:t>
      </w:r>
      <w:r>
        <w:rPr>
          <w:rFonts w:hint="eastAsia" w:ascii="方正小标宋简体" w:hAnsi="方正小标宋简体" w:eastAsia="方正小标宋简体" w:cs="方正小标宋简体"/>
          <w:b/>
          <w:sz w:val="32"/>
          <w:szCs w:val="30"/>
        </w:rPr>
        <w:fldChar w:fldCharType="begin"/>
      </w:r>
      <w:r>
        <w:rPr>
          <w:rFonts w:hint="eastAsia" w:ascii="方正小标宋简体" w:hAnsi="方正小标宋简体" w:eastAsia="方正小标宋简体" w:cs="方正小标宋简体"/>
          <w:b/>
          <w:sz w:val="32"/>
          <w:szCs w:val="30"/>
        </w:rPr>
        <w:instrText xml:space="preserve">MERGEFIELD ${page400644146.ds509943833_REP_JXJC_AGENCY_WZR_NAME}</w:instrText>
      </w:r>
      <w:r>
        <w:rPr>
          <w:rFonts w:hint="eastAsia" w:ascii="方正小标宋简体" w:hAnsi="方正小标宋简体" w:eastAsia="方正小标宋简体" w:cs="方正小标宋简体"/>
          <w:b/>
          <w:sz w:val="32"/>
          <w:szCs w:val="30"/>
        </w:rPr>
        <w:fldChar w:fldCharType="separate"/>
      </w:r>
      <w:r>
        <w:rPr>
          <w:rFonts w:hint="eastAsia" w:ascii="方正小标宋简体" w:hAnsi="方正小标宋简体" w:eastAsia="方正小标宋简体" w:cs="方正小标宋简体"/>
          <w:b/>
          <w:sz w:val="32"/>
          <w:szCs w:val="30"/>
          <w:lang w:eastAsia="zh-CN"/>
        </w:rPr>
        <w:t>景德镇市</w:t>
      </w:r>
      <w:r>
        <w:rPr>
          <w:rFonts w:hint="eastAsia" w:ascii="方正小标宋简体" w:hAnsi="方正小标宋简体" w:eastAsia="方正小标宋简体" w:cs="方正小标宋简体"/>
          <w:b/>
          <w:sz w:val="32"/>
          <w:szCs w:val="30"/>
        </w:rPr>
        <w:fldChar w:fldCharType="end"/>
      </w:r>
      <w:r>
        <w:rPr>
          <w:rFonts w:hint="eastAsia" w:ascii="方正小标宋简体" w:hAnsi="方正小标宋简体" w:eastAsia="方正小标宋简体" w:cs="方正小标宋简体"/>
          <w:b/>
          <w:sz w:val="32"/>
          <w:szCs w:val="30"/>
          <w:lang w:eastAsia="zh-CN"/>
        </w:rPr>
        <w:t>第二十六中学2025</w:t>
      </w:r>
      <w:r>
        <w:rPr>
          <w:rFonts w:hint="eastAsia" w:ascii="方正小标宋简体" w:hAnsi="方正小标宋简体" w:eastAsia="方正小标宋简体" w:cs="方正小标宋简体"/>
          <w:b/>
          <w:sz w:val="32"/>
          <w:szCs w:val="30"/>
        </w:rPr>
        <w:t>年</w:t>
      </w:r>
      <w:r>
        <w:rPr>
          <w:rFonts w:hint="eastAsia" w:ascii="方正小标宋简体" w:hAnsi="方正小标宋简体" w:eastAsia="方正小标宋简体" w:cs="方正小标宋简体"/>
          <w:b/>
          <w:sz w:val="32"/>
          <w:szCs w:val="30"/>
          <w:lang w:eastAsia="zh-CN"/>
        </w:rPr>
        <w:t>单位</w:t>
      </w:r>
      <w:r>
        <w:rPr>
          <w:rFonts w:hint="eastAsia" w:ascii="方正小标宋简体" w:hAnsi="方正小标宋简体" w:eastAsia="方正小标宋简体" w:cs="方正小标宋简体"/>
          <w:b/>
          <w:sz w:val="32"/>
          <w:szCs w:val="30"/>
        </w:rPr>
        <w:t>预算表</w:t>
      </w:r>
    </w:p>
    <w:p w14:paraId="051FABD2">
      <w:pPr>
        <w:jc w:val="both"/>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（详见附表）</w:t>
      </w:r>
    </w:p>
    <w:p w14:paraId="7D3AFF2E">
      <w:pPr>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br w:type="page"/>
      </w:r>
      <w:r>
        <w:drawing>
          <wp:inline distT="0" distB="0" distL="114300" distR="114300">
            <wp:extent cx="5656580" cy="9329420"/>
            <wp:effectExtent l="0" t="0" r="1270" b="508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5"/>
                    <a:stretch>
                      <a:fillRect/>
                    </a:stretch>
                  </pic:blipFill>
                  <pic:spPr>
                    <a:xfrm>
                      <a:off x="0" y="0"/>
                      <a:ext cx="5656580" cy="9329420"/>
                    </a:xfrm>
                    <a:prstGeom prst="rect">
                      <a:avLst/>
                    </a:prstGeom>
                    <a:noFill/>
                    <a:ln>
                      <a:noFill/>
                    </a:ln>
                  </pic:spPr>
                </pic:pic>
              </a:graphicData>
            </a:graphic>
          </wp:inline>
        </w:drawing>
      </w:r>
    </w:p>
    <w:p w14:paraId="0C6A1D24">
      <w:pPr>
        <w:rPr>
          <w:rFonts w:hint="eastAsia" w:ascii="仿宋_GB2312" w:hAnsi="仿宋_GB2312" w:eastAsia="仿宋_GB2312" w:cs="仿宋_GB2312"/>
          <w:kern w:val="2"/>
          <w:sz w:val="32"/>
          <w:szCs w:val="30"/>
          <w:lang w:val="en-US" w:eastAsia="zh-CN" w:bidi="ar-SA"/>
        </w:rPr>
      </w:pPr>
    </w:p>
    <w:p w14:paraId="1939AD24">
      <w:pPr>
        <w:rPr>
          <w:rFonts w:hint="eastAsia" w:ascii="仿宋_GB2312" w:hAnsi="仿宋_GB2312" w:eastAsia="仿宋_GB2312" w:cs="仿宋_GB2312"/>
          <w:kern w:val="2"/>
          <w:sz w:val="32"/>
          <w:szCs w:val="30"/>
          <w:lang w:val="en-US" w:eastAsia="zh-CN" w:bidi="ar-SA"/>
        </w:rPr>
      </w:pPr>
      <w:r>
        <w:drawing>
          <wp:inline distT="0" distB="0" distL="114300" distR="114300">
            <wp:extent cx="5970905" cy="5690870"/>
            <wp:effectExtent l="0" t="0" r="1079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5970905" cy="5690870"/>
                    </a:xfrm>
                    <a:prstGeom prst="rect">
                      <a:avLst/>
                    </a:prstGeom>
                    <a:noFill/>
                    <a:ln>
                      <a:noFill/>
                    </a:ln>
                  </pic:spPr>
                </pic:pic>
              </a:graphicData>
            </a:graphic>
          </wp:inline>
        </w:drawing>
      </w:r>
    </w:p>
    <w:p w14:paraId="44BD77FA">
      <w:pPr>
        <w:rPr>
          <w:rFonts w:hint="eastAsia" w:ascii="仿宋_GB2312" w:hAnsi="仿宋_GB2312" w:eastAsia="仿宋_GB2312" w:cs="仿宋_GB2312"/>
          <w:kern w:val="2"/>
          <w:sz w:val="32"/>
          <w:szCs w:val="30"/>
          <w:lang w:val="en-US" w:eastAsia="zh-CN" w:bidi="ar-SA"/>
        </w:rPr>
      </w:pPr>
    </w:p>
    <w:p w14:paraId="0E28C7FB">
      <w:pPr>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drawing>
          <wp:inline distT="0" distB="0" distL="114300" distR="114300">
            <wp:extent cx="6195695" cy="6861175"/>
            <wp:effectExtent l="0" t="0" r="14605" b="15875"/>
            <wp:docPr id="6" name="图片 6" descr="1740451276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40451276895"/>
                    <pic:cNvPicPr>
                      <a:picLocks noChangeAspect="1"/>
                    </pic:cNvPicPr>
                  </pic:nvPicPr>
                  <pic:blipFill>
                    <a:blip r:embed="rId7"/>
                    <a:stretch>
                      <a:fillRect/>
                    </a:stretch>
                  </pic:blipFill>
                  <pic:spPr>
                    <a:xfrm>
                      <a:off x="0" y="0"/>
                      <a:ext cx="6195695" cy="6861175"/>
                    </a:xfrm>
                    <a:prstGeom prst="rect">
                      <a:avLst/>
                    </a:prstGeom>
                  </pic:spPr>
                </pic:pic>
              </a:graphicData>
            </a:graphic>
          </wp:inline>
        </w:drawing>
      </w:r>
    </w:p>
    <w:p w14:paraId="232FF5E1">
      <w:pPr>
        <w:rPr>
          <w:rFonts w:hint="eastAsia" w:ascii="仿宋_GB2312" w:hAnsi="仿宋_GB2312" w:eastAsia="仿宋_GB2312" w:cs="仿宋_GB2312"/>
          <w:kern w:val="2"/>
          <w:sz w:val="32"/>
          <w:szCs w:val="30"/>
          <w:lang w:val="en-US" w:eastAsia="zh-CN" w:bidi="ar-SA"/>
        </w:rPr>
      </w:pPr>
      <w:bookmarkStart w:id="0" w:name="_GoBack"/>
      <w:r>
        <w:object>
          <v:shape id="_x0000_i1028" o:spt="75" type="#_x0000_t75" style="height:674pt;width:478.25pt;" o:ole="t" filled="f" o:preferrelative="t" stroked="f" coordsize="21600,21600">
            <v:path/>
            <v:fill on="f" focussize="0,0"/>
            <v:stroke on="f"/>
            <v:imagedata r:id="rId9" o:title=""/>
            <o:lock v:ext="edit" aspectratio="f"/>
            <w10:wrap type="none"/>
            <w10:anchorlock/>
          </v:shape>
          <o:OLEObject Type="Embed" ProgID="Excel.Sheet.8" ShapeID="_x0000_i1028" DrawAspect="Content" ObjectID="_1468075725" r:id="rId8">
            <o:LockedField>false</o:LockedField>
          </o:OLEObject>
        </w:object>
      </w:r>
      <w:bookmarkEnd w:id="0"/>
    </w:p>
    <w:p w14:paraId="69EC5123">
      <w:pPr>
        <w:rPr>
          <w:rFonts w:hint="eastAsia" w:ascii="仿宋_GB2312" w:hAnsi="仿宋_GB2312" w:eastAsia="仿宋_GB2312" w:cs="仿宋_GB2312"/>
          <w:kern w:val="2"/>
          <w:sz w:val="32"/>
          <w:szCs w:val="30"/>
          <w:lang w:val="en-US" w:eastAsia="zh-CN" w:bidi="ar-SA"/>
        </w:rPr>
      </w:pPr>
      <w:r>
        <w:drawing>
          <wp:inline distT="0" distB="0" distL="114300" distR="114300">
            <wp:extent cx="5617845" cy="4956175"/>
            <wp:effectExtent l="0" t="0" r="1905" b="1587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0"/>
                    <a:stretch>
                      <a:fillRect/>
                    </a:stretch>
                  </pic:blipFill>
                  <pic:spPr>
                    <a:xfrm>
                      <a:off x="0" y="0"/>
                      <a:ext cx="5617845" cy="4956175"/>
                    </a:xfrm>
                    <a:prstGeom prst="rect">
                      <a:avLst/>
                    </a:prstGeom>
                    <a:noFill/>
                    <a:ln>
                      <a:noFill/>
                    </a:ln>
                  </pic:spPr>
                </pic:pic>
              </a:graphicData>
            </a:graphic>
          </wp:inline>
        </w:drawing>
      </w:r>
    </w:p>
    <w:p w14:paraId="720589C4">
      <w:pPr>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object>
          <v:shape id="_x0000_i1025" o:spt="75" type="#_x0000_t75" style="height:392.4pt;width:443.2pt;" o:ole="t" filled="f" o:preferrelative="t" stroked="f" coordsize="21600,21600">
            <v:path/>
            <v:fill on="f" focussize="0,0"/>
            <v:stroke on="f"/>
            <v:imagedata r:id="rId12" o:title=""/>
            <o:lock v:ext="edit" aspectratio="f"/>
            <w10:wrap type="none"/>
            <w10:anchorlock/>
          </v:shape>
          <o:OLEObject Type="Embed" ProgID="Excel.Sheet.8" ShapeID="_x0000_i1025" DrawAspect="Content" ObjectID="_1468075726" r:id="rId11">
            <o:LockedField>false</o:LockedField>
          </o:OLEObject>
        </w:object>
      </w:r>
    </w:p>
    <w:p w14:paraId="6BB06DA2">
      <w:pPr>
        <w:rPr>
          <w:rFonts w:hint="eastAsia" w:ascii="仿宋_GB2312" w:hAnsi="仿宋_GB2312" w:eastAsia="仿宋_GB2312" w:cs="仿宋_GB2312"/>
          <w:kern w:val="2"/>
          <w:sz w:val="32"/>
          <w:szCs w:val="30"/>
          <w:lang w:val="en-US" w:eastAsia="zh-CN" w:bidi="ar-SA"/>
        </w:rPr>
      </w:pPr>
    </w:p>
    <w:p w14:paraId="34E9A22D">
      <w:pPr>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object>
          <v:shape id="_x0000_i1027" o:spt="75" alt="" type="#_x0000_t75" style="height:119.65pt;width:462.65pt;" o:ole="t" filled="f" o:preferrelative="t" stroked="f" coordsize="21600,21600">
            <v:path/>
            <v:fill on="f" focussize="0,0"/>
            <v:stroke on="f"/>
            <v:imagedata r:id="rId14" o:title=""/>
            <o:lock v:ext="edit" aspectratio="f"/>
            <w10:wrap type="none"/>
            <w10:anchorlock/>
          </v:shape>
          <o:OLEObject Type="Embed" ProgID="Excel.Sheet.8" ShapeID="_x0000_i1027" DrawAspect="Content" ObjectID="_1468075727" r:id="rId13">
            <o:LockedField>false</o:LockedField>
          </o:OLEObject>
        </w:object>
      </w:r>
    </w:p>
    <w:p w14:paraId="43B5F05A">
      <w:pPr>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drawing>
          <wp:inline distT="0" distB="0" distL="114300" distR="114300">
            <wp:extent cx="5886450" cy="2273300"/>
            <wp:effectExtent l="0" t="0" r="0" b="12700"/>
            <wp:docPr id="11" name="图片 11" descr="174045155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40451551321"/>
                    <pic:cNvPicPr>
                      <a:picLocks noChangeAspect="1"/>
                    </pic:cNvPicPr>
                  </pic:nvPicPr>
                  <pic:blipFill>
                    <a:blip r:embed="rId15"/>
                    <a:stretch>
                      <a:fillRect/>
                    </a:stretch>
                  </pic:blipFill>
                  <pic:spPr>
                    <a:xfrm>
                      <a:off x="0" y="0"/>
                      <a:ext cx="5886450" cy="2273300"/>
                    </a:xfrm>
                    <a:prstGeom prst="rect">
                      <a:avLst/>
                    </a:prstGeom>
                  </pic:spPr>
                </pic:pic>
              </a:graphicData>
            </a:graphic>
          </wp:inline>
        </w:drawing>
      </w:r>
    </w:p>
    <w:p w14:paraId="0D9FDE27">
      <w:pPr>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drawing>
          <wp:inline distT="0" distB="0" distL="114300" distR="114300">
            <wp:extent cx="5931535" cy="2298065"/>
            <wp:effectExtent l="0" t="0" r="12065" b="6985"/>
            <wp:docPr id="12" name="图片 12" descr="1740451633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40451633484"/>
                    <pic:cNvPicPr>
                      <a:picLocks noChangeAspect="1"/>
                    </pic:cNvPicPr>
                  </pic:nvPicPr>
                  <pic:blipFill>
                    <a:blip r:embed="rId16"/>
                    <a:stretch>
                      <a:fillRect/>
                    </a:stretch>
                  </pic:blipFill>
                  <pic:spPr>
                    <a:xfrm>
                      <a:off x="0" y="0"/>
                      <a:ext cx="5931535" cy="2298065"/>
                    </a:xfrm>
                    <a:prstGeom prst="rect">
                      <a:avLst/>
                    </a:prstGeom>
                  </pic:spPr>
                </pic:pic>
              </a:graphicData>
            </a:graphic>
          </wp:inline>
        </w:drawing>
      </w:r>
    </w:p>
    <w:p w14:paraId="0137F469">
      <w:pPr>
        <w:rPr>
          <w:rFonts w:hint="eastAsia" w:ascii="仿宋_GB2312" w:hAnsi="仿宋_GB2312" w:eastAsia="仿宋_GB2312" w:cs="仿宋_GB2312"/>
          <w:kern w:val="2"/>
          <w:sz w:val="32"/>
          <w:szCs w:val="30"/>
          <w:lang w:val="en-US" w:eastAsia="zh-CN" w:bidi="ar-SA"/>
        </w:rPr>
      </w:pPr>
    </w:p>
    <w:p w14:paraId="2ABD6339">
      <w:pPr>
        <w:rPr>
          <w:rFonts w:hint="eastAsia" w:ascii="仿宋_GB2312" w:hAnsi="仿宋_GB2312" w:eastAsia="仿宋_GB2312" w:cs="仿宋_GB2312"/>
          <w:kern w:val="2"/>
          <w:sz w:val="32"/>
          <w:szCs w:val="30"/>
          <w:lang w:val="en-US" w:eastAsia="zh-CN" w:bidi="ar-SA"/>
        </w:rPr>
      </w:pPr>
    </w:p>
    <w:p w14:paraId="48EC0B02">
      <w:pPr>
        <w:rPr>
          <w:rFonts w:hint="eastAsia" w:ascii="仿宋_GB2312" w:hAnsi="仿宋_GB2312" w:eastAsia="仿宋_GB2312" w:cs="仿宋_GB2312"/>
          <w:kern w:val="2"/>
          <w:sz w:val="32"/>
          <w:szCs w:val="30"/>
          <w:lang w:val="en-US" w:eastAsia="zh-CN" w:bidi="ar-SA"/>
        </w:rPr>
      </w:pPr>
    </w:p>
    <w:p w14:paraId="5D6AAFB5">
      <w:pPr>
        <w:rPr>
          <w:rFonts w:hint="eastAsia" w:ascii="仿宋_GB2312" w:hAnsi="仿宋_GB2312" w:eastAsia="仿宋_GB2312" w:cs="仿宋_GB2312"/>
          <w:kern w:val="2"/>
          <w:sz w:val="32"/>
          <w:szCs w:val="30"/>
          <w:lang w:val="en-US" w:eastAsia="zh-CN" w:bidi="ar-SA"/>
        </w:rPr>
      </w:pPr>
    </w:p>
    <w:p w14:paraId="62E017AD">
      <w:pPr>
        <w:rPr>
          <w:rFonts w:hint="eastAsia" w:ascii="仿宋_GB2312" w:hAnsi="仿宋_GB2312" w:eastAsia="仿宋_GB2312" w:cs="仿宋_GB2312"/>
          <w:kern w:val="2"/>
          <w:sz w:val="32"/>
          <w:szCs w:val="30"/>
          <w:lang w:val="en-US" w:eastAsia="zh-CN" w:bidi="ar-SA"/>
        </w:rPr>
      </w:pPr>
    </w:p>
    <w:p w14:paraId="1D91DF30">
      <w:pPr>
        <w:rPr>
          <w:rFonts w:hint="eastAsia" w:ascii="仿宋_GB2312" w:hAnsi="仿宋_GB2312" w:eastAsia="仿宋_GB2312" w:cs="仿宋_GB2312"/>
          <w:kern w:val="2"/>
          <w:sz w:val="32"/>
          <w:szCs w:val="30"/>
          <w:lang w:val="en-US" w:eastAsia="zh-CN" w:bidi="ar-SA"/>
        </w:rPr>
      </w:pPr>
    </w:p>
    <w:p w14:paraId="4DA1AFCA">
      <w:pPr>
        <w:rPr>
          <w:rFonts w:hint="eastAsia" w:ascii="仿宋_GB2312" w:hAnsi="仿宋_GB2312" w:eastAsia="仿宋_GB2312" w:cs="仿宋_GB2312"/>
          <w:kern w:val="2"/>
          <w:sz w:val="32"/>
          <w:szCs w:val="30"/>
          <w:lang w:val="en-US" w:eastAsia="zh-CN" w:bidi="ar-SA"/>
        </w:rPr>
      </w:pPr>
    </w:p>
    <w:p w14:paraId="479FC34B">
      <w:pPr>
        <w:rPr>
          <w:rFonts w:hint="eastAsia" w:ascii="仿宋_GB2312" w:hAnsi="仿宋_GB2312" w:eastAsia="仿宋_GB2312" w:cs="仿宋_GB2312"/>
          <w:kern w:val="2"/>
          <w:sz w:val="32"/>
          <w:szCs w:val="30"/>
          <w:lang w:val="en-US" w:eastAsia="zh-CN" w:bidi="ar-SA"/>
        </w:rPr>
      </w:pPr>
    </w:p>
    <w:p w14:paraId="29D8FBDB">
      <w:pPr>
        <w:rPr>
          <w:rFonts w:hint="eastAsia" w:ascii="仿宋_GB2312" w:hAnsi="仿宋_GB2312" w:eastAsia="仿宋_GB2312" w:cs="仿宋_GB2312"/>
          <w:kern w:val="2"/>
          <w:sz w:val="32"/>
          <w:szCs w:val="30"/>
          <w:lang w:val="en-US" w:eastAsia="zh-CN" w:bidi="ar-SA"/>
        </w:rPr>
      </w:pPr>
    </w:p>
    <w:p w14:paraId="580AB7DB">
      <w:pPr>
        <w:rPr>
          <w:rFonts w:hint="eastAsia" w:ascii="仿宋_GB2312" w:hAnsi="仿宋_GB2312" w:eastAsia="仿宋_GB2312" w:cs="仿宋_GB2312"/>
          <w:kern w:val="2"/>
          <w:sz w:val="32"/>
          <w:szCs w:val="30"/>
          <w:lang w:val="en-US" w:eastAsia="zh-CN" w:bidi="ar-SA"/>
        </w:rPr>
      </w:pPr>
    </w:p>
    <w:p w14:paraId="3837AEAA">
      <w:pPr>
        <w:rPr>
          <w:rFonts w:hint="eastAsia" w:ascii="仿宋_GB2312" w:hAnsi="仿宋_GB2312" w:eastAsia="仿宋_GB2312" w:cs="仿宋_GB2312"/>
          <w:kern w:val="2"/>
          <w:sz w:val="32"/>
          <w:szCs w:val="30"/>
          <w:lang w:val="en-US" w:eastAsia="zh-CN" w:bidi="ar-SA"/>
        </w:rPr>
      </w:pPr>
    </w:p>
    <w:p w14:paraId="001CA0D7">
      <w:pPr>
        <w:rPr>
          <w:rFonts w:hint="eastAsia" w:ascii="仿宋_GB2312" w:hAnsi="仿宋_GB2312" w:eastAsia="仿宋_GB2312" w:cs="仿宋_GB2312"/>
          <w:kern w:val="2"/>
          <w:sz w:val="32"/>
          <w:szCs w:val="30"/>
          <w:lang w:val="en-US" w:eastAsia="zh-CN" w:bidi="ar-SA"/>
        </w:rPr>
      </w:pPr>
    </w:p>
    <w:p w14:paraId="70187F08">
      <w:pPr>
        <w:rPr>
          <w:rFonts w:hint="eastAsia" w:ascii="仿宋_GB2312" w:hAnsi="仿宋_GB2312" w:eastAsia="仿宋_GB2312" w:cs="仿宋_GB2312"/>
          <w:kern w:val="2"/>
          <w:sz w:val="32"/>
          <w:szCs w:val="30"/>
          <w:lang w:val="en-US" w:eastAsia="zh-CN" w:bidi="ar-SA"/>
        </w:rPr>
      </w:pPr>
    </w:p>
    <w:tbl>
      <w:tblPr>
        <w:tblStyle w:val="5"/>
        <w:tblW w:w="10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9"/>
        <w:gridCol w:w="1862"/>
        <w:gridCol w:w="2806"/>
        <w:gridCol w:w="1484"/>
        <w:gridCol w:w="2564"/>
      </w:tblGrid>
      <w:tr w14:paraId="11D15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color="auto" w:fill="auto"/>
            <w:vAlign w:val="center"/>
          </w:tcPr>
          <w:p w14:paraId="17CE5DBE">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8"/>
                <w:szCs w:val="48"/>
                <w:u w:val="none"/>
              </w:rPr>
            </w:pPr>
            <w:r>
              <w:rPr>
                <w:rFonts w:hint="eastAsia" w:ascii="方正小标宋简体" w:hAnsi="方正小标宋简体" w:eastAsia="方正小标宋简体" w:cs="方正小标宋简体"/>
                <w:i w:val="0"/>
                <w:iCs w:val="0"/>
                <w:color w:val="000000"/>
                <w:kern w:val="0"/>
                <w:sz w:val="48"/>
                <w:szCs w:val="48"/>
                <w:u w:val="none"/>
                <w:lang w:val="en-US" w:eastAsia="zh-CN" w:bidi="ar"/>
              </w:rPr>
              <w:t>项目绩效目标表</w:t>
            </w:r>
          </w:p>
        </w:tc>
      </w:tr>
      <w:tr w14:paraId="7B946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color="auto" w:fill="auto"/>
            <w:vAlign w:val="center"/>
          </w:tcPr>
          <w:p w14:paraId="35A2FF7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（2025年度）</w:t>
            </w:r>
          </w:p>
        </w:tc>
      </w:tr>
      <w:tr w14:paraId="52F72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74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E396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景德镇市第二十六中学_生均公用经费（高中）</w:t>
            </w:r>
          </w:p>
        </w:tc>
      </w:tr>
      <w:tr w14:paraId="2F238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808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F06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801-景德镇市教育体育局</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7D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FBF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景德镇市第二十六中学</w:t>
            </w:r>
          </w:p>
        </w:tc>
      </w:tr>
      <w:tr w14:paraId="776C4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82C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0A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A202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82.3</w:t>
            </w:r>
          </w:p>
        </w:tc>
      </w:tr>
      <w:tr w14:paraId="5E145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5A9D5">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DB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62D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14:paraId="795E4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79C55">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CCB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93F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14:paraId="6A189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3D19B">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B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8FF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14:paraId="55E7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E59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年度绩效目标</w:t>
            </w:r>
          </w:p>
        </w:tc>
      </w:tr>
      <w:tr w14:paraId="27DA4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63ECBC">
            <w:pPr>
              <w:keepNext w:val="0"/>
              <w:keepLines w:val="0"/>
              <w:widowControl/>
              <w:suppressLineNumbers w:val="0"/>
              <w:jc w:val="center"/>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lang w:val="en-US" w:eastAsia="zh-CN" w:bidi="ar"/>
              </w:rPr>
              <w:t>保障学校基本运行，提高高中教育教学质量。</w:t>
            </w:r>
          </w:p>
        </w:tc>
      </w:tr>
      <w:tr w14:paraId="7F3A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232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6AF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FAC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B61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r>
      <w:tr w14:paraId="22191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1AC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9C5B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68D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高中生均公用经费标准</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9A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＝1000元/生</w:t>
            </w:r>
          </w:p>
        </w:tc>
      </w:tr>
      <w:tr w14:paraId="24529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ADB27">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B437C">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C00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高中生均公用经费</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E8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＝823000元</w:t>
            </w:r>
          </w:p>
        </w:tc>
      </w:tr>
      <w:tr w14:paraId="06172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3CA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D6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BEF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高中学生数</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88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＝823人</w:t>
            </w:r>
          </w:p>
        </w:tc>
      </w:tr>
      <w:tr w14:paraId="775B9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08549">
            <w:pPr>
              <w:jc w:val="center"/>
              <w:rPr>
                <w:rFonts w:hint="eastAsia" w:ascii="宋体" w:hAnsi="宋体" w:eastAsia="宋体" w:cs="宋体"/>
                <w:i w:val="0"/>
                <w:iCs w:val="0"/>
                <w:color w:val="000000"/>
                <w:sz w:val="24"/>
                <w:szCs w:val="24"/>
                <w:u w:val="none"/>
              </w:rPr>
            </w:pPr>
          </w:p>
        </w:tc>
        <w:tc>
          <w:tcPr>
            <w:tcW w:w="1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624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841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经费支付合规性</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7C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14:paraId="60259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F9211">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0700A">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214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保障学校基本运行</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08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14:paraId="03D95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C8EED">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C097E">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DE3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高质量完成教学工作</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0E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r>
      <w:tr w14:paraId="1A740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2E8E7">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BE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C83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资金按时拨付</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D12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14:paraId="3867A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F8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13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D6C5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提高教育事业发展</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4A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r>
      <w:tr w14:paraId="13FE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ABC4B">
            <w:pPr>
              <w:jc w:val="center"/>
              <w:rPr>
                <w:rFonts w:hint="eastAsia" w:ascii="宋体" w:hAnsi="宋体" w:eastAsia="宋体" w:cs="宋体"/>
                <w:i w:val="0"/>
                <w:iCs w:val="0"/>
                <w:color w:val="000000"/>
                <w:sz w:val="24"/>
                <w:szCs w:val="24"/>
                <w:u w:val="none"/>
              </w:rPr>
            </w:pPr>
          </w:p>
        </w:tc>
        <w:tc>
          <w:tcPr>
            <w:tcW w:w="1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0CA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D02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提高教育发展，加强学生人文素养</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0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r>
      <w:tr w14:paraId="58D5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75054">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ED8CF">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DE6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高中教育校舍安全保障长效机制</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194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14:paraId="1722E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DBB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F8B6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83F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师生满意抽样调查程度</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B12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r w14:paraId="17B90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E422E">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DFEEA">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A83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家长满意抽样调查程度</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82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14:paraId="6AD549F8">
      <w:pPr>
        <w:rPr>
          <w:rFonts w:hint="eastAsia" w:ascii="仿宋_GB2312" w:hAnsi="仿宋_GB2312" w:eastAsia="仿宋_GB2312" w:cs="仿宋_GB2312"/>
          <w:kern w:val="2"/>
          <w:sz w:val="32"/>
          <w:szCs w:val="30"/>
          <w:lang w:val="en-US" w:eastAsia="zh-CN" w:bidi="ar-SA"/>
        </w:rPr>
      </w:pPr>
    </w:p>
    <w:p w14:paraId="7B185290">
      <w:pPr>
        <w:rPr>
          <w:rFonts w:hint="eastAsia" w:ascii="仿宋_GB2312" w:hAnsi="仿宋_GB2312" w:eastAsia="仿宋_GB2312" w:cs="仿宋_GB2312"/>
          <w:kern w:val="2"/>
          <w:sz w:val="32"/>
          <w:szCs w:val="30"/>
          <w:lang w:val="en-US" w:eastAsia="zh-CN" w:bidi="ar-SA"/>
        </w:rPr>
      </w:pPr>
    </w:p>
    <w:p w14:paraId="556CC18E">
      <w:pPr>
        <w:rPr>
          <w:rFonts w:hint="eastAsia" w:ascii="仿宋_GB2312" w:hAnsi="仿宋_GB2312" w:eastAsia="仿宋_GB2312" w:cs="仿宋_GB2312"/>
          <w:kern w:val="2"/>
          <w:sz w:val="32"/>
          <w:szCs w:val="30"/>
          <w:lang w:val="en-US" w:eastAsia="zh-CN" w:bidi="ar-SA"/>
        </w:rPr>
      </w:pPr>
    </w:p>
    <w:p w14:paraId="36C3D6F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仿宋_GB2312" w:eastAsia="仿宋_GB2312"/>
          <w:b/>
          <w:sz w:val="32"/>
          <w:szCs w:val="30"/>
        </w:rPr>
      </w:pPr>
      <w:r>
        <w:rPr>
          <w:rFonts w:hint="eastAsia" w:ascii="方正小标宋简体" w:hAnsi="方正小标宋简体" w:eastAsia="方正小标宋简体" w:cs="方正小标宋简体"/>
          <w:b/>
          <w:sz w:val="32"/>
          <w:szCs w:val="30"/>
        </w:rPr>
        <w:t>第</w:t>
      </w:r>
      <w:r>
        <w:rPr>
          <w:rFonts w:hint="eastAsia" w:ascii="方正小标宋简体" w:hAnsi="方正小标宋简体" w:eastAsia="方正小标宋简体" w:cs="方正小标宋简体"/>
          <w:b/>
          <w:sz w:val="32"/>
          <w:szCs w:val="30"/>
          <w:lang w:val="en-US" w:eastAsia="zh-CN"/>
        </w:rPr>
        <w:t>三</w:t>
      </w:r>
      <w:r>
        <w:rPr>
          <w:rFonts w:hint="eastAsia" w:ascii="方正小标宋简体" w:hAnsi="方正小标宋简体" w:eastAsia="方正小标宋简体" w:cs="方正小标宋简体"/>
          <w:b/>
          <w:sz w:val="32"/>
          <w:szCs w:val="30"/>
        </w:rPr>
        <w:t xml:space="preserve">部分  </w:t>
      </w:r>
      <w:r>
        <w:rPr>
          <w:rFonts w:hint="eastAsia" w:ascii="方正小标宋简体" w:hAnsi="方正小标宋简体" w:eastAsia="方正小标宋简体" w:cs="方正小标宋简体"/>
          <w:b/>
          <w:sz w:val="32"/>
          <w:szCs w:val="30"/>
        </w:rPr>
        <w:fldChar w:fldCharType="begin"/>
      </w:r>
      <w:r>
        <w:rPr>
          <w:rFonts w:hint="eastAsia" w:ascii="方正小标宋简体" w:hAnsi="方正小标宋简体" w:eastAsia="方正小标宋简体" w:cs="方正小标宋简体"/>
          <w:b/>
          <w:sz w:val="32"/>
          <w:szCs w:val="30"/>
        </w:rPr>
        <w:instrText xml:space="preserve">MERGEFIELD ${page400644146.ds509943833_REP_JXJC_AGENCY_WZR_NAME}</w:instrText>
      </w:r>
      <w:r>
        <w:rPr>
          <w:rFonts w:hint="eastAsia" w:ascii="方正小标宋简体" w:hAnsi="方正小标宋简体" w:eastAsia="方正小标宋简体" w:cs="方正小标宋简体"/>
          <w:b/>
          <w:sz w:val="32"/>
          <w:szCs w:val="30"/>
        </w:rPr>
        <w:fldChar w:fldCharType="separate"/>
      </w:r>
      <w:r>
        <w:rPr>
          <w:rFonts w:hint="eastAsia" w:ascii="方正小标宋简体" w:hAnsi="方正小标宋简体" w:eastAsia="方正小标宋简体" w:cs="方正小标宋简体"/>
          <w:b/>
          <w:sz w:val="32"/>
          <w:szCs w:val="30"/>
          <w:lang w:eastAsia="zh-CN"/>
        </w:rPr>
        <w:t>景德镇市第</w:t>
      </w:r>
      <w:r>
        <w:rPr>
          <w:rFonts w:hint="eastAsia" w:ascii="方正小标宋简体" w:hAnsi="方正小标宋简体" w:eastAsia="方正小标宋简体" w:cs="方正小标宋简体"/>
          <w:b/>
          <w:sz w:val="32"/>
          <w:szCs w:val="30"/>
        </w:rPr>
        <w:fldChar w:fldCharType="end"/>
      </w:r>
      <w:r>
        <w:rPr>
          <w:rFonts w:hint="eastAsia" w:ascii="方正小标宋简体" w:hAnsi="方正小标宋简体" w:eastAsia="方正小标宋简体" w:cs="方正小标宋简体"/>
          <w:b/>
          <w:sz w:val="32"/>
          <w:szCs w:val="30"/>
          <w:lang w:eastAsia="zh-CN"/>
        </w:rPr>
        <w:t>二十六中学2025</w:t>
      </w:r>
      <w:r>
        <w:rPr>
          <w:rFonts w:hint="eastAsia" w:ascii="方正小标宋简体" w:hAnsi="方正小标宋简体" w:eastAsia="方正小标宋简体" w:cs="方正小标宋简体"/>
          <w:b/>
          <w:sz w:val="32"/>
          <w:szCs w:val="30"/>
        </w:rPr>
        <w:t>年</w:t>
      </w:r>
      <w:r>
        <w:rPr>
          <w:rFonts w:hint="eastAsia" w:ascii="方正小标宋简体" w:hAnsi="方正小标宋简体" w:eastAsia="方正小标宋简体" w:cs="方正小标宋简体"/>
          <w:b/>
          <w:sz w:val="32"/>
          <w:szCs w:val="30"/>
          <w:lang w:eastAsia="zh-CN"/>
        </w:rPr>
        <w:t>单位</w:t>
      </w:r>
      <w:r>
        <w:rPr>
          <w:rFonts w:hint="eastAsia" w:ascii="方正小标宋简体" w:hAnsi="方正小标宋简体" w:eastAsia="方正小标宋简体" w:cs="方正小标宋简体"/>
          <w:b/>
          <w:sz w:val="32"/>
          <w:szCs w:val="30"/>
        </w:rPr>
        <w:t>预算情况说明</w:t>
      </w:r>
    </w:p>
    <w:p w14:paraId="710B155E">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ascii="仿宋_GB2312" w:eastAsia="仿宋_GB2312"/>
          <w:b/>
          <w:sz w:val="32"/>
          <w:szCs w:val="30"/>
        </w:rPr>
      </w:pPr>
    </w:p>
    <w:p w14:paraId="27A66DED">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ascii="楷体_GB2312" w:eastAsia="楷体_GB2312"/>
          <w:b/>
          <w:sz w:val="32"/>
          <w:szCs w:val="30"/>
        </w:rPr>
      </w:pPr>
      <w:r>
        <w:rPr>
          <w:rFonts w:hint="eastAsia" w:ascii="黑体" w:hAnsi="黑体" w:eastAsia="黑体" w:cs="黑体"/>
          <w:b/>
          <w:sz w:val="32"/>
          <w:szCs w:val="32"/>
        </w:rPr>
        <w:t>一、</w:t>
      </w:r>
      <w:r>
        <w:rPr>
          <w:rFonts w:hint="eastAsia" w:ascii="黑体" w:hAnsi="黑体" w:eastAsia="黑体" w:cs="黑体"/>
          <w:b/>
          <w:sz w:val="32"/>
          <w:szCs w:val="32"/>
          <w:lang w:eastAsia="zh-CN"/>
        </w:rPr>
        <w:t>2025</w:t>
      </w:r>
      <w:r>
        <w:rPr>
          <w:rFonts w:hint="eastAsia" w:ascii="黑体" w:hAnsi="黑体" w:eastAsia="黑体" w:cs="黑体"/>
          <w:b/>
          <w:sz w:val="32"/>
          <w:szCs w:val="32"/>
        </w:rPr>
        <w:t>年</w:t>
      </w:r>
      <w:r>
        <w:rPr>
          <w:rFonts w:hint="eastAsia" w:ascii="黑体" w:hAnsi="黑体" w:eastAsia="黑体" w:cs="黑体"/>
          <w:b/>
          <w:sz w:val="32"/>
          <w:szCs w:val="32"/>
          <w:lang w:eastAsia="zh-CN"/>
        </w:rPr>
        <w:t>单位</w:t>
      </w:r>
      <w:r>
        <w:rPr>
          <w:rFonts w:hint="eastAsia" w:ascii="黑体" w:hAnsi="黑体" w:eastAsia="黑体" w:cs="黑体"/>
          <w:b/>
          <w:sz w:val="32"/>
          <w:szCs w:val="32"/>
        </w:rPr>
        <w:t>预算收支情况说明</w:t>
      </w:r>
    </w:p>
    <w:p w14:paraId="0BBF4E4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ascii="Adobe 仿宋 Std R" w:hAnsi="Adobe 仿宋 Std R" w:eastAsia="Adobe 仿宋 Std R"/>
          <w:b/>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一</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收入预算情况</w:t>
      </w:r>
    </w:p>
    <w:p w14:paraId="7F064BC1">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2025年景德镇市第二十六中学收入预算总额为2384.17万元，较上年预算安排增加178.07万元，其中：财政拨款收入1867.26万元，较上年预算安排增加2.78万元；教育收费资金收入180万元，较上年预算安排增加113.08万元；事业收入0万元，较上年预算安排增加0万元；其他收入276.91万元，较上年预算安排增加27.21万元;使用非财政拨款结余 60万元，较上年预算安排增加35万元。</w:t>
      </w:r>
    </w:p>
    <w:p w14:paraId="11FA335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二</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支出预算情况</w:t>
      </w:r>
    </w:p>
    <w:p w14:paraId="5DBD89AB">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2025年景德镇市第二十六中学支出预算总额2384.17万元，较上年预算安排增加178.07万元；其中：</w:t>
      </w:r>
    </w:p>
    <w:p w14:paraId="5F6D6D91">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按支出项目类别划分：基本支出2030.18万元，较上年预算安排减少175.91万元；其中：工资福利支2024.27万元，对个人和家庭的补助5.91万元。项目支出353.98万元，较上年预算安排增加353.98万元；其中：工资福利支出0万元，商品和服务支出283.98万元，资本性支出70万元，。</w:t>
      </w:r>
    </w:p>
    <w:p w14:paraId="45D174E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按支出功能科目划分：教育支出1857.65万元，较上年预算安排增加175.9万元；社会保障和就业支出276.51万元，较上年预算安排增加1.14万元；卫生健康支出111.75万元，较上年预算安排增加0.46万元；住房保障支出138.25万元，较上年预算安排增加0.57万元。</w:t>
      </w:r>
    </w:p>
    <w:p w14:paraId="3B739B4B">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按支出经济分类划分：工资福利支出2024.27万元，较上年预算安排增加289.15万元；商品和服务支出283.98万元，较上年预算安排减少99.82万元；对个人和家庭的补助5.91万元，较上年预算安排减少1.91万元；资本性支出70万元，较上年预算安排减少9.35万元。</w:t>
      </w:r>
    </w:p>
    <w:p w14:paraId="483E6D9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三</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财政拨款支出情况</w:t>
      </w:r>
    </w:p>
    <w:p w14:paraId="43144A46">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2025年景德镇市第二十六中学财政拨款支出预算总额1867.26万元，较上年预算安排增加2.78万元；</w:t>
      </w:r>
    </w:p>
    <w:p w14:paraId="7FBF0414">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按支出功能科目划分：教育支出1340.74万元，社会保障和就业支出276.51万元，卫生健康支出111.75万元，住房保障支出138.25万元。</w:t>
      </w:r>
    </w:p>
    <w:p w14:paraId="1345E18D">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按支出项目类别划分：基本支出1753.27万元，较上年预算安排减少5.67万元；其中：工资福利支出1747.36万元，对个人和家庭的补助5.91万元，资本性支出0万元。项目支出113.98万元，较上年预算安排增加8.45万元；其中：工资福利支出0万元，商品和服务支出43.98万元，资本性支出70万元。</w:t>
      </w:r>
    </w:p>
    <w:p w14:paraId="39BEAF3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四</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政府性基金情况</w:t>
      </w:r>
    </w:p>
    <w:p w14:paraId="6561669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b w:val="0"/>
          <w:bCs w:val="0"/>
          <w:kern w:val="2"/>
          <w:sz w:val="32"/>
          <w:szCs w:val="30"/>
          <w:lang w:val="en-US" w:eastAsia="zh-CN" w:bidi="ar-SA"/>
        </w:rPr>
        <w:t>本单位2025年没有使用政府性基金预算拨款安排的支出。</w:t>
      </w:r>
    </w:p>
    <w:p w14:paraId="722DEFB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rPr>
        <w:t>（五）国有资本经营情况</w:t>
      </w:r>
    </w:p>
    <w:p w14:paraId="246D4C27">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Style w:val="11"/>
          <w:rFonts w:hint="default" w:ascii="仿宋" w:hAnsi="仿宋" w:eastAsia="仿宋"/>
          <w:b w:val="0"/>
          <w:bCs w:val="0"/>
          <w:sz w:val="32"/>
          <w:szCs w:val="32"/>
          <w:lang w:val="en-US"/>
        </w:rPr>
      </w:pPr>
      <w:r>
        <w:rPr>
          <w:rFonts w:hint="eastAsia" w:ascii="仿宋_GB2312" w:hAnsi="仿宋_GB2312" w:eastAsia="仿宋_GB2312" w:cs="仿宋_GB2312"/>
          <w:b w:val="0"/>
          <w:bCs w:val="0"/>
          <w:kern w:val="2"/>
          <w:sz w:val="32"/>
          <w:szCs w:val="30"/>
          <w:lang w:val="en-US" w:eastAsia="zh-CN" w:bidi="ar-SA"/>
        </w:rPr>
        <w:t>本单位2025年没有使用国有资本经营预算拨款安排的支出。</w:t>
      </w:r>
    </w:p>
    <w:p w14:paraId="7FD78BD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六</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机关运行经费等重要事项的说明</w:t>
      </w:r>
    </w:p>
    <w:p w14:paraId="0E09CEE9">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Adobe 仿宋 Std R" w:hAnsi="Adobe 仿宋 Std R" w:eastAsia="仿宋_GB2312"/>
          <w:b w:val="0"/>
          <w:bCs w:val="0"/>
          <w:sz w:val="32"/>
          <w:szCs w:val="32"/>
          <w:lang w:eastAsia="zh-CN"/>
        </w:rPr>
      </w:pPr>
      <w:r>
        <w:rPr>
          <w:rStyle w:val="11"/>
          <w:rFonts w:hint="eastAsia" w:ascii="仿宋_GB2312" w:hAnsi="仿宋_GB2312" w:eastAsia="仿宋_GB2312" w:cs="仿宋_GB2312"/>
          <w:b w:val="0"/>
          <w:bCs w:val="0"/>
          <w:sz w:val="32"/>
          <w:szCs w:val="32"/>
        </w:rPr>
        <w:t>本</w:t>
      </w:r>
      <w:r>
        <w:rPr>
          <w:rStyle w:val="11"/>
          <w:rFonts w:hint="eastAsia" w:ascii="仿宋_GB2312" w:hAnsi="仿宋_GB2312" w:eastAsia="仿宋_GB2312" w:cs="仿宋_GB2312"/>
          <w:b w:val="0"/>
          <w:bCs w:val="0"/>
          <w:sz w:val="32"/>
          <w:szCs w:val="32"/>
          <w:lang w:eastAsia="zh-CN"/>
        </w:rPr>
        <w:t>单位</w:t>
      </w:r>
      <w:r>
        <w:rPr>
          <w:rStyle w:val="11"/>
          <w:rFonts w:hint="eastAsia" w:ascii="仿宋_GB2312" w:hAnsi="仿宋_GB2312" w:eastAsia="仿宋_GB2312" w:cs="仿宋_GB2312"/>
          <w:b w:val="0"/>
          <w:bCs w:val="0"/>
          <w:sz w:val="32"/>
          <w:szCs w:val="32"/>
          <w:lang w:val="en-US" w:eastAsia="zh-CN"/>
        </w:rPr>
        <w:t>非</w:t>
      </w:r>
      <w:r>
        <w:rPr>
          <w:rStyle w:val="11"/>
          <w:rFonts w:hint="eastAsia" w:ascii="仿宋_GB2312" w:hAnsi="仿宋_GB2312" w:eastAsia="仿宋_GB2312" w:cs="仿宋_GB2312"/>
          <w:b w:val="0"/>
          <w:bCs w:val="0"/>
          <w:sz w:val="32"/>
          <w:szCs w:val="32"/>
        </w:rPr>
        <w:t>行政参公单位，无机关运行经费</w:t>
      </w:r>
      <w:r>
        <w:rPr>
          <w:rStyle w:val="11"/>
          <w:rFonts w:hint="eastAsia" w:ascii="仿宋_GB2312" w:hAnsi="仿宋_GB2312" w:eastAsia="仿宋_GB2312" w:cs="仿宋_GB2312"/>
          <w:b w:val="0"/>
          <w:bCs w:val="0"/>
          <w:sz w:val="32"/>
          <w:szCs w:val="32"/>
          <w:lang w:eastAsia="zh-CN"/>
        </w:rPr>
        <w:t>。</w:t>
      </w:r>
    </w:p>
    <w:p w14:paraId="60B9C0D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七</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政府采购情况</w:t>
      </w:r>
    </w:p>
    <w:p w14:paraId="72B4D51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2025年景德镇市第二十六中学政府采购总额70万元，其中：政府采购货物预算70万元，政府采购工程预算 0 万元，政府采购服务预算 0 万元。</w:t>
      </w:r>
    </w:p>
    <w:p w14:paraId="16E98A4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八</w:t>
      </w:r>
      <w:r>
        <w:rPr>
          <w:rStyle w:val="11"/>
          <w:rFonts w:hint="eastAsia" w:ascii="楷体_GB2312" w:hAnsi="楷体_GB2312" w:eastAsia="楷体_GB2312" w:cs="楷体_GB2312"/>
          <w:b/>
          <w:bCs w:val="0"/>
          <w:sz w:val="32"/>
          <w:szCs w:val="32"/>
          <w:lang w:eastAsia="zh-CN"/>
        </w:rPr>
        <w:t>）</w:t>
      </w:r>
      <w:r>
        <w:rPr>
          <w:rStyle w:val="11"/>
          <w:rFonts w:hint="eastAsia" w:ascii="楷体_GB2312" w:hAnsi="楷体_GB2312" w:eastAsia="楷体_GB2312" w:cs="楷体_GB2312"/>
          <w:b/>
          <w:bCs w:val="0"/>
          <w:sz w:val="32"/>
          <w:szCs w:val="32"/>
        </w:rPr>
        <w:t>国有资产占有使用情况</w:t>
      </w:r>
    </w:p>
    <w:p w14:paraId="16E78653">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截至 2024 年 8 月 31 日，单位共有车辆 0 辆；其中：一般业务用车实有数 0 辆，特殊业务用车实有数 0 辆，执法执勤用车实有数 0 辆。</w:t>
      </w:r>
    </w:p>
    <w:p w14:paraId="23016F61">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2025 年单位预算安排购置车辆 0 辆。未安排购置单位价值 200 万元以上大型设备。</w:t>
      </w:r>
    </w:p>
    <w:p w14:paraId="455C3324">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Style w:val="11"/>
          <w:rFonts w:hint="eastAsia" w:ascii="楷体_GB2312" w:hAnsi="楷体_GB2312" w:eastAsia="楷体_GB2312" w:cs="楷体_GB2312"/>
          <w:b/>
          <w:bCs w:val="0"/>
          <w:sz w:val="32"/>
          <w:szCs w:val="32"/>
        </w:rPr>
      </w:pPr>
      <w:r>
        <w:rPr>
          <w:rStyle w:val="11"/>
          <w:rFonts w:hint="eastAsia" w:ascii="楷体_GB2312" w:hAnsi="楷体_GB2312" w:eastAsia="楷体_GB2312" w:cs="楷体_GB2312"/>
          <w:b/>
          <w:bCs w:val="0"/>
          <w:sz w:val="32"/>
          <w:szCs w:val="32"/>
        </w:rPr>
        <w:t>（九）</w:t>
      </w:r>
      <w:r>
        <w:rPr>
          <w:rStyle w:val="11"/>
          <w:rFonts w:hint="eastAsia" w:ascii="楷体_GB2312" w:hAnsi="楷体_GB2312" w:eastAsia="楷体_GB2312" w:cs="楷体_GB2312"/>
          <w:b/>
          <w:bCs w:val="0"/>
          <w:sz w:val="32"/>
          <w:szCs w:val="32"/>
          <w:lang w:val="en-US" w:eastAsia="zh-CN"/>
        </w:rPr>
        <w:t>城乡义务教育生均公用经费(初中)_科教文体科项目</w:t>
      </w:r>
      <w:r>
        <w:rPr>
          <w:rStyle w:val="11"/>
          <w:rFonts w:hint="eastAsia" w:ascii="楷体_GB2312" w:hAnsi="楷体_GB2312" w:eastAsia="楷体_GB2312" w:cs="楷体_GB2312"/>
          <w:b/>
          <w:bCs w:val="0"/>
          <w:sz w:val="32"/>
          <w:szCs w:val="32"/>
        </w:rPr>
        <w:t>情况说明</w:t>
      </w:r>
    </w:p>
    <w:p w14:paraId="66EB0C64">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1）项目概述：景德镇市第二十六中学_生均公用经费（高中）。</w:t>
      </w:r>
    </w:p>
    <w:p w14:paraId="7C6FB73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2）立项依据：保障学校基本运行，提高教育教学质量。</w:t>
      </w:r>
    </w:p>
    <w:p w14:paraId="13533E76">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3）实施主体:景德镇市第二十六中学</w:t>
      </w:r>
    </w:p>
    <w:p w14:paraId="7088355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4）实施方案:见项目绩效目标表</w:t>
      </w:r>
    </w:p>
    <w:p w14:paraId="0B3FADC4">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5）实施周期:一年</w:t>
      </w:r>
    </w:p>
    <w:p w14:paraId="5EA2B8E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ascii="Adobe 仿宋 Std R" w:hAnsi="Adobe 仿宋 Std R" w:eastAsia="Adobe 仿宋 Std R"/>
          <w:sz w:val="32"/>
          <w:szCs w:val="32"/>
        </w:rPr>
      </w:pPr>
      <w:r>
        <w:rPr>
          <w:rFonts w:hint="eastAsia" w:ascii="仿宋_GB2312" w:hAnsi="仿宋_GB2312" w:eastAsia="仿宋_GB2312" w:cs="仿宋_GB2312"/>
          <w:kern w:val="2"/>
          <w:sz w:val="32"/>
          <w:szCs w:val="30"/>
          <w:lang w:val="en-US" w:eastAsia="zh-CN" w:bidi="ar-SA"/>
        </w:rPr>
        <w:t>6）年度预算安排:82.3万元</w:t>
      </w:r>
    </w:p>
    <w:p w14:paraId="7516F99A">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ascii="楷体_GB2312" w:eastAsia="楷体_GB2312"/>
          <w:b/>
          <w:sz w:val="32"/>
          <w:szCs w:val="30"/>
        </w:rPr>
      </w:pPr>
      <w:r>
        <w:rPr>
          <w:rFonts w:hint="eastAsia" w:ascii="黑体" w:hAnsi="黑体" w:eastAsia="黑体" w:cs="黑体"/>
          <w:b/>
          <w:sz w:val="32"/>
          <w:szCs w:val="32"/>
        </w:rPr>
        <w:t>二、</w:t>
      </w:r>
      <w:r>
        <w:rPr>
          <w:rFonts w:hint="eastAsia" w:ascii="黑体" w:hAnsi="黑体" w:eastAsia="黑体" w:cs="黑体"/>
          <w:b/>
          <w:sz w:val="32"/>
          <w:szCs w:val="32"/>
          <w:lang w:eastAsia="zh-CN"/>
        </w:rPr>
        <w:t>2025</w:t>
      </w:r>
      <w:r>
        <w:rPr>
          <w:rFonts w:hint="eastAsia" w:ascii="黑体" w:hAnsi="黑体" w:eastAsia="黑体" w:cs="黑体"/>
          <w:b/>
          <w:sz w:val="32"/>
          <w:szCs w:val="32"/>
        </w:rPr>
        <w:t>年</w:t>
      </w:r>
      <w:r>
        <w:rPr>
          <w:rFonts w:hint="eastAsia" w:ascii="黑体" w:hAnsi="黑体" w:eastAsia="黑体" w:cs="黑体"/>
          <w:b/>
          <w:sz w:val="32"/>
          <w:szCs w:val="32"/>
          <w:lang w:eastAsia="zh-CN"/>
        </w:rPr>
        <w:t>“</w:t>
      </w:r>
      <w:r>
        <w:rPr>
          <w:rFonts w:hint="eastAsia" w:ascii="黑体" w:hAnsi="黑体" w:eastAsia="黑体" w:cs="黑体"/>
          <w:b/>
          <w:sz w:val="32"/>
          <w:szCs w:val="32"/>
        </w:rPr>
        <w:t>三公</w:t>
      </w:r>
      <w:r>
        <w:rPr>
          <w:rFonts w:hint="eastAsia" w:ascii="黑体" w:hAnsi="黑体" w:eastAsia="黑体" w:cs="黑体"/>
          <w:b/>
          <w:sz w:val="32"/>
          <w:szCs w:val="32"/>
          <w:lang w:eastAsia="zh-CN"/>
        </w:rPr>
        <w:t>”</w:t>
      </w:r>
      <w:r>
        <w:rPr>
          <w:rFonts w:hint="eastAsia" w:ascii="黑体" w:hAnsi="黑体" w:eastAsia="黑体" w:cs="黑体"/>
          <w:b/>
          <w:sz w:val="32"/>
          <w:szCs w:val="32"/>
        </w:rPr>
        <w:t>经费预算情况说明</w:t>
      </w:r>
    </w:p>
    <w:p w14:paraId="7493A02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0"/>
          <w:lang w:val="en-US" w:eastAsia="zh-CN" w:bidi="ar-SA"/>
        </w:rPr>
      </w:pPr>
      <w:r>
        <w:rPr>
          <w:rFonts w:hint="eastAsia" w:ascii="仿宋_GB2312" w:hAnsi="仿宋_GB2312" w:eastAsia="仿宋_GB2312" w:cs="仿宋_GB2312"/>
          <w:b w:val="0"/>
          <w:bCs w:val="0"/>
          <w:kern w:val="2"/>
          <w:sz w:val="32"/>
          <w:szCs w:val="30"/>
          <w:lang w:val="en-US" w:eastAsia="zh-CN" w:bidi="ar-SA"/>
        </w:rPr>
        <w:t>2025年</w:t>
      </w:r>
      <w:r>
        <w:rPr>
          <w:rFonts w:hint="eastAsia" w:ascii="仿宋_GB2312" w:hAnsi="仿宋_GB2312" w:eastAsia="仿宋_GB2312" w:cs="仿宋_GB2312"/>
          <w:b w:val="0"/>
          <w:bCs w:val="0"/>
          <w:kern w:val="2"/>
          <w:sz w:val="32"/>
          <w:szCs w:val="30"/>
          <w:lang w:val="en-US" w:eastAsia="zh-CN" w:bidi="ar-SA"/>
        </w:rPr>
        <w:fldChar w:fldCharType="begin"/>
      </w:r>
      <w:r>
        <w:rPr>
          <w:rFonts w:hint="eastAsia" w:ascii="仿宋_GB2312" w:hAnsi="仿宋_GB2312" w:eastAsia="仿宋_GB2312" w:cs="仿宋_GB2312"/>
          <w:b w:val="0"/>
          <w:bCs w:val="0"/>
          <w:kern w:val="2"/>
          <w:sz w:val="32"/>
          <w:szCs w:val="30"/>
          <w:lang w:val="en-US" w:eastAsia="zh-CN" w:bidi="ar-SA"/>
        </w:rPr>
        <w:instrText xml:space="preserve">MERGEFIELD ${page400644146.ds215660413_REP_JXJC_AGENCY_WZR_NAME}</w:instrText>
      </w:r>
      <w:r>
        <w:rPr>
          <w:rFonts w:hint="eastAsia" w:ascii="仿宋_GB2312" w:hAnsi="仿宋_GB2312" w:eastAsia="仿宋_GB2312" w:cs="仿宋_GB2312"/>
          <w:b w:val="0"/>
          <w:bCs w:val="0"/>
          <w:kern w:val="2"/>
          <w:sz w:val="32"/>
          <w:szCs w:val="30"/>
          <w:lang w:val="en-US" w:eastAsia="zh-CN" w:bidi="ar-SA"/>
        </w:rPr>
        <w:fldChar w:fldCharType="separate"/>
      </w:r>
      <w:r>
        <w:rPr>
          <w:rFonts w:hint="eastAsia" w:ascii="仿宋_GB2312" w:hAnsi="仿宋_GB2312" w:eastAsia="仿宋_GB2312" w:cs="仿宋_GB2312"/>
          <w:b w:val="0"/>
          <w:bCs w:val="0"/>
          <w:kern w:val="2"/>
          <w:sz w:val="32"/>
          <w:szCs w:val="30"/>
          <w:lang w:val="en-US" w:eastAsia="zh-CN" w:bidi="ar-SA"/>
        </w:rPr>
        <w:t>景德镇市第</w:t>
      </w:r>
      <w:r>
        <w:rPr>
          <w:rFonts w:hint="eastAsia" w:ascii="仿宋_GB2312" w:hAnsi="仿宋_GB2312" w:eastAsia="仿宋_GB2312" w:cs="仿宋_GB2312"/>
          <w:b w:val="0"/>
          <w:bCs w:val="0"/>
          <w:kern w:val="2"/>
          <w:sz w:val="32"/>
          <w:szCs w:val="30"/>
          <w:lang w:val="en-US" w:eastAsia="zh-CN" w:bidi="ar-SA"/>
        </w:rPr>
        <w:fldChar w:fldCharType="end"/>
      </w:r>
      <w:r>
        <w:rPr>
          <w:rFonts w:hint="eastAsia" w:ascii="仿宋_GB2312" w:hAnsi="仿宋_GB2312" w:eastAsia="仿宋_GB2312" w:cs="仿宋_GB2312"/>
          <w:b w:val="0"/>
          <w:bCs w:val="0"/>
          <w:kern w:val="2"/>
          <w:sz w:val="32"/>
          <w:szCs w:val="30"/>
          <w:lang w:val="en-US" w:eastAsia="zh-CN" w:bidi="ar-SA"/>
        </w:rPr>
        <w:t>二十六中学“三公”经费财政拨款安排0万元，其中：</w:t>
      </w:r>
    </w:p>
    <w:p w14:paraId="7CAACB96">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0"/>
          <w:lang w:val="en-US" w:eastAsia="zh-CN" w:bidi="ar-SA"/>
        </w:rPr>
      </w:pPr>
      <w:r>
        <w:rPr>
          <w:rFonts w:hint="eastAsia" w:ascii="仿宋_GB2312" w:hAnsi="仿宋_GB2312" w:eastAsia="仿宋_GB2312" w:cs="仿宋_GB2312"/>
          <w:b w:val="0"/>
          <w:bCs w:val="0"/>
          <w:kern w:val="2"/>
          <w:sz w:val="32"/>
          <w:szCs w:val="30"/>
          <w:lang w:val="en-US" w:eastAsia="zh-CN" w:bidi="ar-SA"/>
        </w:rPr>
        <w:t>因公出国（境）费0万元，比上年增加（减少）0万元，主要原因是：</w:t>
      </w:r>
      <w:r>
        <w:rPr>
          <w:rStyle w:val="11"/>
          <w:rFonts w:hint="eastAsia" w:ascii="仿宋_GB2312" w:hAnsi="仿宋_GB2312" w:eastAsia="仿宋_GB2312" w:cs="仿宋_GB2312"/>
          <w:b w:val="0"/>
          <w:bCs w:val="0"/>
          <w:sz w:val="32"/>
          <w:szCs w:val="32"/>
        </w:rPr>
        <w:t>与上年安排保持一致</w:t>
      </w:r>
      <w:r>
        <w:rPr>
          <w:rFonts w:hint="eastAsia" w:ascii="仿宋_GB2312" w:hAnsi="仿宋_GB2312" w:eastAsia="仿宋_GB2312" w:cs="仿宋_GB2312"/>
          <w:b w:val="0"/>
          <w:bCs w:val="0"/>
          <w:kern w:val="2"/>
          <w:sz w:val="32"/>
          <w:szCs w:val="30"/>
          <w:lang w:val="en-US" w:eastAsia="zh-CN" w:bidi="ar-SA"/>
        </w:rPr>
        <w:t>。</w:t>
      </w:r>
    </w:p>
    <w:p w14:paraId="164F6263">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0"/>
          <w:lang w:val="en-US" w:eastAsia="zh-CN" w:bidi="ar-SA"/>
        </w:rPr>
      </w:pPr>
      <w:r>
        <w:rPr>
          <w:rFonts w:hint="eastAsia" w:ascii="仿宋_GB2312" w:hAnsi="仿宋_GB2312" w:eastAsia="仿宋_GB2312" w:cs="仿宋_GB2312"/>
          <w:b w:val="0"/>
          <w:bCs w:val="0"/>
          <w:kern w:val="2"/>
          <w:sz w:val="32"/>
          <w:szCs w:val="30"/>
          <w:lang w:val="en-US" w:eastAsia="zh-CN" w:bidi="ar-SA"/>
        </w:rPr>
        <w:t>公务接待费0万元，比上年增加（减少）0万元，主要原因是：</w:t>
      </w:r>
      <w:r>
        <w:rPr>
          <w:rStyle w:val="11"/>
          <w:rFonts w:hint="eastAsia" w:ascii="仿宋_GB2312" w:hAnsi="仿宋_GB2312" w:eastAsia="仿宋_GB2312" w:cs="仿宋_GB2312"/>
          <w:b w:val="0"/>
          <w:bCs w:val="0"/>
          <w:sz w:val="32"/>
          <w:szCs w:val="32"/>
        </w:rPr>
        <w:t>与上年安排保持一致</w:t>
      </w:r>
      <w:r>
        <w:rPr>
          <w:rFonts w:hint="eastAsia" w:ascii="仿宋_GB2312" w:hAnsi="仿宋_GB2312" w:eastAsia="仿宋_GB2312" w:cs="仿宋_GB2312"/>
          <w:b w:val="0"/>
          <w:bCs w:val="0"/>
          <w:kern w:val="2"/>
          <w:sz w:val="32"/>
          <w:szCs w:val="30"/>
          <w:lang w:val="en-US" w:eastAsia="zh-CN" w:bidi="ar-SA"/>
        </w:rPr>
        <w:t>。</w:t>
      </w:r>
    </w:p>
    <w:p w14:paraId="4A13AB9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0"/>
          <w:lang w:val="en-US" w:eastAsia="zh-CN" w:bidi="ar-SA"/>
        </w:rPr>
      </w:pPr>
      <w:r>
        <w:rPr>
          <w:rFonts w:hint="eastAsia" w:ascii="仿宋_GB2312" w:hAnsi="仿宋_GB2312" w:eastAsia="仿宋_GB2312" w:cs="仿宋_GB2312"/>
          <w:b w:val="0"/>
          <w:bCs w:val="0"/>
          <w:kern w:val="2"/>
          <w:sz w:val="32"/>
          <w:szCs w:val="30"/>
          <w:lang w:val="en-US" w:eastAsia="zh-CN" w:bidi="ar-SA"/>
        </w:rPr>
        <w:t>公务用车运行维护费0万元，比上年增加（减少）xx万元，主要原因是：</w:t>
      </w:r>
      <w:r>
        <w:rPr>
          <w:rStyle w:val="11"/>
          <w:rFonts w:hint="eastAsia" w:ascii="仿宋_GB2312" w:hAnsi="仿宋_GB2312" w:eastAsia="仿宋_GB2312" w:cs="仿宋_GB2312"/>
          <w:b w:val="0"/>
          <w:bCs w:val="0"/>
          <w:sz w:val="32"/>
          <w:szCs w:val="32"/>
        </w:rPr>
        <w:t>与上年安排保持一致</w:t>
      </w:r>
      <w:r>
        <w:rPr>
          <w:rFonts w:hint="eastAsia" w:ascii="仿宋_GB2312" w:hAnsi="仿宋_GB2312" w:eastAsia="仿宋_GB2312" w:cs="仿宋_GB2312"/>
          <w:b w:val="0"/>
          <w:bCs w:val="0"/>
          <w:kern w:val="2"/>
          <w:sz w:val="32"/>
          <w:szCs w:val="30"/>
          <w:lang w:val="en-US" w:eastAsia="zh-CN" w:bidi="ar-SA"/>
        </w:rPr>
        <w:t>。</w:t>
      </w:r>
    </w:p>
    <w:p w14:paraId="299D1F6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0"/>
          <w:lang w:val="en-US" w:eastAsia="zh-CN" w:bidi="ar-SA"/>
        </w:rPr>
      </w:pPr>
      <w:r>
        <w:rPr>
          <w:rFonts w:hint="eastAsia" w:ascii="仿宋_GB2312" w:hAnsi="仿宋_GB2312" w:eastAsia="仿宋_GB2312" w:cs="仿宋_GB2312"/>
          <w:b w:val="0"/>
          <w:bCs w:val="0"/>
          <w:kern w:val="2"/>
          <w:sz w:val="32"/>
          <w:szCs w:val="30"/>
          <w:lang w:val="en-US" w:eastAsia="zh-CN" w:bidi="ar-SA"/>
        </w:rPr>
        <w:t>公务用车购置费</w:t>
      </w:r>
      <w:r>
        <w:rPr>
          <w:rStyle w:val="11"/>
          <w:rFonts w:hint="eastAsia" w:ascii="仿宋_GB2312" w:hAnsi="仿宋_GB2312" w:eastAsia="仿宋_GB2312" w:cs="仿宋_GB2312"/>
          <w:b w:val="0"/>
          <w:bCs w:val="0"/>
          <w:sz w:val="32"/>
          <w:szCs w:val="32"/>
        </w:rPr>
        <w:t>与上年安排保持一致</w:t>
      </w:r>
      <w:r>
        <w:rPr>
          <w:rFonts w:hint="eastAsia" w:ascii="仿宋_GB2312" w:hAnsi="仿宋_GB2312" w:eastAsia="仿宋_GB2312" w:cs="仿宋_GB2312"/>
          <w:b w:val="0"/>
          <w:bCs w:val="0"/>
          <w:kern w:val="2"/>
          <w:sz w:val="32"/>
          <w:szCs w:val="30"/>
          <w:lang w:val="en-US" w:eastAsia="zh-CN" w:bidi="ar-SA"/>
        </w:rPr>
        <w:t>万元，比上年增加（减少）0万元，主要原因是：</w:t>
      </w:r>
      <w:r>
        <w:rPr>
          <w:rStyle w:val="11"/>
          <w:rFonts w:hint="eastAsia" w:ascii="仿宋_GB2312" w:hAnsi="仿宋_GB2312" w:eastAsia="仿宋_GB2312" w:cs="仿宋_GB2312"/>
          <w:b w:val="0"/>
          <w:bCs w:val="0"/>
          <w:sz w:val="32"/>
          <w:szCs w:val="32"/>
        </w:rPr>
        <w:t>与上年安排保持一致</w:t>
      </w:r>
      <w:r>
        <w:rPr>
          <w:rFonts w:hint="eastAsia" w:ascii="仿宋_GB2312" w:hAnsi="仿宋_GB2312" w:eastAsia="仿宋_GB2312" w:cs="仿宋_GB2312"/>
          <w:b w:val="0"/>
          <w:bCs w:val="0"/>
          <w:kern w:val="2"/>
          <w:sz w:val="32"/>
          <w:szCs w:val="30"/>
          <w:lang w:val="en-US" w:eastAsia="zh-CN" w:bidi="ar-SA"/>
        </w:rPr>
        <w:t>。</w:t>
      </w:r>
    </w:p>
    <w:p w14:paraId="44BA4DE8">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center"/>
        <w:textAlignment w:val="auto"/>
        <w:rPr>
          <w:rFonts w:hint="eastAsia" w:ascii="方正小标宋简体" w:hAnsi="方正小标宋简体" w:eastAsia="方正小标宋简体" w:cs="方正小标宋简体"/>
          <w:b/>
          <w:sz w:val="32"/>
          <w:szCs w:val="30"/>
        </w:rPr>
      </w:pPr>
    </w:p>
    <w:p w14:paraId="324614D0">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center"/>
        <w:textAlignment w:val="auto"/>
        <w:rPr>
          <w:rFonts w:hint="eastAsia" w:ascii="方正小标宋简体" w:hAnsi="方正小标宋简体" w:eastAsia="方正小标宋简体" w:cs="方正小标宋简体"/>
          <w:b/>
          <w:sz w:val="32"/>
          <w:szCs w:val="30"/>
        </w:rPr>
      </w:pPr>
      <w:r>
        <w:rPr>
          <w:rFonts w:hint="eastAsia" w:ascii="方正小标宋简体" w:hAnsi="方正小标宋简体" w:eastAsia="方正小标宋简体" w:cs="方正小标宋简体"/>
          <w:b/>
          <w:sz w:val="32"/>
          <w:szCs w:val="30"/>
        </w:rPr>
        <w:t>第四部分   名词解释</w:t>
      </w:r>
    </w:p>
    <w:p w14:paraId="6D80C422">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both"/>
        <w:textAlignment w:val="auto"/>
        <w:rPr>
          <w:rFonts w:hint="eastAsia" w:ascii="方正小标宋简体" w:hAnsi="方正小标宋简体" w:eastAsia="方正小标宋简体" w:cs="方正小标宋简体"/>
          <w:b/>
          <w:sz w:val="32"/>
          <w:szCs w:val="30"/>
        </w:rPr>
      </w:pPr>
    </w:p>
    <w:p w14:paraId="3DB7A1E7">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黑体" w:hAnsi="黑体" w:eastAsia="黑体" w:cs="黑体"/>
          <w:b/>
          <w:sz w:val="32"/>
          <w:szCs w:val="32"/>
        </w:rPr>
        <w:t>一、收入科目</w:t>
      </w:r>
    </w:p>
    <w:p w14:paraId="0AB54BD6">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0"/>
        <w:jc w:val="both"/>
        <w:textAlignment w:val="auto"/>
        <w:rPr>
          <w:rFonts w:ascii="仿宋_GB2312" w:hAnsi="Times New Roman" w:eastAsia="仿宋_GB2312" w:cs="Times New Roman"/>
          <w:color w:val="000000"/>
          <w:sz w:val="32"/>
          <w:szCs w:val="30"/>
        </w:rPr>
      </w:pPr>
      <w:r>
        <w:rPr>
          <w:rStyle w:val="11"/>
          <w:rFonts w:hint="eastAsia" w:ascii="楷体_GB2312" w:hAnsi="楷体_GB2312" w:eastAsia="楷体_GB2312" w:cs="楷体_GB2312"/>
          <w:b/>
          <w:bCs w:val="0"/>
          <w:sz w:val="32"/>
          <w:szCs w:val="32"/>
          <w:lang w:val="en-US" w:eastAsia="zh-CN"/>
        </w:rPr>
        <w:t>（一）</w:t>
      </w:r>
      <w:r>
        <w:rPr>
          <w:rStyle w:val="11"/>
          <w:rFonts w:hint="eastAsia" w:ascii="楷体_GB2312" w:hAnsi="楷体_GB2312" w:eastAsia="楷体_GB2312" w:cs="楷体_GB2312"/>
          <w:b/>
          <w:bCs w:val="0"/>
          <w:sz w:val="32"/>
          <w:szCs w:val="32"/>
        </w:rPr>
        <w:t>财政拨款：</w:t>
      </w:r>
      <w:r>
        <w:rPr>
          <w:rFonts w:hint="eastAsia" w:ascii="仿宋_GB2312" w:hAnsi="仿宋_GB2312" w:eastAsia="仿宋_GB2312" w:cs="仿宋_GB2312"/>
          <w:kern w:val="2"/>
          <w:sz w:val="32"/>
          <w:szCs w:val="30"/>
          <w:lang w:val="en-US" w:eastAsia="zh-CN" w:bidi="ar-SA"/>
        </w:rPr>
        <w:t>指市级财政当年拨付的资金。</w:t>
      </w:r>
    </w:p>
    <w:p w14:paraId="1F4548A3">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0"/>
        <w:jc w:val="both"/>
        <w:textAlignment w:val="auto"/>
        <w:rPr>
          <w:rFonts w:ascii="仿宋_GB2312" w:eastAsia="仿宋_GB2312"/>
          <w:color w:val="000000"/>
          <w:sz w:val="32"/>
          <w:szCs w:val="30"/>
        </w:rPr>
      </w:pPr>
      <w:r>
        <w:rPr>
          <w:rStyle w:val="11"/>
          <w:rFonts w:hint="eastAsia" w:ascii="楷体_GB2312" w:hAnsi="楷体_GB2312" w:eastAsia="楷体_GB2312" w:cs="楷体_GB2312"/>
          <w:b/>
          <w:bCs w:val="0"/>
          <w:sz w:val="32"/>
          <w:szCs w:val="32"/>
          <w:lang w:val="en-US" w:eastAsia="zh-CN"/>
        </w:rPr>
        <w:t>（二）</w:t>
      </w:r>
      <w:r>
        <w:rPr>
          <w:rStyle w:val="11"/>
          <w:rFonts w:hint="eastAsia" w:ascii="楷体_GB2312" w:hAnsi="楷体_GB2312" w:eastAsia="楷体_GB2312" w:cs="楷体_GB2312"/>
          <w:b/>
          <w:bCs w:val="0"/>
          <w:sz w:val="32"/>
          <w:szCs w:val="32"/>
        </w:rPr>
        <w:t>教育收费资金收入：</w:t>
      </w:r>
      <w:r>
        <w:rPr>
          <w:rFonts w:hint="eastAsia" w:ascii="仿宋_GB2312" w:hAnsi="仿宋_GB2312" w:eastAsia="仿宋_GB2312" w:cs="仿宋_GB2312"/>
          <w:kern w:val="2"/>
          <w:sz w:val="32"/>
          <w:szCs w:val="30"/>
          <w:lang w:val="en-US" w:eastAsia="zh-CN" w:bidi="ar-SA"/>
        </w:rPr>
        <w:t>反映实行专项管理的高中以上学费、住宿费，高校委托培养费，函大、电大、夜大及短训班培训费等教育收费取得的收入。</w:t>
      </w:r>
    </w:p>
    <w:p w14:paraId="631D7859">
      <w:pPr>
        <w:keepNext w:val="0"/>
        <w:keepLines w:val="0"/>
        <w:pageBreakBefore w:val="0"/>
        <w:widowControl/>
        <w:kinsoku/>
        <w:wordWrap/>
        <w:overflowPunct/>
        <w:topLinePunct w:val="0"/>
        <w:autoSpaceDE/>
        <w:autoSpaceDN/>
        <w:bidi w:val="0"/>
        <w:adjustRightInd/>
        <w:snapToGrid/>
        <w:spacing w:line="600" w:lineRule="exact"/>
        <w:ind w:firstLine="636"/>
        <w:jc w:val="both"/>
        <w:textAlignment w:val="auto"/>
        <w:rPr>
          <w:rFonts w:hint="eastAsia" w:ascii="仿宋_GB2312" w:hAnsi="仿宋_GB2312" w:eastAsia="仿宋_GB2312" w:cs="仿宋_GB2312"/>
          <w:kern w:val="2"/>
          <w:sz w:val="32"/>
          <w:szCs w:val="30"/>
          <w:lang w:val="en-US" w:eastAsia="zh-CN" w:bidi="ar-SA"/>
        </w:rPr>
      </w:pPr>
      <w:r>
        <w:rPr>
          <w:rStyle w:val="11"/>
          <w:rFonts w:hint="eastAsia" w:ascii="楷体_GB2312" w:hAnsi="楷体_GB2312" w:eastAsia="楷体_GB2312" w:cs="楷体_GB2312"/>
          <w:b/>
          <w:bCs w:val="0"/>
          <w:sz w:val="32"/>
          <w:szCs w:val="32"/>
        </w:rPr>
        <w:t>（</w:t>
      </w:r>
      <w:r>
        <w:rPr>
          <w:rStyle w:val="11"/>
          <w:rFonts w:hint="eastAsia" w:ascii="楷体_GB2312" w:hAnsi="楷体_GB2312" w:eastAsia="楷体_GB2312" w:cs="楷体_GB2312"/>
          <w:b/>
          <w:bCs w:val="0"/>
          <w:sz w:val="32"/>
          <w:szCs w:val="32"/>
          <w:lang w:eastAsia="zh-CN"/>
        </w:rPr>
        <w:t>三</w:t>
      </w:r>
      <w:r>
        <w:rPr>
          <w:rStyle w:val="11"/>
          <w:rFonts w:hint="eastAsia" w:ascii="楷体_GB2312" w:hAnsi="楷体_GB2312" w:eastAsia="楷体_GB2312" w:cs="楷体_GB2312"/>
          <w:b/>
          <w:bCs w:val="0"/>
          <w:sz w:val="32"/>
          <w:szCs w:val="32"/>
        </w:rPr>
        <w:t>）其他收入：</w:t>
      </w:r>
      <w:r>
        <w:rPr>
          <w:rFonts w:hint="eastAsia" w:ascii="仿宋_GB2312" w:hAnsi="仿宋_GB2312" w:eastAsia="仿宋_GB2312" w:cs="仿宋_GB2312"/>
          <w:kern w:val="2"/>
          <w:sz w:val="32"/>
          <w:szCs w:val="30"/>
          <w:lang w:val="en-US" w:eastAsia="zh-CN" w:bidi="ar-SA"/>
        </w:rPr>
        <w:t>指除财政拨款、事业收入、事业单位经营收入等以外的各项收入。</w:t>
      </w:r>
    </w:p>
    <w:p w14:paraId="32331A44">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Style w:val="11"/>
          <w:rFonts w:hint="eastAsia" w:ascii="楷体_GB2312" w:hAnsi="楷体_GB2312" w:eastAsia="楷体_GB2312" w:cs="楷体_GB2312"/>
          <w:b/>
          <w:bCs w:val="0"/>
          <w:sz w:val="32"/>
          <w:szCs w:val="32"/>
        </w:rPr>
        <w:t>（</w:t>
      </w:r>
      <w:r>
        <w:rPr>
          <w:rStyle w:val="11"/>
          <w:rFonts w:hint="eastAsia" w:ascii="楷体_GB2312" w:hAnsi="楷体_GB2312" w:eastAsia="楷体_GB2312" w:cs="楷体_GB2312"/>
          <w:b/>
          <w:bCs w:val="0"/>
          <w:sz w:val="32"/>
          <w:szCs w:val="32"/>
          <w:lang w:eastAsia="zh-CN"/>
        </w:rPr>
        <w:t>四</w:t>
      </w:r>
      <w:r>
        <w:rPr>
          <w:rStyle w:val="11"/>
          <w:rFonts w:hint="eastAsia" w:ascii="楷体_GB2312" w:hAnsi="楷体_GB2312" w:eastAsia="楷体_GB2312" w:cs="楷体_GB2312"/>
          <w:b/>
          <w:bCs w:val="0"/>
          <w:sz w:val="32"/>
          <w:szCs w:val="32"/>
        </w:rPr>
        <w:t>）使用非财政拨款结余：</w:t>
      </w:r>
      <w:r>
        <w:rPr>
          <w:rFonts w:hint="eastAsia" w:ascii="仿宋_GB2312" w:hAnsi="仿宋_GB2312" w:eastAsia="仿宋_GB2312" w:cs="仿宋_GB2312"/>
          <w:kern w:val="2"/>
          <w:sz w:val="32"/>
          <w:szCs w:val="30"/>
          <w:lang w:val="en-US" w:eastAsia="zh-CN" w:bidi="ar-SA"/>
        </w:rPr>
        <w:t>填列历年滚存的非限定用途的非统计财政拨款结余弥补2025年收支差额的数额。</w:t>
      </w:r>
    </w:p>
    <w:p w14:paraId="6157FF07">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Style w:val="11"/>
          <w:rFonts w:hint="eastAsia" w:ascii="楷体_GB2312" w:hAnsi="楷体_GB2312" w:eastAsia="楷体_GB2312" w:cs="楷体_GB2312"/>
          <w:b/>
          <w:bCs w:val="0"/>
          <w:sz w:val="32"/>
          <w:szCs w:val="32"/>
        </w:rPr>
        <w:t>（</w:t>
      </w:r>
      <w:r>
        <w:rPr>
          <w:rStyle w:val="11"/>
          <w:rFonts w:hint="eastAsia" w:ascii="楷体_GB2312" w:hAnsi="楷体_GB2312" w:eastAsia="楷体_GB2312" w:cs="楷体_GB2312"/>
          <w:b/>
          <w:bCs w:val="0"/>
          <w:sz w:val="32"/>
          <w:szCs w:val="32"/>
          <w:lang w:eastAsia="zh-CN"/>
        </w:rPr>
        <w:t>五</w:t>
      </w:r>
      <w:r>
        <w:rPr>
          <w:rStyle w:val="11"/>
          <w:rFonts w:hint="eastAsia" w:ascii="楷体_GB2312" w:hAnsi="楷体_GB2312" w:eastAsia="楷体_GB2312" w:cs="楷体_GB2312"/>
          <w:b/>
          <w:bCs w:val="0"/>
          <w:sz w:val="32"/>
          <w:szCs w:val="32"/>
        </w:rPr>
        <w:t>）上年结转和结余：</w:t>
      </w:r>
      <w:r>
        <w:rPr>
          <w:rFonts w:hint="eastAsia" w:ascii="仿宋_GB2312" w:hAnsi="仿宋_GB2312" w:eastAsia="仿宋_GB2312" w:cs="仿宋_GB2312"/>
          <w:kern w:val="2"/>
          <w:sz w:val="32"/>
          <w:szCs w:val="30"/>
          <w:lang w:val="en-US" w:eastAsia="zh-CN" w:bidi="ar-SA"/>
        </w:rPr>
        <w:t>填列上年全部结转和结余的资金数，包括当年结转结余资金和历年滚存结转结余资金。</w:t>
      </w:r>
    </w:p>
    <w:p w14:paraId="4238090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p>
    <w:p w14:paraId="66FD406D">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黑体" w:hAnsi="黑体" w:eastAsia="黑体" w:cs="黑体"/>
          <w:b/>
          <w:sz w:val="32"/>
          <w:szCs w:val="32"/>
        </w:rPr>
        <w:t>二、支出科目</w:t>
      </w:r>
    </w:p>
    <w:p w14:paraId="39BBF49D">
      <w:pPr>
        <w:pStyle w:val="2"/>
        <w:spacing w:before="215" w:line="228" w:lineRule="auto"/>
        <w:ind w:left="672"/>
        <w:outlineLvl w:val="0"/>
        <w:rPr>
          <w:rFonts w:hint="eastAsia" w:ascii="仿宋_GB2312" w:eastAsia="仿宋_GB2312" w:hAnsiTheme="minorHAnsi" w:cstheme="minorBidi"/>
          <w:b/>
          <w:bCs/>
          <w:snapToGrid/>
          <w:color w:val="000000"/>
          <w:kern w:val="2"/>
          <w:sz w:val="32"/>
          <w:szCs w:val="30"/>
          <w:lang w:val="en-US" w:eastAsia="zh-CN" w:bidi="ar-SA"/>
        </w:rPr>
      </w:pPr>
      <w:r>
        <w:rPr>
          <w:rFonts w:hint="eastAsia" w:ascii="仿宋_GB2312" w:eastAsia="仿宋_GB2312" w:hAnsiTheme="minorHAnsi" w:cstheme="minorBidi"/>
          <w:b/>
          <w:bCs/>
          <w:snapToGrid/>
          <w:color w:val="000000"/>
          <w:kern w:val="2"/>
          <w:sz w:val="32"/>
          <w:szCs w:val="30"/>
          <w:lang w:val="en-US" w:eastAsia="zh-CN" w:bidi="ar-SA"/>
        </w:rPr>
        <w:t>（一）教育支出（类）普通教育（款）</w:t>
      </w:r>
    </w:p>
    <w:p w14:paraId="382DE8DB">
      <w:pPr>
        <w:pStyle w:val="2"/>
        <w:spacing w:before="215" w:line="228" w:lineRule="auto"/>
        <w:ind w:left="672"/>
        <w:outlineLvl w:val="0"/>
        <w:rPr>
          <w:rFonts w:hint="eastAsia" w:ascii="仿宋_GB2312" w:hAnsi="仿宋_GB2312" w:eastAsia="仿宋_GB2312" w:cs="仿宋_GB2312"/>
          <w:snapToGrid/>
          <w:color w:val="000000"/>
          <w:kern w:val="2"/>
          <w:sz w:val="32"/>
          <w:szCs w:val="30"/>
          <w:lang w:val="en-US" w:eastAsia="zh-CN" w:bidi="ar-SA"/>
        </w:rPr>
      </w:pPr>
      <w:r>
        <w:rPr>
          <w:rFonts w:hint="eastAsia" w:ascii="仿宋_GB2312" w:hAnsi="仿宋_GB2312" w:eastAsia="仿宋_GB2312" w:cs="仿宋_GB2312"/>
          <w:snapToGrid/>
          <w:color w:val="000000"/>
          <w:kern w:val="2"/>
          <w:sz w:val="32"/>
          <w:szCs w:val="30"/>
          <w:lang w:val="en-US" w:eastAsia="zh-CN" w:bidi="ar-SA"/>
        </w:rPr>
        <w:t>1.小学教育（项）：反映政府举办的小学教育支出。</w:t>
      </w:r>
    </w:p>
    <w:p w14:paraId="31D2213F">
      <w:pPr>
        <w:pStyle w:val="2"/>
        <w:spacing w:before="215" w:line="228" w:lineRule="auto"/>
        <w:ind w:left="672"/>
        <w:outlineLvl w:val="0"/>
        <w:rPr>
          <w:rFonts w:hint="eastAsia" w:ascii="仿宋_GB2312" w:hAnsi="仿宋_GB2312" w:eastAsia="仿宋_GB2312" w:cs="仿宋_GB2312"/>
          <w:snapToGrid/>
          <w:color w:val="000000"/>
          <w:kern w:val="2"/>
          <w:sz w:val="32"/>
          <w:szCs w:val="30"/>
          <w:lang w:val="en-US" w:eastAsia="zh-CN" w:bidi="ar-SA"/>
        </w:rPr>
      </w:pPr>
      <w:r>
        <w:rPr>
          <w:rFonts w:hint="eastAsia" w:ascii="仿宋_GB2312" w:hAnsi="仿宋_GB2312" w:eastAsia="仿宋_GB2312" w:cs="仿宋_GB2312"/>
          <w:snapToGrid/>
          <w:color w:val="000000"/>
          <w:kern w:val="2"/>
          <w:sz w:val="32"/>
          <w:szCs w:val="30"/>
          <w:lang w:val="en-US" w:eastAsia="zh-CN" w:bidi="ar-SA"/>
        </w:rPr>
        <w:t>2.初中教育（项）：反映政府举办的初中教育支出。</w:t>
      </w:r>
    </w:p>
    <w:p w14:paraId="69F7A22A">
      <w:pPr>
        <w:pStyle w:val="2"/>
        <w:spacing w:before="215" w:line="240" w:lineRule="auto"/>
        <w:ind w:left="672"/>
        <w:outlineLvl w:val="0"/>
        <w:rPr>
          <w:rFonts w:hint="default" w:ascii="仿宋_GB2312" w:hAnsi="仿宋_GB2312" w:eastAsia="仿宋_GB2312" w:cs="仿宋_GB2312"/>
          <w:snapToGrid/>
          <w:color w:val="000000"/>
          <w:kern w:val="2"/>
          <w:sz w:val="32"/>
          <w:szCs w:val="30"/>
          <w:lang w:val="en-US" w:eastAsia="zh-CN" w:bidi="ar-SA"/>
        </w:rPr>
      </w:pPr>
      <w:r>
        <w:rPr>
          <w:rFonts w:hint="eastAsia" w:ascii="仿宋_GB2312" w:hAnsi="仿宋_GB2312" w:eastAsia="仿宋_GB2312" w:cs="仿宋_GB2312"/>
          <w:snapToGrid/>
          <w:color w:val="000000"/>
          <w:kern w:val="2"/>
          <w:sz w:val="32"/>
          <w:szCs w:val="30"/>
          <w:lang w:val="en-US" w:eastAsia="zh-CN" w:bidi="ar-SA"/>
        </w:rPr>
        <w:t>3.高中教育（项）：反映政府举办的高中教育支出。</w:t>
      </w:r>
    </w:p>
    <w:p w14:paraId="5D727F4D">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eastAsia="仿宋_GB2312"/>
          <w:b/>
          <w:bCs/>
          <w:color w:val="000000"/>
          <w:sz w:val="32"/>
          <w:szCs w:val="30"/>
        </w:rPr>
        <w:t>（</w:t>
      </w:r>
      <w:r>
        <w:rPr>
          <w:rFonts w:hint="eastAsia" w:ascii="仿宋_GB2312" w:eastAsia="仿宋_GB2312"/>
          <w:b/>
          <w:bCs/>
          <w:color w:val="000000"/>
          <w:sz w:val="32"/>
          <w:szCs w:val="30"/>
          <w:lang w:val="en-US" w:eastAsia="zh-CN"/>
        </w:rPr>
        <w:t>二</w:t>
      </w:r>
      <w:r>
        <w:rPr>
          <w:rFonts w:hint="eastAsia" w:ascii="仿宋_GB2312" w:eastAsia="仿宋_GB2312"/>
          <w:b/>
          <w:bCs/>
          <w:color w:val="000000"/>
          <w:sz w:val="32"/>
          <w:szCs w:val="30"/>
        </w:rPr>
        <w:t>）社会保障和就业支出（类）行政事业单位养老支出（款）</w:t>
      </w:r>
    </w:p>
    <w:p w14:paraId="5099C1B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1.机关事业单位基本养老保险缴费支出（项）：反映机关事业单位实施养老保险制度由单位缴纳的基本养老保险费支出；</w:t>
      </w:r>
    </w:p>
    <w:p w14:paraId="578D991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2.机关事业单位职业年金缴费支出（项）：反映机关事业单位实施养老保险制度由单位实际缴纳的职业年金支出（含职业年金补缴支出）。</w:t>
      </w:r>
    </w:p>
    <w:p w14:paraId="6138403F">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eastAsia="仿宋_GB2312"/>
          <w:b/>
          <w:bCs/>
          <w:color w:val="000000"/>
          <w:sz w:val="32"/>
          <w:szCs w:val="30"/>
        </w:rPr>
        <w:t>（</w:t>
      </w:r>
      <w:r>
        <w:rPr>
          <w:rFonts w:hint="eastAsia" w:ascii="仿宋_GB2312" w:eastAsia="仿宋_GB2312"/>
          <w:b/>
          <w:bCs/>
          <w:color w:val="000000"/>
          <w:sz w:val="32"/>
          <w:szCs w:val="30"/>
          <w:lang w:val="en-US" w:eastAsia="zh-CN"/>
        </w:rPr>
        <w:t>三</w:t>
      </w:r>
      <w:r>
        <w:rPr>
          <w:rFonts w:hint="eastAsia" w:ascii="仿宋_GB2312" w:eastAsia="仿宋_GB2312"/>
          <w:b/>
          <w:bCs/>
          <w:color w:val="000000"/>
          <w:sz w:val="32"/>
          <w:szCs w:val="30"/>
        </w:rPr>
        <w:t>）卫生健康支出（类）行政事业单位医疗（款）</w:t>
      </w:r>
    </w:p>
    <w:p w14:paraId="2A9E8EF9">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1.事业单位医疗（项）：反映财政部门安排的事业单位基本医疗保险保障经费。</w:t>
      </w:r>
    </w:p>
    <w:p w14:paraId="2245752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2.公务员医疗补助（项）：反映财政部门安排的事业单位公务员医疗补助保障经费。</w:t>
      </w:r>
    </w:p>
    <w:p w14:paraId="14E4B63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3.其他行政事业单位医疗支出（项）：反映财政部门安排的其他行政事业单位医疗支出保障经费。</w:t>
      </w:r>
    </w:p>
    <w:p w14:paraId="5F8AF14F">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eastAsia="仿宋_GB2312"/>
          <w:b/>
          <w:bCs/>
          <w:color w:val="000000"/>
          <w:sz w:val="32"/>
          <w:szCs w:val="30"/>
        </w:rPr>
        <w:t>（</w:t>
      </w:r>
      <w:r>
        <w:rPr>
          <w:rFonts w:hint="eastAsia" w:ascii="仿宋_GB2312" w:eastAsia="仿宋_GB2312"/>
          <w:b/>
          <w:bCs/>
          <w:color w:val="000000"/>
          <w:sz w:val="32"/>
          <w:szCs w:val="30"/>
          <w:lang w:val="en-US" w:eastAsia="zh-CN"/>
        </w:rPr>
        <w:t>四</w:t>
      </w:r>
      <w:r>
        <w:rPr>
          <w:rFonts w:hint="eastAsia" w:ascii="仿宋_GB2312" w:eastAsia="仿宋_GB2312"/>
          <w:b/>
          <w:bCs/>
          <w:color w:val="000000"/>
          <w:sz w:val="32"/>
          <w:szCs w:val="30"/>
        </w:rPr>
        <w:t>）住房保障支出（类）住房改革支出（款）</w:t>
      </w:r>
    </w:p>
    <w:p w14:paraId="2C82E936">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0"/>
          <w:lang w:val="en-US" w:eastAsia="zh-CN" w:bidi="ar-SA"/>
        </w:rPr>
      </w:pPr>
      <w:r>
        <w:rPr>
          <w:rFonts w:hint="eastAsia" w:ascii="仿宋_GB2312" w:hAnsi="仿宋_GB2312" w:eastAsia="仿宋_GB2312" w:cs="仿宋_GB2312"/>
          <w:kern w:val="2"/>
          <w:sz w:val="32"/>
          <w:szCs w:val="30"/>
          <w:lang w:val="en-US" w:eastAsia="zh-CN" w:bidi="ar-SA"/>
        </w:rPr>
        <w:t>1.住房公积金（项）：反映行政事业单位按人力资源和社会保障、财政部规定的基本工资和津贴补贴、财政部规定的基本工资和津贴补贴以及规定比例为职工缴纳的住房公积金。</w:t>
      </w:r>
    </w:p>
    <w:p w14:paraId="100578A6">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ascii="Adobe 仿宋 Std R" w:hAnsi="Adobe 仿宋 Std R" w:eastAsia="Adobe 仿宋 Std R"/>
          <w:sz w:val="32"/>
          <w:szCs w:val="32"/>
        </w:rPr>
      </w:pPr>
      <w:r>
        <w:rPr>
          <w:rFonts w:hint="eastAsia" w:ascii="黑体" w:hAnsi="黑体" w:eastAsia="黑体" w:cs="黑体"/>
          <w:b/>
          <w:sz w:val="32"/>
          <w:szCs w:val="32"/>
        </w:rPr>
        <w:t>三、相关专业名词</w:t>
      </w:r>
    </w:p>
    <w:p w14:paraId="06B70CE1">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0"/>
          <w:lang w:val="en-US" w:eastAsia="zh-CN" w:bidi="ar-SA"/>
        </w:rPr>
      </w:pPr>
      <w:r>
        <w:rPr>
          <w:rStyle w:val="11"/>
          <w:rFonts w:hint="eastAsia" w:ascii="楷体_GB2312" w:hAnsi="楷体_GB2312" w:eastAsia="楷体_GB2312" w:cs="楷体_GB2312"/>
          <w:b/>
          <w:bCs w:val="0"/>
          <w:sz w:val="32"/>
          <w:szCs w:val="32"/>
        </w:rPr>
        <w:t>（一）机关运行费：</w:t>
      </w:r>
      <w:r>
        <w:rPr>
          <w:rFonts w:hint="eastAsia" w:ascii="仿宋_GB2312" w:hAnsi="仿宋_GB2312" w:eastAsia="仿宋_GB2312" w:cs="仿宋_GB2312"/>
          <w:kern w:val="2"/>
          <w:sz w:val="32"/>
          <w:szCs w:val="30"/>
          <w:lang w:val="en-US" w:eastAsia="zh-CN" w:bidi="ar-SA"/>
        </w:rPr>
        <w:t>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A8666A1">
      <w:pPr>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spacing w:val="15"/>
          <w:sz w:val="30"/>
          <w:szCs w:val="30"/>
          <w:lang w:val="en-US" w:eastAsia="zh-CN"/>
        </w:rPr>
        <w:sectPr>
          <w:pgSz w:w="11906" w:h="16840"/>
          <w:pgMar w:top="1431" w:right="1634" w:bottom="0" w:left="1785" w:header="0" w:footer="0" w:gutter="0"/>
          <w:cols w:space="720" w:num="1"/>
        </w:sectPr>
      </w:pPr>
      <w:r>
        <w:rPr>
          <w:rStyle w:val="11"/>
          <w:rFonts w:hint="eastAsia" w:ascii="楷体_GB2312" w:hAnsi="楷体_GB2312" w:eastAsia="楷体_GB2312" w:cs="楷体_GB2312"/>
          <w:b/>
          <w:bCs w:val="0"/>
          <w:sz w:val="32"/>
          <w:szCs w:val="32"/>
        </w:rPr>
        <w:t>（二）“三公”经费：</w:t>
      </w:r>
      <w:r>
        <w:rPr>
          <w:rFonts w:hint="eastAsia" w:ascii="仿宋_GB2312" w:hAnsi="仿宋_GB2312" w:eastAsia="仿宋_GB2312" w:cs="仿宋_GB2312"/>
          <w:kern w:val="2"/>
          <w:sz w:val="32"/>
          <w:szCs w:val="30"/>
          <w:lang w:val="en-US" w:eastAsia="zh-CN" w:bidi="ar-SA"/>
        </w:rPr>
        <w:t>指使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0B7E0C85">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方正大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56F2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Q3YWNmZWRmNmZhZGUxYmY3ZDJjYjM1ZWVjNjgxNzEifQ=="/>
    <w:docVar w:name="KSO_WPS_MARK_KEY" w:val="dc1af74b-1abe-4496-b965-79deeb27cc8e"/>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822573"/>
    <w:rsid w:val="03A15B51"/>
    <w:rsid w:val="03DD6186"/>
    <w:rsid w:val="06483D8D"/>
    <w:rsid w:val="067A6028"/>
    <w:rsid w:val="078E1540"/>
    <w:rsid w:val="09B428D7"/>
    <w:rsid w:val="0A2E2EE2"/>
    <w:rsid w:val="0C97247A"/>
    <w:rsid w:val="0CC209A6"/>
    <w:rsid w:val="0DB3098E"/>
    <w:rsid w:val="0F8E55BD"/>
    <w:rsid w:val="0FB6162F"/>
    <w:rsid w:val="135330E9"/>
    <w:rsid w:val="153100E0"/>
    <w:rsid w:val="18DD4691"/>
    <w:rsid w:val="1C09434C"/>
    <w:rsid w:val="1CF949B2"/>
    <w:rsid w:val="1D3B2063"/>
    <w:rsid w:val="1F64737B"/>
    <w:rsid w:val="206D0602"/>
    <w:rsid w:val="20C10AC1"/>
    <w:rsid w:val="21120CF6"/>
    <w:rsid w:val="223C6316"/>
    <w:rsid w:val="22430342"/>
    <w:rsid w:val="22837C9C"/>
    <w:rsid w:val="22E27A2D"/>
    <w:rsid w:val="23BC770E"/>
    <w:rsid w:val="25B931E9"/>
    <w:rsid w:val="2828673B"/>
    <w:rsid w:val="2C0559CB"/>
    <w:rsid w:val="2C3F62CD"/>
    <w:rsid w:val="2C57797E"/>
    <w:rsid w:val="2D7E18A3"/>
    <w:rsid w:val="326A47D9"/>
    <w:rsid w:val="3328400E"/>
    <w:rsid w:val="398F14AF"/>
    <w:rsid w:val="39F5444A"/>
    <w:rsid w:val="3A841EE9"/>
    <w:rsid w:val="3A9F1A72"/>
    <w:rsid w:val="3AFC03D1"/>
    <w:rsid w:val="3B7D1841"/>
    <w:rsid w:val="3C5F6A31"/>
    <w:rsid w:val="3D4D2D2E"/>
    <w:rsid w:val="3DD516A1"/>
    <w:rsid w:val="3F383632"/>
    <w:rsid w:val="4052753A"/>
    <w:rsid w:val="410F6C78"/>
    <w:rsid w:val="484A6792"/>
    <w:rsid w:val="49177011"/>
    <w:rsid w:val="495B0E0B"/>
    <w:rsid w:val="4A6254E9"/>
    <w:rsid w:val="4A901356"/>
    <w:rsid w:val="4AE55F65"/>
    <w:rsid w:val="4DE86D0D"/>
    <w:rsid w:val="4E6F0D56"/>
    <w:rsid w:val="505341A6"/>
    <w:rsid w:val="53516268"/>
    <w:rsid w:val="55B160F8"/>
    <w:rsid w:val="562E4844"/>
    <w:rsid w:val="568C45EF"/>
    <w:rsid w:val="56C47F55"/>
    <w:rsid w:val="56D54068"/>
    <w:rsid w:val="57646D20"/>
    <w:rsid w:val="59425D97"/>
    <w:rsid w:val="5CF87539"/>
    <w:rsid w:val="61350D5D"/>
    <w:rsid w:val="62570027"/>
    <w:rsid w:val="626155EB"/>
    <w:rsid w:val="63E33020"/>
    <w:rsid w:val="66C84E9C"/>
    <w:rsid w:val="68721717"/>
    <w:rsid w:val="6B6C4B43"/>
    <w:rsid w:val="6BE248E5"/>
    <w:rsid w:val="6CFF105E"/>
    <w:rsid w:val="6D2B458A"/>
    <w:rsid w:val="6EDB6140"/>
    <w:rsid w:val="6F0826CA"/>
    <w:rsid w:val="6FB901C7"/>
    <w:rsid w:val="71001F2A"/>
    <w:rsid w:val="73A85115"/>
    <w:rsid w:val="7BF85F7F"/>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31"/>
      <w:szCs w:val="31"/>
      <w:lang w:val="en-US" w:eastAsia="en-US" w:bidi="ar-SA"/>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emf"/><Relationship Id="rId13" Type="http://schemas.openxmlformats.org/officeDocument/2006/relationships/oleObject" Target="embeddings/oleObject3.bin"/><Relationship Id="rId12" Type="http://schemas.openxmlformats.org/officeDocument/2006/relationships/image" Target="media/image6.emf"/><Relationship Id="rId11" Type="http://schemas.openxmlformats.org/officeDocument/2006/relationships/oleObject" Target="embeddings/oleObject2.bin"/><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2774</Words>
  <Characters>3107</Characters>
  <Lines>51</Lines>
  <Paragraphs>14</Paragraphs>
  <TotalTime>4</TotalTime>
  <ScaleCrop>false</ScaleCrop>
  <LinksUpToDate>false</LinksUpToDate>
  <CharactersWithSpaces>3150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韩某</cp:lastModifiedBy>
  <cp:lastPrinted>2024-02-05T02:35:00Z</cp:lastPrinted>
  <dcterms:modified xsi:type="dcterms:W3CDTF">2025-07-25T04:37:31Z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26856AD12D2B426282A6CAC3B8845BFD_12</vt:lpwstr>
  </property>
  <property fmtid="{D5CDD505-2E9C-101B-9397-08002B2CF9AE}" pid="4" name="KSOTemplateDocerSaveRecord">
    <vt:lpwstr>eyJoZGlkIjoiYzJhODIwYTgxY2E1YzYzMGFlOTFhNWY2OTJkZTRmMzUiLCJ1c2VySWQiOiIxNzA4ODIyNzE5In0=</vt:lpwstr>
  </property>
</Properties>
</file>