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BB399">
      <w:pPr>
        <w:rPr>
          <w:rFonts w:ascii="仿宋_GB2312" w:eastAsia="仿宋_GB2312"/>
          <w:color w:val="000000"/>
          <w:sz w:val="32"/>
          <w:szCs w:val="32"/>
        </w:rPr>
      </w:pPr>
      <w:r>
        <w:rPr>
          <w:rFonts w:hint="eastAsia" w:ascii="仿宋_GB2312" w:eastAsia="仿宋_GB2312"/>
          <w:color w:val="000000"/>
          <w:sz w:val="32"/>
          <w:szCs w:val="32"/>
        </w:rPr>
        <w:t>附件1</w:t>
      </w:r>
    </w:p>
    <w:p w14:paraId="5AF69177">
      <w:pPr>
        <w:pStyle w:val="5"/>
        <w:adjustRightInd/>
        <w:spacing w:after="120" w:line="740" w:lineRule="exact"/>
        <w:jc w:val="center"/>
        <w:textAlignment w:val="auto"/>
        <w:rPr>
          <w:rFonts w:eastAsia="方正小标宋简体" w:cs="方正小标宋简体"/>
          <w:color w:val="000000"/>
          <w:kern w:val="0"/>
          <w:sz w:val="52"/>
          <w:szCs w:val="52"/>
        </w:rPr>
      </w:pPr>
      <w:r>
        <w:rPr>
          <w:rFonts w:hint="eastAsia" w:eastAsia="方正小标宋简体" w:cs="方正小标宋简体"/>
          <w:kern w:val="0"/>
          <w:sz w:val="52"/>
          <w:szCs w:val="52"/>
        </w:rPr>
        <w:t>2023</w:t>
      </w:r>
      <w:r>
        <w:rPr>
          <w:rFonts w:hint="eastAsia" w:eastAsia="方正小标宋简体" w:cs="方正小标宋简体"/>
          <w:color w:val="000000"/>
          <w:kern w:val="0"/>
          <w:sz w:val="52"/>
          <w:szCs w:val="52"/>
        </w:rPr>
        <w:t>年度行政事业单位</w:t>
      </w:r>
    </w:p>
    <w:p w14:paraId="69B0A16E">
      <w:pPr>
        <w:pStyle w:val="5"/>
        <w:adjustRightInd/>
        <w:spacing w:after="120" w:line="740" w:lineRule="exact"/>
        <w:jc w:val="center"/>
        <w:textAlignment w:val="auto"/>
        <w:rPr>
          <w:rFonts w:eastAsia="方正小标宋简体" w:cs="方正小标宋简体"/>
          <w:color w:val="000000"/>
          <w:kern w:val="0"/>
          <w:sz w:val="52"/>
          <w:szCs w:val="52"/>
        </w:rPr>
      </w:pPr>
      <w:r>
        <w:rPr>
          <w:rFonts w:hint="eastAsia" w:eastAsia="方正小标宋简体" w:cs="方正小标宋简体"/>
          <w:color w:val="000000"/>
          <w:kern w:val="0"/>
          <w:sz w:val="52"/>
          <w:szCs w:val="52"/>
        </w:rPr>
        <w:t>内部控制报告</w:t>
      </w:r>
    </w:p>
    <w:p w14:paraId="0D3E7730">
      <w:pPr>
        <w:jc w:val="center"/>
        <w:rPr>
          <w:rFonts w:ascii="黑体" w:eastAsia="黑体"/>
          <w:b/>
          <w:sz w:val="24"/>
        </w:rPr>
      </w:pPr>
    </w:p>
    <w:p w14:paraId="10F7EE60">
      <w:pPr>
        <w:jc w:val="center"/>
        <w:rPr>
          <w:rFonts w:ascii="黑体" w:eastAsia="黑体"/>
          <w:b/>
          <w:sz w:val="24"/>
        </w:rPr>
      </w:pPr>
    </w:p>
    <w:p w14:paraId="04CCCB29">
      <w:pPr>
        <w:spacing w:line="480" w:lineRule="exact"/>
        <w:jc w:val="center"/>
        <w:outlineLvl w:val="0"/>
        <w:rPr>
          <w:rFonts w:ascii="仿宋_GB2312" w:eastAsia="仿宋_GB2312"/>
          <w:sz w:val="32"/>
          <w:szCs w:val="32"/>
        </w:rPr>
      </w:pPr>
      <w:r>
        <w:rPr>
          <w:rFonts w:hint="eastAsia" w:ascii="仿宋_GB2312" w:eastAsia="仿宋_GB2312"/>
          <w:sz w:val="32"/>
          <w:szCs w:val="32"/>
        </w:rPr>
        <w:t>(单位公章)</w:t>
      </w:r>
    </w:p>
    <w:p w14:paraId="696F24C0">
      <w:pPr>
        <w:spacing w:line="480" w:lineRule="exact"/>
        <w:jc w:val="center"/>
        <w:outlineLvl w:val="0"/>
        <w:rPr>
          <w:rFonts w:ascii="仿宋_GB2312" w:eastAsia="仿宋_GB2312"/>
          <w:sz w:val="32"/>
          <w:szCs w:val="32"/>
        </w:rPr>
      </w:pPr>
    </w:p>
    <w:p w14:paraId="1E694657">
      <w:pPr>
        <w:spacing w:line="480" w:lineRule="exact"/>
        <w:ind w:left="840" w:firstLine="420"/>
        <w:jc w:val="left"/>
        <w:outlineLvl w:val="0"/>
        <w:rPr>
          <w:rFonts w:ascii="仿宋_GB2312" w:eastAsia="仿宋_GB2312"/>
          <w:color w:val="000000"/>
          <w:sz w:val="32"/>
          <w:szCs w:val="32"/>
          <w:u w:val="single"/>
        </w:rPr>
      </w:pPr>
      <w:r>
        <w:rPr>
          <w:rFonts w:hint="eastAsia" w:ascii="仿宋_GB2312" w:eastAsia="仿宋_GB2312"/>
          <w:color w:val="000000"/>
          <w:sz w:val="32"/>
          <w:szCs w:val="32"/>
        </w:rPr>
        <w:t>单 位 名 称:</w:t>
      </w:r>
      <w:r>
        <w:rPr>
          <w:rFonts w:ascii="仿宋_GB2312" w:eastAsia="仿宋_GB2312"/>
          <w:color w:val="000000"/>
          <w:sz w:val="32"/>
          <w:szCs w:val="32"/>
          <w:u w:val="single"/>
        </w:rPr>
        <w:t>景德镇市第二十六中学</w:t>
      </w:r>
    </w:p>
    <w:p w14:paraId="7235CCE3">
      <w:pPr>
        <w:spacing w:line="480" w:lineRule="exact"/>
        <w:ind w:left="840" w:firstLine="420"/>
        <w:jc w:val="left"/>
        <w:outlineLvl w:val="0"/>
        <w:rPr>
          <w:rFonts w:ascii="仿宋_GB2312" w:eastAsia="仿宋_GB2312"/>
          <w:color w:val="000000"/>
          <w:sz w:val="32"/>
          <w:szCs w:val="32"/>
          <w:u w:val="single"/>
        </w:rPr>
      </w:pPr>
      <w:r>
        <w:rPr>
          <w:rFonts w:hint="eastAsia" w:ascii="仿宋_GB2312" w:eastAsia="仿宋_GB2312"/>
          <w:color w:val="000000"/>
          <w:sz w:val="32"/>
          <w:szCs w:val="32"/>
        </w:rPr>
        <w:t>单 位 负 责 人:</w:t>
      </w:r>
      <w:r>
        <w:rPr>
          <w:rFonts w:hint="eastAsia" w:ascii="仿宋_GB2312" w:eastAsia="仿宋_GB2312"/>
          <w:color w:val="000000"/>
          <w:sz w:val="32"/>
          <w:szCs w:val="32"/>
          <w:u w:val="single"/>
        </w:rPr>
        <w:t xml:space="preserve"> </w:t>
      </w:r>
      <w:r>
        <w:rPr>
          <w:rFonts w:ascii="仿宋_GB2312" w:eastAsia="仿宋_GB2312"/>
          <w:color w:val="000000"/>
          <w:sz w:val="32"/>
          <w:szCs w:val="32"/>
          <w:u w:val="single"/>
        </w:rPr>
        <w:t>冯琳浦</w:t>
      </w:r>
      <w:r>
        <w:rPr>
          <w:rFonts w:hint="eastAsia" w:ascii="仿宋_GB2312" w:eastAsia="仿宋_GB2312"/>
          <w:color w:val="000000"/>
          <w:sz w:val="32"/>
          <w:szCs w:val="32"/>
          <w:u w:val="single"/>
        </w:rPr>
        <w:t>(签章)</w:t>
      </w:r>
    </w:p>
    <w:p w14:paraId="7077F687">
      <w:pPr>
        <w:spacing w:line="480" w:lineRule="exact"/>
        <w:ind w:firstLine="1280" w:firstLineChars="400"/>
        <w:jc w:val="left"/>
        <w:outlineLvl w:val="0"/>
        <w:rPr>
          <w:rFonts w:ascii="仿宋_GB2312" w:eastAsia="仿宋_GB2312"/>
          <w:color w:val="000000"/>
          <w:sz w:val="32"/>
          <w:szCs w:val="32"/>
        </w:rPr>
      </w:pPr>
      <w:r>
        <w:rPr>
          <w:rFonts w:hint="eastAsia" w:ascii="仿宋_GB2312" w:eastAsia="仿宋_GB2312"/>
          <w:color w:val="000000"/>
          <w:sz w:val="32"/>
          <w:szCs w:val="32"/>
        </w:rPr>
        <w:t>分管内控负责人:</w:t>
      </w:r>
      <w:r>
        <w:rPr>
          <w:rFonts w:ascii="仿宋_GB2312" w:eastAsia="仿宋_GB2312"/>
          <w:color w:val="000000"/>
          <w:sz w:val="32"/>
          <w:szCs w:val="32"/>
          <w:u w:val="single"/>
        </w:rPr>
        <w:t>何凡</w:t>
      </w:r>
      <w:r>
        <w:rPr>
          <w:rFonts w:hint="eastAsia" w:ascii="仿宋_GB2312" w:eastAsia="仿宋_GB2312"/>
          <w:color w:val="000000"/>
          <w:sz w:val="32"/>
          <w:szCs w:val="32"/>
          <w:u w:val="single"/>
        </w:rPr>
        <w:t xml:space="preserve"> (签章)</w:t>
      </w:r>
    </w:p>
    <w:p w14:paraId="366EE3C4">
      <w:pPr>
        <w:spacing w:line="480" w:lineRule="exact"/>
        <w:ind w:firstLine="1280" w:firstLineChars="400"/>
        <w:jc w:val="left"/>
        <w:outlineLvl w:val="0"/>
        <w:rPr>
          <w:rFonts w:ascii="仿宋_GB2312" w:eastAsia="仿宋_GB2312"/>
          <w:color w:val="000000"/>
          <w:sz w:val="32"/>
          <w:szCs w:val="32"/>
        </w:rPr>
      </w:pPr>
      <w:r>
        <w:rPr>
          <w:rFonts w:hint="eastAsia" w:ascii="仿宋_GB2312" w:eastAsia="仿宋_GB2312"/>
          <w:color w:val="000000"/>
          <w:sz w:val="32"/>
          <w:szCs w:val="32"/>
        </w:rPr>
        <w:t>牵头部门负责人:</w:t>
      </w:r>
      <w:r>
        <w:rPr>
          <w:rFonts w:ascii="仿宋_GB2312" w:eastAsia="仿宋_GB2312"/>
          <w:color w:val="000000"/>
          <w:sz w:val="32"/>
          <w:szCs w:val="32"/>
          <w:u w:val="single"/>
        </w:rPr>
        <w:t>何凡</w:t>
      </w:r>
      <w:r>
        <w:rPr>
          <w:rFonts w:hint="eastAsia" w:ascii="仿宋_GB2312" w:eastAsia="仿宋_GB2312"/>
          <w:color w:val="000000"/>
          <w:sz w:val="32"/>
          <w:szCs w:val="32"/>
          <w:u w:val="single"/>
        </w:rPr>
        <w:t xml:space="preserve"> (签章)</w:t>
      </w:r>
    </w:p>
    <w:p w14:paraId="728B7F53">
      <w:pPr>
        <w:spacing w:line="480" w:lineRule="exact"/>
        <w:ind w:firstLine="1280" w:firstLineChars="400"/>
        <w:jc w:val="left"/>
        <w:outlineLvl w:val="0"/>
        <w:rPr>
          <w:rFonts w:ascii="仿宋_GB2312" w:eastAsia="仿宋_GB2312"/>
          <w:color w:val="000000"/>
          <w:sz w:val="32"/>
          <w:szCs w:val="32"/>
        </w:rPr>
      </w:pPr>
      <w:r>
        <w:rPr>
          <w:rFonts w:hint="eastAsia" w:ascii="仿宋_GB2312" w:eastAsia="仿宋_GB2312"/>
          <w:color w:val="000000"/>
          <w:sz w:val="32"/>
          <w:szCs w:val="32"/>
        </w:rPr>
        <w:t>填  表  人:</w:t>
      </w:r>
      <w:r>
        <w:rPr>
          <w:rFonts w:ascii="仿宋_GB2312" w:eastAsia="仿宋_GB2312"/>
          <w:color w:val="000000"/>
          <w:sz w:val="32"/>
          <w:szCs w:val="32"/>
          <w:u w:val="single"/>
        </w:rPr>
        <w:t>陈则斌</w:t>
      </w:r>
      <w:r>
        <w:rPr>
          <w:rFonts w:hint="eastAsia" w:ascii="仿宋_GB2312" w:eastAsia="仿宋_GB2312"/>
          <w:color w:val="000000"/>
          <w:sz w:val="32"/>
          <w:szCs w:val="32"/>
          <w:u w:val="single"/>
        </w:rPr>
        <w:t>(签章)</w:t>
      </w:r>
    </w:p>
    <w:p w14:paraId="73F1286B">
      <w:pPr>
        <w:spacing w:line="480" w:lineRule="exact"/>
        <w:ind w:firstLine="1280" w:firstLineChars="400"/>
        <w:jc w:val="left"/>
        <w:outlineLvl w:val="0"/>
        <w:rPr>
          <w:rFonts w:ascii="仿宋_GB2312" w:eastAsia="仿宋_GB2312"/>
          <w:color w:val="000000"/>
          <w:sz w:val="32"/>
          <w:szCs w:val="32"/>
        </w:rPr>
      </w:pPr>
      <w:r>
        <w:rPr>
          <w:rFonts w:hint="eastAsia" w:ascii="仿宋_GB2312" w:eastAsia="仿宋_GB2312"/>
          <w:color w:val="000000"/>
          <w:sz w:val="32"/>
          <w:szCs w:val="32"/>
        </w:rPr>
        <w:t>填 表 部 门:</w:t>
      </w:r>
      <w:r>
        <w:rPr>
          <w:rFonts w:ascii="仿宋_GB2312" w:eastAsia="仿宋_GB2312"/>
          <w:color w:val="000000"/>
          <w:sz w:val="32"/>
          <w:szCs w:val="32"/>
          <w:u w:val="single"/>
        </w:rPr>
        <w:t>校财务室</w:t>
      </w:r>
    </w:p>
    <w:p w14:paraId="58B0C637">
      <w:pPr>
        <w:spacing w:line="480" w:lineRule="exact"/>
        <w:ind w:firstLine="1280" w:firstLineChars="400"/>
        <w:jc w:val="left"/>
        <w:outlineLvl w:val="0"/>
        <w:rPr>
          <w:rFonts w:ascii="仿宋_GB2312" w:eastAsia="仿宋_GB2312"/>
          <w:color w:val="000000"/>
          <w:sz w:val="32"/>
          <w:szCs w:val="32"/>
          <w:u w:val="single"/>
        </w:rPr>
      </w:pPr>
      <w:r>
        <w:rPr>
          <w:rFonts w:hint="eastAsia" w:ascii="仿宋_GB2312" w:eastAsia="仿宋_GB2312"/>
          <w:color w:val="000000"/>
          <w:sz w:val="32"/>
          <w:szCs w:val="32"/>
        </w:rPr>
        <w:t>电 话 号 码:</w:t>
      </w:r>
      <w:r>
        <w:rPr>
          <w:rFonts w:ascii="仿宋_GB2312" w:eastAsia="仿宋_GB2312"/>
          <w:color w:val="000000"/>
          <w:sz w:val="32"/>
          <w:szCs w:val="32"/>
          <w:u w:val="single"/>
        </w:rPr>
        <w:t>0798-8289012</w:t>
      </w:r>
    </w:p>
    <w:p w14:paraId="3004FED9">
      <w:pPr>
        <w:spacing w:line="480" w:lineRule="exact"/>
        <w:ind w:firstLine="1280" w:firstLineChars="400"/>
        <w:jc w:val="left"/>
        <w:outlineLvl w:val="0"/>
        <w:rPr>
          <w:rFonts w:ascii="仿宋_GB2312" w:eastAsia="仿宋_GB2312"/>
          <w:color w:val="000000"/>
          <w:sz w:val="32"/>
          <w:szCs w:val="32"/>
          <w:u w:val="single"/>
        </w:rPr>
      </w:pPr>
      <w:r>
        <w:rPr>
          <w:rFonts w:hint="eastAsia" w:ascii="仿宋_GB2312" w:eastAsia="仿宋_GB2312"/>
          <w:color w:val="000000"/>
          <w:sz w:val="32"/>
          <w:szCs w:val="32"/>
        </w:rPr>
        <w:t>单 位 地 址:</w:t>
      </w:r>
      <w:r>
        <w:rPr>
          <w:rFonts w:ascii="仿宋_GB2312" w:eastAsia="仿宋_GB2312"/>
          <w:color w:val="000000"/>
          <w:sz w:val="32"/>
          <w:szCs w:val="32"/>
          <w:u w:val="single"/>
        </w:rPr>
        <w:t>江西省景德镇市曙光路380号</w:t>
      </w:r>
    </w:p>
    <w:p w14:paraId="0D1BD037">
      <w:pPr>
        <w:spacing w:line="480" w:lineRule="exact"/>
        <w:ind w:firstLine="1280" w:firstLineChars="400"/>
        <w:jc w:val="left"/>
        <w:outlineLvl w:val="0"/>
        <w:rPr>
          <w:rFonts w:ascii="仿宋_GB2312" w:eastAsia="仿宋_GB2312"/>
          <w:b/>
          <w:color w:val="000000"/>
          <w:sz w:val="32"/>
          <w:szCs w:val="32"/>
          <w:u w:val="single"/>
        </w:rPr>
      </w:pPr>
      <w:r>
        <w:rPr>
          <w:rFonts w:hint="eastAsia" w:ascii="仿宋_GB2312" w:eastAsia="仿宋_GB2312"/>
          <w:color w:val="000000"/>
          <w:sz w:val="32"/>
          <w:szCs w:val="32"/>
        </w:rPr>
        <w:t>邮 政 编 码:</w:t>
      </w:r>
      <w:r>
        <w:rPr>
          <w:rFonts w:ascii="仿宋_GB2312" w:eastAsia="仿宋_GB2312"/>
          <w:color w:val="000000"/>
          <w:sz w:val="32"/>
          <w:szCs w:val="32"/>
          <w:u w:val="single"/>
        </w:rPr>
        <w:t>333000</w:t>
      </w:r>
    </w:p>
    <w:p w14:paraId="6B1B0111">
      <w:pPr>
        <w:spacing w:line="480" w:lineRule="exact"/>
        <w:ind w:firstLine="1280" w:firstLineChars="400"/>
        <w:jc w:val="left"/>
        <w:outlineLvl w:val="0"/>
        <w:rPr>
          <w:rFonts w:ascii="仿宋_GB2312" w:eastAsia="仿宋_GB2312"/>
          <w:color w:val="000000"/>
          <w:sz w:val="32"/>
          <w:szCs w:val="32"/>
          <w:u w:val="single"/>
        </w:rPr>
      </w:pPr>
      <w:r>
        <w:rPr>
          <w:rFonts w:hint="eastAsia" w:ascii="仿宋_GB2312" w:eastAsia="仿宋_GB2312"/>
          <w:color w:val="000000"/>
          <w:sz w:val="32"/>
          <w:szCs w:val="32"/>
        </w:rPr>
        <w:t>报 送 日 期:</w:t>
      </w:r>
      <w:r>
        <w:rPr>
          <w:rFonts w:ascii="仿宋_GB2312" w:eastAsia="仿宋_GB2312"/>
          <w:color w:val="000000"/>
          <w:sz w:val="32"/>
          <w:szCs w:val="32"/>
          <w:u w:val="single"/>
        </w:rPr>
        <w:t>2024</w:t>
      </w:r>
      <w:r>
        <w:rPr>
          <w:rFonts w:hint="eastAsia" w:ascii="仿宋_GB2312" w:eastAsia="仿宋_GB2312"/>
          <w:color w:val="000000"/>
          <w:sz w:val="32"/>
          <w:szCs w:val="32"/>
          <w:u w:val="single"/>
        </w:rPr>
        <w:t>年</w:t>
      </w:r>
      <w:r>
        <w:rPr>
          <w:rFonts w:ascii="仿宋_GB2312" w:eastAsia="仿宋_GB2312"/>
          <w:color w:val="000000"/>
          <w:sz w:val="32"/>
          <w:szCs w:val="32"/>
          <w:u w:val="single"/>
        </w:rPr>
        <w:t>4</w:t>
      </w:r>
      <w:r>
        <w:rPr>
          <w:rFonts w:hint="eastAsia" w:ascii="仿宋_GB2312" w:eastAsia="仿宋_GB2312"/>
          <w:color w:val="000000"/>
          <w:sz w:val="32"/>
          <w:szCs w:val="32"/>
          <w:u w:val="single"/>
        </w:rPr>
        <w:t>月</w:t>
      </w:r>
      <w:r>
        <w:rPr>
          <w:rFonts w:ascii="仿宋_GB2312" w:eastAsia="仿宋_GB2312"/>
          <w:color w:val="000000"/>
          <w:sz w:val="32"/>
          <w:szCs w:val="32"/>
          <w:u w:val="single"/>
        </w:rPr>
        <w:t>21</w:t>
      </w:r>
      <w:r>
        <w:rPr>
          <w:rFonts w:hint="eastAsia" w:ascii="仿宋_GB2312" w:eastAsia="仿宋_GB2312"/>
          <w:color w:val="000000"/>
          <w:sz w:val="32"/>
          <w:szCs w:val="32"/>
          <w:u w:val="single"/>
        </w:rPr>
        <w:t>日</w:t>
      </w:r>
    </w:p>
    <w:p w14:paraId="753F1E26">
      <w:pPr>
        <w:spacing w:line="480" w:lineRule="exact"/>
        <w:ind w:left="1680" w:firstLine="420"/>
        <w:jc w:val="left"/>
        <w:outlineLvl w:val="0"/>
        <w:rPr>
          <w:rFonts w:ascii="仿宋_GB2312" w:eastAsia="仿宋_GB2312"/>
          <w:sz w:val="32"/>
          <w:szCs w:val="32"/>
          <w:u w:val="single"/>
        </w:rPr>
      </w:pPr>
    </w:p>
    <w:p w14:paraId="0507D83A">
      <w:pPr>
        <w:spacing w:line="480" w:lineRule="exact"/>
        <w:jc w:val="left"/>
        <w:outlineLvl w:val="0"/>
        <w:rPr>
          <w:rFonts w:ascii="仿宋_GB2312" w:eastAsia="仿宋_GB2312"/>
          <w:sz w:val="32"/>
          <w:szCs w:val="32"/>
          <w:u w:val="single"/>
        </w:rPr>
      </w:pPr>
    </w:p>
    <w:p w14:paraId="6C30C3D1">
      <w:pPr>
        <w:pStyle w:val="5"/>
        <w:adjustRightInd/>
        <w:spacing w:after="62" w:afterLines="20" w:line="520" w:lineRule="exact"/>
        <w:jc w:val="center"/>
        <w:textAlignment w:val="auto"/>
        <w:rPr>
          <w:rFonts w:ascii="楷体_GB2312" w:hAnsi="宋体" w:eastAsia="楷体_GB2312" w:cs="宋体"/>
          <w:color w:val="000000"/>
          <w:spacing w:val="-6"/>
          <w:kern w:val="0"/>
          <w:sz w:val="32"/>
          <w:szCs w:val="32"/>
        </w:rPr>
      </w:pPr>
      <w:r>
        <w:rPr>
          <w:rFonts w:hint="eastAsia" w:ascii="楷体_GB2312" w:hAnsi="宋体" w:eastAsia="楷体_GB2312" w:cs="宋体"/>
          <w:color w:val="000000"/>
          <w:spacing w:val="-6"/>
          <w:kern w:val="0"/>
          <w:sz w:val="32"/>
          <w:szCs w:val="32"/>
        </w:rPr>
        <w:t>财政部</w:t>
      </w:r>
    </w:p>
    <w:p w14:paraId="5756111C">
      <w:pPr>
        <w:pStyle w:val="5"/>
        <w:adjustRightInd/>
        <w:spacing w:after="62" w:afterLines="20" w:line="520" w:lineRule="exact"/>
        <w:jc w:val="center"/>
        <w:textAlignment w:val="auto"/>
        <w:rPr>
          <w:rFonts w:ascii="楷体_GB2312" w:hAnsi="宋体" w:eastAsia="楷体_GB2312" w:cs="宋体"/>
          <w:color w:val="000000"/>
          <w:spacing w:val="-6"/>
          <w:kern w:val="0"/>
          <w:sz w:val="32"/>
          <w:szCs w:val="32"/>
        </w:rPr>
      </w:pPr>
      <w:r>
        <w:rPr>
          <w:rFonts w:hint="eastAsia" w:eastAsia="楷体_GB2312"/>
          <w:color w:val="000000"/>
          <w:spacing w:val="-6"/>
          <w:kern w:val="0"/>
          <w:sz w:val="32"/>
          <w:szCs w:val="32"/>
        </w:rPr>
        <w:t>2024</w:t>
      </w:r>
      <w:r>
        <w:rPr>
          <w:rFonts w:hint="eastAsia" w:ascii="楷体_GB2312" w:hAnsi="宋体" w:eastAsia="楷体_GB2312" w:cs="宋体"/>
          <w:color w:val="000000"/>
          <w:spacing w:val="-6"/>
          <w:kern w:val="0"/>
          <w:sz w:val="32"/>
          <w:szCs w:val="32"/>
        </w:rPr>
        <w:t>年 制</w:t>
      </w:r>
    </w:p>
    <w:p w14:paraId="764641DB">
      <w:pPr>
        <w:spacing w:line="480" w:lineRule="exact"/>
        <w:ind w:left="1680" w:firstLine="420"/>
        <w:jc w:val="left"/>
        <w:outlineLvl w:val="0"/>
        <w:rPr>
          <w:rFonts w:ascii="仿宋_GB2312" w:eastAsia="仿宋_GB2312"/>
          <w:sz w:val="32"/>
          <w:szCs w:val="32"/>
          <w:u w:val="single"/>
        </w:rPr>
      </w:pPr>
    </w:p>
    <w:p w14:paraId="6CC37F1C">
      <w:pPr>
        <w:rPr>
          <w:rFonts w:ascii="黑体" w:eastAsia="黑体"/>
          <w:sz w:val="24"/>
        </w:rPr>
        <w:sectPr>
          <w:footerReference r:id="rId3" w:type="default"/>
          <w:footerReference r:id="rId4" w:type="even"/>
          <w:pgSz w:w="11906" w:h="16838"/>
          <w:pgMar w:top="1440" w:right="1800" w:bottom="1440" w:left="1800" w:header="851" w:footer="499" w:gutter="0"/>
          <w:cols w:space="720" w:num="1"/>
          <w:docGrid w:type="lines" w:linePitch="312" w:charSpace="0"/>
        </w:sectPr>
      </w:pPr>
    </w:p>
    <w:p w14:paraId="36610F46">
      <w:pPr>
        <w:spacing w:line="560" w:lineRule="exact"/>
        <w:jc w:val="center"/>
        <w:rPr>
          <w:rFonts w:ascii="黑体" w:eastAsia="黑体"/>
          <w:color w:val="000000"/>
          <w:spacing w:val="-10"/>
          <w:sz w:val="44"/>
          <w:szCs w:val="44"/>
        </w:rPr>
      </w:pPr>
      <w:r>
        <w:rPr>
          <w:rFonts w:hint="eastAsia" w:ascii="黑体" w:eastAsia="黑体" w:cs="方正小标宋简体"/>
          <w:color w:val="000000"/>
          <w:spacing w:val="-10"/>
          <w:sz w:val="44"/>
          <w:szCs w:val="44"/>
        </w:rPr>
        <w:t>填 报 须 知</w:t>
      </w:r>
    </w:p>
    <w:p w14:paraId="5655762E">
      <w:pPr>
        <w:spacing w:line="460" w:lineRule="exact"/>
        <w:ind w:firstLine="616" w:firstLineChars="200"/>
        <w:rPr>
          <w:rFonts w:eastAsia="仿宋_GB2312" w:cs="仿宋_GB2312"/>
          <w:color w:val="000000"/>
          <w:spacing w:val="4"/>
          <w:sz w:val="30"/>
          <w:szCs w:val="30"/>
        </w:rPr>
      </w:pPr>
    </w:p>
    <w:p w14:paraId="547E4353">
      <w:pPr>
        <w:spacing w:line="360" w:lineRule="auto"/>
        <w:ind w:firstLine="576" w:firstLineChars="200"/>
        <w:rPr>
          <w:rFonts w:eastAsia="仿宋_GB2312" w:cs="仿宋_GB2312"/>
          <w:color w:val="000000"/>
          <w:spacing w:val="4"/>
          <w:sz w:val="28"/>
          <w:szCs w:val="28"/>
        </w:rPr>
      </w:pPr>
      <w:r>
        <w:rPr>
          <w:rFonts w:eastAsia="仿宋_GB2312" w:cs="仿宋_GB2312"/>
          <w:color w:val="000000"/>
          <w:spacing w:val="4"/>
          <w:sz w:val="28"/>
          <w:szCs w:val="28"/>
        </w:rPr>
        <w:t>1. 202</w:t>
      </w:r>
      <w:r>
        <w:rPr>
          <w:rFonts w:hint="eastAsia" w:eastAsia="仿宋_GB2312" w:cs="仿宋_GB2312"/>
          <w:color w:val="000000"/>
          <w:spacing w:val="4"/>
          <w:sz w:val="28"/>
          <w:szCs w:val="28"/>
        </w:rPr>
        <w:t>3年度行政事业单位内部控制报告分为正文和附表两个部分。</w:t>
      </w:r>
    </w:p>
    <w:p w14:paraId="5E4E465E">
      <w:pPr>
        <w:spacing w:line="360" w:lineRule="auto"/>
        <w:ind w:firstLine="576" w:firstLineChars="200"/>
        <w:rPr>
          <w:rFonts w:eastAsia="仿宋_GB2312" w:cs="仿宋_GB2312"/>
          <w:color w:val="000000"/>
          <w:spacing w:val="4"/>
          <w:sz w:val="28"/>
          <w:szCs w:val="28"/>
        </w:rPr>
      </w:pPr>
      <w:r>
        <w:rPr>
          <w:rFonts w:eastAsia="仿宋_GB2312" w:cs="仿宋_GB2312"/>
          <w:color w:val="000000"/>
          <w:spacing w:val="4"/>
          <w:sz w:val="28"/>
          <w:szCs w:val="28"/>
        </w:rPr>
        <w:t>2.</w:t>
      </w:r>
      <w:r>
        <w:rPr>
          <w:rFonts w:hint="eastAsia" w:eastAsia="仿宋_GB2312" w:cs="仿宋_GB2312"/>
          <w:color w:val="000000"/>
          <w:spacing w:val="4"/>
          <w:sz w:val="28"/>
          <w:szCs w:val="28"/>
        </w:rPr>
        <w:t>各单位根据《行政事业单位内部控制规范（试行）》，在本报告中如实填写本单位经济活动所涉及的预算、收支、政府采购、资产、建设项目、合同等业务的内部控制建设情况，不包括人事、党建等领域的内部控制情况。</w:t>
      </w:r>
    </w:p>
    <w:p w14:paraId="6072542F">
      <w:pPr>
        <w:spacing w:line="360" w:lineRule="auto"/>
        <w:ind w:firstLine="576" w:firstLineChars="200"/>
        <w:rPr>
          <w:rFonts w:eastAsia="仿宋_GB2312" w:cs="仿宋_GB2312"/>
          <w:color w:val="000000"/>
          <w:spacing w:val="4"/>
          <w:sz w:val="28"/>
          <w:szCs w:val="28"/>
        </w:rPr>
      </w:pPr>
      <w:r>
        <w:rPr>
          <w:rFonts w:eastAsia="仿宋_GB2312" w:cs="仿宋_GB2312"/>
          <w:color w:val="000000"/>
          <w:spacing w:val="4"/>
          <w:sz w:val="28"/>
          <w:szCs w:val="28"/>
        </w:rPr>
        <w:t>3.</w:t>
      </w:r>
      <w:r>
        <w:rPr>
          <w:rFonts w:hint="eastAsia" w:eastAsia="仿宋_GB2312" w:cs="仿宋_GB2312"/>
          <w:color w:val="000000"/>
          <w:spacing w:val="4"/>
          <w:sz w:val="28"/>
          <w:szCs w:val="28"/>
        </w:rPr>
        <w:t>各单位应在</w:t>
      </w:r>
      <w:r>
        <w:rPr>
          <w:rFonts w:eastAsia="仿宋_GB2312" w:cs="仿宋_GB2312"/>
          <w:color w:val="000000"/>
          <w:spacing w:val="4"/>
          <w:sz w:val="28"/>
          <w:szCs w:val="28"/>
        </w:rPr>
        <w:t>202</w:t>
      </w:r>
      <w:r>
        <w:rPr>
          <w:rFonts w:hint="eastAsia" w:eastAsia="仿宋_GB2312" w:cs="仿宋_GB2312"/>
          <w:color w:val="000000"/>
          <w:spacing w:val="4"/>
          <w:sz w:val="28"/>
          <w:szCs w:val="28"/>
        </w:rPr>
        <w:t>3年度行政事业单位内部控制报告填报系统中填报相关内容，系统自动生成“</w:t>
      </w:r>
      <w:r>
        <w:rPr>
          <w:rFonts w:eastAsia="仿宋_GB2312" w:cs="仿宋_GB2312"/>
          <w:color w:val="000000"/>
          <w:spacing w:val="4"/>
          <w:sz w:val="28"/>
          <w:szCs w:val="28"/>
        </w:rPr>
        <w:t>202</w:t>
      </w:r>
      <w:r>
        <w:rPr>
          <w:rFonts w:hint="eastAsia" w:eastAsia="仿宋_GB2312" w:cs="仿宋_GB2312"/>
          <w:color w:val="000000"/>
          <w:spacing w:val="4"/>
          <w:sz w:val="28"/>
          <w:szCs w:val="28"/>
        </w:rPr>
        <w:t>3年度行政事业单位内部控制报告”。</w:t>
      </w:r>
    </w:p>
    <w:p w14:paraId="1543FE2B">
      <w:pPr>
        <w:spacing w:line="360" w:lineRule="auto"/>
        <w:ind w:firstLine="576" w:firstLineChars="200"/>
        <w:rPr>
          <w:rFonts w:eastAsia="仿宋_GB2312" w:cs="仿宋_GB2312"/>
          <w:color w:val="000000"/>
          <w:spacing w:val="4"/>
          <w:sz w:val="28"/>
          <w:szCs w:val="28"/>
        </w:rPr>
      </w:pPr>
      <w:r>
        <w:rPr>
          <w:rFonts w:eastAsia="仿宋_GB2312" w:cs="仿宋_GB2312"/>
          <w:color w:val="000000"/>
          <w:spacing w:val="4"/>
          <w:sz w:val="28"/>
          <w:szCs w:val="28"/>
        </w:rPr>
        <w:t>4.</w:t>
      </w:r>
      <w:r>
        <w:rPr>
          <w:rFonts w:hint="eastAsia" w:eastAsia="仿宋_GB2312" w:cs="仿宋_GB2312"/>
          <w:color w:val="000000"/>
          <w:spacing w:val="4"/>
          <w:sz w:val="28"/>
          <w:szCs w:val="28"/>
        </w:rPr>
        <w:t>单位名称填列单位的全称，各级主管部门填报本级报告时，应在单位名称后加“（本级）”。</w:t>
      </w:r>
    </w:p>
    <w:p w14:paraId="64EB7DD6">
      <w:pPr>
        <w:spacing w:line="360" w:lineRule="auto"/>
        <w:ind w:firstLine="576" w:firstLineChars="200"/>
        <w:rPr>
          <w:rFonts w:eastAsia="仿宋_GB2312" w:cs="仿宋_GB2312"/>
          <w:color w:val="000000"/>
          <w:spacing w:val="4"/>
          <w:sz w:val="28"/>
          <w:szCs w:val="28"/>
        </w:rPr>
      </w:pPr>
      <w:r>
        <w:rPr>
          <w:rFonts w:eastAsia="仿宋_GB2312" w:cs="仿宋_GB2312"/>
          <w:color w:val="000000"/>
          <w:spacing w:val="4"/>
          <w:sz w:val="28"/>
          <w:szCs w:val="28"/>
        </w:rPr>
        <w:t>5.</w:t>
      </w:r>
      <w:r>
        <w:rPr>
          <w:rFonts w:hint="eastAsia" w:eastAsia="仿宋_GB2312" w:cs="仿宋_GB2312"/>
          <w:color w:val="000000"/>
          <w:spacing w:val="4"/>
          <w:sz w:val="28"/>
          <w:szCs w:val="28"/>
        </w:rPr>
        <w:t>报告中的年、月、日一律用公历和阿拉伯数字表示。</w:t>
      </w:r>
    </w:p>
    <w:p w14:paraId="3A0D34EB">
      <w:pPr>
        <w:spacing w:line="360" w:lineRule="auto"/>
        <w:ind w:firstLine="576" w:firstLineChars="200"/>
        <w:rPr>
          <w:rFonts w:eastAsia="仿宋_GB2312" w:cs="仿宋_GB2312"/>
          <w:color w:val="000000"/>
          <w:spacing w:val="4"/>
          <w:sz w:val="28"/>
          <w:szCs w:val="28"/>
        </w:rPr>
      </w:pPr>
      <w:r>
        <w:rPr>
          <w:rFonts w:eastAsia="仿宋_GB2312" w:cs="仿宋_GB2312"/>
          <w:color w:val="000000"/>
          <w:spacing w:val="4"/>
          <w:sz w:val="28"/>
          <w:szCs w:val="28"/>
        </w:rPr>
        <w:t>6.</w:t>
      </w:r>
      <w:r>
        <w:rPr>
          <w:rFonts w:hint="eastAsia" w:eastAsia="仿宋_GB2312" w:cs="仿宋_GB2312"/>
          <w:color w:val="000000"/>
          <w:spacing w:val="4"/>
          <w:sz w:val="28"/>
          <w:szCs w:val="28"/>
        </w:rPr>
        <w:t>电话号码处填写填表人的联系电话号码。</w:t>
      </w:r>
    </w:p>
    <w:p w14:paraId="0B334BA6">
      <w:pPr>
        <w:spacing w:line="360" w:lineRule="auto"/>
        <w:ind w:firstLine="576" w:firstLineChars="200"/>
        <w:rPr>
          <w:rFonts w:eastAsia="仿宋_GB2312" w:cs="仿宋_GB2312"/>
          <w:color w:val="000000"/>
          <w:spacing w:val="4"/>
          <w:sz w:val="28"/>
          <w:szCs w:val="28"/>
        </w:rPr>
      </w:pPr>
      <w:r>
        <w:rPr>
          <w:rFonts w:eastAsia="仿宋_GB2312" w:cs="仿宋_GB2312"/>
          <w:color w:val="000000"/>
          <w:spacing w:val="4"/>
          <w:sz w:val="28"/>
          <w:szCs w:val="28"/>
        </w:rPr>
        <w:t>7.</w:t>
      </w:r>
      <w:r>
        <w:rPr>
          <w:rFonts w:hint="eastAsia" w:eastAsia="仿宋_GB2312" w:cs="仿宋_GB2312"/>
          <w:color w:val="000000"/>
          <w:spacing w:val="4"/>
          <w:sz w:val="28"/>
          <w:szCs w:val="28"/>
        </w:rPr>
        <w:t>报送日期填写单位负责人审批通过内部控制报告的时间。</w:t>
      </w:r>
    </w:p>
    <w:p w14:paraId="28EDA219">
      <w:pPr>
        <w:spacing w:line="360" w:lineRule="auto"/>
        <w:ind w:firstLine="576" w:firstLineChars="200"/>
        <w:rPr>
          <w:rFonts w:eastAsia="仿宋_GB2312" w:cs="仿宋_GB2312"/>
          <w:color w:val="000000"/>
          <w:spacing w:val="4"/>
          <w:sz w:val="28"/>
          <w:szCs w:val="28"/>
        </w:rPr>
      </w:pPr>
      <w:r>
        <w:rPr>
          <w:rFonts w:eastAsia="仿宋_GB2312" w:cs="仿宋_GB2312"/>
          <w:color w:val="000000"/>
          <w:spacing w:val="4"/>
          <w:sz w:val="28"/>
          <w:szCs w:val="28"/>
        </w:rPr>
        <w:t>8.</w:t>
      </w:r>
      <w:r>
        <w:rPr>
          <w:rFonts w:hint="eastAsia" w:eastAsia="仿宋_GB2312" w:cs="仿宋_GB2312"/>
          <w:color w:val="000000"/>
          <w:spacing w:val="4"/>
          <w:sz w:val="28"/>
          <w:szCs w:val="28"/>
        </w:rPr>
        <w:t>填写前请认真阅读填报须知和附表内每一事项表格下方的填写说明。</w:t>
      </w:r>
    </w:p>
    <w:p w14:paraId="00A61A31">
      <w:pPr>
        <w:spacing w:line="360" w:lineRule="auto"/>
        <w:ind w:firstLine="576" w:firstLineChars="200"/>
        <w:rPr>
          <w:rFonts w:eastAsia="仿宋_GB2312" w:cs="仿宋_GB2312"/>
          <w:color w:val="000000"/>
          <w:spacing w:val="4"/>
          <w:sz w:val="28"/>
          <w:szCs w:val="28"/>
        </w:rPr>
      </w:pPr>
      <w:r>
        <w:rPr>
          <w:rFonts w:eastAsia="仿宋_GB2312" w:cs="仿宋_GB2312"/>
          <w:color w:val="000000"/>
          <w:spacing w:val="4"/>
          <w:sz w:val="28"/>
          <w:szCs w:val="28"/>
        </w:rPr>
        <w:t>9.</w:t>
      </w:r>
      <w:r>
        <w:rPr>
          <w:rFonts w:hint="eastAsia" w:eastAsia="仿宋_GB2312" w:cs="仿宋_GB2312"/>
          <w:color w:val="000000"/>
          <w:spacing w:val="4"/>
          <w:sz w:val="28"/>
          <w:szCs w:val="28"/>
        </w:rPr>
        <w:t>本报告应当按照规定进行脱敏脱密处理，严禁报送涉密信息，敏感信息通过光盘报送。</w:t>
      </w:r>
    </w:p>
    <w:p w14:paraId="2EF5C816">
      <w:pPr>
        <w:autoSpaceDE w:val="0"/>
        <w:autoSpaceDN w:val="0"/>
        <w:ind w:firstLine="616" w:firstLineChars="200"/>
        <w:textAlignment w:val="baseline"/>
        <w:rPr>
          <w:rFonts w:ascii="华文中宋" w:hAnsi="华文中宋" w:eastAsia="华文中宋"/>
          <w:b/>
          <w:color w:val="000000"/>
          <w:sz w:val="36"/>
          <w:szCs w:val="36"/>
        </w:rPr>
      </w:pPr>
      <w:r>
        <w:rPr>
          <w:rFonts w:eastAsia="仿宋_GB2312" w:cs="仿宋_GB2312"/>
          <w:color w:val="000000"/>
          <w:spacing w:val="4"/>
          <w:sz w:val="30"/>
          <w:szCs w:val="30"/>
        </w:rPr>
        <w:br w:type="page"/>
      </w:r>
    </w:p>
    <w:p w14:paraId="416F383F">
      <w:pPr>
        <w:autoSpaceDE w:val="0"/>
        <w:autoSpaceDN w:val="0"/>
        <w:spacing w:before="156" w:beforeLines="50" w:after="156" w:afterLines="50"/>
        <w:jc w:val="center"/>
        <w:textAlignment w:val="baseline"/>
        <w:rPr>
          <w:rFonts w:ascii="华文中宋" w:hAnsi="华文中宋" w:eastAsia="华文中宋"/>
          <w:b/>
          <w:color w:val="000000"/>
          <w:sz w:val="36"/>
          <w:szCs w:val="36"/>
        </w:rPr>
      </w:pPr>
      <w:r>
        <w:rPr>
          <w:rFonts w:ascii="华文中宋" w:hAnsi="华文中宋" w:eastAsia="华文中宋"/>
          <w:b/>
          <w:color w:val="000000"/>
          <w:sz w:val="36"/>
          <w:szCs w:val="36"/>
        </w:rPr>
        <w:t>景德镇市第二十六中学</w:t>
      </w:r>
      <w:r>
        <w:rPr>
          <w:rFonts w:hint="eastAsia" w:ascii="华文中宋" w:hAnsi="华文中宋" w:eastAsia="华文中宋"/>
          <w:b/>
          <w:color w:val="000000"/>
          <w:sz w:val="36"/>
          <w:szCs w:val="36"/>
        </w:rPr>
        <w:t>行政事业单位内部控制报告</w:t>
      </w:r>
    </w:p>
    <w:p w14:paraId="78F19B0E">
      <w:pPr>
        <w:autoSpaceDE w:val="0"/>
        <w:autoSpaceDN w:val="0"/>
        <w:ind w:firstLine="560" w:firstLineChars="200"/>
        <w:textAlignment w:val="baseline"/>
        <w:rPr>
          <w:rFonts w:ascii="仿宋_GB2312" w:eastAsia="仿宋_GB2312"/>
          <w:sz w:val="28"/>
          <w:szCs w:val="28"/>
        </w:rPr>
      </w:pPr>
      <w:r>
        <w:rPr>
          <w:rFonts w:hint="eastAsia" w:ascii="仿宋_GB2312" w:eastAsia="仿宋_GB2312"/>
          <w:sz w:val="28"/>
          <w:szCs w:val="28"/>
        </w:rPr>
        <w:t>为贯彻落实《财政部关于全面推进行政事业单位内部控制建设的指导意见》（财会〔</w:t>
      </w:r>
      <w:r>
        <w:rPr>
          <w:rFonts w:ascii="仿宋_GB2312" w:eastAsia="仿宋_GB2312"/>
          <w:sz w:val="28"/>
          <w:szCs w:val="28"/>
        </w:rPr>
        <w:t>2015</w:t>
      </w:r>
      <w:r>
        <w:rPr>
          <w:rFonts w:hint="eastAsia" w:ascii="仿宋_GB2312" w:eastAsia="仿宋_GB2312"/>
          <w:sz w:val="28"/>
          <w:szCs w:val="28"/>
        </w:rPr>
        <w:t>〕</w:t>
      </w:r>
      <w:r>
        <w:rPr>
          <w:rFonts w:ascii="仿宋_GB2312" w:eastAsia="仿宋_GB2312"/>
          <w:sz w:val="28"/>
          <w:szCs w:val="28"/>
        </w:rPr>
        <w:t>24</w:t>
      </w:r>
      <w:r>
        <w:rPr>
          <w:rFonts w:hint="eastAsia" w:ascii="仿宋_GB2312" w:eastAsia="仿宋_GB2312"/>
          <w:sz w:val="28"/>
          <w:szCs w:val="28"/>
        </w:rPr>
        <w:t>号）的有关精神，依据《行政事业单位内部控制规范（试行）》（财会〔</w:t>
      </w:r>
      <w:r>
        <w:rPr>
          <w:rFonts w:ascii="仿宋_GB2312" w:eastAsia="仿宋_GB2312"/>
          <w:sz w:val="28"/>
          <w:szCs w:val="28"/>
        </w:rPr>
        <w:t>2012</w:t>
      </w:r>
      <w:r>
        <w:rPr>
          <w:rFonts w:hint="eastAsia" w:ascii="仿宋_GB2312" w:eastAsia="仿宋_GB2312"/>
          <w:sz w:val="28"/>
          <w:szCs w:val="28"/>
        </w:rPr>
        <w:t>〕</w:t>
      </w:r>
      <w:r>
        <w:rPr>
          <w:rFonts w:ascii="仿宋_GB2312" w:eastAsia="仿宋_GB2312"/>
          <w:sz w:val="28"/>
          <w:szCs w:val="28"/>
        </w:rPr>
        <w:t>21</w:t>
      </w:r>
      <w:r>
        <w:rPr>
          <w:rFonts w:hint="eastAsia" w:ascii="仿宋_GB2312" w:eastAsia="仿宋_GB2312"/>
          <w:sz w:val="28"/>
          <w:szCs w:val="28"/>
        </w:rPr>
        <w:t>号）和《行政事业单位内部控制报告管理制度（试行）》（财会〔</w:t>
      </w:r>
      <w:r>
        <w:rPr>
          <w:rFonts w:ascii="仿宋_GB2312" w:eastAsia="仿宋_GB2312"/>
          <w:sz w:val="28"/>
          <w:szCs w:val="28"/>
        </w:rPr>
        <w:t>2017</w:t>
      </w:r>
      <w:r>
        <w:rPr>
          <w:rFonts w:hint="eastAsia" w:ascii="仿宋_GB2312" w:eastAsia="仿宋_GB2312"/>
          <w:sz w:val="28"/>
          <w:szCs w:val="28"/>
        </w:rPr>
        <w:t>〕</w:t>
      </w:r>
      <w:r>
        <w:rPr>
          <w:rFonts w:ascii="仿宋_GB2312" w:eastAsia="仿宋_GB2312"/>
          <w:sz w:val="28"/>
          <w:szCs w:val="28"/>
        </w:rPr>
        <w:t>1</w:t>
      </w:r>
      <w:r>
        <w:rPr>
          <w:rFonts w:hint="eastAsia" w:ascii="仿宋_GB2312" w:eastAsia="仿宋_GB2312"/>
          <w:sz w:val="28"/>
          <w:szCs w:val="28"/>
        </w:rPr>
        <w:t>号）的有关规定，现将本单位</w:t>
      </w:r>
      <w:r>
        <w:rPr>
          <w:rFonts w:ascii="仿宋_GB2312" w:eastAsia="仿宋_GB2312"/>
          <w:sz w:val="28"/>
          <w:szCs w:val="28"/>
        </w:rPr>
        <w:t>20</w:t>
      </w:r>
      <w:r>
        <w:rPr>
          <w:rFonts w:hint="eastAsia" w:ascii="仿宋_GB2312" w:eastAsia="仿宋_GB2312"/>
          <w:sz w:val="28"/>
          <w:szCs w:val="28"/>
        </w:rPr>
        <w:t>23年度内部控制工作情况报告如下：</w:t>
      </w:r>
    </w:p>
    <w:p w14:paraId="7C9A5685">
      <w:pPr>
        <w:autoSpaceDE w:val="0"/>
        <w:autoSpaceDN w:val="0"/>
        <w:ind w:firstLine="565" w:firstLineChars="202"/>
        <w:textAlignment w:val="baseline"/>
        <w:rPr>
          <w:rFonts w:ascii="黑体" w:hAnsi="黑体" w:eastAsia="黑体"/>
          <w:color w:val="000000"/>
          <w:sz w:val="28"/>
          <w:szCs w:val="28"/>
        </w:rPr>
      </w:pPr>
      <w:r>
        <w:rPr>
          <w:rFonts w:hint="eastAsia" w:ascii="黑体" w:hAnsi="黑体" w:eastAsia="黑体"/>
          <w:color w:val="000000"/>
          <w:sz w:val="28"/>
          <w:szCs w:val="28"/>
        </w:rPr>
        <w:t>一、单位内部控制工作的基本情况</w:t>
      </w:r>
    </w:p>
    <w:p w14:paraId="6D65162B">
      <w:pPr>
        <w:autoSpaceDE w:val="0"/>
        <w:autoSpaceDN w:val="0"/>
        <w:ind w:firstLine="567"/>
        <w:textAlignment w:val="baseline"/>
        <w:rPr>
          <w:rFonts w:ascii="仿宋_GB2312" w:hAnsi="黑体" w:eastAsia="仿宋_GB2312"/>
          <w:color w:val="000000"/>
          <w:sz w:val="28"/>
          <w:szCs w:val="28"/>
        </w:rPr>
      </w:pPr>
      <w:r>
        <w:rPr>
          <w:rFonts w:hint="eastAsia" w:ascii="仿宋_GB2312" w:hAnsi="黑体" w:eastAsia="仿宋_GB2312"/>
          <w:color w:val="000000"/>
          <w:sz w:val="28"/>
          <w:szCs w:val="28"/>
        </w:rPr>
        <w:t>（一）内部控制机构设置与2023年度运行情况。</w:t>
      </w:r>
    </w:p>
    <w:p w14:paraId="30875ED4">
      <w:pPr>
        <w:autoSpaceDE w:val="0"/>
        <w:autoSpaceDN w:val="0"/>
        <w:spacing w:line="360" w:lineRule="auto"/>
        <w:ind w:firstLine="560" w:firstLineChars="200"/>
        <w:textAlignment w:val="baseline"/>
        <w:rPr>
          <w:rFonts w:ascii="仿宋" w:hAnsi="仿宋" w:eastAsia="仿宋"/>
          <w:color w:val="000000"/>
          <w:sz w:val="28"/>
          <w:szCs w:val="28"/>
        </w:rPr>
      </w:pPr>
      <w:r>
        <w:rPr>
          <w:rFonts w:ascii="仿宋" w:hAnsi="仿宋" w:eastAsia="仿宋"/>
          <w:color w:val="000000"/>
          <w:sz w:val="28"/>
          <w:szCs w:val="28"/>
        </w:rPr>
        <w:t>我校内部控制编报主要内容包括内控小组和工作小组的组成和运行情况、内控体系建设情况及权利运行制衡机制情况；预算业务、收支业务、政府采购业务、国有资产业务、建设项目业务和合同业务的制度和流程图的建立和更新、工作完成情况和管控情况的相关数据分析；内控信息化建设情况等。其中明确要求控考核评价结果用于完善内部管理、监督问责和领导干部选任用。</w:t>
      </w:r>
    </w:p>
    <w:p w14:paraId="7604F254">
      <w:pPr>
        <w:autoSpaceDE w:val="0"/>
        <w:autoSpaceDN w:val="0"/>
        <w:ind w:firstLine="567"/>
        <w:textAlignment w:val="baseline"/>
        <w:rPr>
          <w:rFonts w:ascii="仿宋_GB2312" w:hAnsi="黑体" w:eastAsia="仿宋_GB2312"/>
          <w:color w:val="000000"/>
          <w:sz w:val="28"/>
          <w:szCs w:val="28"/>
        </w:rPr>
      </w:pPr>
      <w:r>
        <w:rPr>
          <w:rFonts w:hint="eastAsia" w:ascii="仿宋_GB2312" w:hAnsi="黑体" w:eastAsia="仿宋_GB2312"/>
          <w:color w:val="000000"/>
          <w:sz w:val="28"/>
          <w:szCs w:val="28"/>
        </w:rPr>
        <w:t>（二）2023年度内部控制工作的组织实施情况。</w:t>
      </w:r>
    </w:p>
    <w:p w14:paraId="41E593A3">
      <w:pPr>
        <w:autoSpaceDE w:val="0"/>
        <w:autoSpaceDN w:val="0"/>
        <w:spacing w:line="360" w:lineRule="auto"/>
        <w:ind w:firstLine="560" w:firstLineChars="200"/>
        <w:textAlignment w:val="baseline"/>
        <w:rPr>
          <w:rFonts w:ascii="仿宋" w:hAnsi="仿宋" w:eastAsia="仿宋"/>
          <w:color w:val="000000"/>
          <w:sz w:val="28"/>
          <w:szCs w:val="28"/>
        </w:rPr>
      </w:pPr>
      <w:r>
        <w:rPr>
          <w:rFonts w:ascii="仿宋" w:hAnsi="仿宋" w:eastAsia="仿宋"/>
          <w:color w:val="000000"/>
          <w:sz w:val="28"/>
          <w:szCs w:val="28"/>
        </w:rPr>
        <w:t>（一）建立内控机构,深入宣传发动1.建立内控机构。为内控机制建设提供组织保障.2.深入开展宣传发动,以每个党员干部都理解内控、熟悉内控参与内控为目标,深入开展内控机制建设宣传教育活动，大力宣传内控机制建设的重要意义.3.制订内控机制建设实施方案。方案制订时认真吸纳建言献策活动中有价值的意见和建议；方案制订后,要广泛征求群众意见,不断完善方案。(二）清理行政职权,优化权力运行流程。1。清理行政职权,编制职权清单。根据学校实际，行政职权清理的范围包括:（1）各项内部管理权，包括组织人事管理(干部选任、新教师招聘、教师调动、职称评定评优评先等)，财务管理(公务接待、资金使用、工程建设等），资产管理（物品采购、日常办公用品管理、固定资产管理等)，重要决策（政策制定、项目立项、资产处置、评估确认、行政奖惩等）;（2)其他依法实施的行政执法权和内部事务管理权。2。优化权力运行流程，健全组织规则和程序制度。要以合乎法度简单明了、方便群众、便于监督为基本原则，优化权力运行路径，提内控效率。保证环节之间、人员之间互相制衡,让决策权、执法权和管理权处于缜密的内部制约与监控之下（三）坚持上下联动,排查行政风险风险是指党员</w:t>
      </w:r>
      <w:r>
        <w:rPr>
          <w:rFonts w:hint="eastAsia" w:ascii="仿宋" w:hAnsi="仿宋" w:eastAsia="仿宋"/>
          <w:color w:val="000000"/>
          <w:sz w:val="28"/>
          <w:szCs w:val="28"/>
          <w:lang w:val="en-US" w:eastAsia="zh-CN"/>
        </w:rPr>
        <w:t>干</w:t>
      </w:r>
      <w:bookmarkStart w:id="0" w:name="_GoBack"/>
      <w:bookmarkEnd w:id="0"/>
      <w:r>
        <w:rPr>
          <w:rFonts w:ascii="仿宋" w:hAnsi="仿宋" w:eastAsia="仿宋"/>
          <w:color w:val="000000"/>
          <w:sz w:val="28"/>
          <w:szCs w:val="28"/>
        </w:rPr>
        <w:t>部在行使权力、执行公务或日常生活中发生腐败行为的可能性。排查的具体要求：1。逐岗位逐环节排查。要将风险排查工作落实到每个具体岗位的每项权力、权力运行的每个环节,拓展排查广度和深度,尽可能把隐患和问题想得严重一些,力求风险源（点)查找全面、细致、准确一些。在普遍排查的基础上，要突出重点岗位、重要权力项目、权力运行重点环节的风险排查。2。明确查找办法.将自己找、群众帮、领导点和民主评等方式结合起来，组织全体党员干部和教职工参与查找风险,人人查出风险,人人制定防范措施。具体来说，主要从三个方面入手：一是将目前已经发生违法违纪案件的环节作为风险点查找出来；二是将目前虽未发生案件，但存在较大风险隐患的环节作为风险点查找出来;三是将有发案风险，目前其他地区、其他单位已采取措施预防的环节作为风险点查找出来3.规范查找步骤。风险点的排查,要按照每位干部和教职工自查、学校的科室负责人带领全体人员集中讨论、科室负责人初审、单位内控委员会二审、听取民主管理委员会意见、单位领导组集体终审确认六个步骤进行，做到步骤齐全、层层把关、确保质量。4。突出查找重点.重点排查思想道德风险、制度机制风险、岗位职责风险、业务操作风险和人际交往风险等五类风险。（1）思想道德风险.查找是否无视纪律制度规定，不断发生小过错是否滥用裁量空间,经常做出有悖常理的决定；是否不按规定报告或故意隐瞒个人分管、经办的重要公务和业务；是否经常对不属于自已管辖范围内的工作施加影响；是否以沉默的方式容忍违纪违法行为,或对可疑的现象没有应有的反应;是否经常出入高档娱乐消费或不健康活动场所,生活行为不检点，群众或家庭成员有反映等。（2)制度机制风险.结合管理权限,查找本科室的内控制度是否具体、管用，是否覆盖各项公务或业务活动和权力运行的全过程。特别要排查那些不受关注且无制度约束的风险源（点),确保涉及职权利益的关键节点均能得到有效的制度规范和约束。（3）岗位职责风险。结合岗位职责要求，重点排查在集体决策行为和执行议事规则等方面可能存在的风险.（4)业务操作风险.结合业务工作特点,查找各类业务流程运行过程中易发的违纪违法行为。（5）人际交住风险。结合自身职权，查找有无与服务对象交往过密，经常在一起吃吃喝喝;有无接受可能影响公正执行公务的宴请、娱乐和其他消费方面的风险源.5.建立廉政风险源（点)信息库。对排查出的各类风险点要认真分析、评估，按照风险发生机率高低和危害损失程度大小进行风险排序,划分为高、中、低三个等级。按照内容全面、描述清楚、语言简洁的要求，采取图表方式,对风险点逐一登记，归类汇总,一一列举出问题类型、表现形式、形成原因、风险等级以及牵涉到的岗位和人员建立风险台账，形成本单位的风险信息库（四）制定防范措施,清理整合制度1.制定风险防范措施。针对查找出的每个风险源(点），深入分析风险产生的原因，按照有风险点必有防范措施的要求,逐一制定具体有效的防范措施2.完善规章制度。对原有制度进行清理、整合，并根据新形势新要求进行创造性地修订和补充，重构单位权力内控各项规章制度，并将内控制度汇编成册，形成制度体系重点加强对重大决策、干部任免和人事调配、资金使用和物品管理等方面权力的制约和监督,用完备的内控制度管人、管事、管钱3.持续更新内控机制。(五）抓好检查评估，务求内控实效1。正常开展自查自纠.如发现问题,要及时对违纪违规行为进行问责,督促被检查对象整改。2定期接受专项考评。3认真执行问责制度。</w:t>
      </w:r>
    </w:p>
    <w:p w14:paraId="57E4EFCB">
      <w:pPr>
        <w:autoSpaceDE w:val="0"/>
        <w:autoSpaceDN w:val="0"/>
        <w:ind w:firstLine="567"/>
        <w:textAlignment w:val="baseline"/>
        <w:rPr>
          <w:rFonts w:ascii="仿宋_GB2312" w:hAnsi="黑体" w:eastAsia="仿宋_GB2312"/>
          <w:color w:val="000000"/>
          <w:sz w:val="28"/>
          <w:szCs w:val="28"/>
        </w:rPr>
      </w:pPr>
      <w:r>
        <w:rPr>
          <w:rFonts w:hint="eastAsia" w:ascii="仿宋_GB2312" w:hAnsi="黑体" w:eastAsia="仿宋_GB2312"/>
          <w:color w:val="000000"/>
          <w:sz w:val="28"/>
          <w:szCs w:val="28"/>
        </w:rPr>
        <w:t>（三）内部控制制度建设与2023年度更新及执行情况。</w:t>
      </w:r>
    </w:p>
    <w:p w14:paraId="79F5E50A">
      <w:pPr>
        <w:autoSpaceDE w:val="0"/>
        <w:autoSpaceDN w:val="0"/>
        <w:spacing w:line="360" w:lineRule="auto"/>
        <w:ind w:firstLine="560" w:firstLineChars="200"/>
        <w:textAlignment w:val="baseline"/>
        <w:rPr>
          <w:rFonts w:ascii="仿宋" w:hAnsi="仿宋" w:eastAsia="仿宋"/>
          <w:color w:val="000000"/>
          <w:sz w:val="28"/>
          <w:szCs w:val="28"/>
        </w:rPr>
      </w:pPr>
      <w:r>
        <w:rPr>
          <w:rFonts w:ascii="仿宋" w:hAnsi="仿宋" w:eastAsia="仿宋"/>
          <w:color w:val="000000"/>
          <w:sz w:val="28"/>
          <w:szCs w:val="28"/>
        </w:rPr>
        <w:t>1、内部控制管理根据上级部门的要求，我部门不断加强自身的制度建设，进行不断的梳理和完善，对内控管理的各个环节加强制约，不断完善新业务的操作规程和流程，同时加强考核，以考核促提高，以提高促发展。从制度、会计、审计、安全等多方面，形成相互融通相互制约机制。我部门专门成立业务检查小组，定期、不定期对人员进行考核、检查，并结合案件“专项治理”工作，全面提高制度执行力。2、财务会计管理对财务会计方面，实行领导负责制，对我单位进行管理和检查，实行报告制。①加强学习和内部管理。对上级部门下发的各类文件和规章制度及时组织内部人员进行学习，并严格按照操作流程办理各项业务，确保结算和核算质量；②加强核算，提高经营效益。③切实加强财务管理制度，合理使用资金。严格按上级部门规定列支各项费用，坚持勤俭节约，不铺张浪费。 重大经济事项的决策方式与程序 一、 决策原则    （一）坚持依法决策。重大决策必须以宪法、法律和法规为依据，事先进行法律分析或法律审查，防止和纠正违反宪法、法律和法规的行政决策。    （二）坚持科学决策。重大决策，必须以基础性、战略性研究或发展规划为依据，对一些专业性强、情况复杂、影响深远的问题，要组织有关专门机构进行论证，并在综合分析的基础上，形成相对完善的方案，或多个比较方案。    （三）坚持民主决策。重大决策，应充分征求相关部门的意见；要广泛听取其他部门和社会各界的意见。      三、 决策程序    对重大事项的决策，一般分为决策准备、决策提交、决策反馈三个阶段。    （一）决策准备阶段。包括提出建议、调查研究、拟订方案、论证评估及征求意见等工作。      （二）决策提交阶段。包括确定提交、准备材料、通知落实、审议决策、形成纪要等。    （三）决策反馈阶段。在作出决策后，负责决策实施的部门或实施单位要定期向上级领导报告决策贯彻落实情况，及时反映决策实施过程中遇到的新情况、新问题，以便进行追踪决策。</w:t>
      </w:r>
    </w:p>
    <w:p w14:paraId="52C00DC7">
      <w:pPr>
        <w:autoSpaceDE w:val="0"/>
        <w:autoSpaceDN w:val="0"/>
        <w:ind w:firstLine="567"/>
        <w:textAlignment w:val="baseline"/>
        <w:rPr>
          <w:rFonts w:ascii="仿宋_GB2312" w:hAnsi="仿宋_GB2312" w:eastAsia="仿宋_GB2312"/>
          <w:color w:val="000000"/>
          <w:sz w:val="28"/>
          <w:szCs w:val="28"/>
        </w:rPr>
      </w:pPr>
      <w:r>
        <w:rPr>
          <w:rFonts w:hint="eastAsia" w:ascii="仿宋_GB2312" w:hAnsi="仿宋_GB2312" w:eastAsia="仿宋_GB2312"/>
          <w:color w:val="000000"/>
          <w:sz w:val="28"/>
          <w:szCs w:val="28"/>
        </w:rPr>
        <w:t>（四）2023年度内部控制评价与监督情况。</w:t>
      </w:r>
    </w:p>
    <w:p w14:paraId="4A592211">
      <w:pPr>
        <w:autoSpaceDE w:val="0"/>
        <w:autoSpaceDN w:val="0"/>
        <w:spacing w:line="360" w:lineRule="auto"/>
        <w:ind w:firstLine="560" w:firstLineChars="200"/>
        <w:textAlignment w:val="baseline"/>
        <w:rPr>
          <w:rFonts w:ascii="仿宋" w:hAnsi="仿宋" w:eastAsia="仿宋"/>
          <w:color w:val="000000"/>
          <w:sz w:val="28"/>
          <w:szCs w:val="28"/>
        </w:rPr>
      </w:pPr>
      <w:r>
        <w:rPr>
          <w:rFonts w:ascii="仿宋" w:hAnsi="仿宋" w:eastAsia="仿宋"/>
          <w:color w:val="000000"/>
          <w:sz w:val="28"/>
          <w:szCs w:val="28"/>
        </w:rPr>
        <w:t>我校开展内部控制，依法履职、落实财政监管、强化单位治理的必然要求。现我校内部控制评价与监督情况如下：由单位负责人带头，各科室对管理工作进行自我评价，形成内部控制自我评价报告；负责内部监督的部门定期检查单位内部的各项内管理制度和机制建立，及时发现并纠正错误，最终形成监督报告。</w:t>
      </w:r>
    </w:p>
    <w:p w14:paraId="298BFCC5">
      <w:pPr>
        <w:autoSpaceDE w:val="0"/>
        <w:autoSpaceDN w:val="0"/>
        <w:ind w:left="147" w:firstLine="420"/>
        <w:textAlignment w:val="baseline"/>
        <w:rPr>
          <w:rFonts w:ascii="黑体" w:hAnsi="黑体" w:eastAsia="黑体"/>
          <w:color w:val="000000"/>
          <w:sz w:val="28"/>
          <w:szCs w:val="28"/>
        </w:rPr>
      </w:pPr>
      <w:r>
        <w:rPr>
          <w:rFonts w:hint="eastAsia" w:ascii="黑体" w:hAnsi="黑体" w:eastAsia="黑体"/>
          <w:color w:val="000000"/>
          <w:sz w:val="28"/>
          <w:szCs w:val="28"/>
        </w:rPr>
        <w:t>二、单位存在的内部控制问题及其整改情况</w:t>
      </w:r>
    </w:p>
    <w:p w14:paraId="2931FEA8">
      <w:pPr>
        <w:autoSpaceDE w:val="0"/>
        <w:autoSpaceDN w:val="0"/>
        <w:ind w:firstLine="567"/>
        <w:textAlignment w:val="baseline"/>
        <w:rPr>
          <w:rFonts w:ascii="仿宋_GB2312" w:hAnsi="黑体" w:eastAsia="仿宋_GB2312"/>
          <w:color w:val="000000"/>
          <w:sz w:val="28"/>
          <w:szCs w:val="28"/>
        </w:rPr>
      </w:pPr>
      <w:r>
        <w:rPr>
          <w:rFonts w:hint="eastAsia" w:ascii="仿宋_GB2312" w:hAnsi="黑体" w:eastAsia="仿宋_GB2312"/>
          <w:color w:val="000000"/>
          <w:sz w:val="28"/>
          <w:szCs w:val="28"/>
        </w:rPr>
        <w:t>（一）2023年度单位内部控制自我评价以及财政部门、主管部门组织的内部控制外部评价发现问题及其整改情况。</w:t>
      </w:r>
    </w:p>
    <w:p w14:paraId="3B3AF09C">
      <w:pPr>
        <w:autoSpaceDE w:val="0"/>
        <w:autoSpaceDN w:val="0"/>
        <w:spacing w:line="360" w:lineRule="auto"/>
        <w:ind w:firstLine="560" w:firstLineChars="200"/>
        <w:textAlignment w:val="baseline"/>
        <w:rPr>
          <w:rFonts w:ascii="仿宋" w:hAnsi="仿宋" w:eastAsia="仿宋"/>
          <w:color w:val="000000"/>
          <w:sz w:val="28"/>
          <w:szCs w:val="28"/>
        </w:rPr>
      </w:pPr>
      <w:r>
        <w:rPr>
          <w:rFonts w:ascii="仿宋" w:hAnsi="仿宋" w:eastAsia="仿宋"/>
          <w:color w:val="000000"/>
          <w:sz w:val="28"/>
          <w:szCs w:val="28"/>
        </w:rPr>
        <w:t>2022年度单位内部控制评价发现问题及其整改情况。无
</w:t>
      </w:r>
    </w:p>
    <w:p w14:paraId="493214DB">
      <w:pPr>
        <w:autoSpaceDE w:val="0"/>
        <w:autoSpaceDN w:val="0"/>
        <w:ind w:firstLine="567"/>
        <w:textAlignment w:val="baseline"/>
        <w:rPr>
          <w:rFonts w:ascii="仿宋_GB2312" w:hAnsi="黑体" w:eastAsia="仿宋_GB2312"/>
          <w:color w:val="000000"/>
          <w:sz w:val="28"/>
          <w:szCs w:val="28"/>
        </w:rPr>
      </w:pPr>
      <w:r>
        <w:rPr>
          <w:rFonts w:hint="eastAsia" w:ascii="仿宋_GB2312" w:hAnsi="黑体" w:eastAsia="仿宋_GB2312"/>
          <w:color w:val="000000"/>
          <w:sz w:val="28"/>
          <w:szCs w:val="28"/>
        </w:rPr>
        <w:t>（二）2023年度单位巡视、纪检监察、审计、财会监督等工作发现的与内部控制相关问题及其整改情况。</w:t>
      </w:r>
    </w:p>
    <w:p w14:paraId="677941DE">
      <w:pPr>
        <w:autoSpaceDE w:val="0"/>
        <w:autoSpaceDN w:val="0"/>
        <w:spacing w:line="360" w:lineRule="auto"/>
        <w:ind w:firstLine="560" w:firstLineChars="200"/>
        <w:textAlignment w:val="baseline"/>
        <w:rPr>
          <w:rFonts w:ascii="仿宋" w:hAnsi="仿宋" w:eastAsia="仿宋"/>
          <w:color w:val="000000"/>
          <w:sz w:val="28"/>
          <w:szCs w:val="28"/>
        </w:rPr>
      </w:pPr>
      <w:r>
        <w:rPr>
          <w:rFonts w:ascii="仿宋" w:hAnsi="仿宋" w:eastAsia="仿宋"/>
          <w:color w:val="000000"/>
          <w:sz w:val="28"/>
          <w:szCs w:val="28"/>
        </w:rPr>
        <w:t>2022年度单位巡视、纪检监察、审计等工作发现的与内部控制相关问题及其整改情况。
无</w:t>
      </w:r>
    </w:p>
    <w:p w14:paraId="71BC2F5C">
      <w:pPr>
        <w:autoSpaceDE w:val="0"/>
        <w:autoSpaceDN w:val="0"/>
        <w:ind w:left="147" w:firstLine="420"/>
        <w:textAlignment w:val="baseline"/>
        <w:rPr>
          <w:rFonts w:ascii="黑体" w:hAnsi="黑体" w:eastAsia="黑体"/>
          <w:color w:val="000000"/>
          <w:sz w:val="28"/>
          <w:szCs w:val="28"/>
        </w:rPr>
      </w:pPr>
      <w:r>
        <w:rPr>
          <w:rFonts w:hint="eastAsia" w:ascii="黑体" w:hAnsi="黑体" w:eastAsia="黑体"/>
          <w:color w:val="000000"/>
          <w:sz w:val="28"/>
          <w:szCs w:val="28"/>
        </w:rPr>
        <w:t>三、单位内部控制报告审核情况</w:t>
      </w:r>
    </w:p>
    <w:p w14:paraId="285EFBF8">
      <w:pPr>
        <w:pStyle w:val="28"/>
        <w:tabs>
          <w:tab w:val="left" w:pos="851"/>
        </w:tabs>
        <w:spacing w:line="360" w:lineRule="auto"/>
        <w:ind w:firstLine="560"/>
        <w:rPr>
          <w:rFonts w:ascii="仿宋" w:hAnsi="仿宋" w:eastAsia="仿宋"/>
          <w:color w:val="000000"/>
          <w:sz w:val="28"/>
          <w:szCs w:val="28"/>
        </w:rPr>
      </w:pPr>
      <w:r>
        <w:rPr>
          <w:rFonts w:hint="eastAsia" w:ascii="仿宋" w:hAnsi="仿宋" w:eastAsia="仿宋"/>
          <w:color w:val="000000"/>
          <w:sz w:val="28"/>
          <w:szCs w:val="28"/>
        </w:rPr>
        <w:t>（一）报告材料的规范性。</w:t>
      </w:r>
    </w:p>
    <w:p w14:paraId="321B1A9D">
      <w:pPr>
        <w:autoSpaceDE w:val="0"/>
        <w:autoSpaceDN w:val="0"/>
        <w:spacing w:line="360" w:lineRule="auto"/>
        <w:ind w:firstLine="560" w:firstLineChars="200"/>
        <w:textAlignment w:val="baseline"/>
        <w:rPr>
          <w:rFonts w:ascii="仿宋" w:hAnsi="仿宋" w:eastAsia="仿宋"/>
          <w:color w:val="000000"/>
          <w:sz w:val="28"/>
          <w:szCs w:val="28"/>
        </w:rPr>
      </w:pPr>
      <w:r>
        <w:rPr>
          <w:rFonts w:ascii="仿宋" w:hAnsi="仿宋" w:eastAsia="仿宋"/>
          <w:color w:val="000000"/>
          <w:sz w:val="28"/>
          <w:szCs w:val="28"/>
        </w:rPr>
        <w:t>规范</w:t>
      </w:r>
    </w:p>
    <w:p w14:paraId="48907FF0">
      <w:pPr>
        <w:pStyle w:val="28"/>
        <w:tabs>
          <w:tab w:val="left" w:pos="851"/>
        </w:tabs>
        <w:spacing w:line="360" w:lineRule="auto"/>
        <w:ind w:firstLine="560"/>
        <w:rPr>
          <w:rFonts w:ascii="仿宋" w:hAnsi="仿宋" w:eastAsia="仿宋"/>
          <w:color w:val="000000"/>
          <w:sz w:val="28"/>
          <w:szCs w:val="28"/>
        </w:rPr>
      </w:pPr>
      <w:r>
        <w:rPr>
          <w:rFonts w:hint="eastAsia" w:ascii="仿宋" w:hAnsi="仿宋" w:eastAsia="仿宋"/>
          <w:color w:val="000000"/>
          <w:sz w:val="28"/>
          <w:szCs w:val="28"/>
        </w:rPr>
        <w:t>（二）上下年数据变动合理性。</w:t>
      </w:r>
    </w:p>
    <w:p w14:paraId="558B9540">
      <w:pPr>
        <w:autoSpaceDE w:val="0"/>
        <w:autoSpaceDN w:val="0"/>
        <w:spacing w:line="360" w:lineRule="auto"/>
        <w:ind w:firstLine="560" w:firstLineChars="200"/>
        <w:textAlignment w:val="baseline"/>
        <w:rPr>
          <w:rFonts w:ascii="仿宋" w:hAnsi="仿宋" w:eastAsia="仿宋"/>
          <w:color w:val="000000"/>
          <w:sz w:val="28"/>
          <w:szCs w:val="28"/>
        </w:rPr>
      </w:pPr>
      <w:r>
        <w:rPr>
          <w:rFonts w:ascii="仿宋" w:hAnsi="仿宋" w:eastAsia="仿宋"/>
          <w:color w:val="000000"/>
          <w:sz w:val="28"/>
          <w:szCs w:val="28"/>
        </w:rPr>
        <w:t>在正常范围内，合理</w:t>
      </w:r>
    </w:p>
    <w:p w14:paraId="5670E7AB">
      <w:pPr>
        <w:pStyle w:val="28"/>
        <w:tabs>
          <w:tab w:val="left" w:pos="851"/>
        </w:tabs>
        <w:spacing w:line="360" w:lineRule="auto"/>
        <w:ind w:firstLine="560"/>
        <w:rPr>
          <w:rFonts w:ascii="仿宋" w:hAnsi="仿宋" w:eastAsia="仿宋"/>
          <w:color w:val="000000"/>
          <w:sz w:val="28"/>
          <w:szCs w:val="28"/>
        </w:rPr>
      </w:pPr>
      <w:r>
        <w:rPr>
          <w:rFonts w:hint="eastAsia" w:ascii="仿宋" w:hAnsi="仿宋" w:eastAsia="仿宋"/>
          <w:color w:val="000000"/>
          <w:sz w:val="28"/>
          <w:szCs w:val="28"/>
        </w:rPr>
        <w:t>（三）业务数据的准确性。</w:t>
      </w:r>
    </w:p>
    <w:p w14:paraId="1CF51F2F">
      <w:pPr>
        <w:autoSpaceDE w:val="0"/>
        <w:autoSpaceDN w:val="0"/>
        <w:spacing w:line="360" w:lineRule="auto"/>
        <w:ind w:firstLine="560" w:firstLineChars="200"/>
        <w:textAlignment w:val="baseline"/>
        <w:rPr>
          <w:rFonts w:ascii="仿宋" w:hAnsi="仿宋" w:eastAsia="仿宋"/>
          <w:color w:val="000000"/>
          <w:sz w:val="28"/>
          <w:szCs w:val="28"/>
        </w:rPr>
      </w:pPr>
      <w:r>
        <w:rPr>
          <w:rFonts w:ascii="仿宋" w:hAnsi="仿宋" w:eastAsia="仿宋"/>
          <w:color w:val="000000"/>
          <w:sz w:val="28"/>
          <w:szCs w:val="28"/>
        </w:rPr>
        <w:t>在正常范围内，合理。</w:t>
      </w:r>
    </w:p>
    <w:p w14:paraId="42104D65">
      <w:pPr>
        <w:pStyle w:val="28"/>
        <w:tabs>
          <w:tab w:val="left" w:pos="851"/>
        </w:tabs>
        <w:spacing w:line="360" w:lineRule="auto"/>
        <w:ind w:firstLine="560"/>
        <w:rPr>
          <w:rFonts w:ascii="仿宋" w:hAnsi="仿宋" w:eastAsia="仿宋"/>
          <w:color w:val="000000"/>
          <w:sz w:val="28"/>
          <w:szCs w:val="28"/>
        </w:rPr>
      </w:pPr>
      <w:r>
        <w:rPr>
          <w:rFonts w:hint="eastAsia" w:ascii="仿宋" w:hAnsi="仿宋" w:eastAsia="仿宋"/>
          <w:color w:val="000000"/>
          <w:sz w:val="28"/>
          <w:szCs w:val="28"/>
        </w:rPr>
        <w:t>（四）数值型指标的合理性。</w:t>
      </w:r>
    </w:p>
    <w:p w14:paraId="04C51AB1">
      <w:pPr>
        <w:autoSpaceDE w:val="0"/>
        <w:autoSpaceDN w:val="0"/>
        <w:spacing w:line="360" w:lineRule="auto"/>
        <w:ind w:firstLine="560" w:firstLineChars="200"/>
        <w:textAlignment w:val="baseline"/>
        <w:rPr>
          <w:rFonts w:ascii="仿宋" w:hAnsi="仿宋" w:eastAsia="仿宋"/>
          <w:color w:val="000000"/>
          <w:sz w:val="28"/>
          <w:szCs w:val="28"/>
        </w:rPr>
      </w:pPr>
      <w:r>
        <w:rPr>
          <w:rFonts w:ascii="仿宋" w:hAnsi="仿宋" w:eastAsia="仿宋"/>
          <w:color w:val="000000"/>
          <w:sz w:val="28"/>
          <w:szCs w:val="28"/>
        </w:rPr>
        <w:t>准确，依据2023年决算报表和2023年资产年报取数。</w:t>
      </w:r>
    </w:p>
    <w:p w14:paraId="12EA47A6">
      <w:pPr>
        <w:autoSpaceDE w:val="0"/>
        <w:autoSpaceDN w:val="0"/>
        <w:ind w:firstLine="565" w:firstLineChars="202"/>
        <w:textAlignment w:val="baseline"/>
        <w:rPr>
          <w:rFonts w:ascii="黑体" w:hAnsi="黑体" w:eastAsia="黑体"/>
          <w:color w:val="000000"/>
          <w:sz w:val="28"/>
          <w:szCs w:val="28"/>
        </w:rPr>
      </w:pPr>
      <w:r>
        <w:rPr>
          <w:rFonts w:hint="eastAsia" w:ascii="黑体" w:hAnsi="黑体" w:eastAsia="黑体"/>
          <w:color w:val="000000"/>
          <w:sz w:val="28"/>
          <w:szCs w:val="28"/>
        </w:rPr>
        <w:t>四、单位内部控制工作的经验做法和取得的成效</w:t>
      </w:r>
    </w:p>
    <w:p w14:paraId="2FC3600D">
      <w:pPr>
        <w:autoSpaceDE w:val="0"/>
        <w:autoSpaceDN w:val="0"/>
        <w:ind w:firstLine="567"/>
        <w:textAlignment w:val="baseline"/>
        <w:rPr>
          <w:rFonts w:ascii="仿宋" w:hAnsi="仿宋" w:eastAsia="仿宋"/>
          <w:color w:val="000000"/>
          <w:sz w:val="28"/>
          <w:szCs w:val="28"/>
        </w:rPr>
      </w:pPr>
      <w:r>
        <w:rPr>
          <w:rFonts w:hint="eastAsia" w:ascii="仿宋" w:hAnsi="仿宋" w:eastAsia="仿宋"/>
          <w:color w:val="000000"/>
          <w:sz w:val="28"/>
          <w:szCs w:val="28"/>
        </w:rPr>
        <w:t>（一）单位在推动内部控制工作中总结出的有关经验做法。</w:t>
      </w:r>
    </w:p>
    <w:p w14:paraId="14D692F8">
      <w:pPr>
        <w:autoSpaceDE w:val="0"/>
        <w:autoSpaceDN w:val="0"/>
        <w:spacing w:line="360" w:lineRule="auto"/>
        <w:ind w:firstLine="560" w:firstLineChars="200"/>
        <w:textAlignment w:val="baseline"/>
        <w:rPr>
          <w:rFonts w:ascii="仿宋" w:hAnsi="仿宋" w:eastAsia="仿宋"/>
          <w:color w:val="000000"/>
          <w:sz w:val="28"/>
          <w:szCs w:val="28"/>
        </w:rPr>
      </w:pPr>
      <w:r>
        <w:rPr>
          <w:rFonts w:ascii="仿宋" w:hAnsi="仿宋" w:eastAsia="仿宋"/>
          <w:color w:val="000000"/>
          <w:sz w:val="28"/>
          <w:szCs w:val="28"/>
        </w:rPr>
        <w:t>（一）单位在推动内部控制工作中总结出的有关经验做法。
学校内部控制不仅是财务室、内审室的重要工作，而且是联系各个部门进行自查自纠的重要手段，学校各个部门联动，信息互通、数据保存完整，内控才会顺利进行。
（二）单位建立与实施内部控制后取得的有关成效。
本年来学校内部控制制度和财务收支管理工作取得了一定的效果。一是领导高度重视，对这项工作思想认识到位，工作措施到位。二是在学校内部控制制度和财务管理方面，工作实在，各项制度基本健全，并能得到很好的落实。保证了学校教育教学工作的正常运转，不断提高了学校的办学质量。今后，我们将进一步严格执行财务管理的规章制度，完善学校财务内控的长效机制，努力做好学校财务管理工作，力争再上新台阶。</w:t>
      </w:r>
    </w:p>
    <w:p w14:paraId="3C24CCC2">
      <w:pPr>
        <w:autoSpaceDE w:val="0"/>
        <w:autoSpaceDN w:val="0"/>
        <w:ind w:firstLine="567"/>
        <w:textAlignment w:val="baseline"/>
        <w:rPr>
          <w:rFonts w:ascii="仿宋" w:hAnsi="仿宋" w:eastAsia="仿宋"/>
          <w:color w:val="000000"/>
          <w:sz w:val="28"/>
          <w:szCs w:val="28"/>
        </w:rPr>
      </w:pPr>
      <w:r>
        <w:rPr>
          <w:rFonts w:hint="eastAsia" w:ascii="仿宋" w:hAnsi="仿宋" w:eastAsia="仿宋"/>
          <w:color w:val="000000"/>
          <w:sz w:val="28"/>
          <w:szCs w:val="28"/>
        </w:rPr>
        <w:t>（二）单位建立与实施内部控制后取得的有关成效。</w:t>
      </w:r>
    </w:p>
    <w:p w14:paraId="4133B1A8">
      <w:pPr>
        <w:autoSpaceDE w:val="0"/>
        <w:autoSpaceDN w:val="0"/>
        <w:spacing w:line="360" w:lineRule="auto"/>
        <w:ind w:firstLine="560" w:firstLineChars="200"/>
        <w:textAlignment w:val="baseline"/>
        <w:rPr>
          <w:rFonts w:ascii="仿宋" w:hAnsi="仿宋" w:eastAsia="仿宋"/>
          <w:color w:val="000000"/>
          <w:sz w:val="28"/>
          <w:szCs w:val="28"/>
        </w:rPr>
      </w:pPr>
      <w:r>
        <w:rPr>
          <w:rFonts w:ascii="仿宋" w:hAnsi="仿宋" w:eastAsia="仿宋"/>
          <w:color w:val="000000"/>
          <w:sz w:val="28"/>
          <w:szCs w:val="28"/>
        </w:rPr>
        <w:t>（二）单位建立与实施内部控制后取得的有关成效。
本年来学校内部控制制度和财务收支管理工作取得了一定的效果。一是领导高度重视，对这项工作思想认识到位，工作措施到位。二是在学校内部控制制度和财务管理方面，工作实在，各项制度基本健全，并能得到很好的落实。保证了学校教育教学工作的正常运转，不断提高了学校的办学质量。今后，我们将进一步严格执行财务管理的规章制度，完善学校财务内控的长效机制，努力做好学校财务管理工作，力争再上新台阶。</w:t>
      </w:r>
    </w:p>
    <w:p w14:paraId="5EA17800">
      <w:pPr>
        <w:autoSpaceDE w:val="0"/>
        <w:autoSpaceDN w:val="0"/>
        <w:ind w:firstLine="565" w:firstLineChars="202"/>
        <w:textAlignment w:val="baseline"/>
        <w:rPr>
          <w:rFonts w:ascii="黑体" w:hAnsi="黑体" w:eastAsia="黑体"/>
          <w:color w:val="000000"/>
          <w:sz w:val="28"/>
          <w:szCs w:val="28"/>
        </w:rPr>
      </w:pPr>
      <w:r>
        <w:rPr>
          <w:rFonts w:hint="eastAsia" w:ascii="黑体" w:hAnsi="黑体" w:eastAsia="黑体"/>
          <w:color w:val="000000"/>
          <w:sz w:val="28"/>
          <w:szCs w:val="28"/>
        </w:rPr>
        <w:t>五、有关意见建议</w:t>
      </w:r>
    </w:p>
    <w:p w14:paraId="21131925">
      <w:pPr>
        <w:autoSpaceDE w:val="0"/>
        <w:autoSpaceDN w:val="0"/>
        <w:spacing w:line="360" w:lineRule="auto"/>
        <w:ind w:firstLine="560" w:firstLineChars="200"/>
        <w:textAlignment w:val="baseline"/>
        <w:rPr>
          <w:rFonts w:ascii="仿宋" w:hAnsi="仿宋" w:eastAsia="仿宋"/>
          <w:color w:val="000000"/>
          <w:sz w:val="28"/>
          <w:szCs w:val="28"/>
        </w:rPr>
      </w:pPr>
      <w:r>
        <w:rPr>
          <w:rFonts w:ascii="仿宋" w:hAnsi="仿宋" w:eastAsia="仿宋"/>
          <w:color w:val="000000"/>
          <w:sz w:val="28"/>
          <w:szCs w:val="28"/>
        </w:rPr>
        <w:t>（一）加强学校单位层面的内部控制建设        1.转变管理层对于内部控制的认识，建立起良好的内部控制环境        单位负责人应当转变原有的观念，要意识到内部控制的重要性，要采取积极支持的态度，并直接参与内部控制建设过程，提供必要的人力、物力支持，保证内部控制的有效开展和内部控制的有效实施。学校要单独设置内部控制职能部门或确定内部控制牵头部门，做好学校各部门和各岗位之间的沟通协调，加强对全体教职员工的培训，可以通过组织教职员工定期进行培训学习，在日常工作中适时宣传等多种形式，在学校内部形成内部控制制度建设的意识，创造良好的内部控制氛围。同时强化内部财务监督，经济活动的落实和执行情况是否符合学校内部相关规定，了解执行中存在的问题，反馈给学校领导，同时配合相应的奖罚制度，以便提高内控制度考核监督的力度。        2.建立健全符合本单位实际情况的内部控制制度，从源头上保障内控体系健康有效        《会计法》规定事业单位必须建立健全内部控制制度，以确保会计信息的真实可靠，国家财产安全稳定。因此各学校应该结合自身学校的特点制定切实有效的内控制度，每个学校都有不同的经济规模，不能拿别人的内控制度生搬硬套，不符合自己实际情况的，执行不了，也无法进行内控评价，例如重大经济事项的认定标准，每个学校情况不同，所以认定标准也会根据单位实际情况出现不同。        3.加强建立健全议事决策机制        学校应当明确实行单位领导班子集体决策的重大经济事项的范围，一般包括大额资金使用、大宗资产采购、基本建设项目、重大外包业务、对外投资和融资业务（如果国家有关规定允许）、重要资产处置、信息化建设以及预算调整等，学校根据自身实际情况进行界定，一经确定，不得随意变更；在议事决策机制中要坚持集体民主集中制原则，将集体研究、专家论证和技术咨询相结合，重大事项决策纪要要如实反映议事过程以及每一位议事成员的意见，并要求议事成员进行核实、签字认可，并将决策纪要及时归档、妥善保存。        单位内部的决策以及经济活动的决策各方面的决策应该遵循民意，参考各阶层的意见进行统一决策，显示出公平公正性，保证决策的民主化和科学性。        4.建立健全内部控制关键岗位责任制，完善财务管理制度        学校内部控制的关键岗位主要包括预算业务管理、收支业务管理、政府采购业务管理、资产管理、建设项目管理、合同管理以及内部监督等经济活动的关键岗位，要明确职责及分工，确保不相容岗位相互分离、相互制约和相互监督。学校的经济活动的决策、执行、监督相互分离制约，业务申请与审批、审批与具体业务执行、业务执行与信息记录（如财产保管、会计记录）等岗位分离。        学校要根据国家有关规定并结合单位实际制定和完善各项财务管理制度，如制定财务管理办法、经费支出标准，差旅费报销管理办法、学校采购管理办法等内部管理制度，使学校开展各项经济活动有据可依。        5.运用信息化技术加强学校内部控制        在建设智慧校园的大环境下，学校应当将内部控制做为智慧校园管理的一部分，在办公业务、财务管理、资产信息管理等方面加强信息化控制，将业务经济活动及其内部控制的操作流程和制度措施融入学校智慧校园建设中，减少或消除人为操纵的因素，保护信息安全。        （二）加强学校业务层面的内部控制        1.着重加强内部控制中的预算控制环节        建立全面预算控制制度是学校内部控制的重要环节，其内容涵盖教学、科研、学校日常运行活动的全过程。预算控制是内部控制的一个重要方面。当年经过批准下达的预算就是学校经济活动的法令，学校做为执行主体，科学制定支出计划，内部各部门要严格且有步骤地执行。学校通过全面预算管理，可以使学校管理层用统一的标准在校内各部门分配办学资源，从而使各部门依照学校的统一的目标实行分权管理。依据“量入为出、收支平衡”的总原则，实行全面预算控制，其不仅仅是对预算编制，而是包括预算编制、执行、分析及考核等在内的整体的、动态的控制。        2.加强收支业务控制        强化会计基础工作，确保会计信息真实有效，通过财务报账程序控制、会计处理程序控制和复核控制等措施，确保会计信息的真实性、及时性和完整性。学校收取的学费、住宿费等教育收费属于行政事业性收费，要严格执行“收支两条线”管理规定，及时足额上缴财政专户，不得以任何形式截留、挪用；学校代收代管的一些费用，如代学生订购课本教材费、校园一卡通、代收代付的水电费等，如果这些代管收入已使用财政预算资金支付，学校向学生收回的收入应全部上缴国库。        （1）加强经济活动事前审批及事后审核控制。学校要明确经济活动的内部审批权限、程序、责任和相关控制措施；在发生相关支出前应当履行事前申请程序，经审核通过后再开展相关业务；各项支出事后要经过规定的审批才能向财会部门申请资金支付，财会部门在办法资金支付前应当全面审核各类单据，重点审核单据来源是否合法，资料内容是否完整真实，执行标准是否符合相关规定，审批手续是否齐全，使用是否准确，是否符合预算。        （2）加强支出业务分析控制。财会部门要定期编制支出业务预算执行情况分析报告，季度及年度要出具财务分析报告，为学校领导进行管理决策及时提供信息支持，对支出业务中发现的异常情况，要及时汇报并采取有效措施。        3.加强政府采购业务的管理控制        这些年来，国家在教育方面的投资逐年增加，学校在政府采购能力上已经有了长足的进步。学校要加强政府采购管理，建立健全关于政府采购预算与计划管理、活动管理、验收管理等政府采购内部管理制度，确保需求制定与内部审批、招标文件准备与复核、合同签订与验收、验收与保管等不相容岗位分离，学校要按照已批复的预算合理安排采购计划，业务部门应当在政府采购预算指标批准范围内，定期提交本部门的政府采购计划；学校要加强对政府采购申请的内部审核，按照规定选择政府采购方式、发布政府采购信息，采购货物、服务和工程应当严格按照年度政府采购目录及标准的规定执行，采用非公开招标方式采购公开招标数额标准以上的货物或服务，以及政府采购进口产品应当按规定报批。        学校要加强对政府采购项目验收的管理，根据规定的验收制度和政府采购文件，指定部门或专人对所购物品的品种、规格、数量、质量和其他相关内容进行验收，并出具验收证明。学校要妥善保管政府采购预算与计划、各类批复文件、招投标文件、合同文本、验收证明等政府采购业务相关资料。        4.加强学校资产的管理控制        学校应当对资产实行分类管理，建立健全资产内部管理制度，目前很多学校实行集中核算，不相容岗位已分离，授权审批有控制，银行账户等有控制，这样货币资金的控制已基本规范；学校主要加强非流动资产中固定资产和无形资产的管理，对相关的岗位职责明确化，强化对资产的配置、使用保管以及资产的处置等关键环节的管控。        （1）明确非流动资产的使用和保管责任人，根据制定的岗位责任制度，落实资产使用人在资产管理中的责任。对于固定资产及无形资产，需要建立详细的资产实物台账（卡片账），实行信息化管理的按信息系统要求处理，在卡片账上明确资产的购买日期、资产价值、使用人、存放地等内容；固定资产实物应当贴上标签，标签的内容与卡片账内容一致。        （2）学校应当做好资产的实物管理，定期清查盘点资产，保证资产台账与实物相符，固定资产管理员也要与财务的资产明细账定期对账，保证账账相符，发现不符的，应当及时查明原因，并按照相关规定处理。        （3）用好资产信息管理系统，建立起所有资产的数据库，实现资产的电子化、数字化、网络化管理，做好资产的统计、分析、报告，与上级部门的资产管理端口对接，实现对资产的动态管理。        5.加强合同制度建设，规范合同管理行为        学校应当形成“突出预防为主，注重行为规范”的管理思想，完善学校合同管理制度，把住合同管理重要关口，明确合同的审签程序及授权审批情况，合同的履行、变更和解除以及合同的资料保管等，确保合同管理规范有序开展，努力维护学校合法权益。        （1）要明确合同订立的范围和条件。有些学校对合同订立的范围和条件模糊不到位，仅仅只用支出金额来做为合同订立的条件，造成一些超过限额的常规办公用品购置也要去签订合同，起不到什么作用，反而是一些经济活动虽在限额以下，但忽视了要通过签订合同来维护学校的权益，所以学校要按照经济活动的实质，确立合同订立的条件和范围。        （2）做好合同审签管理。学校签订合同前必须严格审查对方当事人的主体资格及履约能力，对方当事人提供的各种证明资料进行核查，合同应当内容具体、用语准确、无歧义，条款必须要完整，一般包括当事人的名称或者姓名和住所，标的，数量和质量，价款和报酬，履行的期限、地点和方式，违约责任及解决争议的方法等。对于影响重大、涉及较高专业技术或法律关系复杂的合同，最好能组织法律及专业人员参与，必要时可聘请外部专家参与相关工作。        （3）加强对合同资料的管理。学校要明确合同资料的归口管理部门，要定期对合同资料进行分类归档编号、统计，详细登记合同的订立、履行和变更情况，形成档案资料，实行对合同的全过程管理。        （三）学校要建立健全内部控制的风险评估机制        风险评估对于学校未来的发展以及决策制定等各方面都起到了重要的影响作用，加强现阶段学校内部控制的风险评估水平首先就得建立相应的风险评估小组，对学校在发展中可能存在的问题进行客观全面的分析和评估；其次就是科学的开展风险评估工作，在制定风险评估策略时要充分考虑到风险发生的几率以及影响程</w:t>
      </w:r>
      <w:r>
        <w:rPr>
          <w:rFonts w:ascii="仿宋" w:hAnsi="仿宋" w:eastAsia="仿宋"/>
          <w:color w:val="000000"/>
          <w:sz w:val="28"/>
          <w:szCs w:val="28"/>
        </w:rPr>
        <w:t>度等，根据具体情况制定相应的解决措施。风险评估要考虑到各个方面的问题，有效的做好风险规避工作，加强学校对于风险应对能力。        学校内部控制体系的健全、完善和执行，是一项综合的系统工程，具有长期性和复杂性，加强领导对建立和实施内部控制的重视，结合学校自身的实际情况，通过风险评估，正确认识到学校管理中存在的风险，科学设计内部控制制度，将制衡机制嵌入到内部管理之中，提升内部控制的信息化管理水平，建立日常监督评价机制，学校要不断探索内部控制的策略，保证内部控制的有效执行。</w:t>
      </w:r>
    </w:p>
    <w:p w14:paraId="52F4177F">
      <w:pPr>
        <w:rPr>
          <w:rFonts w:ascii="黑体" w:eastAsia="黑体"/>
          <w:sz w:val="24"/>
        </w:rPr>
      </w:pPr>
      <w:r>
        <w:rPr>
          <w:rFonts w:hint="eastAsia" w:eastAsia="仿宋_GB2312" w:cs="仿宋_GB2312"/>
          <w:color w:val="000000"/>
          <w:spacing w:val="4"/>
          <w:sz w:val="30"/>
          <w:szCs w:val="30"/>
        </w:rPr>
        <w:br w:type="page"/>
      </w:r>
      <w:r>
        <w:rPr>
          <w:rFonts w:hint="eastAsia" w:eastAsia="仿宋_GB2312" w:cs="仿宋_GB2312"/>
          <w:color w:val="000000"/>
          <w:spacing w:val="4"/>
          <w:sz w:val="30"/>
          <w:szCs w:val="30"/>
        </w:rPr>
        <w:t>附表</w:t>
      </w:r>
    </w:p>
    <w:p w14:paraId="63E7BA0E">
      <w:pPr>
        <w:tabs>
          <w:tab w:val="left" w:pos="851"/>
        </w:tabs>
        <w:spacing w:after="156" w:afterLines="50" w:line="360" w:lineRule="auto"/>
        <w:jc w:val="center"/>
        <w:rPr>
          <w:rFonts w:ascii="黑体" w:eastAsia="黑体" w:cs="方正小标宋简体"/>
          <w:color w:val="000000"/>
          <w:spacing w:val="8"/>
          <w:sz w:val="36"/>
          <w:szCs w:val="36"/>
        </w:rPr>
      </w:pPr>
      <w:r>
        <w:rPr>
          <w:rFonts w:hint="eastAsia" w:ascii="黑体" w:eastAsia="黑体" w:cs="方正小标宋简体"/>
          <w:color w:val="000000"/>
          <w:spacing w:val="8"/>
          <w:sz w:val="36"/>
          <w:szCs w:val="36"/>
        </w:rPr>
        <w:t>一、单位基本情况</w:t>
      </w:r>
    </w:p>
    <w:tbl>
      <w:tblPr>
        <w:tblStyle w:val="11"/>
        <w:tblW w:w="8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7"/>
        <w:gridCol w:w="2411"/>
        <w:gridCol w:w="1658"/>
        <w:gridCol w:w="2573"/>
      </w:tblGrid>
      <w:tr w14:paraId="207F2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897" w:type="dxa"/>
            <w:vAlign w:val="center"/>
          </w:tcPr>
          <w:p w14:paraId="0CA49184">
            <w:pPr>
              <w:spacing w:line="280" w:lineRule="exact"/>
              <w:jc w:val="center"/>
              <w:rPr>
                <w:rFonts w:eastAsia="仿宋_GB2312"/>
                <w:color w:val="000000"/>
                <w:sz w:val="24"/>
              </w:rPr>
            </w:pPr>
            <w:r>
              <w:rPr>
                <w:rFonts w:hint="eastAsia" w:ascii="仿宋" w:hAnsi="仿宋" w:eastAsia="仿宋"/>
                <w:color w:val="000000"/>
                <w:sz w:val="24"/>
              </w:rPr>
              <w:t>组织机构代码</w:t>
            </w:r>
          </w:p>
        </w:tc>
        <w:tc>
          <w:tcPr>
            <w:tcW w:w="2411" w:type="dxa"/>
            <w:vAlign w:val="center"/>
          </w:tcPr>
          <w:p w14:paraId="50FD1F2C">
            <w:pPr>
              <w:spacing w:line="280" w:lineRule="exact"/>
              <w:jc w:val="center"/>
              <w:rPr>
                <w:rFonts w:ascii="楷体_GB2312" w:eastAsia="楷体_GB2312"/>
                <w:color w:val="000000"/>
                <w:sz w:val="24"/>
              </w:rPr>
            </w:pPr>
            <w:r>
              <w:rPr>
                <w:rFonts w:hint="eastAsia" w:ascii="仿宋_GB2312" w:eastAsia="仿宋_GB2312"/>
                <w:color w:val="000000"/>
                <w:sz w:val="24"/>
              </w:rPr>
              <w:t>662047051</w:t>
            </w:r>
          </w:p>
        </w:tc>
        <w:tc>
          <w:tcPr>
            <w:tcW w:w="1658" w:type="dxa"/>
            <w:vAlign w:val="center"/>
          </w:tcPr>
          <w:p w14:paraId="78C8F347">
            <w:pPr>
              <w:spacing w:line="280" w:lineRule="exact"/>
              <w:jc w:val="center"/>
              <w:rPr>
                <w:rFonts w:eastAsia="仿宋_GB2312"/>
                <w:color w:val="000000"/>
                <w:sz w:val="24"/>
              </w:rPr>
            </w:pPr>
            <w:r>
              <w:rPr>
                <w:rFonts w:hint="eastAsia" w:ascii="仿宋" w:hAnsi="仿宋" w:eastAsia="仿宋"/>
                <w:color w:val="000000"/>
                <w:sz w:val="24"/>
              </w:rPr>
              <w:t>基本性质</w:t>
            </w:r>
          </w:p>
        </w:tc>
        <w:tc>
          <w:tcPr>
            <w:tcW w:w="2573" w:type="dxa"/>
            <w:vAlign w:val="center"/>
          </w:tcPr>
          <w:p w14:paraId="1C5FF7B1">
            <w:pPr>
              <w:spacing w:line="280" w:lineRule="exact"/>
              <w:jc w:val="left"/>
              <w:rPr>
                <w:rFonts w:ascii="楷体_GB2312" w:eastAsia="楷体_GB2312"/>
                <w:color w:val="000000"/>
                <w:sz w:val="24"/>
              </w:rPr>
            </w:pPr>
            <w:r>
              <w:rPr>
                <w:rFonts w:hint="eastAsia" w:ascii="仿宋_GB2312" w:hAnsi="宋体" w:eastAsia="仿宋_GB2312"/>
                <w:sz w:val="24"/>
              </w:rPr>
              <w:t>公益一类事业单位</w:t>
            </w:r>
          </w:p>
        </w:tc>
      </w:tr>
      <w:tr w14:paraId="677CE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897" w:type="dxa"/>
            <w:vAlign w:val="center"/>
          </w:tcPr>
          <w:p w14:paraId="4401783C">
            <w:pPr>
              <w:spacing w:line="280" w:lineRule="exact"/>
              <w:jc w:val="center"/>
              <w:rPr>
                <w:rFonts w:eastAsia="仿宋_GB2312"/>
                <w:color w:val="000000"/>
                <w:sz w:val="24"/>
              </w:rPr>
            </w:pPr>
            <w:r>
              <w:rPr>
                <w:rFonts w:hint="eastAsia" w:ascii="仿宋" w:hAnsi="仿宋" w:eastAsia="仿宋"/>
                <w:color w:val="000000"/>
                <w:sz w:val="24"/>
              </w:rPr>
              <w:t>单位预算级次</w:t>
            </w:r>
          </w:p>
        </w:tc>
        <w:tc>
          <w:tcPr>
            <w:tcW w:w="2411" w:type="dxa"/>
            <w:vAlign w:val="center"/>
          </w:tcPr>
          <w:p w14:paraId="5768EC72">
            <w:pPr>
              <w:spacing w:line="280" w:lineRule="exact"/>
              <w:jc w:val="left"/>
              <w:rPr>
                <w:rFonts w:ascii="楷体_GB2312" w:eastAsia="楷体_GB2312"/>
                <w:color w:val="000000"/>
                <w:sz w:val="24"/>
              </w:rPr>
            </w:pPr>
            <w:r>
              <w:rPr>
                <w:rFonts w:hint="eastAsia" w:ascii="仿宋_GB2312" w:hAnsi="宋体" w:eastAsia="仿宋_GB2312"/>
                <w:sz w:val="24"/>
              </w:rPr>
              <w:t>一级预算单位</w:t>
            </w:r>
          </w:p>
        </w:tc>
        <w:tc>
          <w:tcPr>
            <w:tcW w:w="1658" w:type="dxa"/>
            <w:vAlign w:val="center"/>
          </w:tcPr>
          <w:p w14:paraId="5191F0D5">
            <w:pPr>
              <w:spacing w:line="280" w:lineRule="exact"/>
              <w:jc w:val="center"/>
              <w:rPr>
                <w:rFonts w:eastAsia="仿宋_GB2312"/>
                <w:color w:val="000000"/>
                <w:sz w:val="24"/>
              </w:rPr>
            </w:pPr>
            <w:r>
              <w:rPr>
                <w:rFonts w:hint="eastAsia" w:ascii="仿宋" w:hAnsi="仿宋" w:eastAsia="仿宋"/>
                <w:color w:val="000000"/>
                <w:sz w:val="24"/>
              </w:rPr>
              <w:t>预算级次</w:t>
            </w:r>
          </w:p>
        </w:tc>
        <w:tc>
          <w:tcPr>
            <w:tcW w:w="2573" w:type="dxa"/>
            <w:vAlign w:val="center"/>
          </w:tcPr>
          <w:p w14:paraId="56FB8FBF">
            <w:pPr>
              <w:spacing w:line="280" w:lineRule="exact"/>
              <w:jc w:val="left"/>
              <w:rPr>
                <w:rFonts w:ascii="楷体_GB2312" w:eastAsia="楷体_GB2312"/>
                <w:color w:val="000000"/>
                <w:sz w:val="24"/>
              </w:rPr>
            </w:pPr>
            <w:r>
              <w:rPr>
                <w:rFonts w:hint="eastAsia" w:ascii="仿宋_GB2312" w:hAnsi="宋体" w:eastAsia="仿宋_GB2312"/>
                <w:sz w:val="24"/>
              </w:rPr>
              <w:t>30</w:t>
            </w:r>
            <w:r>
              <w:rPr>
                <w:rFonts w:ascii="仿宋" w:hAnsi="仿宋" w:eastAsia="仿宋"/>
                <w:sz w:val="24"/>
              </w:rPr>
              <w:t>地（市）级</w:t>
            </w:r>
          </w:p>
        </w:tc>
      </w:tr>
      <w:tr w14:paraId="313D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897" w:type="dxa"/>
            <w:vAlign w:val="center"/>
          </w:tcPr>
          <w:p w14:paraId="16029477">
            <w:pPr>
              <w:spacing w:line="280" w:lineRule="exact"/>
              <w:jc w:val="center"/>
              <w:rPr>
                <w:rFonts w:eastAsia="仿宋_GB2312"/>
                <w:color w:val="000000"/>
                <w:sz w:val="24"/>
              </w:rPr>
            </w:pPr>
            <w:r>
              <w:rPr>
                <w:rFonts w:hint="eastAsia" w:ascii="仿宋" w:hAnsi="仿宋" w:eastAsia="仿宋"/>
                <w:color w:val="000000"/>
                <w:sz w:val="24"/>
              </w:rPr>
              <w:t>支出功能分类</w:t>
            </w:r>
          </w:p>
        </w:tc>
        <w:tc>
          <w:tcPr>
            <w:tcW w:w="2411" w:type="dxa"/>
            <w:vAlign w:val="center"/>
          </w:tcPr>
          <w:p w14:paraId="4BE0617C">
            <w:pPr>
              <w:spacing w:line="280" w:lineRule="exact"/>
              <w:jc w:val="left"/>
              <w:rPr>
                <w:rFonts w:eastAsia="仿宋_GB2312"/>
                <w:color w:val="000000"/>
                <w:sz w:val="24"/>
              </w:rPr>
            </w:pPr>
            <w:r>
              <w:rPr>
                <w:rFonts w:ascii="仿宋" w:hAnsi="仿宋" w:eastAsia="仿宋"/>
                <w:sz w:val="24"/>
              </w:rPr>
              <w:t>初中教育</w:t>
            </w:r>
          </w:p>
        </w:tc>
        <w:tc>
          <w:tcPr>
            <w:tcW w:w="1658" w:type="dxa"/>
            <w:vAlign w:val="center"/>
          </w:tcPr>
          <w:p w14:paraId="3AEAD05A">
            <w:pPr>
              <w:spacing w:line="280" w:lineRule="exact"/>
              <w:jc w:val="center"/>
              <w:rPr>
                <w:rFonts w:eastAsia="仿宋_GB2312"/>
                <w:color w:val="000000"/>
                <w:sz w:val="24"/>
              </w:rPr>
            </w:pPr>
            <w:r>
              <w:rPr>
                <w:rFonts w:hint="eastAsia" w:ascii="仿宋" w:hAnsi="仿宋" w:eastAsia="仿宋"/>
                <w:color w:val="000000"/>
                <w:sz w:val="24"/>
              </w:rPr>
              <w:t>年末在职人数</w:t>
            </w:r>
          </w:p>
        </w:tc>
        <w:tc>
          <w:tcPr>
            <w:tcW w:w="2573" w:type="dxa"/>
            <w:vAlign w:val="center"/>
          </w:tcPr>
          <w:p w14:paraId="5B883030">
            <w:pPr>
              <w:spacing w:line="280" w:lineRule="exact"/>
              <w:jc w:val="center"/>
              <w:rPr>
                <w:rFonts w:eastAsia="仿宋_GB2312"/>
                <w:color w:val="000000"/>
                <w:sz w:val="24"/>
              </w:rPr>
            </w:pPr>
            <w:r>
              <w:rPr>
                <w:rFonts w:ascii="仿宋" w:hAnsi="仿宋" w:eastAsia="仿宋"/>
                <w:sz w:val="24"/>
              </w:rPr>
              <w:t>137</w:t>
            </w:r>
          </w:p>
        </w:tc>
      </w:tr>
      <w:tr w14:paraId="57D52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897" w:type="dxa"/>
            <w:vAlign w:val="center"/>
          </w:tcPr>
          <w:p w14:paraId="7D65AA07">
            <w:pPr>
              <w:spacing w:line="280" w:lineRule="exact"/>
              <w:jc w:val="center"/>
              <w:rPr>
                <w:rFonts w:eastAsia="仿宋_GB2312"/>
                <w:color w:val="000000"/>
                <w:sz w:val="24"/>
              </w:rPr>
            </w:pPr>
            <w:r>
              <w:rPr>
                <w:rFonts w:hint="eastAsia" w:ascii="仿宋" w:hAnsi="仿宋" w:eastAsia="仿宋"/>
                <w:color w:val="000000"/>
                <w:sz w:val="24"/>
              </w:rPr>
              <w:t>财政区划</w:t>
            </w:r>
          </w:p>
        </w:tc>
        <w:tc>
          <w:tcPr>
            <w:tcW w:w="2411" w:type="dxa"/>
            <w:vAlign w:val="center"/>
          </w:tcPr>
          <w:p w14:paraId="36CEDC74">
            <w:pPr>
              <w:spacing w:line="280" w:lineRule="exact"/>
              <w:jc w:val="left"/>
              <w:rPr>
                <w:rFonts w:ascii="楷体_GB2312" w:eastAsia="楷体_GB2312"/>
                <w:color w:val="000000"/>
                <w:sz w:val="24"/>
              </w:rPr>
            </w:pPr>
            <w:r>
              <w:rPr>
                <w:rFonts w:hint="eastAsia" w:ascii="仿宋" w:hAnsi="仿宋" w:eastAsia="仿宋"/>
                <w:color w:val="000000"/>
                <w:sz w:val="24"/>
              </w:rPr>
              <w:t>景德镇市</w:t>
            </w:r>
          </w:p>
        </w:tc>
        <w:tc>
          <w:tcPr>
            <w:tcW w:w="1658" w:type="dxa"/>
            <w:vAlign w:val="center"/>
          </w:tcPr>
          <w:p w14:paraId="273930C8">
            <w:pPr>
              <w:spacing w:line="280" w:lineRule="exact"/>
              <w:jc w:val="center"/>
              <w:rPr>
                <w:rFonts w:eastAsia="仿宋_GB2312"/>
                <w:color w:val="000000"/>
                <w:sz w:val="24"/>
              </w:rPr>
            </w:pPr>
            <w:r>
              <w:rPr>
                <w:rFonts w:hint="eastAsia" w:eastAsia="仿宋_GB2312"/>
                <w:color w:val="000000"/>
                <w:sz w:val="24"/>
              </w:rPr>
              <w:t>部门标识码</w:t>
            </w:r>
          </w:p>
        </w:tc>
        <w:tc>
          <w:tcPr>
            <w:tcW w:w="2573" w:type="dxa"/>
            <w:vAlign w:val="center"/>
          </w:tcPr>
          <w:p w14:paraId="68C54C6A">
            <w:pPr>
              <w:spacing w:line="280" w:lineRule="exact"/>
              <w:jc w:val="center"/>
              <w:rPr>
                <w:rFonts w:ascii="楷体_GB2312" w:eastAsia="楷体_GB2312"/>
                <w:color w:val="000000"/>
                <w:sz w:val="24"/>
              </w:rPr>
            </w:pPr>
            <w:r>
              <w:rPr>
                <w:rFonts w:hint="eastAsia" w:ascii="仿宋" w:hAnsi="仿宋" w:eastAsia="仿宋"/>
                <w:sz w:val="24"/>
              </w:rPr>
              <w:t>360</w:t>
            </w:r>
          </w:p>
        </w:tc>
      </w:tr>
      <w:tr w14:paraId="0DC4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897" w:type="dxa"/>
            <w:vAlign w:val="center"/>
          </w:tcPr>
          <w:p w14:paraId="1D37F284">
            <w:pPr>
              <w:spacing w:line="280" w:lineRule="exact"/>
              <w:jc w:val="center"/>
              <w:rPr>
                <w:rFonts w:eastAsia="仿宋_GB2312"/>
                <w:color w:val="000000"/>
                <w:sz w:val="24"/>
              </w:rPr>
            </w:pPr>
            <w:r>
              <w:rPr>
                <w:rFonts w:hint="eastAsia" w:ascii="仿宋" w:hAnsi="仿宋" w:eastAsia="仿宋"/>
                <w:color w:val="000000"/>
                <w:sz w:val="24"/>
              </w:rPr>
              <w:t>所在地区</w:t>
            </w:r>
          </w:p>
        </w:tc>
        <w:tc>
          <w:tcPr>
            <w:tcW w:w="2411" w:type="dxa"/>
            <w:vAlign w:val="center"/>
          </w:tcPr>
          <w:p w14:paraId="71117748">
            <w:pPr>
              <w:spacing w:line="280" w:lineRule="exact"/>
              <w:jc w:val="left"/>
              <w:rPr>
                <w:rFonts w:ascii="楷体_GB2312" w:eastAsia="楷体_GB2312"/>
                <w:color w:val="000000"/>
                <w:sz w:val="24"/>
              </w:rPr>
            </w:pPr>
            <w:r>
              <w:rPr>
                <w:rFonts w:hint="eastAsia" w:ascii="仿宋" w:hAnsi="仿宋" w:eastAsia="仿宋"/>
                <w:color w:val="000000"/>
                <w:sz w:val="24"/>
              </w:rPr>
              <w:t>珠山区</w:t>
            </w:r>
          </w:p>
        </w:tc>
        <w:tc>
          <w:tcPr>
            <w:tcW w:w="1658" w:type="dxa"/>
            <w:vAlign w:val="center"/>
          </w:tcPr>
          <w:p w14:paraId="17E5FC16">
            <w:pPr>
              <w:spacing w:line="280" w:lineRule="exact"/>
              <w:jc w:val="center"/>
              <w:rPr>
                <w:rFonts w:eastAsia="仿宋_GB2312"/>
                <w:color w:val="000000"/>
                <w:sz w:val="24"/>
              </w:rPr>
            </w:pPr>
            <w:r>
              <w:rPr>
                <w:rFonts w:hint="eastAsia" w:ascii="仿宋" w:hAnsi="仿宋" w:eastAsia="仿宋"/>
                <w:color w:val="000000"/>
                <w:sz w:val="24"/>
              </w:rPr>
              <w:t>财政预算代码</w:t>
            </w:r>
          </w:p>
        </w:tc>
        <w:tc>
          <w:tcPr>
            <w:tcW w:w="2573" w:type="dxa"/>
            <w:vAlign w:val="center"/>
          </w:tcPr>
          <w:p w14:paraId="4C15A1F5">
            <w:pPr>
              <w:spacing w:line="280" w:lineRule="exact"/>
              <w:jc w:val="center"/>
              <w:rPr>
                <w:rFonts w:ascii="楷体_GB2312" w:eastAsia="楷体_GB2312"/>
                <w:color w:val="000000"/>
                <w:sz w:val="24"/>
              </w:rPr>
            </w:pPr>
            <w:r>
              <w:rPr>
                <w:rFonts w:hint="eastAsia" w:ascii="仿宋" w:hAnsi="仿宋" w:eastAsia="仿宋"/>
                <w:sz w:val="24"/>
              </w:rPr>
              <w:t>801024</w:t>
            </w:r>
          </w:p>
        </w:tc>
      </w:tr>
    </w:tbl>
    <w:p w14:paraId="782E6269">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说明：组织机构代码根据各级技术监督部门核发的机关、团体、事业单位代码证书规定的9位码填列。单位如已取得统一社会信用代码，需按统一社会信用代码第9－17位信息填列。</w:t>
      </w:r>
    </w:p>
    <w:p w14:paraId="0EA6056D">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单位预算级次填列部门和单位按照预算管理权限和经费领拨关系所确定的预算级次，与部门决算封面上单位预算级次一致。非预算单位此项填报“无”。</w:t>
      </w:r>
    </w:p>
    <w:p w14:paraId="1141E89C">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预算级次按单位预算分级管理的级次选择填列。非预算单位填报“90.非预算单位”。</w:t>
      </w:r>
    </w:p>
    <w:p w14:paraId="72EA718B">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支出功能分类填列部门决算《支出决算表》（财决04表）中涉及金额最多的支出功能分类科目。</w:t>
      </w:r>
    </w:p>
    <w:p w14:paraId="76586205">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年末在职人数填列在政府编制管理部门核定的编制内、由单位人事部门管理的实有年末在职人数，与部门决算《基本数字表》（财决附02表）第4栏合计数一致，即“年末实有人数”中“人员总计”的“在职人员”合计数。</w:t>
      </w:r>
    </w:p>
    <w:p w14:paraId="16F5027C">
      <w:pPr>
        <w:pStyle w:val="28"/>
        <w:tabs>
          <w:tab w:val="left" w:pos="851"/>
        </w:tabs>
        <w:spacing w:line="360" w:lineRule="auto"/>
        <w:ind w:firstLine="480"/>
        <w:rPr>
          <w:rFonts w:eastAsia="楷体_GB2312" w:cs="楷体_GB2312"/>
          <w:sz w:val="24"/>
        </w:rPr>
      </w:pPr>
      <w:r>
        <w:rPr>
          <w:rFonts w:hint="eastAsia" w:eastAsia="楷体_GB2312" w:cs="楷体_GB2312"/>
          <w:sz w:val="24"/>
        </w:rPr>
        <w:t>财政区划以行政区划为基础，结合政府预算分级管理情况而划分的区域。开发区、园区等没有行政区划及代码的，按照《中华人民共和国行政区划代码》（GB/T 2260-2007）相应号段增设。中央预算单位的财政区划代码填“</w:t>
      </w:r>
      <w:r>
        <w:rPr>
          <w:rFonts w:eastAsia="楷体_GB2312" w:cs="楷体_GB2312"/>
          <w:sz w:val="24"/>
        </w:rPr>
        <w:t>100000000</w:t>
      </w:r>
      <w:r>
        <w:rPr>
          <w:rFonts w:hint="eastAsia" w:eastAsia="楷体_GB2312" w:cs="楷体_GB2312"/>
          <w:sz w:val="24"/>
        </w:rPr>
        <w:t>”。</w:t>
      </w:r>
    </w:p>
    <w:p w14:paraId="03AB75D3">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部门标识码根据国家标准《</w:t>
      </w:r>
      <w:r>
        <w:rPr>
          <w:rFonts w:eastAsia="楷体_GB2312" w:cs="楷体_GB2312"/>
          <w:color w:val="000000"/>
          <w:sz w:val="24"/>
        </w:rPr>
        <w:t>中央党政机关</w:t>
      </w:r>
      <w:r>
        <w:rPr>
          <w:rFonts w:hint="eastAsia" w:eastAsia="楷体_GB2312" w:cs="楷体_GB2312"/>
          <w:color w:val="000000"/>
          <w:sz w:val="24"/>
        </w:rPr>
        <w:t>、</w:t>
      </w:r>
      <w:r>
        <w:rPr>
          <w:rFonts w:eastAsia="楷体_GB2312" w:cs="楷体_GB2312"/>
          <w:color w:val="000000"/>
          <w:sz w:val="24"/>
        </w:rPr>
        <w:t>人民团体及其他机构名称代码</w:t>
      </w:r>
      <w:r>
        <w:rPr>
          <w:rFonts w:hint="eastAsia" w:eastAsia="楷体_GB2312" w:cs="楷体_GB2312"/>
          <w:color w:val="000000"/>
          <w:sz w:val="24"/>
        </w:rPr>
        <w:t>》（GB/T 4657-2021）填列。</w:t>
      </w:r>
    </w:p>
    <w:p w14:paraId="049D6263">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所在地区以6位代码表示，根据国家标准《中华人民共和国行政区划代码》（GB/T 2260-2007）填列。</w:t>
      </w:r>
    </w:p>
    <w:p w14:paraId="7BE02CD8">
      <w:pPr>
        <w:pStyle w:val="28"/>
        <w:tabs>
          <w:tab w:val="left" w:pos="851"/>
        </w:tabs>
        <w:spacing w:line="360" w:lineRule="auto"/>
        <w:ind w:firstLine="480"/>
        <w:rPr>
          <w:rFonts w:ascii="楷体" w:hAnsi="楷体" w:eastAsia="楷体" w:cs="楷体"/>
          <w:sz w:val="24"/>
        </w:rPr>
      </w:pPr>
      <w:r>
        <w:rPr>
          <w:rFonts w:hint="eastAsia" w:eastAsia="楷体_GB2312" w:cs="楷体_GB2312"/>
          <w:color w:val="000000"/>
          <w:sz w:val="24"/>
        </w:rPr>
        <w:t>单位财政预算代码即预算管理一体化系统中的单位代码，中央一级预算单位按财政部编制的三位代码填列，二级预算单位为六位代码，前三位填列其一级预算单位编码，后三位由一级预算单位从001－799依次自行编制，三级及以下预算单位以此类推。地方单位的财政预算代码应与部门预算代码一致。非预算单位此项不需填报。</w:t>
      </w:r>
    </w:p>
    <w:p w14:paraId="68A875F3">
      <w:pPr>
        <w:tabs>
          <w:tab w:val="left" w:pos="851"/>
        </w:tabs>
        <w:spacing w:after="156" w:afterLines="50" w:line="360" w:lineRule="auto"/>
        <w:jc w:val="center"/>
        <w:rPr>
          <w:rFonts w:ascii="黑体" w:eastAsia="黑体" w:cs="方正小标宋简体"/>
          <w:color w:val="000000"/>
          <w:spacing w:val="8"/>
          <w:sz w:val="36"/>
          <w:szCs w:val="36"/>
        </w:rPr>
      </w:pPr>
      <w:r>
        <w:rPr>
          <w:rFonts w:hint="eastAsia" w:ascii="黑体" w:eastAsia="黑体" w:cs="方正小标宋简体"/>
          <w:color w:val="000000"/>
          <w:spacing w:val="8"/>
          <w:sz w:val="36"/>
          <w:szCs w:val="36"/>
        </w:rPr>
        <w:t>二、单位层面内部控制情况</w:t>
      </w:r>
    </w:p>
    <w:p w14:paraId="0D28452A">
      <w:pPr>
        <w:widowControl/>
        <w:tabs>
          <w:tab w:val="left" w:pos="851"/>
        </w:tabs>
        <w:spacing w:line="360" w:lineRule="auto"/>
        <w:rPr>
          <w:rFonts w:ascii="黑体" w:eastAsia="黑体" w:cs="方正小标宋简体"/>
          <w:color w:val="000000"/>
          <w:spacing w:val="8"/>
          <w:sz w:val="40"/>
          <w:szCs w:val="40"/>
        </w:rPr>
      </w:pPr>
      <w:r>
        <w:rPr>
          <w:rFonts w:hint="eastAsia" w:eastAsia="仿宋_GB2312" w:cs="仿宋_GB2312"/>
          <w:color w:val="000000"/>
          <w:spacing w:val="-12"/>
          <w:sz w:val="28"/>
          <w:szCs w:val="28"/>
        </w:rPr>
        <w:t>（一）内部控制机构组成情况</w:t>
      </w:r>
    </w:p>
    <w:tbl>
      <w:tblPr>
        <w:tblStyle w:val="11"/>
        <w:tblpPr w:leftFromText="180" w:rightFromText="180" w:vertAnchor="text" w:tblpXSpec="center" w:tblpY="1"/>
        <w:tblOverlap w:val="never"/>
        <w:tblW w:w="87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3138"/>
        <w:gridCol w:w="1644"/>
        <w:gridCol w:w="1848"/>
        <w:gridCol w:w="2082"/>
      </w:tblGrid>
      <w:tr w14:paraId="633D6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4" w:hRule="atLeast"/>
        </w:trPr>
        <w:tc>
          <w:tcPr>
            <w:tcW w:w="3138" w:type="dxa"/>
            <w:noWrap/>
            <w:vAlign w:val="center"/>
          </w:tcPr>
          <w:p w14:paraId="133E3FDE">
            <w:pPr>
              <w:spacing w:line="320" w:lineRule="exact"/>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单位是否成立内部控制领导小组</w:t>
            </w:r>
          </w:p>
        </w:tc>
        <w:tc>
          <w:tcPr>
            <w:tcW w:w="1644" w:type="dxa"/>
            <w:vAlign w:val="center"/>
          </w:tcPr>
          <w:p w14:paraId="4199CDC1">
            <w:pPr>
              <w:spacing w:line="320" w:lineRule="exact"/>
              <w:rPr>
                <w:rFonts w:ascii="仿宋" w:hAnsi="仿宋" w:eastAsia="仿宋" w:cs="楷体_GB2312"/>
                <w:color w:val="000000"/>
                <w:sz w:val="24"/>
              </w:rPr>
            </w:pPr>
            <w:r>
              <w:rPr>
                <w:rFonts w:hint="eastAsia" w:ascii="仿宋" w:hAnsi="仿宋" w:eastAsia="仿宋"/>
                <w:sz w:val="24"/>
              </w:rPr>
              <w:t>是</w:t>
            </w:r>
          </w:p>
        </w:tc>
        <w:tc>
          <w:tcPr>
            <w:tcW w:w="1848" w:type="dxa"/>
            <w:vAlign w:val="center"/>
          </w:tcPr>
          <w:p w14:paraId="5D04E0D3">
            <w:pPr>
              <w:spacing w:line="320" w:lineRule="exact"/>
              <w:jc w:val="center"/>
              <w:rPr>
                <w:rFonts w:ascii="仿宋" w:hAnsi="仿宋" w:eastAsia="仿宋" w:cs="楷体_GB2312"/>
                <w:color w:val="000000"/>
                <w:sz w:val="24"/>
              </w:rPr>
            </w:pPr>
            <w:r>
              <w:rPr>
                <w:rFonts w:hint="eastAsia" w:ascii="仿宋" w:hAnsi="仿宋" w:eastAsia="仿宋"/>
                <w:sz w:val="24"/>
              </w:rPr>
              <w:t>单位是否成立内部控制工作小组</w:t>
            </w:r>
          </w:p>
        </w:tc>
        <w:tc>
          <w:tcPr>
            <w:tcW w:w="2082" w:type="dxa"/>
            <w:vAlign w:val="center"/>
          </w:tcPr>
          <w:p w14:paraId="1AC967C6">
            <w:pPr>
              <w:spacing w:line="320" w:lineRule="exact"/>
              <w:rPr>
                <w:rFonts w:ascii="仿宋" w:hAnsi="仿宋" w:eastAsia="仿宋" w:cs="楷体_GB2312"/>
                <w:color w:val="000000"/>
                <w:sz w:val="24"/>
              </w:rPr>
            </w:pPr>
            <w:r>
              <w:rPr>
                <w:rFonts w:hint="eastAsia" w:ascii="仿宋" w:hAnsi="仿宋" w:eastAsia="仿宋"/>
                <w:sz w:val="24"/>
              </w:rPr>
              <w:t>是</w:t>
            </w:r>
          </w:p>
        </w:tc>
      </w:tr>
      <w:tr w14:paraId="46F89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6" w:hRule="atLeast"/>
        </w:trPr>
        <w:tc>
          <w:tcPr>
            <w:tcW w:w="3138" w:type="dxa"/>
            <w:tcBorders>
              <w:left w:val="single" w:color="auto" w:sz="4" w:space="0"/>
              <w:bottom w:val="single" w:color="auto" w:sz="4" w:space="0"/>
              <w:right w:val="single" w:color="auto" w:sz="4" w:space="0"/>
            </w:tcBorders>
            <w:noWrap/>
            <w:vAlign w:val="center"/>
          </w:tcPr>
          <w:p w14:paraId="7B0329AC">
            <w:pPr>
              <w:spacing w:line="320" w:lineRule="exact"/>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单位内部控制领导小组负责人为</w:t>
            </w:r>
          </w:p>
        </w:tc>
        <w:tc>
          <w:tcPr>
            <w:tcW w:w="5574" w:type="dxa"/>
            <w:gridSpan w:val="3"/>
            <w:tcBorders>
              <w:left w:val="single" w:color="auto" w:sz="4" w:space="0"/>
              <w:bottom w:val="single" w:color="auto" w:sz="4" w:space="0"/>
              <w:right w:val="single" w:color="auto" w:sz="4" w:space="0"/>
            </w:tcBorders>
            <w:vAlign w:val="center"/>
          </w:tcPr>
          <w:p w14:paraId="72A1937D">
            <w:pPr>
              <w:spacing w:line="320" w:lineRule="exact"/>
              <w:rPr>
                <w:rFonts w:ascii="仿宋" w:hAnsi="仿宋" w:eastAsia="仿宋"/>
                <w:sz w:val="24"/>
              </w:rPr>
            </w:pPr>
            <w:r>
              <w:rPr>
                <w:rFonts w:ascii="仿宋" w:hAnsi="仿宋" w:eastAsia="仿宋"/>
                <w:sz w:val="24"/>
              </w:rPr>
              <w:t>单位主要负责人</w:t>
            </w:r>
          </w:p>
          <w:p w14:paraId="119D6287">
            <w:pPr>
              <w:spacing w:line="320" w:lineRule="exact"/>
              <w:rPr>
                <w:rFonts w:ascii="仿宋" w:hAnsi="仿宋" w:eastAsia="仿宋"/>
                <w:sz w:val="24"/>
              </w:rPr>
            </w:pPr>
            <w:r>
              <w:rPr>
                <w:rFonts w:hint="eastAsia" w:ascii="仿宋" w:hAnsi="仿宋" w:eastAsia="仿宋"/>
                <w:sz w:val="24"/>
              </w:rPr>
              <w:t>余新春</w:t>
            </w:r>
          </w:p>
          <w:p w14:paraId="584FCF9C">
            <w:pPr>
              <w:spacing w:line="320" w:lineRule="exact"/>
              <w:rPr>
                <w:rFonts w:ascii="仿宋" w:hAnsi="仿宋" w:eastAsia="仿宋"/>
                <w:sz w:val="24"/>
              </w:rPr>
            </w:pPr>
            <w:r>
              <w:rPr>
                <w:rFonts w:hint="eastAsia" w:ascii="仿宋" w:hAnsi="仿宋" w:eastAsia="仿宋"/>
                <w:sz w:val="24"/>
              </w:rPr>
              <w:t>书记</w:t>
            </w:r>
          </w:p>
        </w:tc>
      </w:tr>
      <w:tr w14:paraId="4920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9" w:hRule="atLeast"/>
        </w:trPr>
        <w:tc>
          <w:tcPr>
            <w:tcW w:w="3138" w:type="dxa"/>
            <w:tcBorders>
              <w:top w:val="single" w:color="auto" w:sz="4" w:space="0"/>
              <w:left w:val="single" w:color="auto" w:sz="4" w:space="0"/>
              <w:bottom w:val="single" w:color="auto" w:sz="4" w:space="0"/>
              <w:right w:val="single" w:color="auto" w:sz="4" w:space="0"/>
            </w:tcBorders>
            <w:noWrap/>
            <w:vAlign w:val="center"/>
          </w:tcPr>
          <w:p w14:paraId="6C66DC8D">
            <w:pPr>
              <w:spacing w:line="320" w:lineRule="exact"/>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内部控制建设牵头部门设在</w:t>
            </w:r>
          </w:p>
        </w:tc>
        <w:tc>
          <w:tcPr>
            <w:tcW w:w="5574" w:type="dxa"/>
            <w:gridSpan w:val="3"/>
            <w:tcBorders>
              <w:top w:val="single" w:color="auto" w:sz="4" w:space="0"/>
              <w:left w:val="single" w:color="auto" w:sz="4" w:space="0"/>
              <w:bottom w:val="single" w:color="auto" w:sz="4" w:space="0"/>
              <w:right w:val="single" w:color="auto" w:sz="4" w:space="0"/>
            </w:tcBorders>
            <w:vAlign w:val="center"/>
          </w:tcPr>
          <w:p w14:paraId="7EE0C8A4">
            <w:pPr>
              <w:spacing w:line="320" w:lineRule="exact"/>
              <w:rPr>
                <w:rFonts w:ascii="仿宋" w:hAnsi="仿宋" w:eastAsia="仿宋" w:cs="楷体_GB2312"/>
                <w:color w:val="000000"/>
                <w:sz w:val="24"/>
              </w:rPr>
            </w:pPr>
            <w:r>
              <w:rPr>
                <w:rFonts w:hint="eastAsia" w:ascii="仿宋" w:hAnsi="仿宋" w:eastAsia="仿宋" w:cs="楷体"/>
                <w:bCs/>
                <w:color w:val="000000"/>
                <w:sz w:val="24"/>
              </w:rPr>
              <w:t>行政管理部门</w:t>
            </w:r>
          </w:p>
        </w:tc>
      </w:tr>
      <w:tr w14:paraId="06B26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0" w:hRule="atLeast"/>
        </w:trPr>
        <w:tc>
          <w:tcPr>
            <w:tcW w:w="3138" w:type="dxa"/>
            <w:tcBorders>
              <w:top w:val="single" w:color="auto" w:sz="4" w:space="0"/>
              <w:left w:val="single" w:color="auto" w:sz="4" w:space="0"/>
              <w:bottom w:val="single" w:color="auto" w:sz="4" w:space="0"/>
              <w:right w:val="single" w:color="auto" w:sz="4" w:space="0"/>
            </w:tcBorders>
            <w:noWrap/>
            <w:vAlign w:val="center"/>
          </w:tcPr>
          <w:p w14:paraId="6DC4E967">
            <w:pPr>
              <w:spacing w:line="320" w:lineRule="exact"/>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内部控制评价与监督部门设在</w:t>
            </w:r>
          </w:p>
        </w:tc>
        <w:tc>
          <w:tcPr>
            <w:tcW w:w="5574" w:type="dxa"/>
            <w:gridSpan w:val="3"/>
            <w:tcBorders>
              <w:top w:val="single" w:color="auto" w:sz="4" w:space="0"/>
              <w:left w:val="single" w:color="auto" w:sz="4" w:space="0"/>
              <w:bottom w:val="single" w:color="auto" w:sz="4" w:space="0"/>
              <w:right w:val="single" w:color="auto" w:sz="4" w:space="0"/>
            </w:tcBorders>
            <w:vAlign w:val="center"/>
          </w:tcPr>
          <w:p w14:paraId="7A51B50A">
            <w:pPr>
              <w:spacing w:line="320" w:lineRule="exact"/>
              <w:rPr>
                <w:rFonts w:ascii="仿宋" w:hAnsi="仿宋" w:eastAsia="仿宋" w:cs="楷体_GB2312"/>
                <w:color w:val="000000"/>
                <w:sz w:val="24"/>
              </w:rPr>
            </w:pPr>
            <w:r>
              <w:rPr>
                <w:rFonts w:ascii="仿宋" w:hAnsi="仿宋" w:eastAsia="仿宋"/>
                <w:sz w:val="24"/>
              </w:rPr>
              <w:t>内审部门</w:t>
            </w:r>
          </w:p>
        </w:tc>
      </w:tr>
    </w:tbl>
    <w:p w14:paraId="18497282">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说明：需上传成立内部控制相关机构的制度文件作为佐证材料。</w:t>
      </w:r>
    </w:p>
    <w:p w14:paraId="4FC04B7F">
      <w:pPr>
        <w:widowControl/>
        <w:tabs>
          <w:tab w:val="left" w:pos="851"/>
        </w:tabs>
        <w:spacing w:line="360" w:lineRule="auto"/>
        <w:rPr>
          <w:rFonts w:eastAsia="仿宋_GB2312" w:cs="仿宋_GB2312"/>
          <w:color w:val="000000"/>
          <w:spacing w:val="-12"/>
          <w:sz w:val="28"/>
          <w:szCs w:val="28"/>
        </w:rPr>
      </w:pPr>
      <w:r>
        <w:rPr>
          <w:rFonts w:hint="eastAsia" w:eastAsia="仿宋_GB2312" w:cs="仿宋_GB2312"/>
          <w:color w:val="000000"/>
          <w:spacing w:val="-12"/>
          <w:sz w:val="28"/>
          <w:szCs w:val="28"/>
        </w:rPr>
        <w:t>（二）内部控制机构运行情况</w:t>
      </w:r>
    </w:p>
    <w:tbl>
      <w:tblPr>
        <w:tblStyle w:val="11"/>
        <w:tblW w:w="86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135"/>
        <w:gridCol w:w="1044"/>
        <w:gridCol w:w="1326"/>
        <w:gridCol w:w="589"/>
        <w:gridCol w:w="3561"/>
      </w:tblGrid>
      <w:tr w14:paraId="0584E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4" w:hRule="atLeast"/>
          <w:jc w:val="center"/>
        </w:trPr>
        <w:tc>
          <w:tcPr>
            <w:tcW w:w="4505" w:type="dxa"/>
            <w:gridSpan w:val="3"/>
            <w:noWrap/>
            <w:vAlign w:val="center"/>
          </w:tcPr>
          <w:p w14:paraId="79F9F7AB">
            <w:pPr>
              <w:spacing w:line="320" w:lineRule="exact"/>
              <w:jc w:val="left"/>
              <w:rPr>
                <w:rFonts w:ascii="仿宋" w:hAnsi="仿宋" w:eastAsia="仿宋" w:cs="仿宋_GB2312"/>
                <w:color w:val="000000"/>
                <w:spacing w:val="-12"/>
                <w:sz w:val="24"/>
                <w:u w:val="single"/>
              </w:rPr>
            </w:pPr>
            <w:r>
              <w:rPr>
                <w:rFonts w:hint="eastAsia" w:ascii="仿宋" w:hAnsi="仿宋" w:eastAsia="仿宋" w:cs="仿宋_GB2312"/>
                <w:color w:val="000000"/>
                <w:spacing w:val="-12"/>
                <w:sz w:val="24"/>
              </w:rPr>
              <w:t>3</w:t>
            </w:r>
          </w:p>
        </w:tc>
        <w:tc>
          <w:tcPr>
            <w:tcW w:w="4150" w:type="dxa"/>
            <w:gridSpan w:val="2"/>
            <w:vAlign w:val="center"/>
          </w:tcPr>
          <w:p w14:paraId="2525A4B4">
            <w:pPr>
              <w:spacing w:line="320" w:lineRule="exact"/>
              <w:jc w:val="left"/>
              <w:rPr>
                <w:rFonts w:ascii="仿宋" w:hAnsi="仿宋" w:eastAsia="仿宋" w:cs="仿宋_GB2312"/>
                <w:color w:val="000000"/>
                <w:spacing w:val="-12"/>
                <w:sz w:val="24"/>
                <w:u w:val="single"/>
              </w:rPr>
            </w:pPr>
            <w:r>
              <w:rPr>
                <w:rFonts w:hint="eastAsia" w:ascii="仿宋" w:hAnsi="仿宋" w:eastAsia="仿宋" w:cs="仿宋_GB2312"/>
                <w:color w:val="000000"/>
                <w:spacing w:val="-12"/>
                <w:sz w:val="24"/>
              </w:rPr>
              <w:t>1</w:t>
            </w:r>
          </w:p>
        </w:tc>
      </w:tr>
      <w:tr w14:paraId="39028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7" w:hRule="atLeast"/>
          <w:jc w:val="center"/>
        </w:trPr>
        <w:tc>
          <w:tcPr>
            <w:tcW w:w="2135" w:type="dxa"/>
            <w:noWrap/>
            <w:vAlign w:val="center"/>
          </w:tcPr>
          <w:p w14:paraId="697EC64B">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2023年度单位层面内部控制风险评估覆盖情况</w:t>
            </w:r>
          </w:p>
        </w:tc>
        <w:tc>
          <w:tcPr>
            <w:tcW w:w="6520" w:type="dxa"/>
            <w:gridSpan w:val="4"/>
            <w:vAlign w:val="center"/>
          </w:tcPr>
          <w:p w14:paraId="6828E55B">
            <w:pPr>
              <w:spacing w:line="320" w:lineRule="exact"/>
              <w:jc w:val="left"/>
              <w:rPr>
                <w:rFonts w:eastAsia="仿宋_GB2312" w:cs="仿宋_GB2312"/>
                <w:color w:val="000000"/>
                <w:spacing w:val="-12"/>
                <w:sz w:val="24"/>
              </w:rPr>
            </w:pPr>
            <w:r>
              <w:rPr>
                <w:rFonts w:hint="eastAsia" w:ascii="仿宋" w:hAnsi="仿宋" w:eastAsia="仿宋" w:cs="楷体"/>
                <w:bCs/>
                <w:color w:val="000000"/>
                <w:sz w:val="24"/>
              </w:rPr>
              <w:t>组织架构;运行机制;关键岗位;制度体系;财务信息;信息系统</w:t>
            </w:r>
          </w:p>
        </w:tc>
      </w:tr>
      <w:tr w14:paraId="5A69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21" w:hRule="atLeast"/>
          <w:jc w:val="center"/>
        </w:trPr>
        <w:tc>
          <w:tcPr>
            <w:tcW w:w="2135" w:type="dxa"/>
            <w:noWrap/>
            <w:vAlign w:val="center"/>
          </w:tcPr>
          <w:p w14:paraId="22309F13">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2023年度单位是否开展内部控制评价</w:t>
            </w:r>
          </w:p>
        </w:tc>
        <w:tc>
          <w:tcPr>
            <w:tcW w:w="1044" w:type="dxa"/>
            <w:vAlign w:val="center"/>
          </w:tcPr>
          <w:p w14:paraId="5BDA98F4">
            <w:pPr>
              <w:spacing w:line="320" w:lineRule="exact"/>
              <w:jc w:val="center"/>
              <w:rPr>
                <w:rFonts w:eastAsia="仿宋_GB2312" w:cs="仿宋_GB2312"/>
                <w:color w:val="000000"/>
                <w:spacing w:val="-12"/>
                <w:sz w:val="24"/>
              </w:rPr>
            </w:pPr>
            <w:r>
              <w:rPr>
                <w:rFonts w:hint="eastAsia" w:ascii="仿宋" w:hAnsi="仿宋" w:eastAsia="仿宋" w:cs="楷体"/>
                <w:bCs/>
                <w:color w:val="000000"/>
                <w:sz w:val="24"/>
              </w:rPr>
              <w:t>是</w:t>
            </w:r>
          </w:p>
        </w:tc>
        <w:tc>
          <w:tcPr>
            <w:tcW w:w="1915" w:type="dxa"/>
            <w:gridSpan w:val="2"/>
            <w:vAlign w:val="center"/>
          </w:tcPr>
          <w:p w14:paraId="2A4A7EFE">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2023年度单位内部控制评价结果应用领域</w:t>
            </w:r>
          </w:p>
        </w:tc>
        <w:tc>
          <w:tcPr>
            <w:tcW w:w="3561" w:type="dxa"/>
            <w:vAlign w:val="center"/>
          </w:tcPr>
          <w:p w14:paraId="69CA1C9B">
            <w:pPr>
              <w:spacing w:line="320" w:lineRule="exact"/>
              <w:jc w:val="left"/>
              <w:rPr>
                <w:rFonts w:eastAsia="仿宋_GB2312" w:cs="仿宋_GB2312"/>
                <w:color w:val="000000"/>
                <w:spacing w:val="-12"/>
                <w:sz w:val="24"/>
              </w:rPr>
            </w:pPr>
            <w:r>
              <w:rPr>
                <w:rFonts w:hint="eastAsia" w:ascii="仿宋" w:hAnsi="仿宋" w:eastAsia="仿宋" w:cs="楷体"/>
                <w:bCs/>
                <w:color w:val="000000"/>
                <w:sz w:val="24"/>
              </w:rPr>
              <w:t>作为完善内部管理制度的依据;作为绩效管理的依据;作为监督问责的参考依据;作为领导干部选拔任用的参考</w:t>
            </w:r>
          </w:p>
        </w:tc>
      </w:tr>
    </w:tbl>
    <w:p w14:paraId="554DEC7D">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说明：内部控制领导小组会议包括内部控制专题会议或与内部控制工作相关的会议，会议内容应与内部控制领导小组职责一致。需上传内部控制领导小组会议纪要作为佐证材料。</w:t>
      </w:r>
    </w:p>
    <w:p w14:paraId="0BCA8ECB">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内部控制相关培训包括内部控制专题培训或将内部控制作为议题之一的相关培训。需上传内部控制培训通知或纪要等作为佐证材料。</w:t>
      </w:r>
    </w:p>
    <w:p w14:paraId="281FF0B3">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2023年度单位层面内部控制风险评估覆盖情况根据2023年度单位组织开展或委托第三方开展单位层面风险评估工作以及出具的风险评估报告或其他文件，逐项勾选已进行内部控制风险评估的方面。需上传风险评估报告等材料作为佐证材料。</w:t>
      </w:r>
    </w:p>
    <w:p w14:paraId="09CE95BB">
      <w:pPr>
        <w:pStyle w:val="28"/>
        <w:ind w:firstLine="480"/>
        <w:rPr>
          <w:rFonts w:eastAsia="楷体_GB2312" w:cs="楷体_GB2312"/>
          <w:color w:val="000000"/>
          <w:sz w:val="24"/>
        </w:rPr>
      </w:pPr>
      <w:r>
        <w:rPr>
          <w:rFonts w:hint="eastAsia" w:eastAsia="楷体_GB2312" w:cs="楷体_GB2312"/>
          <w:color w:val="000000"/>
          <w:sz w:val="24"/>
        </w:rPr>
        <w:t>内部控制评价是指单位自行或者委托第三方对单位内部控制体系建立与实施情况评价并出具评价报告。需上传内部控制评价报告作为佐证材料。</w:t>
      </w:r>
    </w:p>
    <w:p w14:paraId="336746A6">
      <w:pPr>
        <w:rPr>
          <w:rFonts w:eastAsia="仿宋_GB2312" w:cs="仿宋_GB2312"/>
          <w:color w:val="000000"/>
          <w:spacing w:val="-12"/>
          <w:sz w:val="28"/>
          <w:szCs w:val="28"/>
        </w:rPr>
      </w:pPr>
      <w:r>
        <w:rPr>
          <w:rFonts w:hint="eastAsia" w:eastAsia="仿宋_GB2312" w:cs="仿宋_GB2312"/>
          <w:color w:val="000000"/>
          <w:spacing w:val="-12"/>
          <w:sz w:val="28"/>
          <w:szCs w:val="28"/>
        </w:rPr>
        <w:t>（三）规范权力运行情况</w:t>
      </w:r>
    </w:p>
    <w:tbl>
      <w:tblPr>
        <w:tblStyle w:val="11"/>
        <w:tblW w:w="77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741"/>
        <w:gridCol w:w="2015"/>
      </w:tblGrid>
      <w:tr w14:paraId="2C36A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4" w:hRule="atLeast"/>
          <w:jc w:val="center"/>
        </w:trPr>
        <w:tc>
          <w:tcPr>
            <w:tcW w:w="5741" w:type="dxa"/>
            <w:noWrap/>
            <w:vAlign w:val="center"/>
          </w:tcPr>
          <w:p w14:paraId="426B73C0">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单位是否建立健全分事行权、分岗设权、分级授权机制</w:t>
            </w:r>
          </w:p>
        </w:tc>
        <w:tc>
          <w:tcPr>
            <w:tcW w:w="2015" w:type="dxa"/>
            <w:vAlign w:val="center"/>
          </w:tcPr>
          <w:p w14:paraId="47E206D8">
            <w:pPr>
              <w:spacing w:line="320" w:lineRule="exact"/>
              <w:jc w:val="center"/>
              <w:rPr>
                <w:rFonts w:eastAsia="楷体_GB2312" w:cs="楷体_GB2312"/>
                <w:color w:val="000000"/>
                <w:sz w:val="24"/>
              </w:rPr>
            </w:pPr>
            <w:r>
              <w:rPr>
                <w:rFonts w:hint="eastAsia" w:ascii="仿宋" w:hAnsi="仿宋" w:eastAsia="仿宋" w:cs="楷体_GB2312"/>
                <w:color w:val="000000"/>
                <w:sz w:val="24"/>
              </w:rPr>
              <w:t>是</w:t>
            </w:r>
          </w:p>
        </w:tc>
      </w:tr>
      <w:tr w14:paraId="0C28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3" w:hRule="atLeast"/>
          <w:jc w:val="center"/>
        </w:trPr>
        <w:tc>
          <w:tcPr>
            <w:tcW w:w="5741" w:type="dxa"/>
            <w:noWrap/>
            <w:vAlign w:val="center"/>
          </w:tcPr>
          <w:p w14:paraId="345D7216">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单位是否建立关键岗位干部交流或定期轮岗机制，并明确不具备条件轮岗的实行专项审计。</w:t>
            </w:r>
          </w:p>
        </w:tc>
        <w:tc>
          <w:tcPr>
            <w:tcW w:w="2015" w:type="dxa"/>
            <w:vAlign w:val="center"/>
          </w:tcPr>
          <w:p w14:paraId="1AF0C072">
            <w:pPr>
              <w:spacing w:line="320" w:lineRule="exact"/>
              <w:jc w:val="center"/>
              <w:rPr>
                <w:rFonts w:eastAsia="楷体_GB2312" w:cs="楷体_GB2312"/>
                <w:color w:val="000000"/>
                <w:sz w:val="24"/>
              </w:rPr>
            </w:pPr>
            <w:r>
              <w:rPr>
                <w:rFonts w:hint="eastAsia" w:ascii="仿宋" w:hAnsi="仿宋" w:eastAsia="仿宋" w:cs="楷体"/>
                <w:bCs/>
                <w:color w:val="000000"/>
                <w:sz w:val="24"/>
              </w:rPr>
              <w:t>是</w:t>
            </w:r>
          </w:p>
        </w:tc>
      </w:tr>
      <w:tr w14:paraId="2D998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3" w:hRule="atLeast"/>
          <w:jc w:val="center"/>
        </w:trPr>
        <w:tc>
          <w:tcPr>
            <w:tcW w:w="5741" w:type="dxa"/>
            <w:noWrap/>
            <w:vAlign w:val="center"/>
          </w:tcPr>
          <w:p w14:paraId="5E650A87">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单位是否针对“三重一大”事项建立集体议事决策机制</w:t>
            </w:r>
          </w:p>
        </w:tc>
        <w:tc>
          <w:tcPr>
            <w:tcW w:w="2015" w:type="dxa"/>
            <w:vAlign w:val="center"/>
          </w:tcPr>
          <w:p w14:paraId="3BC0BCB4">
            <w:pPr>
              <w:spacing w:line="320" w:lineRule="exact"/>
              <w:jc w:val="center"/>
              <w:rPr>
                <w:rFonts w:eastAsia="楷体_GB2312" w:cs="楷体_GB2312"/>
                <w:color w:val="000000"/>
                <w:sz w:val="24"/>
              </w:rPr>
            </w:pPr>
            <w:r>
              <w:rPr>
                <w:rFonts w:hint="eastAsia" w:ascii="仿宋" w:hAnsi="仿宋" w:eastAsia="仿宋" w:cs="楷体"/>
                <w:bCs/>
                <w:color w:val="000000"/>
                <w:sz w:val="24"/>
              </w:rPr>
              <w:t>是</w:t>
            </w:r>
          </w:p>
        </w:tc>
      </w:tr>
    </w:tbl>
    <w:p w14:paraId="2D42D0EC">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说明：分事行权是指对单位经济活动和业务活动的决策、执行、监督，应当明确分工、相互分离、分别行权；分岗设权是指对涉及经济活动、业务活动的相关岗位，应当依职定岗、分岗定权、权责明确；分级授权是指对单位各管理层级和相关岗位，应当明确授权范围、授权对象、授权期限、授权与行权责任、一般授权与特殊授权界限。</w:t>
      </w:r>
    </w:p>
    <w:p w14:paraId="7DCF1F17">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单位应当按照有关规定对关键岗位人员实行轮岗交流，明确轮岗范围、轮岗周期与轮岗方式，不具备轮岗条件的可以采用专项审计等替代措施。需上传定期轮岗（或专项审计）相关制度。</w:t>
      </w:r>
    </w:p>
    <w:p w14:paraId="05681B2C">
      <w:pPr>
        <w:pStyle w:val="28"/>
        <w:tabs>
          <w:tab w:val="left" w:pos="851"/>
        </w:tabs>
        <w:spacing w:line="360" w:lineRule="auto"/>
        <w:ind w:firstLine="480"/>
        <w:rPr>
          <w:rFonts w:ascii="楷体_GB2312" w:eastAsia="楷体_GB2312"/>
          <w:sz w:val="24"/>
        </w:rPr>
      </w:pPr>
      <w:r>
        <w:rPr>
          <w:rFonts w:hint="eastAsia" w:eastAsia="楷体_GB2312" w:cs="楷体_GB2312"/>
          <w:color w:val="000000"/>
          <w:sz w:val="24"/>
        </w:rPr>
        <w:t>“三重一大”是指重大事项决策、重要干部任免、重要项目安排、大额度资金的使用。</w:t>
      </w:r>
    </w:p>
    <w:p w14:paraId="324ECC78">
      <w:pPr>
        <w:widowControl/>
        <w:tabs>
          <w:tab w:val="left" w:pos="851"/>
        </w:tabs>
        <w:spacing w:line="360" w:lineRule="auto"/>
        <w:rPr>
          <w:rFonts w:eastAsia="仿宋_GB2312" w:cs="仿宋_GB2312"/>
          <w:color w:val="000000"/>
          <w:spacing w:val="-12"/>
          <w:sz w:val="28"/>
          <w:szCs w:val="28"/>
        </w:rPr>
      </w:pPr>
      <w:r>
        <w:rPr>
          <w:rFonts w:hint="eastAsia" w:eastAsia="仿宋_GB2312" w:cs="仿宋_GB2312"/>
          <w:color w:val="000000"/>
          <w:spacing w:val="-12"/>
          <w:sz w:val="28"/>
          <w:szCs w:val="28"/>
        </w:rPr>
        <w:t>（四）内部控制相关问题整改情况</w:t>
      </w:r>
    </w:p>
    <w:tbl>
      <w:tblPr>
        <w:tblStyle w:val="11"/>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405"/>
        <w:gridCol w:w="7088"/>
      </w:tblGrid>
      <w:tr w14:paraId="7AD46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8" w:hRule="atLeast"/>
          <w:jc w:val="center"/>
        </w:trPr>
        <w:tc>
          <w:tcPr>
            <w:tcW w:w="2405" w:type="dxa"/>
            <w:noWrap/>
            <w:vAlign w:val="center"/>
          </w:tcPr>
          <w:p w14:paraId="2B218411">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2023年度单位内部控制评价发现问题整改情况</w:t>
            </w:r>
          </w:p>
        </w:tc>
        <w:tc>
          <w:tcPr>
            <w:tcW w:w="7088" w:type="dxa"/>
            <w:vAlign w:val="center"/>
          </w:tcPr>
          <w:p w14:paraId="5E4F407F">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1</w:t>
            </w:r>
          </w:p>
          <w:p w14:paraId="63085C46">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1</w:t>
            </w:r>
          </w:p>
          <w:p w14:paraId="16CBD0F8">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p>
          <w:p w14:paraId="50D3E20D">
            <w:pPr>
              <w:spacing w:line="320" w:lineRule="exact"/>
              <w:jc w:val="left"/>
              <w:rPr>
                <w:rFonts w:eastAsia="楷体_GB2312" w:cs="楷体_GB2312"/>
                <w:color w:val="000000"/>
                <w:sz w:val="24"/>
              </w:rPr>
            </w:pPr>
            <w:r>
              <w:rPr>
                <w:rFonts w:hint="eastAsia" w:ascii="仿宋" w:hAnsi="仿宋" w:eastAsia="仿宋" w:cs="楷体_GB2312"/>
                <w:color w:val="000000"/>
                <w:sz w:val="24"/>
              </w:rPr>
              <w:t>0</w:t>
            </w:r>
          </w:p>
        </w:tc>
      </w:tr>
      <w:tr w14:paraId="543E2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7" w:hRule="atLeast"/>
          <w:jc w:val="center"/>
        </w:trPr>
        <w:tc>
          <w:tcPr>
            <w:tcW w:w="2405" w:type="dxa"/>
            <w:noWrap/>
            <w:vAlign w:val="center"/>
          </w:tcPr>
          <w:p w14:paraId="470115FF">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2023年度单位巡视发现与内部控制相关问题整改情况</w:t>
            </w:r>
          </w:p>
        </w:tc>
        <w:tc>
          <w:tcPr>
            <w:tcW w:w="7088" w:type="dxa"/>
            <w:vAlign w:val="center"/>
          </w:tcPr>
          <w:p w14:paraId="1D19E6B7">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p>
          <w:p w14:paraId="08C96D18">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p>
          <w:p w14:paraId="142B3C9C">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p>
          <w:p w14:paraId="64C58DCD">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r>
              <w:rPr>
                <w:rFonts w:ascii="仿宋" w:hAnsi="仿宋" w:eastAsia="仿宋" w:cs="楷体_GB2312"/>
                <w:color w:val="000000"/>
                <w:sz w:val="24"/>
              </w:rPr>
              <w:t xml:space="preserve"> </w:t>
            </w:r>
          </w:p>
        </w:tc>
      </w:tr>
      <w:tr w14:paraId="5CFA8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2" w:hRule="atLeast"/>
          <w:jc w:val="center"/>
        </w:trPr>
        <w:tc>
          <w:tcPr>
            <w:tcW w:w="2405" w:type="dxa"/>
            <w:noWrap/>
            <w:vAlign w:val="center"/>
          </w:tcPr>
          <w:p w14:paraId="44E6BE3D">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2023年度单位纪检监察发现与内部控制相关问题整改情况</w:t>
            </w:r>
          </w:p>
        </w:tc>
        <w:tc>
          <w:tcPr>
            <w:tcW w:w="7088" w:type="dxa"/>
            <w:vAlign w:val="center"/>
          </w:tcPr>
          <w:p w14:paraId="5CD10266">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p>
          <w:p w14:paraId="14218D0D">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p>
          <w:p w14:paraId="50EFC3EC">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p>
          <w:p w14:paraId="48001878">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r>
              <w:rPr>
                <w:rFonts w:ascii="仿宋" w:hAnsi="仿宋" w:eastAsia="仿宋" w:cs="楷体_GB2312"/>
                <w:color w:val="000000"/>
                <w:sz w:val="24"/>
              </w:rPr>
              <w:t xml:space="preserve"> </w:t>
            </w:r>
          </w:p>
        </w:tc>
      </w:tr>
      <w:tr w14:paraId="3A29E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9" w:hRule="atLeast"/>
          <w:jc w:val="center"/>
        </w:trPr>
        <w:tc>
          <w:tcPr>
            <w:tcW w:w="2405" w:type="dxa"/>
            <w:noWrap/>
            <w:vAlign w:val="center"/>
          </w:tcPr>
          <w:p w14:paraId="5D3E4DC7">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2023年度单位审计发现与内部控制相关问题整改情况</w:t>
            </w:r>
          </w:p>
        </w:tc>
        <w:tc>
          <w:tcPr>
            <w:tcW w:w="7088" w:type="dxa"/>
            <w:vAlign w:val="center"/>
          </w:tcPr>
          <w:p w14:paraId="1F9CFB56">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p>
          <w:p w14:paraId="722BB2D8">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p>
          <w:p w14:paraId="18F2DBDF">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p>
          <w:p w14:paraId="3C7A962C">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r>
              <w:rPr>
                <w:rFonts w:ascii="仿宋" w:hAnsi="仿宋" w:eastAsia="仿宋" w:cs="楷体_GB2312"/>
                <w:color w:val="000000"/>
                <w:sz w:val="24"/>
              </w:rPr>
              <w:t xml:space="preserve"> </w:t>
            </w:r>
          </w:p>
        </w:tc>
      </w:tr>
      <w:tr w14:paraId="7FEFE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9" w:hRule="atLeast"/>
          <w:jc w:val="center"/>
        </w:trPr>
        <w:tc>
          <w:tcPr>
            <w:tcW w:w="2405" w:type="dxa"/>
            <w:noWrap/>
            <w:vAlign w:val="center"/>
          </w:tcPr>
          <w:p w14:paraId="692FBA32">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2023年度单位财会监督发现与内部控制相关问题整改情况</w:t>
            </w:r>
          </w:p>
        </w:tc>
        <w:tc>
          <w:tcPr>
            <w:tcW w:w="7088" w:type="dxa"/>
            <w:vAlign w:val="center"/>
          </w:tcPr>
          <w:p w14:paraId="2E4C0194">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p>
          <w:p w14:paraId="5DB68EC2">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p>
          <w:p w14:paraId="2F0A5D5D">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p>
          <w:p w14:paraId="73679BA6">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0</w:t>
            </w:r>
          </w:p>
        </w:tc>
      </w:tr>
    </w:tbl>
    <w:p w14:paraId="5F948B6E">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说明：2023年度单位内部控制评价发现问题整改情况根据内部控制评价报告以及整改文件及成果等内容填写。</w:t>
      </w:r>
    </w:p>
    <w:p w14:paraId="00C719FF">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2023年度单位巡视发现与内部控制相关问题整改情况根据各类巡视报告及巡视整改工作报告等内容填写，仅填列与内部控制相关的问题。</w:t>
      </w:r>
    </w:p>
    <w:p w14:paraId="7CE29472">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2023年度单位纪检监察发现与内部控制相关问题整改情况根据单位纪检监察报告及整改工作报告等内容填写，仅填列与内部控制相关的问题。</w:t>
      </w:r>
    </w:p>
    <w:p w14:paraId="601F54CD">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2023年度单位审计发现与内部控制相关问题整改情况根据各类审计报告及整改工作报告等内容填写，仅填列与内部控制相关的问题。</w:t>
      </w:r>
    </w:p>
    <w:p w14:paraId="7928A28E">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2023年度单位财会监督发现与内部控制相关问题整改情况根据财会监督专项行动报告及整改工作报告等内容填写，仅填列与内部控制相关的问题。</w:t>
      </w:r>
    </w:p>
    <w:p w14:paraId="5605414A">
      <w:pPr>
        <w:widowControl/>
        <w:tabs>
          <w:tab w:val="left" w:pos="851"/>
        </w:tabs>
        <w:spacing w:line="360" w:lineRule="auto"/>
        <w:rPr>
          <w:rFonts w:eastAsia="仿宋_GB2312" w:cs="仿宋_GB2312"/>
          <w:color w:val="000000"/>
          <w:spacing w:val="-12"/>
          <w:sz w:val="28"/>
          <w:szCs w:val="28"/>
        </w:rPr>
      </w:pPr>
      <w:r>
        <w:rPr>
          <w:rFonts w:hint="eastAsia" w:eastAsia="仿宋_GB2312" w:cs="仿宋_GB2312"/>
          <w:color w:val="000000"/>
          <w:spacing w:val="-12"/>
          <w:sz w:val="28"/>
          <w:szCs w:val="28"/>
        </w:rPr>
        <w:t>（五）政府会计改革</w:t>
      </w:r>
    </w:p>
    <w:tbl>
      <w:tblPr>
        <w:tblStyle w:val="11"/>
        <w:tblW w:w="8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3148"/>
        <w:gridCol w:w="951"/>
        <w:gridCol w:w="3270"/>
        <w:gridCol w:w="1140"/>
      </w:tblGrid>
      <w:tr w14:paraId="5254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0" w:hRule="atLeast"/>
          <w:jc w:val="center"/>
        </w:trPr>
        <w:tc>
          <w:tcPr>
            <w:tcW w:w="3148" w:type="dxa"/>
            <w:noWrap/>
            <w:vAlign w:val="center"/>
          </w:tcPr>
          <w:p w14:paraId="08A40B80">
            <w:pPr>
              <w:spacing w:line="320" w:lineRule="exact"/>
              <w:rPr>
                <w:rFonts w:eastAsia="仿宋_GB2312" w:cs="仿宋_GB2312"/>
                <w:color w:val="000000"/>
                <w:spacing w:val="-12"/>
                <w:sz w:val="24"/>
              </w:rPr>
            </w:pPr>
            <w:r>
              <w:rPr>
                <w:rFonts w:hint="eastAsia" w:eastAsia="仿宋_GB2312" w:cs="仿宋_GB2312"/>
                <w:color w:val="000000"/>
                <w:spacing w:val="-12"/>
                <w:sz w:val="24"/>
              </w:rPr>
              <w:t>单位是否执行政府会计准则制度</w:t>
            </w:r>
          </w:p>
        </w:tc>
        <w:tc>
          <w:tcPr>
            <w:tcW w:w="951" w:type="dxa"/>
            <w:noWrap/>
            <w:vAlign w:val="center"/>
          </w:tcPr>
          <w:p w14:paraId="62C06916">
            <w:pPr>
              <w:spacing w:line="320" w:lineRule="exact"/>
              <w:jc w:val="center"/>
              <w:rPr>
                <w:rFonts w:eastAsia="仿宋_GB2312" w:cs="仿宋_GB2312"/>
                <w:color w:val="000000"/>
                <w:spacing w:val="-12"/>
                <w:sz w:val="24"/>
              </w:rPr>
            </w:pPr>
            <w:r>
              <w:rPr>
                <w:rFonts w:hint="eastAsia" w:ascii="仿宋" w:hAnsi="仿宋" w:eastAsia="仿宋" w:cs="楷体"/>
                <w:bCs/>
                <w:color w:val="000000"/>
                <w:sz w:val="24"/>
              </w:rPr>
              <w:t>是</w:t>
            </w:r>
          </w:p>
        </w:tc>
        <w:tc>
          <w:tcPr>
            <w:tcW w:w="3270" w:type="dxa"/>
            <w:noWrap/>
            <w:vAlign w:val="center"/>
          </w:tcPr>
          <w:p w14:paraId="0C0210E1">
            <w:pPr>
              <w:spacing w:line="320" w:lineRule="exact"/>
              <w:jc w:val="left"/>
              <w:rPr>
                <w:rFonts w:eastAsia="仿宋_GB2312" w:cs="仿宋_GB2312"/>
                <w:color w:val="000000"/>
                <w:spacing w:val="-12"/>
                <w:sz w:val="24"/>
              </w:rPr>
            </w:pPr>
            <w:r>
              <w:rPr>
                <w:rFonts w:hint="eastAsia" w:eastAsia="仿宋_GB2312" w:cs="仿宋_GB2312"/>
                <w:color w:val="000000"/>
                <w:spacing w:val="-12"/>
                <w:sz w:val="24"/>
              </w:rPr>
              <w:t>2023年度单位是否按照政府会计准则制度要求开展预算会计核算和财务会计核算</w:t>
            </w:r>
          </w:p>
        </w:tc>
        <w:tc>
          <w:tcPr>
            <w:tcW w:w="1140" w:type="dxa"/>
            <w:noWrap/>
            <w:vAlign w:val="center"/>
          </w:tcPr>
          <w:p w14:paraId="2BAEF538">
            <w:pPr>
              <w:spacing w:line="320" w:lineRule="exact"/>
              <w:jc w:val="center"/>
              <w:rPr>
                <w:rFonts w:eastAsia="楷体_GB2312" w:cs="楷体_GB2312"/>
                <w:color w:val="000000"/>
                <w:sz w:val="24"/>
              </w:rPr>
            </w:pPr>
            <w:r>
              <w:rPr>
                <w:rFonts w:hint="eastAsia" w:ascii="仿宋" w:hAnsi="仿宋" w:eastAsia="仿宋"/>
                <w:bCs/>
                <w:color w:val="000000"/>
                <w:sz w:val="24"/>
              </w:rPr>
              <w:t>是</w:t>
            </w:r>
          </w:p>
        </w:tc>
      </w:tr>
      <w:tr w14:paraId="6B96B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7" w:hRule="atLeast"/>
          <w:jc w:val="center"/>
        </w:trPr>
        <w:tc>
          <w:tcPr>
            <w:tcW w:w="3148" w:type="dxa"/>
            <w:noWrap/>
            <w:vAlign w:val="center"/>
          </w:tcPr>
          <w:p w14:paraId="02B25893">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2023年度单位是否对固定资产和无形资产计提折旧或摊销</w:t>
            </w:r>
          </w:p>
        </w:tc>
        <w:tc>
          <w:tcPr>
            <w:tcW w:w="951" w:type="dxa"/>
            <w:noWrap/>
            <w:vAlign w:val="center"/>
          </w:tcPr>
          <w:p w14:paraId="398A5775">
            <w:pPr>
              <w:spacing w:line="320" w:lineRule="exact"/>
              <w:jc w:val="center"/>
              <w:rPr>
                <w:rFonts w:eastAsia="仿宋_GB2312" w:cs="仿宋_GB2312"/>
                <w:color w:val="000000"/>
                <w:spacing w:val="-12"/>
                <w:sz w:val="24"/>
              </w:rPr>
            </w:pPr>
            <w:r>
              <w:rPr>
                <w:rFonts w:hint="eastAsia" w:ascii="仿宋" w:hAnsi="仿宋" w:eastAsia="仿宋"/>
                <w:bCs/>
                <w:color w:val="000000"/>
                <w:sz w:val="24"/>
              </w:rPr>
              <w:t>是</w:t>
            </w:r>
          </w:p>
        </w:tc>
        <w:tc>
          <w:tcPr>
            <w:tcW w:w="3270" w:type="dxa"/>
            <w:noWrap/>
            <w:vAlign w:val="center"/>
          </w:tcPr>
          <w:p w14:paraId="680624BF">
            <w:pPr>
              <w:spacing w:line="320" w:lineRule="exact"/>
              <w:jc w:val="left"/>
              <w:rPr>
                <w:rFonts w:eastAsia="仿宋_GB2312" w:cs="仿宋_GB2312"/>
                <w:color w:val="000000"/>
                <w:spacing w:val="-12"/>
                <w:sz w:val="24"/>
              </w:rPr>
            </w:pPr>
            <w:r>
              <w:rPr>
                <w:rFonts w:hint="eastAsia" w:eastAsia="仿宋_GB2312" w:cs="仿宋_GB2312"/>
                <w:color w:val="000000"/>
                <w:spacing w:val="-12"/>
                <w:sz w:val="24"/>
              </w:rPr>
              <w:t>2023年度编制政府部门财务报告时，部门及所属单位之间发生的经济业务或事项是否在抵销前进行确认</w:t>
            </w:r>
          </w:p>
        </w:tc>
        <w:tc>
          <w:tcPr>
            <w:tcW w:w="1140" w:type="dxa"/>
            <w:noWrap/>
            <w:vAlign w:val="center"/>
          </w:tcPr>
          <w:p w14:paraId="4B5ADBB6">
            <w:pPr>
              <w:spacing w:line="320" w:lineRule="exact"/>
              <w:jc w:val="center"/>
              <w:rPr>
                <w:rFonts w:eastAsia="楷体_GB2312" w:cs="楷体_GB2312"/>
                <w:color w:val="000000"/>
                <w:sz w:val="24"/>
              </w:rPr>
            </w:pPr>
            <w:r>
              <w:rPr>
                <w:rFonts w:hint="eastAsia" w:ascii="仿宋" w:hAnsi="仿宋" w:eastAsia="仿宋"/>
                <w:bCs/>
                <w:color w:val="000000"/>
                <w:sz w:val="24"/>
              </w:rPr>
              <w:t>是</w:t>
            </w:r>
          </w:p>
        </w:tc>
      </w:tr>
      <w:tr w14:paraId="5B65F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45" w:hRule="atLeast"/>
          <w:jc w:val="center"/>
        </w:trPr>
        <w:tc>
          <w:tcPr>
            <w:tcW w:w="3148" w:type="dxa"/>
            <w:noWrap/>
            <w:vAlign w:val="center"/>
          </w:tcPr>
          <w:p w14:paraId="3222AF66">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单位是否将基本建设投资、公共基础设施、保障性住房、政府储备物资、文物资源等纳入统一账簿进行会计核算</w:t>
            </w:r>
          </w:p>
        </w:tc>
        <w:tc>
          <w:tcPr>
            <w:tcW w:w="5361" w:type="dxa"/>
            <w:gridSpan w:val="3"/>
            <w:noWrap/>
            <w:vAlign w:val="center"/>
          </w:tcPr>
          <w:p w14:paraId="218C6E69">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基本建设投资：</w:t>
            </w:r>
            <w:r>
              <w:rPr>
                <w:rFonts w:hint="eastAsia" w:ascii="仿宋" w:hAnsi="仿宋" w:eastAsia="仿宋"/>
                <w:bCs/>
                <w:color w:val="000000"/>
                <w:sz w:val="24"/>
              </w:rPr>
              <w:t>不适用</w:t>
            </w:r>
          </w:p>
          <w:p w14:paraId="4F13BC16">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公共基础设施：</w:t>
            </w:r>
            <w:r>
              <w:rPr>
                <w:rFonts w:hint="eastAsia" w:ascii="仿宋" w:hAnsi="仿宋" w:eastAsia="仿宋"/>
                <w:bCs/>
                <w:color w:val="000000"/>
                <w:sz w:val="24"/>
              </w:rPr>
              <w:t>不适用</w:t>
            </w:r>
          </w:p>
          <w:p w14:paraId="65C62A80">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保障性住房：</w:t>
            </w:r>
            <w:r>
              <w:rPr>
                <w:rFonts w:hint="eastAsia" w:ascii="仿宋" w:hAnsi="仿宋" w:eastAsia="仿宋"/>
                <w:bCs/>
                <w:color w:val="000000"/>
                <w:sz w:val="24"/>
              </w:rPr>
              <w:t>不适用</w:t>
            </w:r>
          </w:p>
          <w:p w14:paraId="35E45465">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政府储备物资：</w:t>
            </w:r>
            <w:r>
              <w:rPr>
                <w:rFonts w:hint="eastAsia" w:ascii="仿宋" w:hAnsi="仿宋" w:eastAsia="仿宋"/>
                <w:bCs/>
                <w:color w:val="000000"/>
                <w:sz w:val="24"/>
              </w:rPr>
              <w:t>不适用</w:t>
            </w:r>
          </w:p>
          <w:p w14:paraId="246A0C0C">
            <w:pPr>
              <w:spacing w:line="320" w:lineRule="exact"/>
              <w:jc w:val="left"/>
              <w:rPr>
                <w:rFonts w:eastAsia="仿宋_GB2312" w:cs="仿宋_GB2312"/>
                <w:color w:val="000000"/>
                <w:spacing w:val="-12"/>
                <w:sz w:val="24"/>
              </w:rPr>
            </w:pPr>
            <w:r>
              <w:rPr>
                <w:rFonts w:hint="eastAsia" w:ascii="仿宋" w:hAnsi="仿宋" w:eastAsia="仿宋" w:cs="楷体_GB2312"/>
                <w:color w:val="000000"/>
                <w:sz w:val="24"/>
              </w:rPr>
              <w:t>文物资源：</w:t>
            </w:r>
            <w:r>
              <w:rPr>
                <w:rFonts w:hint="eastAsia" w:ascii="仿宋" w:hAnsi="仿宋" w:eastAsia="仿宋"/>
                <w:bCs/>
                <w:color w:val="000000"/>
                <w:sz w:val="24"/>
              </w:rPr>
              <w:t>不适用</w:t>
            </w:r>
          </w:p>
        </w:tc>
      </w:tr>
      <w:tr w14:paraId="4475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4" w:hRule="atLeast"/>
          <w:jc w:val="center"/>
        </w:trPr>
        <w:tc>
          <w:tcPr>
            <w:tcW w:w="3148" w:type="dxa"/>
            <w:noWrap/>
            <w:vAlign w:val="center"/>
          </w:tcPr>
          <w:p w14:paraId="792ECDBD">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单位是否开展财务报告数据的分析与应用</w:t>
            </w:r>
          </w:p>
        </w:tc>
        <w:tc>
          <w:tcPr>
            <w:tcW w:w="5361" w:type="dxa"/>
            <w:gridSpan w:val="3"/>
            <w:noWrap/>
            <w:vAlign w:val="center"/>
          </w:tcPr>
          <w:p w14:paraId="4D5B12AB">
            <w:pPr>
              <w:spacing w:line="320" w:lineRule="exact"/>
              <w:jc w:val="center"/>
              <w:rPr>
                <w:rFonts w:eastAsia="仿宋_GB2312" w:cs="仿宋_GB2312"/>
                <w:color w:val="000000"/>
                <w:spacing w:val="-12"/>
                <w:sz w:val="24"/>
              </w:rPr>
            </w:pPr>
            <w:r>
              <w:rPr>
                <w:rFonts w:hint="eastAsia" w:ascii="仿宋" w:hAnsi="仿宋" w:eastAsia="仿宋"/>
                <w:bCs/>
                <w:color w:val="000000"/>
                <w:sz w:val="24"/>
              </w:rPr>
              <w:t>是</w:t>
            </w:r>
          </w:p>
        </w:tc>
      </w:tr>
    </w:tbl>
    <w:p w14:paraId="46CDCD25">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说明：单位应当按照国家统一的会计准则制度进行账务处理，编制会计报表，并建立健全会计核算过程和财务报告编制环节的内部控制制度。</w:t>
      </w:r>
    </w:p>
    <w:p w14:paraId="0DB1D51E">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2023年度单位是否按照政府会计准则制度要求开展预算会计核算和财务会计核算根据单位年度预算会计核算和财务会计核算情况勾选。</w:t>
      </w:r>
    </w:p>
    <w:p w14:paraId="6AA63A53">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编制2023年度政府部门财务报告时，部门及所属单位之间发生的经济业务或事项是否在抵销前进行确认根据2023年度政府部门财务报告编制过程中的内部抵销情况勾选。若单位不存在内部抵销事项，则勾选“不适用”。</w:t>
      </w:r>
    </w:p>
    <w:p w14:paraId="754423CB">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单位是否将基本建设投资、公共基础设施、保障性住房、政府储备物资、文物资源等纳入统一账簿进行会计核算根据单位基本建设投资、公共基础设施、保障性住房、政府储备物资、文物资源核算实际情况勾选。若单位不存在相关业务，则勾选“不适用”。</w:t>
      </w:r>
    </w:p>
    <w:p w14:paraId="4E6CD180">
      <w:pPr>
        <w:pStyle w:val="28"/>
        <w:tabs>
          <w:tab w:val="left" w:pos="851"/>
        </w:tabs>
        <w:spacing w:line="360" w:lineRule="auto"/>
        <w:ind w:firstLine="0" w:firstLineChars="0"/>
        <w:jc w:val="center"/>
        <w:rPr>
          <w:rFonts w:ascii="黑体" w:eastAsia="黑体" w:cs="方正小标宋简体"/>
          <w:color w:val="000000"/>
          <w:spacing w:val="8"/>
          <w:sz w:val="36"/>
          <w:szCs w:val="36"/>
        </w:rPr>
      </w:pPr>
      <w:r>
        <w:rPr>
          <w:rFonts w:hint="eastAsia" w:ascii="黑体" w:eastAsia="黑体" w:cs="方正小标宋简体"/>
          <w:color w:val="000000"/>
          <w:spacing w:val="8"/>
          <w:sz w:val="36"/>
          <w:szCs w:val="36"/>
        </w:rPr>
        <w:t>三、业务层面内部控制情况</w:t>
      </w:r>
    </w:p>
    <w:p w14:paraId="1488AAF5">
      <w:pPr>
        <w:widowControl/>
        <w:tabs>
          <w:tab w:val="left" w:pos="851"/>
        </w:tabs>
        <w:spacing w:line="360" w:lineRule="auto"/>
        <w:rPr>
          <w:rFonts w:eastAsia="楷体_GB2312" w:cs="楷体_GB2312"/>
          <w:color w:val="000000"/>
          <w:sz w:val="24"/>
        </w:rPr>
      </w:pPr>
      <w:r>
        <w:rPr>
          <w:rFonts w:hint="eastAsia" w:eastAsia="仿宋_GB2312" w:cs="仿宋_GB2312"/>
          <w:color w:val="000000"/>
          <w:spacing w:val="-12"/>
          <w:sz w:val="28"/>
          <w:szCs w:val="28"/>
        </w:rPr>
        <w:t>（一）内部控制适用的业务领域</w:t>
      </w:r>
    </w:p>
    <w:tbl>
      <w:tblPr>
        <w:tblStyle w:val="11"/>
        <w:tblW w:w="8647" w:type="dxa"/>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410"/>
        <w:gridCol w:w="1843"/>
        <w:gridCol w:w="2551"/>
      </w:tblGrid>
      <w:tr w14:paraId="0BC61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843" w:type="dxa"/>
            <w:vAlign w:val="center"/>
          </w:tcPr>
          <w:p w14:paraId="169A51D6">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预算业务</w:t>
            </w:r>
          </w:p>
        </w:tc>
        <w:tc>
          <w:tcPr>
            <w:tcW w:w="2410" w:type="dxa"/>
            <w:vAlign w:val="center"/>
          </w:tcPr>
          <w:p w14:paraId="339E76F8">
            <w:pPr>
              <w:spacing w:line="320" w:lineRule="exact"/>
              <w:rPr>
                <w:rFonts w:eastAsia="楷体_GB2312" w:cs="楷体_GB2312"/>
                <w:color w:val="000000"/>
                <w:sz w:val="24"/>
              </w:rPr>
            </w:pPr>
            <w:r>
              <w:rPr>
                <w:rFonts w:hint="eastAsia" w:ascii="仿宋" w:hAnsi="仿宋" w:eastAsia="仿宋"/>
                <w:bCs/>
                <w:color w:val="000000"/>
                <w:sz w:val="24"/>
              </w:rPr>
              <w:t>适用</w:t>
            </w:r>
          </w:p>
        </w:tc>
        <w:tc>
          <w:tcPr>
            <w:tcW w:w="1843" w:type="dxa"/>
            <w:vAlign w:val="center"/>
          </w:tcPr>
          <w:p w14:paraId="46EE3B66">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收支业务</w:t>
            </w:r>
          </w:p>
        </w:tc>
        <w:tc>
          <w:tcPr>
            <w:tcW w:w="2551" w:type="dxa"/>
            <w:vAlign w:val="center"/>
          </w:tcPr>
          <w:p w14:paraId="379B3ACE">
            <w:pPr>
              <w:spacing w:line="320" w:lineRule="exact"/>
              <w:rPr>
                <w:rFonts w:eastAsia="楷体_GB2312" w:cs="楷体_GB2312"/>
                <w:color w:val="000000"/>
                <w:sz w:val="24"/>
              </w:rPr>
            </w:pPr>
            <w:r>
              <w:rPr>
                <w:rFonts w:hint="eastAsia" w:ascii="仿宋" w:hAnsi="仿宋" w:eastAsia="仿宋"/>
                <w:bCs/>
                <w:color w:val="000000"/>
                <w:sz w:val="24"/>
              </w:rPr>
              <w:t>适用</w:t>
            </w:r>
          </w:p>
        </w:tc>
      </w:tr>
      <w:tr w14:paraId="5F240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843" w:type="dxa"/>
            <w:vAlign w:val="center"/>
          </w:tcPr>
          <w:p w14:paraId="12F48CBF">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政府采购业务</w:t>
            </w:r>
          </w:p>
        </w:tc>
        <w:tc>
          <w:tcPr>
            <w:tcW w:w="2410" w:type="dxa"/>
            <w:vAlign w:val="center"/>
          </w:tcPr>
          <w:p w14:paraId="42DF9C7F">
            <w:pPr>
              <w:spacing w:line="320" w:lineRule="exact"/>
              <w:rPr>
                <w:rFonts w:eastAsia="楷体_GB2312" w:cs="楷体_GB2312"/>
                <w:color w:val="000000"/>
                <w:sz w:val="24"/>
              </w:rPr>
            </w:pPr>
            <w:r>
              <w:rPr>
                <w:rFonts w:hint="eastAsia" w:ascii="仿宋" w:hAnsi="仿宋" w:eastAsia="仿宋"/>
                <w:bCs/>
                <w:color w:val="000000"/>
                <w:sz w:val="24"/>
              </w:rPr>
              <w:t>适用</w:t>
            </w:r>
          </w:p>
        </w:tc>
        <w:tc>
          <w:tcPr>
            <w:tcW w:w="1843" w:type="dxa"/>
            <w:vAlign w:val="center"/>
          </w:tcPr>
          <w:p w14:paraId="0E9BC98B">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资产管理</w:t>
            </w:r>
          </w:p>
        </w:tc>
        <w:tc>
          <w:tcPr>
            <w:tcW w:w="2551" w:type="dxa"/>
            <w:vAlign w:val="center"/>
          </w:tcPr>
          <w:p w14:paraId="513CD39F">
            <w:pPr>
              <w:spacing w:line="320" w:lineRule="exact"/>
              <w:rPr>
                <w:rFonts w:eastAsia="楷体_GB2312" w:cs="楷体_GB2312"/>
                <w:color w:val="000000"/>
                <w:sz w:val="24"/>
              </w:rPr>
            </w:pPr>
            <w:r>
              <w:rPr>
                <w:rFonts w:hint="eastAsia" w:ascii="仿宋" w:hAnsi="仿宋" w:eastAsia="仿宋"/>
                <w:bCs/>
                <w:color w:val="000000"/>
                <w:sz w:val="24"/>
              </w:rPr>
              <w:t>适用</w:t>
            </w:r>
          </w:p>
        </w:tc>
      </w:tr>
      <w:tr w14:paraId="2C39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843" w:type="dxa"/>
            <w:vAlign w:val="center"/>
          </w:tcPr>
          <w:p w14:paraId="11C95B93">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建设项目管理</w:t>
            </w:r>
          </w:p>
        </w:tc>
        <w:tc>
          <w:tcPr>
            <w:tcW w:w="2410" w:type="dxa"/>
            <w:vAlign w:val="center"/>
          </w:tcPr>
          <w:p w14:paraId="345FFC0B">
            <w:pPr>
              <w:spacing w:line="320" w:lineRule="exact"/>
              <w:rPr>
                <w:rFonts w:eastAsia="楷体_GB2312" w:cs="楷体_GB2312"/>
                <w:color w:val="000000"/>
                <w:sz w:val="24"/>
              </w:rPr>
            </w:pPr>
            <w:r>
              <w:rPr>
                <w:rFonts w:hint="eastAsia" w:ascii="仿宋" w:hAnsi="仿宋" w:eastAsia="仿宋"/>
                <w:bCs/>
                <w:color w:val="000000"/>
                <w:sz w:val="24"/>
              </w:rPr>
              <w:t>适用</w:t>
            </w:r>
          </w:p>
        </w:tc>
        <w:tc>
          <w:tcPr>
            <w:tcW w:w="1843" w:type="dxa"/>
            <w:vAlign w:val="center"/>
          </w:tcPr>
          <w:p w14:paraId="1785872F">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合同管理</w:t>
            </w:r>
          </w:p>
        </w:tc>
        <w:tc>
          <w:tcPr>
            <w:tcW w:w="2551" w:type="dxa"/>
            <w:vAlign w:val="center"/>
          </w:tcPr>
          <w:p w14:paraId="34636232">
            <w:pPr>
              <w:spacing w:line="320" w:lineRule="exact"/>
              <w:rPr>
                <w:rFonts w:eastAsia="楷体_GB2312" w:cs="楷体_GB2312"/>
                <w:color w:val="000000"/>
                <w:sz w:val="24"/>
              </w:rPr>
            </w:pPr>
            <w:r>
              <w:rPr>
                <w:rFonts w:hint="eastAsia" w:ascii="仿宋" w:hAnsi="仿宋" w:eastAsia="仿宋"/>
                <w:bCs/>
                <w:color w:val="000000"/>
                <w:sz w:val="24"/>
              </w:rPr>
              <w:t>适用</w:t>
            </w:r>
          </w:p>
        </w:tc>
      </w:tr>
      <w:tr w14:paraId="11F4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43" w:type="dxa"/>
            <w:vAlign w:val="center"/>
          </w:tcPr>
          <w:p w14:paraId="31D23179">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内部控制适用的其他业务领域</w:t>
            </w:r>
          </w:p>
        </w:tc>
        <w:tc>
          <w:tcPr>
            <w:tcW w:w="6804" w:type="dxa"/>
            <w:gridSpan w:val="3"/>
            <w:vAlign w:val="center"/>
          </w:tcPr>
          <w:p w14:paraId="08D9965B">
            <w:pPr>
              <w:spacing w:line="320" w:lineRule="exact"/>
              <w:rPr>
                <w:rFonts w:eastAsia="楷体_GB2312" w:cs="楷体_GB2312"/>
                <w:color w:val="000000"/>
                <w:sz w:val="24"/>
              </w:rPr>
            </w:pPr>
          </w:p>
        </w:tc>
      </w:tr>
    </w:tbl>
    <w:p w14:paraId="69E558B3">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说明：如单位适用某项经济业务，但2023年度该业务实际未发生，也应勾选“适用”。对于不适用的业务领域，应在佐证材料中加以说明或提供支撑材料，如加盖单位公章的说明材料等。</w:t>
      </w:r>
    </w:p>
    <w:p w14:paraId="3E49AF9E">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政府采购是指各级国家机关、事业单位和团体组织，使用财政性资金采购依法制定的集中采购目录以内的或者采购限额标准以上的货物、工程和服务的行为。单位使用财政性资金采购的集中采购目录以外和采购限额标准以下的货物、工程和服务，即自行采购业务可比照政府采购业务控制程序执行。</w:t>
      </w:r>
    </w:p>
    <w:p w14:paraId="481C2D75">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建设项目是指单位自行或委托其他单位进行的建造、安装活动。建造活动主要是指各种建筑的新建、改建、扩建及修缮活动，安装主要是指设备的安装工程。</w:t>
      </w:r>
    </w:p>
    <w:p w14:paraId="512E52C4">
      <w:pPr>
        <w:pStyle w:val="28"/>
        <w:tabs>
          <w:tab w:val="left" w:pos="851"/>
        </w:tabs>
        <w:spacing w:line="360" w:lineRule="auto"/>
        <w:ind w:firstLine="480"/>
        <w:rPr>
          <w:rFonts w:ascii="楷体" w:hAnsi="楷体" w:eastAsia="楷体" w:cs="楷体"/>
          <w:sz w:val="24"/>
        </w:rPr>
      </w:pPr>
      <w:r>
        <w:rPr>
          <w:rFonts w:hint="eastAsia" w:eastAsia="楷体_GB2312" w:cs="楷体_GB2312"/>
          <w:color w:val="000000"/>
          <w:sz w:val="24"/>
        </w:rPr>
        <w:t>若内部控制建设覆盖六大业务领域以外的其他业务，可填写具体业务名称。</w:t>
      </w:r>
    </w:p>
    <w:p w14:paraId="7BA005F0">
      <w:pPr>
        <w:widowControl/>
        <w:tabs>
          <w:tab w:val="left" w:pos="851"/>
        </w:tabs>
        <w:spacing w:line="360" w:lineRule="auto"/>
        <w:rPr>
          <w:rFonts w:eastAsia="仿宋_GB2312" w:cs="仿宋_GB2312"/>
          <w:color w:val="000000"/>
          <w:spacing w:val="-12"/>
          <w:sz w:val="28"/>
          <w:szCs w:val="28"/>
        </w:rPr>
      </w:pPr>
      <w:r>
        <w:rPr>
          <w:rFonts w:hint="eastAsia" w:eastAsia="仿宋_GB2312" w:cs="仿宋_GB2312"/>
          <w:color w:val="000000"/>
          <w:spacing w:val="-12"/>
          <w:sz w:val="28"/>
          <w:szCs w:val="28"/>
        </w:rPr>
        <w:t>（二）职责分离情况</w:t>
      </w:r>
    </w:p>
    <w:tbl>
      <w:tblPr>
        <w:tblStyle w:val="11"/>
        <w:tblW w:w="91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438"/>
        <w:gridCol w:w="1531"/>
        <w:gridCol w:w="1593"/>
        <w:gridCol w:w="1482"/>
        <w:gridCol w:w="1576"/>
        <w:gridCol w:w="1485"/>
      </w:tblGrid>
      <w:tr w14:paraId="40EF7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17" w:hRule="atLeast"/>
          <w:jc w:val="center"/>
        </w:trPr>
        <w:tc>
          <w:tcPr>
            <w:tcW w:w="1438" w:type="dxa"/>
            <w:vAlign w:val="center"/>
          </w:tcPr>
          <w:p w14:paraId="04E703F5">
            <w:pPr>
              <w:widowControl/>
              <w:jc w:val="center"/>
              <w:rPr>
                <w:b/>
                <w:color w:val="000000"/>
                <w:sz w:val="24"/>
              </w:rPr>
            </w:pPr>
            <w:r>
              <w:rPr>
                <w:rFonts w:hint="eastAsia"/>
                <w:b/>
                <w:color w:val="000000"/>
                <w:sz w:val="24"/>
              </w:rPr>
              <w:t>预算业务</w:t>
            </w:r>
          </w:p>
        </w:tc>
        <w:tc>
          <w:tcPr>
            <w:tcW w:w="1531" w:type="dxa"/>
            <w:vAlign w:val="center"/>
          </w:tcPr>
          <w:p w14:paraId="6AACA189">
            <w:pPr>
              <w:widowControl/>
              <w:jc w:val="center"/>
              <w:rPr>
                <w:b/>
                <w:color w:val="000000"/>
                <w:sz w:val="24"/>
              </w:rPr>
            </w:pPr>
            <w:r>
              <w:rPr>
                <w:rFonts w:hint="eastAsia"/>
                <w:b/>
                <w:color w:val="000000"/>
                <w:sz w:val="24"/>
              </w:rPr>
              <w:t>收支业务</w:t>
            </w:r>
          </w:p>
        </w:tc>
        <w:tc>
          <w:tcPr>
            <w:tcW w:w="1593" w:type="dxa"/>
            <w:vAlign w:val="center"/>
          </w:tcPr>
          <w:p w14:paraId="7F44765B">
            <w:pPr>
              <w:widowControl/>
              <w:jc w:val="center"/>
              <w:rPr>
                <w:b/>
                <w:color w:val="000000"/>
                <w:sz w:val="24"/>
              </w:rPr>
            </w:pPr>
            <w:r>
              <w:rPr>
                <w:rFonts w:hint="eastAsia"/>
                <w:b/>
                <w:color w:val="000000"/>
                <w:sz w:val="24"/>
              </w:rPr>
              <w:t>政府采购业务</w:t>
            </w:r>
          </w:p>
        </w:tc>
        <w:tc>
          <w:tcPr>
            <w:tcW w:w="1482" w:type="dxa"/>
            <w:vAlign w:val="center"/>
          </w:tcPr>
          <w:p w14:paraId="258936BF">
            <w:pPr>
              <w:widowControl/>
              <w:jc w:val="center"/>
              <w:rPr>
                <w:b/>
                <w:color w:val="000000"/>
                <w:sz w:val="24"/>
              </w:rPr>
            </w:pPr>
            <w:r>
              <w:rPr>
                <w:rFonts w:hint="eastAsia"/>
                <w:b/>
                <w:color w:val="000000"/>
                <w:sz w:val="24"/>
              </w:rPr>
              <w:t>资产管理</w:t>
            </w:r>
          </w:p>
        </w:tc>
        <w:tc>
          <w:tcPr>
            <w:tcW w:w="1576" w:type="dxa"/>
            <w:vAlign w:val="center"/>
          </w:tcPr>
          <w:p w14:paraId="32204021">
            <w:pPr>
              <w:widowControl/>
              <w:jc w:val="center"/>
              <w:rPr>
                <w:b/>
                <w:color w:val="000000"/>
                <w:sz w:val="24"/>
              </w:rPr>
            </w:pPr>
            <w:r>
              <w:rPr>
                <w:rFonts w:hint="eastAsia"/>
                <w:b/>
                <w:color w:val="000000"/>
                <w:sz w:val="24"/>
              </w:rPr>
              <w:t>建设项目管理</w:t>
            </w:r>
          </w:p>
        </w:tc>
        <w:tc>
          <w:tcPr>
            <w:tcW w:w="1485" w:type="dxa"/>
            <w:vAlign w:val="center"/>
          </w:tcPr>
          <w:p w14:paraId="1EBAD0B7">
            <w:pPr>
              <w:widowControl/>
              <w:jc w:val="center"/>
              <w:rPr>
                <w:b/>
                <w:color w:val="000000"/>
                <w:sz w:val="24"/>
              </w:rPr>
            </w:pPr>
            <w:r>
              <w:rPr>
                <w:rFonts w:hint="eastAsia"/>
                <w:b/>
                <w:color w:val="000000"/>
                <w:sz w:val="24"/>
              </w:rPr>
              <w:t>合同管理</w:t>
            </w:r>
          </w:p>
        </w:tc>
      </w:tr>
      <w:tr w14:paraId="48BD8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0" w:hRule="atLeast"/>
          <w:jc w:val="center"/>
        </w:trPr>
        <w:tc>
          <w:tcPr>
            <w:tcW w:w="1438" w:type="dxa"/>
            <w:vAlign w:val="center"/>
          </w:tcPr>
          <w:p w14:paraId="510BDA4C">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是否制定岗位职责说明书</w:t>
            </w:r>
          </w:p>
          <w:p w14:paraId="1DAFD711">
            <w:pPr>
              <w:widowControl/>
              <w:jc w:val="left"/>
              <w:rPr>
                <w:rFonts w:eastAsia="楷体_GB2312" w:cs="楷体_GB2312"/>
                <w:color w:val="000000"/>
                <w:sz w:val="24"/>
              </w:rPr>
            </w:pPr>
            <w:r>
              <w:rPr>
                <w:rFonts w:hint="eastAsia" w:ascii="仿宋" w:hAnsi="仿宋" w:eastAsia="仿宋"/>
                <w:color w:val="000000"/>
                <w:kern w:val="0"/>
                <w:sz w:val="24"/>
              </w:rPr>
              <w:t>是</w:t>
            </w:r>
          </w:p>
        </w:tc>
        <w:tc>
          <w:tcPr>
            <w:tcW w:w="1531" w:type="dxa"/>
            <w:vAlign w:val="center"/>
          </w:tcPr>
          <w:p w14:paraId="2F0AE453">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是否制定岗位职责说明书</w:t>
            </w:r>
          </w:p>
          <w:p w14:paraId="23395685">
            <w:pPr>
              <w:widowControl/>
              <w:jc w:val="left"/>
              <w:rPr>
                <w:rFonts w:eastAsia="楷体_GB2312" w:cs="楷体_GB2312"/>
                <w:color w:val="000000"/>
                <w:sz w:val="24"/>
              </w:rPr>
            </w:pPr>
            <w:r>
              <w:rPr>
                <w:rFonts w:hint="eastAsia" w:ascii="仿宋" w:hAnsi="仿宋" w:eastAsia="仿宋"/>
                <w:color w:val="000000"/>
                <w:kern w:val="0"/>
                <w:sz w:val="24"/>
              </w:rPr>
              <w:t>是</w:t>
            </w:r>
          </w:p>
        </w:tc>
        <w:tc>
          <w:tcPr>
            <w:tcW w:w="1593" w:type="dxa"/>
            <w:vAlign w:val="center"/>
          </w:tcPr>
          <w:p w14:paraId="08A2985D">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是否制定岗位职责说明书</w:t>
            </w:r>
          </w:p>
          <w:p w14:paraId="2B5250B5">
            <w:pPr>
              <w:widowControl/>
              <w:jc w:val="left"/>
              <w:rPr>
                <w:rFonts w:eastAsia="楷体_GB2312" w:cs="楷体_GB2312"/>
                <w:color w:val="000000"/>
                <w:sz w:val="24"/>
              </w:rPr>
            </w:pPr>
            <w:r>
              <w:rPr>
                <w:rFonts w:hint="eastAsia" w:ascii="仿宋" w:hAnsi="仿宋" w:eastAsia="仿宋"/>
                <w:color w:val="000000"/>
                <w:kern w:val="0"/>
                <w:sz w:val="24"/>
              </w:rPr>
              <w:t>是</w:t>
            </w:r>
          </w:p>
        </w:tc>
        <w:tc>
          <w:tcPr>
            <w:tcW w:w="1482" w:type="dxa"/>
            <w:vAlign w:val="center"/>
          </w:tcPr>
          <w:p w14:paraId="12858F7A">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是否制定岗位职责说明书</w:t>
            </w:r>
          </w:p>
          <w:p w14:paraId="0F8ED396">
            <w:pPr>
              <w:widowControl/>
              <w:jc w:val="left"/>
              <w:rPr>
                <w:rFonts w:eastAsia="楷体_GB2312" w:cs="楷体_GB2312"/>
                <w:color w:val="000000"/>
                <w:sz w:val="24"/>
              </w:rPr>
            </w:pPr>
            <w:r>
              <w:rPr>
                <w:rFonts w:hint="eastAsia" w:ascii="仿宋" w:hAnsi="仿宋" w:eastAsia="仿宋"/>
                <w:color w:val="000000"/>
                <w:kern w:val="0"/>
                <w:sz w:val="24"/>
              </w:rPr>
              <w:t>是</w:t>
            </w:r>
          </w:p>
        </w:tc>
        <w:tc>
          <w:tcPr>
            <w:tcW w:w="1576" w:type="dxa"/>
            <w:vAlign w:val="center"/>
          </w:tcPr>
          <w:p w14:paraId="370AFDA8">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是否制定岗位职责说明书</w:t>
            </w:r>
          </w:p>
          <w:p w14:paraId="61B0048A">
            <w:pPr>
              <w:widowControl/>
              <w:jc w:val="left"/>
              <w:rPr>
                <w:rFonts w:eastAsia="楷体_GB2312" w:cs="楷体_GB2312"/>
                <w:color w:val="000000"/>
                <w:sz w:val="24"/>
              </w:rPr>
            </w:pPr>
            <w:r>
              <w:rPr>
                <w:rFonts w:hint="eastAsia" w:ascii="仿宋" w:hAnsi="仿宋" w:eastAsia="仿宋"/>
                <w:color w:val="000000"/>
                <w:kern w:val="0"/>
                <w:sz w:val="24"/>
              </w:rPr>
              <w:t>是</w:t>
            </w:r>
          </w:p>
        </w:tc>
        <w:tc>
          <w:tcPr>
            <w:tcW w:w="1485" w:type="dxa"/>
            <w:vAlign w:val="center"/>
          </w:tcPr>
          <w:p w14:paraId="01C5626B">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是否制定岗位职责说明书</w:t>
            </w:r>
          </w:p>
          <w:p w14:paraId="75BD3951">
            <w:pPr>
              <w:widowControl/>
              <w:jc w:val="left"/>
              <w:rPr>
                <w:rFonts w:eastAsia="楷体_GB2312" w:cs="楷体_GB2312"/>
                <w:color w:val="000000"/>
                <w:sz w:val="24"/>
              </w:rPr>
            </w:pPr>
            <w:r>
              <w:rPr>
                <w:rFonts w:hint="eastAsia" w:ascii="仿宋" w:hAnsi="仿宋" w:eastAsia="仿宋"/>
                <w:color w:val="000000"/>
                <w:kern w:val="0"/>
                <w:sz w:val="24"/>
              </w:rPr>
              <w:t>是</w:t>
            </w:r>
          </w:p>
        </w:tc>
      </w:tr>
      <w:tr w14:paraId="6D20F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103" w:hRule="atLeast"/>
          <w:jc w:val="center"/>
        </w:trPr>
        <w:tc>
          <w:tcPr>
            <w:tcW w:w="1438" w:type="dxa"/>
            <w:vAlign w:val="center"/>
          </w:tcPr>
          <w:p w14:paraId="0BBDA65C">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预算编制与审核分离</w:t>
            </w:r>
          </w:p>
          <w:p w14:paraId="32199711">
            <w:pPr>
              <w:widowControl/>
              <w:jc w:val="left"/>
              <w:rPr>
                <w:rFonts w:eastAsia="楷体_GB2312" w:cs="楷体_GB2312"/>
                <w:color w:val="000000"/>
                <w:sz w:val="24"/>
              </w:rPr>
            </w:pPr>
            <w:r>
              <w:rPr>
                <w:rFonts w:hint="eastAsia" w:ascii="仿宋" w:hAnsi="仿宋" w:eastAsia="仿宋"/>
                <w:color w:val="000000"/>
                <w:kern w:val="0"/>
                <w:sz w:val="24"/>
              </w:rPr>
              <w:t>是</w:t>
            </w:r>
          </w:p>
        </w:tc>
        <w:tc>
          <w:tcPr>
            <w:tcW w:w="1531" w:type="dxa"/>
            <w:vAlign w:val="center"/>
          </w:tcPr>
          <w:p w14:paraId="30474A7B">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收款与会计核算分离</w:t>
            </w:r>
          </w:p>
          <w:p w14:paraId="4B5A3263">
            <w:pPr>
              <w:widowControl/>
              <w:jc w:val="left"/>
              <w:rPr>
                <w:rFonts w:eastAsia="楷体_GB2312" w:cs="楷体_GB2312"/>
                <w:color w:val="000000"/>
                <w:sz w:val="24"/>
              </w:rPr>
            </w:pPr>
            <w:r>
              <w:rPr>
                <w:rFonts w:hint="eastAsia" w:ascii="仿宋" w:hAnsi="仿宋" w:eastAsia="仿宋"/>
                <w:color w:val="000000"/>
                <w:kern w:val="0"/>
                <w:sz w:val="24"/>
              </w:rPr>
              <w:t>是</w:t>
            </w:r>
          </w:p>
        </w:tc>
        <w:tc>
          <w:tcPr>
            <w:tcW w:w="1593" w:type="dxa"/>
            <w:vAlign w:val="center"/>
          </w:tcPr>
          <w:p w14:paraId="78A60C02">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采购需求提出与审核分离</w:t>
            </w:r>
          </w:p>
          <w:p w14:paraId="1EAC9BB8">
            <w:pPr>
              <w:widowControl/>
              <w:jc w:val="left"/>
              <w:rPr>
                <w:rFonts w:eastAsia="楷体_GB2312" w:cs="楷体_GB2312"/>
                <w:color w:val="000000"/>
                <w:sz w:val="24"/>
              </w:rPr>
            </w:pPr>
            <w:r>
              <w:rPr>
                <w:rFonts w:hint="eastAsia" w:ascii="仿宋" w:hAnsi="仿宋" w:eastAsia="仿宋"/>
                <w:color w:val="000000"/>
                <w:kern w:val="0"/>
                <w:sz w:val="24"/>
              </w:rPr>
              <w:t>是</w:t>
            </w:r>
          </w:p>
        </w:tc>
        <w:tc>
          <w:tcPr>
            <w:tcW w:w="1482" w:type="dxa"/>
            <w:vAlign w:val="center"/>
          </w:tcPr>
          <w:p w14:paraId="43F9DCEF">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货币资金保管、稽核与账目登记分离</w:t>
            </w:r>
          </w:p>
          <w:p w14:paraId="19C377B3">
            <w:pPr>
              <w:widowControl/>
              <w:jc w:val="left"/>
              <w:rPr>
                <w:rFonts w:eastAsia="楷体_GB2312" w:cs="楷体_GB2312"/>
                <w:color w:val="000000"/>
                <w:sz w:val="24"/>
              </w:rPr>
            </w:pPr>
            <w:r>
              <w:rPr>
                <w:rFonts w:hint="eastAsia" w:ascii="仿宋" w:hAnsi="仿宋" w:eastAsia="仿宋"/>
                <w:color w:val="000000"/>
                <w:kern w:val="0"/>
                <w:sz w:val="24"/>
              </w:rPr>
              <w:t>是</w:t>
            </w:r>
          </w:p>
        </w:tc>
        <w:tc>
          <w:tcPr>
            <w:tcW w:w="1576" w:type="dxa"/>
            <w:vAlign w:val="center"/>
          </w:tcPr>
          <w:p w14:paraId="25148359">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项目立项申请与审核分离</w:t>
            </w:r>
          </w:p>
          <w:p w14:paraId="3D43EEFD">
            <w:pPr>
              <w:widowControl/>
              <w:jc w:val="left"/>
              <w:rPr>
                <w:rFonts w:eastAsia="楷体_GB2312" w:cs="楷体_GB2312"/>
                <w:color w:val="000000"/>
                <w:sz w:val="24"/>
              </w:rPr>
            </w:pPr>
            <w:r>
              <w:rPr>
                <w:rFonts w:hint="eastAsia" w:ascii="仿宋" w:hAnsi="仿宋" w:eastAsia="仿宋"/>
                <w:color w:val="000000"/>
                <w:kern w:val="0"/>
                <w:sz w:val="24"/>
              </w:rPr>
              <w:t>是</w:t>
            </w:r>
          </w:p>
        </w:tc>
        <w:tc>
          <w:tcPr>
            <w:tcW w:w="1485" w:type="dxa"/>
            <w:vAlign w:val="center"/>
          </w:tcPr>
          <w:p w14:paraId="13317593">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合同拟订与审核分离</w:t>
            </w:r>
          </w:p>
          <w:p w14:paraId="449A475E">
            <w:pPr>
              <w:widowControl/>
              <w:jc w:val="left"/>
              <w:rPr>
                <w:rFonts w:eastAsia="楷体_GB2312" w:cs="楷体_GB2312"/>
                <w:color w:val="000000"/>
                <w:sz w:val="24"/>
              </w:rPr>
            </w:pPr>
            <w:r>
              <w:rPr>
                <w:rFonts w:hint="eastAsia" w:ascii="仿宋" w:hAnsi="仿宋" w:eastAsia="仿宋"/>
                <w:color w:val="000000"/>
                <w:kern w:val="0"/>
                <w:sz w:val="24"/>
              </w:rPr>
              <w:t>是</w:t>
            </w:r>
          </w:p>
        </w:tc>
      </w:tr>
      <w:tr w14:paraId="40B11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013" w:hRule="atLeast"/>
          <w:jc w:val="center"/>
        </w:trPr>
        <w:tc>
          <w:tcPr>
            <w:tcW w:w="1438" w:type="dxa"/>
            <w:vAlign w:val="center"/>
          </w:tcPr>
          <w:p w14:paraId="452AE2BD">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预算审批与执行分离</w:t>
            </w:r>
          </w:p>
          <w:p w14:paraId="25336CF0">
            <w:pPr>
              <w:widowControl/>
              <w:jc w:val="left"/>
              <w:rPr>
                <w:rFonts w:eastAsia="楷体_GB2312" w:cs="楷体_GB2312"/>
                <w:color w:val="000000"/>
                <w:sz w:val="24"/>
              </w:rPr>
            </w:pPr>
            <w:r>
              <w:rPr>
                <w:rFonts w:hint="eastAsia" w:ascii="仿宋" w:hAnsi="仿宋" w:eastAsia="仿宋"/>
                <w:color w:val="000000"/>
                <w:kern w:val="0"/>
                <w:sz w:val="24"/>
              </w:rPr>
              <w:t>是</w:t>
            </w:r>
          </w:p>
        </w:tc>
        <w:tc>
          <w:tcPr>
            <w:tcW w:w="1531" w:type="dxa"/>
            <w:vAlign w:val="center"/>
          </w:tcPr>
          <w:p w14:paraId="7DA44EFA">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支出申请与审批分离</w:t>
            </w:r>
          </w:p>
          <w:p w14:paraId="0E4D3F3E">
            <w:pPr>
              <w:widowControl/>
              <w:jc w:val="left"/>
              <w:rPr>
                <w:rFonts w:eastAsia="楷体_GB2312" w:cs="楷体_GB2312"/>
                <w:color w:val="000000"/>
                <w:sz w:val="24"/>
              </w:rPr>
            </w:pPr>
            <w:r>
              <w:rPr>
                <w:rFonts w:hint="eastAsia" w:ascii="仿宋" w:hAnsi="仿宋" w:eastAsia="仿宋"/>
                <w:color w:val="000000"/>
                <w:kern w:val="0"/>
                <w:sz w:val="24"/>
              </w:rPr>
              <w:t>是</w:t>
            </w:r>
          </w:p>
        </w:tc>
        <w:tc>
          <w:tcPr>
            <w:tcW w:w="1593" w:type="dxa"/>
            <w:vAlign w:val="center"/>
          </w:tcPr>
          <w:p w14:paraId="7A648D35">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采购方式确定与审核分离</w:t>
            </w:r>
          </w:p>
          <w:p w14:paraId="1CE0DB44">
            <w:pPr>
              <w:widowControl/>
              <w:jc w:val="left"/>
              <w:rPr>
                <w:rFonts w:eastAsia="楷体_GB2312" w:cs="楷体_GB2312"/>
                <w:color w:val="000000"/>
                <w:sz w:val="24"/>
              </w:rPr>
            </w:pPr>
            <w:r>
              <w:rPr>
                <w:rFonts w:hint="eastAsia" w:ascii="仿宋" w:hAnsi="仿宋" w:eastAsia="仿宋"/>
                <w:color w:val="000000"/>
                <w:kern w:val="0"/>
                <w:sz w:val="24"/>
              </w:rPr>
              <w:t>是</w:t>
            </w:r>
          </w:p>
        </w:tc>
        <w:tc>
          <w:tcPr>
            <w:tcW w:w="1482" w:type="dxa"/>
            <w:vAlign w:val="center"/>
          </w:tcPr>
          <w:p w14:paraId="6D6297B5">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资产财务账与实物账分离</w:t>
            </w:r>
          </w:p>
          <w:p w14:paraId="149F71D5">
            <w:pPr>
              <w:widowControl/>
              <w:jc w:val="left"/>
              <w:rPr>
                <w:rFonts w:eastAsia="楷体_GB2312" w:cs="楷体_GB2312"/>
                <w:color w:val="000000"/>
                <w:sz w:val="24"/>
              </w:rPr>
            </w:pPr>
            <w:r>
              <w:rPr>
                <w:rFonts w:hint="eastAsia" w:ascii="仿宋" w:hAnsi="仿宋" w:eastAsia="仿宋"/>
                <w:color w:val="000000"/>
                <w:kern w:val="0"/>
                <w:sz w:val="24"/>
              </w:rPr>
              <w:t>是</w:t>
            </w:r>
          </w:p>
        </w:tc>
        <w:tc>
          <w:tcPr>
            <w:tcW w:w="1576" w:type="dxa"/>
            <w:vAlign w:val="center"/>
          </w:tcPr>
          <w:p w14:paraId="5EDFC646">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概预算编制与审核分离</w:t>
            </w:r>
          </w:p>
          <w:p w14:paraId="32EB62BD">
            <w:pPr>
              <w:widowControl/>
              <w:jc w:val="left"/>
              <w:rPr>
                <w:rFonts w:eastAsia="楷体_GB2312" w:cs="楷体_GB2312"/>
                <w:color w:val="000000"/>
                <w:sz w:val="24"/>
              </w:rPr>
            </w:pPr>
            <w:r>
              <w:rPr>
                <w:rFonts w:hint="eastAsia" w:ascii="仿宋" w:hAnsi="仿宋" w:eastAsia="仿宋"/>
                <w:color w:val="000000"/>
                <w:kern w:val="0"/>
                <w:sz w:val="24"/>
              </w:rPr>
              <w:t>是</w:t>
            </w:r>
          </w:p>
        </w:tc>
        <w:tc>
          <w:tcPr>
            <w:tcW w:w="1485" w:type="dxa"/>
            <w:vAlign w:val="center"/>
          </w:tcPr>
          <w:p w14:paraId="7917CBFC">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合同订立与合同章管理分离</w:t>
            </w:r>
          </w:p>
          <w:p w14:paraId="25FE3753">
            <w:pPr>
              <w:widowControl/>
              <w:rPr>
                <w:rFonts w:eastAsia="仿宋_GB2312" w:cs="仿宋_GB2312"/>
                <w:color w:val="000000"/>
                <w:spacing w:val="-12"/>
                <w:sz w:val="24"/>
              </w:rPr>
            </w:pPr>
            <w:r>
              <w:rPr>
                <w:rFonts w:hint="eastAsia" w:ascii="仿宋" w:hAnsi="仿宋" w:eastAsia="仿宋"/>
                <w:color w:val="000000"/>
                <w:kern w:val="0"/>
                <w:sz w:val="24"/>
              </w:rPr>
              <w:t>是</w:t>
            </w:r>
          </w:p>
        </w:tc>
      </w:tr>
      <w:tr w14:paraId="2664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98" w:hRule="atLeast"/>
          <w:jc w:val="center"/>
        </w:trPr>
        <w:tc>
          <w:tcPr>
            <w:tcW w:w="1438" w:type="dxa"/>
            <w:vAlign w:val="center"/>
          </w:tcPr>
          <w:p w14:paraId="7C659C25">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预算执行与分析分离</w:t>
            </w:r>
          </w:p>
          <w:p w14:paraId="0A1F8348">
            <w:pPr>
              <w:widowControl/>
              <w:jc w:val="left"/>
              <w:rPr>
                <w:rFonts w:eastAsia="楷体_GB2312" w:cs="楷体_GB2312"/>
                <w:color w:val="000000"/>
                <w:sz w:val="24"/>
              </w:rPr>
            </w:pPr>
            <w:r>
              <w:rPr>
                <w:rFonts w:hint="eastAsia" w:ascii="仿宋" w:hAnsi="仿宋" w:eastAsia="仿宋"/>
                <w:color w:val="000000"/>
                <w:kern w:val="0"/>
                <w:sz w:val="24"/>
              </w:rPr>
              <w:t>是</w:t>
            </w:r>
          </w:p>
        </w:tc>
        <w:tc>
          <w:tcPr>
            <w:tcW w:w="1531" w:type="dxa"/>
            <w:vAlign w:val="center"/>
          </w:tcPr>
          <w:p w14:paraId="305392F8">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支出审批与付款分离</w:t>
            </w:r>
          </w:p>
          <w:p w14:paraId="68E205E9">
            <w:pPr>
              <w:widowControl/>
              <w:jc w:val="left"/>
              <w:rPr>
                <w:rFonts w:eastAsia="楷体_GB2312" w:cs="楷体_GB2312"/>
                <w:color w:val="000000"/>
                <w:sz w:val="24"/>
              </w:rPr>
            </w:pPr>
            <w:r>
              <w:rPr>
                <w:rFonts w:hint="eastAsia" w:ascii="仿宋" w:hAnsi="仿宋" w:eastAsia="仿宋"/>
                <w:color w:val="000000"/>
                <w:kern w:val="0"/>
                <w:sz w:val="24"/>
              </w:rPr>
              <w:t>是</w:t>
            </w:r>
          </w:p>
        </w:tc>
        <w:tc>
          <w:tcPr>
            <w:tcW w:w="1593" w:type="dxa"/>
            <w:vAlign w:val="center"/>
          </w:tcPr>
          <w:p w14:paraId="00BBC406">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采购执行与验收分离</w:t>
            </w:r>
          </w:p>
          <w:p w14:paraId="30766B35">
            <w:pPr>
              <w:widowControl/>
              <w:jc w:val="left"/>
              <w:rPr>
                <w:rFonts w:eastAsia="楷体_GB2312" w:cs="楷体_GB2312"/>
                <w:color w:val="000000"/>
                <w:sz w:val="24"/>
              </w:rPr>
            </w:pPr>
            <w:r>
              <w:rPr>
                <w:rFonts w:hint="eastAsia" w:ascii="仿宋" w:hAnsi="仿宋" w:eastAsia="仿宋"/>
                <w:color w:val="000000"/>
                <w:kern w:val="0"/>
                <w:sz w:val="24"/>
              </w:rPr>
              <w:t>是</w:t>
            </w:r>
          </w:p>
        </w:tc>
        <w:tc>
          <w:tcPr>
            <w:tcW w:w="1482" w:type="dxa"/>
            <w:vAlign w:val="center"/>
          </w:tcPr>
          <w:p w14:paraId="29D8B4EB">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资产保管与清查分离</w:t>
            </w:r>
          </w:p>
          <w:p w14:paraId="3501167A">
            <w:pPr>
              <w:widowControl/>
              <w:jc w:val="left"/>
              <w:rPr>
                <w:rFonts w:eastAsia="楷体_GB2312" w:cs="楷体_GB2312"/>
                <w:color w:val="000000"/>
                <w:sz w:val="24"/>
              </w:rPr>
            </w:pPr>
            <w:r>
              <w:rPr>
                <w:rFonts w:hint="eastAsia" w:ascii="仿宋" w:hAnsi="仿宋" w:eastAsia="仿宋"/>
                <w:color w:val="000000"/>
                <w:kern w:val="0"/>
                <w:sz w:val="24"/>
              </w:rPr>
              <w:t>是</w:t>
            </w:r>
          </w:p>
        </w:tc>
        <w:tc>
          <w:tcPr>
            <w:tcW w:w="1576" w:type="dxa"/>
            <w:vAlign w:val="center"/>
          </w:tcPr>
          <w:p w14:paraId="2EB43656">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项目实施与价款支付分离</w:t>
            </w:r>
          </w:p>
          <w:p w14:paraId="35243021">
            <w:pPr>
              <w:widowControl/>
              <w:jc w:val="left"/>
              <w:rPr>
                <w:rFonts w:eastAsia="楷体_GB2312" w:cs="楷体_GB2312"/>
                <w:color w:val="000000"/>
                <w:sz w:val="24"/>
              </w:rPr>
            </w:pPr>
            <w:r>
              <w:rPr>
                <w:rFonts w:hint="eastAsia" w:ascii="仿宋" w:hAnsi="仿宋" w:eastAsia="仿宋"/>
                <w:color w:val="000000"/>
                <w:kern w:val="0"/>
                <w:sz w:val="24"/>
              </w:rPr>
              <w:t>是</w:t>
            </w:r>
          </w:p>
        </w:tc>
        <w:tc>
          <w:tcPr>
            <w:tcW w:w="1485" w:type="dxa"/>
            <w:vAlign w:val="center"/>
          </w:tcPr>
          <w:p w14:paraId="39EE6DE5">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合同订立与登记台账分离</w:t>
            </w:r>
          </w:p>
          <w:p w14:paraId="50D77F6B">
            <w:pPr>
              <w:widowControl/>
              <w:jc w:val="left"/>
              <w:rPr>
                <w:rFonts w:eastAsia="楷体_GB2312" w:cs="楷体_GB2312"/>
                <w:color w:val="000000"/>
                <w:sz w:val="24"/>
              </w:rPr>
            </w:pPr>
            <w:r>
              <w:rPr>
                <w:rFonts w:hint="eastAsia" w:ascii="仿宋" w:hAnsi="仿宋" w:eastAsia="仿宋"/>
                <w:color w:val="000000"/>
                <w:kern w:val="0"/>
                <w:sz w:val="24"/>
              </w:rPr>
              <w:t>是</w:t>
            </w:r>
          </w:p>
        </w:tc>
      </w:tr>
      <w:tr w14:paraId="67A0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083" w:hRule="atLeast"/>
          <w:jc w:val="center"/>
        </w:trPr>
        <w:tc>
          <w:tcPr>
            <w:tcW w:w="1438" w:type="dxa"/>
            <w:vAlign w:val="center"/>
          </w:tcPr>
          <w:p w14:paraId="6977E4AA">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决算编制与审核分离</w:t>
            </w:r>
          </w:p>
          <w:p w14:paraId="128BA0F4">
            <w:pPr>
              <w:widowControl/>
              <w:jc w:val="left"/>
              <w:rPr>
                <w:rFonts w:eastAsia="楷体_GB2312" w:cs="楷体_GB2312"/>
                <w:color w:val="000000"/>
                <w:sz w:val="24"/>
              </w:rPr>
            </w:pPr>
            <w:r>
              <w:rPr>
                <w:rFonts w:hint="eastAsia" w:ascii="仿宋" w:hAnsi="仿宋" w:eastAsia="仿宋"/>
                <w:color w:val="000000"/>
                <w:kern w:val="0"/>
                <w:sz w:val="24"/>
              </w:rPr>
              <w:t>是</w:t>
            </w:r>
          </w:p>
        </w:tc>
        <w:tc>
          <w:tcPr>
            <w:tcW w:w="1531" w:type="dxa"/>
            <w:vAlign w:val="center"/>
          </w:tcPr>
          <w:p w14:paraId="7C57C7D6">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业务经办与会计核算分离</w:t>
            </w:r>
          </w:p>
          <w:p w14:paraId="576581B1">
            <w:pPr>
              <w:widowControl/>
              <w:jc w:val="left"/>
              <w:rPr>
                <w:rFonts w:eastAsia="楷体_GB2312" w:cs="楷体_GB2312"/>
                <w:color w:val="000000"/>
                <w:sz w:val="24"/>
              </w:rPr>
            </w:pPr>
            <w:r>
              <w:rPr>
                <w:rFonts w:hint="eastAsia" w:ascii="仿宋" w:hAnsi="仿宋" w:eastAsia="仿宋"/>
                <w:color w:val="000000"/>
                <w:kern w:val="0"/>
                <w:sz w:val="24"/>
              </w:rPr>
              <w:t>是</w:t>
            </w:r>
          </w:p>
        </w:tc>
        <w:tc>
          <w:tcPr>
            <w:tcW w:w="1593" w:type="dxa"/>
            <w:vAlign w:val="center"/>
          </w:tcPr>
          <w:p w14:paraId="412D235D">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采购验收与登记分离</w:t>
            </w:r>
          </w:p>
          <w:p w14:paraId="1F915105">
            <w:pPr>
              <w:widowControl/>
              <w:jc w:val="left"/>
              <w:rPr>
                <w:rFonts w:eastAsia="楷体_GB2312" w:cs="楷体_GB2312"/>
                <w:color w:val="000000"/>
                <w:sz w:val="24"/>
              </w:rPr>
            </w:pPr>
            <w:r>
              <w:rPr>
                <w:rFonts w:hint="eastAsia" w:ascii="仿宋" w:hAnsi="仿宋" w:eastAsia="仿宋"/>
                <w:color w:val="000000"/>
                <w:kern w:val="0"/>
                <w:sz w:val="24"/>
              </w:rPr>
              <w:t>是</w:t>
            </w:r>
          </w:p>
        </w:tc>
        <w:tc>
          <w:tcPr>
            <w:tcW w:w="1482" w:type="dxa"/>
            <w:vAlign w:val="center"/>
          </w:tcPr>
          <w:p w14:paraId="6B92CD0A">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对外投资立项申报与审核分离</w:t>
            </w:r>
          </w:p>
          <w:p w14:paraId="0493E91A">
            <w:pPr>
              <w:widowControl/>
              <w:jc w:val="left"/>
              <w:rPr>
                <w:rFonts w:eastAsia="楷体_GB2312" w:cs="楷体_GB2312"/>
                <w:color w:val="000000"/>
                <w:sz w:val="24"/>
              </w:rPr>
            </w:pPr>
            <w:r>
              <w:rPr>
                <w:rFonts w:hint="eastAsia" w:ascii="仿宋" w:hAnsi="仿宋" w:eastAsia="仿宋"/>
                <w:color w:val="000000"/>
                <w:kern w:val="0"/>
                <w:sz w:val="24"/>
              </w:rPr>
              <w:t>否</w:t>
            </w:r>
          </w:p>
        </w:tc>
        <w:tc>
          <w:tcPr>
            <w:tcW w:w="1576" w:type="dxa"/>
            <w:vAlign w:val="center"/>
          </w:tcPr>
          <w:p w14:paraId="21C20413">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竣工决算与审计分离</w:t>
            </w:r>
          </w:p>
          <w:p w14:paraId="2AAC5C86">
            <w:pPr>
              <w:widowControl/>
              <w:jc w:val="left"/>
              <w:rPr>
                <w:rFonts w:eastAsia="楷体_GB2312" w:cs="楷体_GB2312"/>
                <w:color w:val="000000"/>
                <w:sz w:val="24"/>
              </w:rPr>
            </w:pPr>
            <w:r>
              <w:rPr>
                <w:rFonts w:hint="eastAsia" w:ascii="仿宋" w:hAnsi="仿宋" w:eastAsia="仿宋"/>
                <w:color w:val="000000"/>
                <w:kern w:val="0"/>
                <w:sz w:val="24"/>
              </w:rPr>
              <w:t>是</w:t>
            </w:r>
          </w:p>
        </w:tc>
        <w:tc>
          <w:tcPr>
            <w:tcW w:w="1485" w:type="dxa"/>
            <w:vAlign w:val="center"/>
          </w:tcPr>
          <w:p w14:paraId="58FB34E2">
            <w:pPr>
              <w:widowControl/>
              <w:jc w:val="center"/>
              <w:rPr>
                <w:rFonts w:ascii="仿宋" w:hAnsi="仿宋" w:eastAsia="仿宋" w:cs="仿宋_GB2312"/>
                <w:color w:val="000000"/>
                <w:spacing w:val="-12"/>
                <w:sz w:val="24"/>
              </w:rPr>
            </w:pPr>
            <w:r>
              <w:rPr>
                <w:rFonts w:hint="eastAsia" w:ascii="仿宋" w:hAnsi="仿宋" w:eastAsia="仿宋" w:cs="仿宋_GB2312"/>
                <w:color w:val="000000"/>
                <w:spacing w:val="-12"/>
                <w:sz w:val="24"/>
              </w:rPr>
              <w:t>合同执行与监督分离</w:t>
            </w:r>
          </w:p>
          <w:p w14:paraId="679C9B1C">
            <w:pPr>
              <w:widowControl/>
              <w:jc w:val="left"/>
              <w:rPr>
                <w:rFonts w:eastAsia="楷体_GB2312" w:cs="楷体_GB2312"/>
                <w:color w:val="000000"/>
                <w:sz w:val="24"/>
              </w:rPr>
            </w:pPr>
            <w:r>
              <w:rPr>
                <w:rFonts w:hint="eastAsia" w:ascii="仿宋" w:hAnsi="仿宋" w:eastAsia="仿宋"/>
                <w:color w:val="000000"/>
                <w:kern w:val="0"/>
                <w:sz w:val="24"/>
              </w:rPr>
              <w:t>是</w:t>
            </w:r>
          </w:p>
        </w:tc>
      </w:tr>
    </w:tbl>
    <w:p w14:paraId="7222E6A7">
      <w:pPr>
        <w:widowControl/>
        <w:tabs>
          <w:tab w:val="left" w:pos="851"/>
        </w:tabs>
        <w:spacing w:line="360" w:lineRule="auto"/>
        <w:ind w:firstLine="480" w:firstLineChars="200"/>
        <w:rPr>
          <w:rFonts w:eastAsia="楷体_GB2312" w:cs="楷体_GB2312"/>
          <w:color w:val="000000"/>
          <w:sz w:val="24"/>
        </w:rPr>
      </w:pPr>
      <w:r>
        <w:rPr>
          <w:rFonts w:hint="eastAsia" w:eastAsia="楷体_GB2312" w:cs="楷体_GB2312"/>
          <w:color w:val="000000"/>
          <w:sz w:val="24"/>
        </w:rPr>
        <w:t>说明：职责分离是指对于各业务环节中的不相容职责，不得由同一人员承担。需上传岗位职责说明书等作为佐证材料。</w:t>
      </w:r>
    </w:p>
    <w:p w14:paraId="1AE16C04">
      <w:pPr>
        <w:widowControl/>
        <w:tabs>
          <w:tab w:val="left" w:pos="851"/>
        </w:tabs>
        <w:spacing w:line="360" w:lineRule="auto"/>
        <w:rPr>
          <w:rFonts w:ascii="楷体" w:hAnsi="楷体" w:eastAsia="楷体" w:cs="楷体"/>
          <w:sz w:val="28"/>
          <w:szCs w:val="28"/>
        </w:rPr>
      </w:pPr>
      <w:r>
        <w:rPr>
          <w:rFonts w:hint="eastAsia" w:eastAsia="仿宋_GB2312" w:cs="仿宋_GB2312"/>
          <w:color w:val="000000"/>
          <w:spacing w:val="-12"/>
          <w:sz w:val="28"/>
          <w:szCs w:val="28"/>
        </w:rPr>
        <w:t>（三）关键岗位轮岗情况</w:t>
      </w:r>
    </w:p>
    <w:tbl>
      <w:tblPr>
        <w:tblStyle w:val="11"/>
        <w:tblW w:w="8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077"/>
        <w:gridCol w:w="6711"/>
      </w:tblGrid>
      <w:tr w14:paraId="17CE3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0" w:hRule="atLeast"/>
          <w:jc w:val="center"/>
        </w:trPr>
        <w:tc>
          <w:tcPr>
            <w:tcW w:w="2077" w:type="dxa"/>
            <w:noWrap/>
            <w:vAlign w:val="center"/>
          </w:tcPr>
          <w:p w14:paraId="651D894D">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预算业务</w:t>
            </w:r>
          </w:p>
        </w:tc>
        <w:tc>
          <w:tcPr>
            <w:tcW w:w="6711" w:type="dxa"/>
            <w:vAlign w:val="center"/>
          </w:tcPr>
          <w:p w14:paraId="12AEB8CA">
            <w:pPr>
              <w:spacing w:line="320" w:lineRule="exact"/>
              <w:rPr>
                <w:rFonts w:ascii="仿宋" w:hAnsi="仿宋" w:eastAsia="仿宋"/>
                <w:color w:val="000000"/>
                <w:kern w:val="0"/>
                <w:sz w:val="24"/>
              </w:rPr>
            </w:pPr>
            <w:r>
              <w:rPr>
                <w:rFonts w:ascii="仿宋" w:hAnsi="仿宋" w:eastAsia="仿宋"/>
                <w:color w:val="000000"/>
                <w:kern w:val="0"/>
                <w:sz w:val="24"/>
              </w:rPr>
              <w:t>轮岗周期内部分关键岗位已轮岗或开展专项审计</w:t>
            </w:r>
          </w:p>
        </w:tc>
      </w:tr>
      <w:tr w14:paraId="74E91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5" w:hRule="atLeast"/>
          <w:jc w:val="center"/>
        </w:trPr>
        <w:tc>
          <w:tcPr>
            <w:tcW w:w="2077" w:type="dxa"/>
            <w:noWrap/>
            <w:vAlign w:val="center"/>
          </w:tcPr>
          <w:p w14:paraId="38AF19E0">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收支业务</w:t>
            </w:r>
          </w:p>
        </w:tc>
        <w:tc>
          <w:tcPr>
            <w:tcW w:w="6711" w:type="dxa"/>
            <w:vAlign w:val="center"/>
          </w:tcPr>
          <w:p w14:paraId="52FAC475">
            <w:pPr>
              <w:spacing w:line="320" w:lineRule="exact"/>
              <w:rPr>
                <w:rFonts w:ascii="仿宋" w:hAnsi="仿宋" w:eastAsia="仿宋"/>
                <w:color w:val="000000"/>
                <w:kern w:val="0"/>
                <w:sz w:val="24"/>
              </w:rPr>
            </w:pPr>
            <w:r>
              <w:rPr>
                <w:rFonts w:ascii="仿宋" w:hAnsi="仿宋" w:eastAsia="仿宋"/>
                <w:color w:val="000000"/>
                <w:kern w:val="0"/>
                <w:sz w:val="24"/>
              </w:rPr>
              <w:t>轮岗周期内部分关键岗位已轮岗或开展专项审计</w:t>
            </w:r>
          </w:p>
        </w:tc>
      </w:tr>
      <w:tr w14:paraId="4C9C7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0" w:hRule="atLeast"/>
          <w:jc w:val="center"/>
        </w:trPr>
        <w:tc>
          <w:tcPr>
            <w:tcW w:w="2077" w:type="dxa"/>
            <w:noWrap/>
            <w:vAlign w:val="center"/>
          </w:tcPr>
          <w:p w14:paraId="18780740">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政府采购业务</w:t>
            </w:r>
          </w:p>
        </w:tc>
        <w:tc>
          <w:tcPr>
            <w:tcW w:w="6711" w:type="dxa"/>
            <w:vAlign w:val="center"/>
          </w:tcPr>
          <w:p w14:paraId="2F089440">
            <w:pPr>
              <w:spacing w:line="320" w:lineRule="exact"/>
              <w:rPr>
                <w:rFonts w:ascii="仿宋" w:hAnsi="仿宋" w:eastAsia="仿宋"/>
                <w:color w:val="000000"/>
                <w:kern w:val="0"/>
                <w:sz w:val="24"/>
              </w:rPr>
            </w:pPr>
            <w:r>
              <w:rPr>
                <w:rFonts w:ascii="仿宋" w:hAnsi="仿宋" w:eastAsia="仿宋"/>
                <w:color w:val="000000"/>
                <w:kern w:val="0"/>
                <w:sz w:val="24"/>
              </w:rPr>
              <w:t>轮岗周期内部分关键岗位已轮岗或开展专项审计</w:t>
            </w:r>
          </w:p>
        </w:tc>
      </w:tr>
      <w:tr w14:paraId="2BBE2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5" w:hRule="atLeast"/>
          <w:jc w:val="center"/>
        </w:trPr>
        <w:tc>
          <w:tcPr>
            <w:tcW w:w="2077" w:type="dxa"/>
            <w:noWrap/>
            <w:vAlign w:val="center"/>
          </w:tcPr>
          <w:p w14:paraId="1C79B9BF">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资产管理</w:t>
            </w:r>
          </w:p>
        </w:tc>
        <w:tc>
          <w:tcPr>
            <w:tcW w:w="6711" w:type="dxa"/>
            <w:vAlign w:val="center"/>
          </w:tcPr>
          <w:p w14:paraId="07A71245">
            <w:pPr>
              <w:spacing w:line="320" w:lineRule="exact"/>
              <w:rPr>
                <w:rFonts w:ascii="仿宋" w:hAnsi="仿宋" w:eastAsia="仿宋"/>
                <w:color w:val="000000"/>
                <w:kern w:val="0"/>
                <w:sz w:val="24"/>
              </w:rPr>
            </w:pPr>
            <w:r>
              <w:rPr>
                <w:rFonts w:ascii="仿宋" w:hAnsi="仿宋" w:eastAsia="仿宋"/>
                <w:color w:val="000000"/>
                <w:kern w:val="0"/>
                <w:sz w:val="24"/>
              </w:rPr>
              <w:t>轮岗周期内部分关键岗位已轮岗或开展专项审计</w:t>
            </w:r>
          </w:p>
        </w:tc>
      </w:tr>
      <w:tr w14:paraId="67C2C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0" w:hRule="atLeast"/>
          <w:jc w:val="center"/>
        </w:trPr>
        <w:tc>
          <w:tcPr>
            <w:tcW w:w="2077" w:type="dxa"/>
            <w:noWrap/>
            <w:vAlign w:val="center"/>
          </w:tcPr>
          <w:p w14:paraId="48AEFE92">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建设项目管理</w:t>
            </w:r>
          </w:p>
        </w:tc>
        <w:tc>
          <w:tcPr>
            <w:tcW w:w="6711" w:type="dxa"/>
            <w:vAlign w:val="center"/>
          </w:tcPr>
          <w:p w14:paraId="1E76E117">
            <w:pPr>
              <w:spacing w:line="320" w:lineRule="exact"/>
              <w:rPr>
                <w:rFonts w:ascii="仿宋" w:hAnsi="仿宋" w:eastAsia="仿宋"/>
                <w:color w:val="000000"/>
                <w:kern w:val="0"/>
                <w:sz w:val="24"/>
              </w:rPr>
            </w:pPr>
            <w:r>
              <w:rPr>
                <w:rFonts w:ascii="仿宋" w:hAnsi="仿宋" w:eastAsia="仿宋"/>
                <w:color w:val="000000"/>
                <w:kern w:val="0"/>
                <w:sz w:val="24"/>
              </w:rPr>
              <w:t>轮岗周期内部分关键岗位已轮岗或开展专项审计</w:t>
            </w:r>
          </w:p>
        </w:tc>
      </w:tr>
      <w:tr w14:paraId="78834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0" w:hRule="atLeast"/>
          <w:jc w:val="center"/>
        </w:trPr>
        <w:tc>
          <w:tcPr>
            <w:tcW w:w="2077" w:type="dxa"/>
            <w:noWrap/>
            <w:vAlign w:val="center"/>
          </w:tcPr>
          <w:p w14:paraId="6CCAC727">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合同管理</w:t>
            </w:r>
          </w:p>
        </w:tc>
        <w:tc>
          <w:tcPr>
            <w:tcW w:w="6711" w:type="dxa"/>
            <w:vAlign w:val="center"/>
          </w:tcPr>
          <w:p w14:paraId="5901BA7C">
            <w:pPr>
              <w:spacing w:line="320" w:lineRule="exact"/>
              <w:rPr>
                <w:rFonts w:ascii="仿宋" w:hAnsi="仿宋" w:eastAsia="仿宋"/>
                <w:color w:val="000000"/>
                <w:kern w:val="0"/>
                <w:sz w:val="24"/>
              </w:rPr>
            </w:pPr>
            <w:r>
              <w:rPr>
                <w:rFonts w:ascii="仿宋" w:hAnsi="仿宋" w:eastAsia="仿宋"/>
                <w:color w:val="000000"/>
                <w:kern w:val="0"/>
                <w:sz w:val="24"/>
              </w:rPr>
              <w:t>轮岗周期内部分关键岗位已轮岗或开展专项审计</w:t>
            </w:r>
          </w:p>
        </w:tc>
      </w:tr>
    </w:tbl>
    <w:p w14:paraId="60E515AA">
      <w:pPr>
        <w:widowControl/>
        <w:tabs>
          <w:tab w:val="left" w:pos="851"/>
        </w:tabs>
        <w:spacing w:line="360" w:lineRule="auto"/>
        <w:ind w:firstLine="384"/>
        <w:rPr>
          <w:rFonts w:eastAsia="楷体_GB2312" w:cs="楷体_GB2312"/>
          <w:color w:val="000000"/>
          <w:sz w:val="24"/>
        </w:rPr>
      </w:pPr>
      <w:r>
        <w:rPr>
          <w:rFonts w:hint="eastAsia" w:eastAsia="楷体_GB2312" w:cs="楷体_GB2312"/>
          <w:color w:val="000000"/>
          <w:sz w:val="24"/>
        </w:rPr>
        <w:t>说明：单位应当按照有关规定建立健全内部控制关键岗位责任制，对关键岗位人员实行轮岗交流，明确轮岗范围、轮岗周期与轮岗方式，不具备轮岗条件的可以采用专项审计等替代措施。需上传定期轮岗（或专项审计）轮岗记录、专项审计报告等文件作为佐证材料。</w:t>
      </w:r>
    </w:p>
    <w:p w14:paraId="538F51AF">
      <w:pPr>
        <w:widowControl/>
        <w:jc w:val="left"/>
        <w:rPr>
          <w:rFonts w:eastAsia="楷体_GB2312" w:cs="楷体_GB2312"/>
          <w:color w:val="000000"/>
          <w:sz w:val="24"/>
        </w:rPr>
      </w:pPr>
      <w:r>
        <w:rPr>
          <w:rFonts w:eastAsia="楷体_GB2312" w:cs="楷体_GB2312"/>
          <w:color w:val="000000"/>
          <w:sz w:val="24"/>
        </w:rPr>
        <w:br w:type="page"/>
      </w:r>
    </w:p>
    <w:p w14:paraId="32CFEA02">
      <w:pPr>
        <w:widowControl/>
        <w:tabs>
          <w:tab w:val="left" w:pos="851"/>
        </w:tabs>
        <w:spacing w:line="360" w:lineRule="auto"/>
        <w:rPr>
          <w:rFonts w:eastAsia="仿宋_GB2312" w:cs="仿宋_GB2312"/>
          <w:color w:val="000000"/>
          <w:spacing w:val="-12"/>
          <w:sz w:val="28"/>
          <w:szCs w:val="28"/>
        </w:rPr>
      </w:pPr>
      <w:r>
        <w:rPr>
          <w:rFonts w:hint="eastAsia" w:eastAsia="仿宋_GB2312" w:cs="仿宋_GB2312"/>
          <w:color w:val="000000"/>
          <w:spacing w:val="-12"/>
          <w:sz w:val="28"/>
          <w:szCs w:val="28"/>
        </w:rPr>
        <w:t>（四）2023年度业务层面风险评估覆盖情况</w:t>
      </w:r>
    </w:p>
    <w:tbl>
      <w:tblPr>
        <w:tblStyle w:val="11"/>
        <w:tblW w:w="8647" w:type="dxa"/>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1"/>
        <w:gridCol w:w="1276"/>
        <w:gridCol w:w="2835"/>
        <w:gridCol w:w="1275"/>
      </w:tblGrid>
      <w:tr w14:paraId="567E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3261" w:type="dxa"/>
            <w:vAlign w:val="center"/>
          </w:tcPr>
          <w:p w14:paraId="25CD4186">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预算业务是否开展风险评估</w:t>
            </w:r>
          </w:p>
        </w:tc>
        <w:tc>
          <w:tcPr>
            <w:tcW w:w="1276" w:type="dxa"/>
            <w:vAlign w:val="center"/>
          </w:tcPr>
          <w:p w14:paraId="7666BC04">
            <w:pPr>
              <w:spacing w:line="320" w:lineRule="exact"/>
              <w:rPr>
                <w:rFonts w:eastAsia="楷体_GB2312" w:cs="楷体_GB2312"/>
                <w:color w:val="000000"/>
                <w:sz w:val="24"/>
              </w:rPr>
            </w:pPr>
            <w:r>
              <w:rPr>
                <w:rFonts w:hint="eastAsia" w:ascii="仿宋" w:hAnsi="仿宋" w:eastAsia="仿宋"/>
                <w:color w:val="000000"/>
                <w:kern w:val="0"/>
                <w:sz w:val="24"/>
              </w:rPr>
              <w:t>是</w:t>
            </w:r>
          </w:p>
        </w:tc>
        <w:tc>
          <w:tcPr>
            <w:tcW w:w="2835" w:type="dxa"/>
            <w:vAlign w:val="center"/>
          </w:tcPr>
          <w:p w14:paraId="11315D19">
            <w:pPr>
              <w:spacing w:line="320" w:lineRule="exact"/>
              <w:rPr>
                <w:rFonts w:eastAsia="仿宋_GB2312" w:cs="仿宋_GB2312"/>
                <w:color w:val="000000"/>
                <w:spacing w:val="-12"/>
                <w:sz w:val="24"/>
              </w:rPr>
            </w:pPr>
            <w:r>
              <w:rPr>
                <w:rFonts w:hint="eastAsia" w:eastAsia="仿宋_GB2312" w:cs="仿宋_GB2312"/>
                <w:color w:val="000000"/>
                <w:spacing w:val="-12"/>
                <w:sz w:val="24"/>
              </w:rPr>
              <w:t>收支业务是否开展风险评估</w:t>
            </w:r>
          </w:p>
        </w:tc>
        <w:tc>
          <w:tcPr>
            <w:tcW w:w="1275" w:type="dxa"/>
            <w:vAlign w:val="center"/>
          </w:tcPr>
          <w:p w14:paraId="1BDFA4F0">
            <w:pPr>
              <w:spacing w:line="320" w:lineRule="exact"/>
              <w:rPr>
                <w:rFonts w:eastAsia="楷体_GB2312" w:cs="楷体_GB2312"/>
                <w:color w:val="000000"/>
                <w:sz w:val="24"/>
              </w:rPr>
            </w:pPr>
            <w:r>
              <w:rPr>
                <w:rFonts w:hint="eastAsia" w:ascii="仿宋" w:hAnsi="仿宋" w:eastAsia="仿宋"/>
                <w:color w:val="000000"/>
                <w:kern w:val="0"/>
                <w:sz w:val="24"/>
              </w:rPr>
              <w:t>是</w:t>
            </w:r>
          </w:p>
        </w:tc>
      </w:tr>
      <w:tr w14:paraId="6BF2A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3261" w:type="dxa"/>
            <w:vAlign w:val="center"/>
          </w:tcPr>
          <w:p w14:paraId="43D5BC95">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政府采购业务是否开展风险评估</w:t>
            </w:r>
          </w:p>
        </w:tc>
        <w:tc>
          <w:tcPr>
            <w:tcW w:w="1276" w:type="dxa"/>
            <w:vAlign w:val="center"/>
          </w:tcPr>
          <w:p w14:paraId="5D55C847">
            <w:pPr>
              <w:spacing w:line="320" w:lineRule="exact"/>
              <w:rPr>
                <w:rFonts w:eastAsia="楷体_GB2312" w:cs="楷体_GB2312"/>
                <w:color w:val="000000"/>
                <w:sz w:val="24"/>
              </w:rPr>
            </w:pPr>
            <w:r>
              <w:rPr>
                <w:rFonts w:hint="eastAsia" w:ascii="仿宋" w:hAnsi="仿宋" w:eastAsia="仿宋"/>
                <w:color w:val="000000"/>
                <w:kern w:val="0"/>
                <w:sz w:val="24"/>
              </w:rPr>
              <w:t>是</w:t>
            </w:r>
          </w:p>
        </w:tc>
        <w:tc>
          <w:tcPr>
            <w:tcW w:w="2835" w:type="dxa"/>
            <w:vAlign w:val="center"/>
          </w:tcPr>
          <w:p w14:paraId="13192583">
            <w:pPr>
              <w:spacing w:line="320" w:lineRule="exact"/>
              <w:rPr>
                <w:rFonts w:eastAsia="仿宋_GB2312" w:cs="仿宋_GB2312"/>
                <w:color w:val="000000"/>
                <w:spacing w:val="-12"/>
                <w:sz w:val="24"/>
              </w:rPr>
            </w:pPr>
            <w:r>
              <w:rPr>
                <w:rFonts w:hint="eastAsia" w:eastAsia="仿宋_GB2312" w:cs="仿宋_GB2312"/>
                <w:color w:val="000000"/>
                <w:spacing w:val="-12"/>
                <w:sz w:val="24"/>
              </w:rPr>
              <w:t>资产管理是否开展风险评估</w:t>
            </w:r>
          </w:p>
        </w:tc>
        <w:tc>
          <w:tcPr>
            <w:tcW w:w="1275" w:type="dxa"/>
            <w:vAlign w:val="center"/>
          </w:tcPr>
          <w:p w14:paraId="24D5C667">
            <w:pPr>
              <w:spacing w:line="320" w:lineRule="exact"/>
              <w:rPr>
                <w:rFonts w:eastAsia="楷体_GB2312" w:cs="楷体_GB2312"/>
                <w:color w:val="000000"/>
                <w:sz w:val="24"/>
              </w:rPr>
            </w:pPr>
            <w:r>
              <w:rPr>
                <w:rFonts w:hint="eastAsia" w:ascii="仿宋" w:hAnsi="仿宋" w:eastAsia="仿宋"/>
                <w:color w:val="000000"/>
                <w:kern w:val="0"/>
                <w:sz w:val="24"/>
              </w:rPr>
              <w:t>是</w:t>
            </w:r>
          </w:p>
        </w:tc>
      </w:tr>
      <w:tr w14:paraId="37A3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3261" w:type="dxa"/>
            <w:vAlign w:val="center"/>
          </w:tcPr>
          <w:p w14:paraId="07ADEE83">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建设项目管理是否开展风险评估</w:t>
            </w:r>
          </w:p>
        </w:tc>
        <w:tc>
          <w:tcPr>
            <w:tcW w:w="1276" w:type="dxa"/>
            <w:vAlign w:val="center"/>
          </w:tcPr>
          <w:p w14:paraId="118467AF">
            <w:pPr>
              <w:spacing w:line="320" w:lineRule="exact"/>
              <w:rPr>
                <w:rFonts w:eastAsia="楷体_GB2312" w:cs="楷体_GB2312"/>
                <w:color w:val="000000"/>
                <w:sz w:val="24"/>
              </w:rPr>
            </w:pPr>
            <w:r>
              <w:rPr>
                <w:rFonts w:hint="eastAsia" w:ascii="仿宋" w:hAnsi="仿宋" w:eastAsia="仿宋"/>
                <w:color w:val="000000"/>
                <w:kern w:val="0"/>
                <w:sz w:val="24"/>
              </w:rPr>
              <w:t>是</w:t>
            </w:r>
          </w:p>
        </w:tc>
        <w:tc>
          <w:tcPr>
            <w:tcW w:w="2835" w:type="dxa"/>
            <w:vAlign w:val="center"/>
          </w:tcPr>
          <w:p w14:paraId="48F3F088">
            <w:pPr>
              <w:spacing w:line="320" w:lineRule="exact"/>
              <w:rPr>
                <w:rFonts w:eastAsia="仿宋_GB2312" w:cs="仿宋_GB2312"/>
                <w:color w:val="000000"/>
                <w:spacing w:val="-12"/>
                <w:sz w:val="24"/>
              </w:rPr>
            </w:pPr>
            <w:r>
              <w:rPr>
                <w:rFonts w:hint="eastAsia" w:eastAsia="仿宋_GB2312" w:cs="仿宋_GB2312"/>
                <w:color w:val="000000"/>
                <w:spacing w:val="-12"/>
                <w:sz w:val="24"/>
              </w:rPr>
              <w:t>合同管理是否开展风险评估</w:t>
            </w:r>
          </w:p>
        </w:tc>
        <w:tc>
          <w:tcPr>
            <w:tcW w:w="1275" w:type="dxa"/>
            <w:vAlign w:val="center"/>
          </w:tcPr>
          <w:p w14:paraId="78F37BD8">
            <w:pPr>
              <w:spacing w:line="320" w:lineRule="exact"/>
              <w:rPr>
                <w:rFonts w:eastAsia="楷体_GB2312" w:cs="楷体_GB2312"/>
                <w:color w:val="000000"/>
                <w:sz w:val="24"/>
              </w:rPr>
            </w:pPr>
            <w:r>
              <w:rPr>
                <w:rFonts w:hint="eastAsia" w:ascii="仿宋" w:hAnsi="仿宋" w:eastAsia="仿宋"/>
                <w:color w:val="000000"/>
                <w:kern w:val="0"/>
                <w:sz w:val="24"/>
              </w:rPr>
              <w:t>是</w:t>
            </w:r>
          </w:p>
        </w:tc>
      </w:tr>
      <w:tr w14:paraId="53E9F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647" w:type="dxa"/>
            <w:gridSpan w:val="4"/>
            <w:vAlign w:val="center"/>
          </w:tcPr>
          <w:p w14:paraId="43CCA2AF">
            <w:pPr>
              <w:tabs>
                <w:tab w:val="left" w:pos="2222"/>
              </w:tabs>
              <w:spacing w:line="320" w:lineRule="exact"/>
              <w:rPr>
                <w:rFonts w:ascii="仿宋" w:hAnsi="仿宋" w:eastAsia="仿宋"/>
                <w:color w:val="000000"/>
                <w:kern w:val="0"/>
                <w:sz w:val="24"/>
              </w:rPr>
            </w:pPr>
            <w:r>
              <w:rPr>
                <w:rFonts w:hint="eastAsia" w:ascii="仿宋_GB2312" w:hAnsi="仿宋_GB2312" w:eastAsia="仿宋_GB2312" w:cs="仿宋_GB2312"/>
                <w:color w:val="000000"/>
                <w:sz w:val="24"/>
              </w:rPr>
              <w:t>开展风险评估的其他业务领域：</w:t>
            </w:r>
          </w:p>
        </w:tc>
      </w:tr>
    </w:tbl>
    <w:p w14:paraId="0E4052F1">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说明：业务层面内部控制风险评估覆盖情况根据2023年度单位组织或委托第三方开展业务层面风险评估工作以及出具的风险评估报告或其他文件，逐项勾选已进行内部控制风险评估的方面。需上传风险评估报告等材料作为佐证材料。</w:t>
      </w:r>
    </w:p>
    <w:p w14:paraId="0CDE14B0">
      <w:pPr>
        <w:widowControl/>
        <w:tabs>
          <w:tab w:val="left" w:pos="851"/>
        </w:tabs>
        <w:spacing w:line="360" w:lineRule="auto"/>
        <w:rPr>
          <w:rFonts w:eastAsia="仿宋_GB2312" w:cs="仿宋_GB2312"/>
          <w:color w:val="000000"/>
          <w:spacing w:val="-12"/>
          <w:sz w:val="28"/>
          <w:szCs w:val="28"/>
        </w:rPr>
      </w:pPr>
      <w:r>
        <w:rPr>
          <w:rFonts w:hint="eastAsia" w:eastAsia="仿宋_GB2312" w:cs="仿宋_GB2312"/>
          <w:color w:val="000000"/>
          <w:spacing w:val="-12"/>
          <w:sz w:val="28"/>
          <w:szCs w:val="28"/>
        </w:rPr>
        <w:t>（五）建立健全内部控制制度情况</w:t>
      </w:r>
    </w:p>
    <w:tbl>
      <w:tblPr>
        <w:tblStyle w:val="11"/>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04"/>
        <w:gridCol w:w="851"/>
        <w:gridCol w:w="1701"/>
        <w:gridCol w:w="1984"/>
        <w:gridCol w:w="3391"/>
        <w:gridCol w:w="11"/>
      </w:tblGrid>
      <w:tr w14:paraId="26C6F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1"/>
          <w:wAfter w:w="11" w:type="dxa"/>
          <w:cantSplit/>
          <w:trHeight w:val="596" w:hRule="atLeast"/>
          <w:jc w:val="center"/>
        </w:trPr>
        <w:tc>
          <w:tcPr>
            <w:tcW w:w="704" w:type="dxa"/>
            <w:noWrap/>
            <w:vAlign w:val="center"/>
          </w:tcPr>
          <w:p w14:paraId="1D667131">
            <w:pPr>
              <w:keepLines/>
              <w:spacing w:line="320" w:lineRule="exact"/>
              <w:jc w:val="center"/>
              <w:rPr>
                <w:rFonts w:eastAsia="仿宋_GB2312" w:cs="仿宋_GB2312"/>
                <w:color w:val="000000"/>
                <w:spacing w:val="-12"/>
                <w:sz w:val="24"/>
              </w:rPr>
            </w:pPr>
            <w:r>
              <w:rPr>
                <w:rFonts w:hint="eastAsia" w:eastAsia="仿宋_GB2312" w:cs="仿宋_GB2312"/>
                <w:color w:val="000000"/>
                <w:spacing w:val="-12"/>
                <w:sz w:val="24"/>
              </w:rPr>
              <w:t>业务类型</w:t>
            </w:r>
          </w:p>
        </w:tc>
        <w:tc>
          <w:tcPr>
            <w:tcW w:w="851" w:type="dxa"/>
            <w:vAlign w:val="center"/>
          </w:tcPr>
          <w:p w14:paraId="7C9DEFFD">
            <w:pPr>
              <w:keepLines/>
              <w:spacing w:line="320" w:lineRule="exact"/>
              <w:jc w:val="center"/>
              <w:rPr>
                <w:rFonts w:eastAsia="仿宋_GB2312" w:cs="仿宋_GB2312"/>
                <w:color w:val="000000"/>
                <w:spacing w:val="-12"/>
                <w:sz w:val="24"/>
              </w:rPr>
            </w:pPr>
            <w:r>
              <w:rPr>
                <w:rFonts w:hint="eastAsia" w:eastAsia="仿宋_GB2312" w:cs="仿宋_GB2312"/>
                <w:color w:val="000000"/>
                <w:spacing w:val="-12"/>
                <w:sz w:val="24"/>
              </w:rPr>
              <w:t>环节</w:t>
            </w:r>
          </w:p>
          <w:p w14:paraId="0EB04E58">
            <w:pPr>
              <w:keepLines/>
              <w:spacing w:line="320" w:lineRule="exact"/>
              <w:jc w:val="center"/>
              <w:rPr>
                <w:rFonts w:eastAsia="仿宋_GB2312" w:cs="仿宋_GB2312"/>
                <w:color w:val="000000"/>
                <w:spacing w:val="-12"/>
                <w:sz w:val="24"/>
              </w:rPr>
            </w:pPr>
            <w:r>
              <w:rPr>
                <w:rFonts w:hint="eastAsia" w:eastAsia="仿宋_GB2312" w:cs="仿宋_GB2312"/>
                <w:color w:val="000000"/>
                <w:spacing w:val="-12"/>
                <w:sz w:val="24"/>
              </w:rPr>
              <w:t>（类别）</w:t>
            </w:r>
          </w:p>
        </w:tc>
        <w:tc>
          <w:tcPr>
            <w:tcW w:w="1701" w:type="dxa"/>
            <w:vAlign w:val="center"/>
          </w:tcPr>
          <w:p w14:paraId="7AB53151">
            <w:pPr>
              <w:keepLines/>
              <w:spacing w:line="320" w:lineRule="exact"/>
              <w:jc w:val="center"/>
              <w:rPr>
                <w:rFonts w:eastAsia="仿宋_GB2312" w:cs="仿宋_GB2312"/>
                <w:color w:val="000000"/>
                <w:spacing w:val="-12"/>
                <w:sz w:val="24"/>
              </w:rPr>
            </w:pPr>
            <w:r>
              <w:rPr>
                <w:rFonts w:hint="eastAsia" w:eastAsia="仿宋_GB2312" w:cs="仿宋_GB2312"/>
                <w:color w:val="000000"/>
                <w:spacing w:val="-12"/>
                <w:sz w:val="24"/>
              </w:rPr>
              <w:t>是否已建立制度和流程图</w:t>
            </w:r>
          </w:p>
        </w:tc>
        <w:tc>
          <w:tcPr>
            <w:tcW w:w="1984" w:type="dxa"/>
            <w:vAlign w:val="center"/>
          </w:tcPr>
          <w:p w14:paraId="1DD8D3D0">
            <w:pPr>
              <w:keepLines/>
              <w:spacing w:line="320" w:lineRule="exact"/>
              <w:jc w:val="center"/>
              <w:rPr>
                <w:rFonts w:eastAsia="仿宋_GB2312" w:cs="仿宋_GB2312"/>
                <w:color w:val="000000"/>
                <w:spacing w:val="-12"/>
                <w:sz w:val="24"/>
              </w:rPr>
            </w:pPr>
            <w:r>
              <w:rPr>
                <w:rFonts w:hint="eastAsia" w:eastAsia="仿宋_GB2312" w:cs="仿宋_GB2312"/>
                <w:color w:val="000000"/>
                <w:spacing w:val="-12"/>
                <w:sz w:val="24"/>
              </w:rPr>
              <w:t>2023年度是否更新</w:t>
            </w:r>
          </w:p>
        </w:tc>
        <w:tc>
          <w:tcPr>
            <w:tcW w:w="3391" w:type="dxa"/>
            <w:vAlign w:val="center"/>
          </w:tcPr>
          <w:p w14:paraId="14109EED">
            <w:pPr>
              <w:keepLines/>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内控制度覆盖关键管控点情况</w:t>
            </w:r>
          </w:p>
        </w:tc>
      </w:tr>
      <w:tr w14:paraId="34F49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1"/>
          <w:wAfter w:w="11" w:type="dxa"/>
          <w:cantSplit/>
          <w:trHeight w:val="1685" w:hRule="atLeast"/>
          <w:jc w:val="center"/>
        </w:trPr>
        <w:tc>
          <w:tcPr>
            <w:tcW w:w="704" w:type="dxa"/>
            <w:vMerge w:val="restart"/>
            <w:noWrap/>
            <w:vAlign w:val="center"/>
          </w:tcPr>
          <w:p w14:paraId="6BFCBC49">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预算业务</w:t>
            </w:r>
          </w:p>
        </w:tc>
        <w:tc>
          <w:tcPr>
            <w:tcW w:w="851" w:type="dxa"/>
            <w:vAlign w:val="center"/>
          </w:tcPr>
          <w:p w14:paraId="6617D2D8">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预算编制与审核</w:t>
            </w:r>
          </w:p>
        </w:tc>
        <w:tc>
          <w:tcPr>
            <w:tcW w:w="1701" w:type="dxa"/>
            <w:vAlign w:val="center"/>
          </w:tcPr>
          <w:p w14:paraId="53FC0688">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5D478551">
            <w:pPr>
              <w:spacing w:line="320" w:lineRule="exact"/>
              <w:jc w:val="left"/>
              <w:rPr>
                <w:rFonts w:eastAsia="仿宋_GB2312" w:cs="仿宋_GB2312"/>
                <w:color w:val="000000"/>
                <w:spacing w:val="-12"/>
                <w:sz w:val="24"/>
              </w:rPr>
            </w:pPr>
            <w:r>
              <w:rPr>
                <w:rFonts w:hint="eastAsia" w:ascii="仿宋" w:hAnsi="仿宋" w:eastAsia="仿宋" w:cs="楷体_GB2312"/>
                <w:color w:val="000000"/>
                <w:sz w:val="24"/>
              </w:rPr>
              <w:t>是</w:t>
            </w:r>
          </w:p>
        </w:tc>
        <w:tc>
          <w:tcPr>
            <w:tcW w:w="1984" w:type="dxa"/>
            <w:vMerge w:val="restart"/>
            <w:vAlign w:val="center"/>
          </w:tcPr>
          <w:p w14:paraId="37527D1B">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否</w:t>
            </w:r>
          </w:p>
          <w:p w14:paraId="003FD015">
            <w:pPr>
              <w:spacing w:line="320" w:lineRule="exact"/>
              <w:jc w:val="left"/>
              <w:rPr>
                <w:rFonts w:eastAsia="仿宋_GB2312" w:cs="仿宋_GB2312"/>
                <w:color w:val="000000"/>
                <w:spacing w:val="-12"/>
                <w:sz w:val="24"/>
              </w:rPr>
            </w:pPr>
            <w:r>
              <w:rPr>
                <w:rFonts w:hint="eastAsia" w:ascii="仿宋" w:hAnsi="仿宋" w:eastAsia="仿宋" w:cs="楷体_GB2312"/>
                <w:color w:val="000000"/>
                <w:sz w:val="24"/>
              </w:rPr>
              <w:t>否</w:t>
            </w:r>
          </w:p>
        </w:tc>
        <w:tc>
          <w:tcPr>
            <w:tcW w:w="3391" w:type="dxa"/>
            <w:vAlign w:val="center"/>
          </w:tcPr>
          <w:p w14:paraId="4B037ABB">
            <w:pPr>
              <w:keepLines/>
              <w:spacing w:line="320" w:lineRule="exact"/>
              <w:jc w:val="left"/>
              <w:rPr>
                <w:rFonts w:eastAsia="楷体_GB2312" w:cs="楷体_GB2312"/>
                <w:color w:val="000000"/>
                <w:sz w:val="24"/>
              </w:rPr>
            </w:pPr>
            <w:r>
              <w:rPr>
                <w:rFonts w:hint="eastAsia" w:ascii="仿宋" w:hAnsi="仿宋" w:eastAsia="仿宋" w:cs="楷体"/>
                <w:bCs/>
                <w:color w:val="000000"/>
                <w:sz w:val="24"/>
              </w:rPr>
              <w:t>单位预算编制主体、程序及标准;单位预算项目库入库标准与动态管理;单位预算分解及下达;预决算公开</w:t>
            </w:r>
          </w:p>
        </w:tc>
      </w:tr>
      <w:tr w14:paraId="2EC5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1"/>
          <w:wAfter w:w="11" w:type="dxa"/>
          <w:cantSplit/>
          <w:trHeight w:val="970" w:hRule="atLeast"/>
          <w:jc w:val="center"/>
        </w:trPr>
        <w:tc>
          <w:tcPr>
            <w:tcW w:w="704" w:type="dxa"/>
            <w:vMerge w:val="continue"/>
            <w:noWrap/>
            <w:vAlign w:val="center"/>
          </w:tcPr>
          <w:p w14:paraId="299280F6">
            <w:pPr>
              <w:keepLines/>
              <w:spacing w:line="320" w:lineRule="exact"/>
              <w:jc w:val="center"/>
              <w:rPr>
                <w:rFonts w:eastAsia="仿宋_GB2312" w:cs="仿宋_GB2312"/>
                <w:color w:val="000000"/>
                <w:spacing w:val="-12"/>
                <w:sz w:val="24"/>
              </w:rPr>
            </w:pPr>
          </w:p>
        </w:tc>
        <w:tc>
          <w:tcPr>
            <w:tcW w:w="851" w:type="dxa"/>
            <w:vAlign w:val="center"/>
          </w:tcPr>
          <w:p w14:paraId="7B7855B0">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预算执行与调整</w:t>
            </w:r>
          </w:p>
        </w:tc>
        <w:tc>
          <w:tcPr>
            <w:tcW w:w="1701" w:type="dxa"/>
            <w:vAlign w:val="center"/>
          </w:tcPr>
          <w:p w14:paraId="5F8633E6">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16CFE026">
            <w:pPr>
              <w:spacing w:line="320" w:lineRule="exact"/>
              <w:jc w:val="left"/>
              <w:rPr>
                <w:rFonts w:eastAsia="楷体_GB2312" w:cs="楷体_GB2312"/>
                <w:color w:val="000000"/>
                <w:sz w:val="24"/>
              </w:rPr>
            </w:pPr>
            <w:r>
              <w:rPr>
                <w:rFonts w:hint="eastAsia" w:ascii="仿宋" w:hAnsi="仿宋" w:eastAsia="仿宋" w:cs="楷体_GB2312"/>
                <w:color w:val="000000"/>
                <w:sz w:val="24"/>
              </w:rPr>
              <w:t>是</w:t>
            </w:r>
          </w:p>
        </w:tc>
        <w:tc>
          <w:tcPr>
            <w:tcW w:w="1984" w:type="dxa"/>
            <w:vMerge w:val="continue"/>
            <w:vAlign w:val="center"/>
          </w:tcPr>
          <w:p w14:paraId="081D83CF">
            <w:pPr>
              <w:keepLines/>
              <w:spacing w:line="320" w:lineRule="exact"/>
              <w:jc w:val="center"/>
              <w:rPr>
                <w:rFonts w:eastAsia="仿宋_GB2312" w:cs="仿宋_GB2312"/>
                <w:color w:val="000000"/>
                <w:spacing w:val="-12"/>
                <w:sz w:val="24"/>
              </w:rPr>
            </w:pPr>
          </w:p>
        </w:tc>
        <w:tc>
          <w:tcPr>
            <w:tcW w:w="3391" w:type="dxa"/>
            <w:vAlign w:val="center"/>
          </w:tcPr>
          <w:p w14:paraId="4A19DF86">
            <w:pPr>
              <w:keepLines/>
              <w:spacing w:line="320" w:lineRule="exact"/>
              <w:jc w:val="left"/>
              <w:rPr>
                <w:rFonts w:eastAsia="楷体_GB2312" w:cs="楷体_GB2312"/>
                <w:color w:val="000000"/>
                <w:sz w:val="24"/>
              </w:rPr>
            </w:pPr>
            <w:r>
              <w:rPr>
                <w:rFonts w:hint="eastAsia" w:ascii="仿宋" w:hAnsi="仿宋" w:eastAsia="仿宋" w:cs="楷体"/>
                <w:bCs/>
                <w:color w:val="000000"/>
                <w:sz w:val="24"/>
              </w:rPr>
              <w:t>未覆盖以上所有管控点</w:t>
            </w:r>
          </w:p>
        </w:tc>
      </w:tr>
      <w:tr w14:paraId="09CAE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1"/>
          <w:wAfter w:w="11" w:type="dxa"/>
          <w:cantSplit/>
          <w:trHeight w:val="1034" w:hRule="atLeast"/>
          <w:jc w:val="center"/>
        </w:trPr>
        <w:tc>
          <w:tcPr>
            <w:tcW w:w="704" w:type="dxa"/>
            <w:vMerge w:val="continue"/>
            <w:noWrap/>
            <w:vAlign w:val="center"/>
          </w:tcPr>
          <w:p w14:paraId="26048FC9">
            <w:pPr>
              <w:keepLines/>
              <w:spacing w:line="320" w:lineRule="exact"/>
              <w:jc w:val="center"/>
              <w:rPr>
                <w:rFonts w:eastAsia="仿宋_GB2312" w:cs="仿宋_GB2312"/>
                <w:color w:val="000000"/>
                <w:spacing w:val="-12"/>
                <w:sz w:val="24"/>
              </w:rPr>
            </w:pPr>
          </w:p>
        </w:tc>
        <w:tc>
          <w:tcPr>
            <w:tcW w:w="851" w:type="dxa"/>
            <w:vAlign w:val="center"/>
          </w:tcPr>
          <w:p w14:paraId="4C2FC47F">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决算管理</w:t>
            </w:r>
          </w:p>
        </w:tc>
        <w:tc>
          <w:tcPr>
            <w:tcW w:w="1701" w:type="dxa"/>
            <w:vAlign w:val="center"/>
          </w:tcPr>
          <w:p w14:paraId="60492161">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4DAE6154">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tc>
        <w:tc>
          <w:tcPr>
            <w:tcW w:w="1984" w:type="dxa"/>
            <w:vMerge w:val="continue"/>
            <w:vAlign w:val="center"/>
          </w:tcPr>
          <w:p w14:paraId="4D1720DF">
            <w:pPr>
              <w:keepLines/>
              <w:spacing w:line="320" w:lineRule="exact"/>
              <w:jc w:val="center"/>
              <w:rPr>
                <w:rFonts w:eastAsia="仿宋_GB2312" w:cs="仿宋_GB2312"/>
                <w:color w:val="000000"/>
                <w:spacing w:val="-12"/>
                <w:sz w:val="24"/>
              </w:rPr>
            </w:pPr>
          </w:p>
        </w:tc>
        <w:tc>
          <w:tcPr>
            <w:tcW w:w="3391" w:type="dxa"/>
            <w:vAlign w:val="center"/>
          </w:tcPr>
          <w:p w14:paraId="23C72C97">
            <w:pPr>
              <w:keepLines/>
              <w:spacing w:line="320" w:lineRule="exact"/>
              <w:jc w:val="left"/>
              <w:rPr>
                <w:rFonts w:eastAsia="楷体_GB2312" w:cs="楷体_GB2312"/>
                <w:color w:val="000000"/>
                <w:sz w:val="24"/>
              </w:rPr>
            </w:pPr>
            <w:r>
              <w:rPr>
                <w:rFonts w:hint="eastAsia" w:ascii="仿宋" w:hAnsi="仿宋" w:eastAsia="仿宋" w:cs="楷体"/>
                <w:bCs/>
                <w:color w:val="000000"/>
                <w:sz w:val="24"/>
              </w:rPr>
              <w:t>未覆盖以上所有管控点</w:t>
            </w:r>
          </w:p>
        </w:tc>
      </w:tr>
      <w:tr w14:paraId="54408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1"/>
          <w:wAfter w:w="11" w:type="dxa"/>
          <w:cantSplit/>
          <w:trHeight w:val="2550" w:hRule="atLeast"/>
          <w:jc w:val="center"/>
        </w:trPr>
        <w:tc>
          <w:tcPr>
            <w:tcW w:w="704" w:type="dxa"/>
            <w:vMerge w:val="continue"/>
            <w:noWrap/>
            <w:vAlign w:val="center"/>
          </w:tcPr>
          <w:p w14:paraId="70F61BEA">
            <w:pPr>
              <w:keepLines/>
              <w:spacing w:line="320" w:lineRule="exact"/>
              <w:jc w:val="center"/>
              <w:rPr>
                <w:rFonts w:eastAsia="仿宋_GB2312" w:cs="仿宋_GB2312"/>
                <w:color w:val="000000"/>
                <w:spacing w:val="-12"/>
                <w:sz w:val="24"/>
              </w:rPr>
            </w:pPr>
          </w:p>
        </w:tc>
        <w:tc>
          <w:tcPr>
            <w:tcW w:w="851" w:type="dxa"/>
            <w:vAlign w:val="center"/>
          </w:tcPr>
          <w:p w14:paraId="18716DA4">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绩效管理</w:t>
            </w:r>
          </w:p>
        </w:tc>
        <w:tc>
          <w:tcPr>
            <w:tcW w:w="1701" w:type="dxa"/>
            <w:vAlign w:val="center"/>
          </w:tcPr>
          <w:p w14:paraId="5F57604E">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57A6708D">
            <w:pPr>
              <w:spacing w:line="320" w:lineRule="exact"/>
              <w:jc w:val="left"/>
              <w:rPr>
                <w:rFonts w:eastAsia="楷体_GB2312" w:cs="楷体_GB2312"/>
                <w:color w:val="000000"/>
                <w:sz w:val="24"/>
              </w:rPr>
            </w:pPr>
            <w:r>
              <w:rPr>
                <w:rFonts w:hint="eastAsia" w:ascii="仿宋" w:hAnsi="仿宋" w:eastAsia="仿宋" w:cs="楷体_GB2312"/>
                <w:color w:val="000000"/>
                <w:sz w:val="24"/>
              </w:rPr>
              <w:t>是</w:t>
            </w:r>
          </w:p>
        </w:tc>
        <w:tc>
          <w:tcPr>
            <w:tcW w:w="1984" w:type="dxa"/>
            <w:vMerge w:val="continue"/>
            <w:vAlign w:val="center"/>
          </w:tcPr>
          <w:p w14:paraId="2A332763">
            <w:pPr>
              <w:keepLines/>
              <w:spacing w:line="320" w:lineRule="exact"/>
              <w:jc w:val="center"/>
              <w:rPr>
                <w:rFonts w:eastAsia="仿宋_GB2312" w:cs="仿宋_GB2312"/>
                <w:color w:val="000000"/>
                <w:spacing w:val="-12"/>
                <w:sz w:val="24"/>
              </w:rPr>
            </w:pPr>
          </w:p>
        </w:tc>
        <w:tc>
          <w:tcPr>
            <w:tcW w:w="3391" w:type="dxa"/>
            <w:vAlign w:val="center"/>
          </w:tcPr>
          <w:p w14:paraId="122644F9">
            <w:pPr>
              <w:keepLines/>
              <w:spacing w:line="320" w:lineRule="exact"/>
              <w:jc w:val="left"/>
              <w:rPr>
                <w:rFonts w:eastAsia="楷体_GB2312" w:cs="楷体_GB2312"/>
                <w:color w:val="000000"/>
                <w:sz w:val="24"/>
              </w:rPr>
            </w:pPr>
            <w:r>
              <w:rPr>
                <w:rFonts w:hint="eastAsia" w:ascii="仿宋" w:hAnsi="仿宋" w:eastAsia="仿宋" w:cs="楷体"/>
                <w:bCs/>
                <w:color w:val="000000"/>
                <w:sz w:val="24"/>
              </w:rPr>
              <w:t>单位新增重大预算项目事前评估程序;单位整体绩效目标设定与审核;单位项目绩效目标设定与审核;单位项目绩效运行监控;单位整体绩效评价主体、程序及结果应用;单位项目绩效评价主体、程序及结果应用</w:t>
            </w:r>
          </w:p>
        </w:tc>
      </w:tr>
      <w:tr w14:paraId="7BE8B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030" w:hRule="atLeast"/>
          <w:jc w:val="center"/>
        </w:trPr>
        <w:tc>
          <w:tcPr>
            <w:tcW w:w="704" w:type="dxa"/>
            <w:vMerge w:val="restart"/>
            <w:noWrap/>
            <w:vAlign w:val="center"/>
          </w:tcPr>
          <w:p w14:paraId="373CD153">
            <w:pPr>
              <w:keepLines/>
              <w:spacing w:line="320" w:lineRule="exact"/>
              <w:jc w:val="center"/>
              <w:rPr>
                <w:rFonts w:eastAsia="仿宋_GB2312" w:cs="仿宋_GB2312"/>
                <w:color w:val="000000"/>
                <w:spacing w:val="-12"/>
                <w:sz w:val="24"/>
              </w:rPr>
            </w:pPr>
            <w:r>
              <w:rPr>
                <w:rFonts w:hint="eastAsia" w:eastAsia="仿宋_GB2312" w:cs="仿宋_GB2312"/>
                <w:color w:val="000000"/>
                <w:spacing w:val="-12"/>
                <w:sz w:val="24"/>
              </w:rPr>
              <w:t>收支业务</w:t>
            </w:r>
          </w:p>
        </w:tc>
        <w:tc>
          <w:tcPr>
            <w:tcW w:w="851" w:type="dxa"/>
            <w:vAlign w:val="center"/>
          </w:tcPr>
          <w:p w14:paraId="6F57CE8A">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收入管理</w:t>
            </w:r>
          </w:p>
        </w:tc>
        <w:tc>
          <w:tcPr>
            <w:tcW w:w="1701" w:type="dxa"/>
            <w:vAlign w:val="center"/>
          </w:tcPr>
          <w:p w14:paraId="47FA0C19">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5F4D3F15">
            <w:pPr>
              <w:spacing w:line="320" w:lineRule="exact"/>
              <w:jc w:val="left"/>
              <w:rPr>
                <w:rFonts w:eastAsia="楷体_GB2312" w:cs="楷体_GB2312"/>
                <w:color w:val="000000"/>
                <w:sz w:val="24"/>
              </w:rPr>
            </w:pPr>
            <w:r>
              <w:rPr>
                <w:rFonts w:hint="eastAsia" w:ascii="仿宋" w:hAnsi="仿宋" w:eastAsia="仿宋" w:cs="楷体_GB2312"/>
                <w:color w:val="000000"/>
                <w:sz w:val="24"/>
              </w:rPr>
              <w:t>是</w:t>
            </w:r>
          </w:p>
        </w:tc>
        <w:tc>
          <w:tcPr>
            <w:tcW w:w="1984" w:type="dxa"/>
            <w:vMerge w:val="restart"/>
            <w:vAlign w:val="center"/>
          </w:tcPr>
          <w:p w14:paraId="1F1285BC">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2238C579">
            <w:pPr>
              <w:spacing w:line="320" w:lineRule="exact"/>
              <w:jc w:val="left"/>
              <w:rPr>
                <w:rFonts w:eastAsia="楷体_GB2312" w:cs="楷体_GB2312"/>
                <w:color w:val="000000"/>
                <w:sz w:val="24"/>
              </w:rPr>
            </w:pPr>
            <w:r>
              <w:rPr>
                <w:rFonts w:hint="eastAsia" w:ascii="仿宋" w:hAnsi="仿宋" w:eastAsia="仿宋" w:cs="楷体_GB2312"/>
                <w:color w:val="000000"/>
                <w:sz w:val="24"/>
              </w:rPr>
              <w:t>是</w:t>
            </w:r>
          </w:p>
        </w:tc>
        <w:tc>
          <w:tcPr>
            <w:tcW w:w="3402" w:type="dxa"/>
            <w:gridSpan w:val="2"/>
            <w:vAlign w:val="center"/>
          </w:tcPr>
          <w:p w14:paraId="05684B8F">
            <w:pPr>
              <w:keepLines/>
              <w:spacing w:line="320" w:lineRule="exact"/>
              <w:jc w:val="left"/>
              <w:rPr>
                <w:rFonts w:eastAsia="楷体_GB2312" w:cs="楷体_GB2312"/>
                <w:color w:val="000000"/>
                <w:sz w:val="24"/>
              </w:rPr>
            </w:pPr>
            <w:r>
              <w:rPr>
                <w:rFonts w:hint="eastAsia" w:ascii="仿宋" w:hAnsi="仿宋" w:eastAsia="仿宋" w:cs="楷体"/>
                <w:bCs/>
                <w:color w:val="000000"/>
                <w:sz w:val="24"/>
              </w:rPr>
              <w:t>单位财政收入种类与收缴管理;单位非财政收入种类与收缴管理</w:t>
            </w:r>
          </w:p>
        </w:tc>
      </w:tr>
      <w:tr w14:paraId="1F584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25" w:hRule="atLeast"/>
          <w:jc w:val="center"/>
        </w:trPr>
        <w:tc>
          <w:tcPr>
            <w:tcW w:w="704" w:type="dxa"/>
            <w:vMerge w:val="continue"/>
            <w:noWrap/>
            <w:vAlign w:val="center"/>
          </w:tcPr>
          <w:p w14:paraId="55624D73">
            <w:pPr>
              <w:keepLines/>
              <w:spacing w:line="320" w:lineRule="exact"/>
              <w:jc w:val="center"/>
              <w:rPr>
                <w:rFonts w:eastAsia="仿宋_GB2312" w:cs="仿宋_GB2312"/>
                <w:color w:val="000000"/>
                <w:spacing w:val="-12"/>
                <w:sz w:val="24"/>
              </w:rPr>
            </w:pPr>
          </w:p>
        </w:tc>
        <w:tc>
          <w:tcPr>
            <w:tcW w:w="851" w:type="dxa"/>
            <w:vAlign w:val="center"/>
          </w:tcPr>
          <w:p w14:paraId="7981318D">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票据管理</w:t>
            </w:r>
          </w:p>
        </w:tc>
        <w:tc>
          <w:tcPr>
            <w:tcW w:w="1701" w:type="dxa"/>
            <w:vAlign w:val="center"/>
          </w:tcPr>
          <w:p w14:paraId="7FDCD14C">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5F5FF5A8">
            <w:pPr>
              <w:spacing w:line="320" w:lineRule="exact"/>
              <w:jc w:val="left"/>
              <w:rPr>
                <w:rFonts w:ascii="仿宋" w:hAnsi="仿宋" w:eastAsia="仿宋" w:cs="楷体"/>
                <w:bCs/>
                <w:color w:val="000000"/>
                <w:sz w:val="24"/>
              </w:rPr>
            </w:pPr>
            <w:r>
              <w:rPr>
                <w:rFonts w:hint="eastAsia" w:ascii="仿宋" w:hAnsi="仿宋" w:eastAsia="仿宋" w:cs="楷体_GB2312"/>
                <w:color w:val="000000"/>
                <w:sz w:val="24"/>
              </w:rPr>
              <w:t>是</w:t>
            </w:r>
          </w:p>
        </w:tc>
        <w:tc>
          <w:tcPr>
            <w:tcW w:w="1984" w:type="dxa"/>
            <w:vMerge w:val="continue"/>
            <w:vAlign w:val="center"/>
          </w:tcPr>
          <w:p w14:paraId="76411D0A">
            <w:pPr>
              <w:keepLines/>
              <w:spacing w:line="320" w:lineRule="exact"/>
              <w:jc w:val="left"/>
              <w:rPr>
                <w:rFonts w:eastAsia="楷体_GB2312" w:cs="楷体_GB2312"/>
                <w:color w:val="000000"/>
                <w:sz w:val="24"/>
              </w:rPr>
            </w:pPr>
          </w:p>
        </w:tc>
        <w:tc>
          <w:tcPr>
            <w:tcW w:w="3402" w:type="dxa"/>
            <w:gridSpan w:val="2"/>
            <w:vAlign w:val="center"/>
          </w:tcPr>
          <w:p w14:paraId="63E41254">
            <w:pPr>
              <w:keepLines/>
              <w:spacing w:line="320" w:lineRule="exact"/>
              <w:jc w:val="left"/>
              <w:rPr>
                <w:rFonts w:eastAsia="楷体_GB2312" w:cs="楷体_GB2312"/>
                <w:color w:val="000000"/>
                <w:sz w:val="24"/>
              </w:rPr>
            </w:pPr>
            <w:r>
              <w:rPr>
                <w:rFonts w:hint="eastAsia" w:ascii="仿宋" w:hAnsi="仿宋" w:eastAsia="仿宋" w:cs="楷体"/>
                <w:bCs/>
                <w:color w:val="000000"/>
                <w:sz w:val="24"/>
              </w:rPr>
              <w:t>单位财政票据申领、使用保管及核销;单位发票申领、使用保管及核销</w:t>
            </w:r>
          </w:p>
        </w:tc>
      </w:tr>
      <w:tr w14:paraId="6F09F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850" w:hRule="atLeast"/>
          <w:jc w:val="center"/>
        </w:trPr>
        <w:tc>
          <w:tcPr>
            <w:tcW w:w="704" w:type="dxa"/>
            <w:vMerge w:val="continue"/>
            <w:noWrap/>
            <w:vAlign w:val="center"/>
          </w:tcPr>
          <w:p w14:paraId="13A08AF1">
            <w:pPr>
              <w:keepLines/>
              <w:spacing w:line="320" w:lineRule="exact"/>
              <w:jc w:val="center"/>
              <w:rPr>
                <w:rFonts w:eastAsia="仿宋_GB2312" w:cs="仿宋_GB2312"/>
                <w:color w:val="000000"/>
                <w:spacing w:val="-12"/>
                <w:sz w:val="24"/>
              </w:rPr>
            </w:pPr>
          </w:p>
        </w:tc>
        <w:tc>
          <w:tcPr>
            <w:tcW w:w="851" w:type="dxa"/>
            <w:vAlign w:val="center"/>
          </w:tcPr>
          <w:p w14:paraId="162494DF">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支出管理</w:t>
            </w:r>
          </w:p>
        </w:tc>
        <w:tc>
          <w:tcPr>
            <w:tcW w:w="1701" w:type="dxa"/>
            <w:vAlign w:val="center"/>
          </w:tcPr>
          <w:p w14:paraId="2E921D80">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5146DE4A">
            <w:pPr>
              <w:spacing w:line="320" w:lineRule="exact"/>
              <w:jc w:val="left"/>
              <w:rPr>
                <w:rFonts w:ascii="仿宋" w:hAnsi="仿宋" w:eastAsia="仿宋" w:cs="楷体"/>
                <w:bCs/>
                <w:color w:val="000000"/>
                <w:sz w:val="24"/>
              </w:rPr>
            </w:pPr>
            <w:r>
              <w:rPr>
                <w:rFonts w:hint="eastAsia" w:ascii="仿宋" w:hAnsi="仿宋" w:eastAsia="仿宋" w:cs="楷体_GB2312"/>
                <w:color w:val="000000"/>
                <w:sz w:val="24"/>
              </w:rPr>
              <w:t>是</w:t>
            </w:r>
          </w:p>
        </w:tc>
        <w:tc>
          <w:tcPr>
            <w:tcW w:w="1984" w:type="dxa"/>
            <w:vMerge w:val="continue"/>
            <w:vAlign w:val="center"/>
          </w:tcPr>
          <w:p w14:paraId="358D0AAE">
            <w:pPr>
              <w:keepLines/>
              <w:spacing w:line="320" w:lineRule="exact"/>
              <w:jc w:val="left"/>
              <w:rPr>
                <w:rFonts w:eastAsia="楷体_GB2312" w:cs="楷体_GB2312"/>
                <w:color w:val="000000"/>
                <w:sz w:val="24"/>
              </w:rPr>
            </w:pPr>
          </w:p>
        </w:tc>
        <w:tc>
          <w:tcPr>
            <w:tcW w:w="3402" w:type="dxa"/>
            <w:gridSpan w:val="2"/>
            <w:vAlign w:val="center"/>
          </w:tcPr>
          <w:p w14:paraId="46F1548A">
            <w:pPr>
              <w:keepLines/>
              <w:spacing w:line="320" w:lineRule="exact"/>
              <w:jc w:val="left"/>
              <w:rPr>
                <w:rFonts w:eastAsia="楷体_GB2312" w:cs="楷体_GB2312"/>
                <w:color w:val="000000"/>
                <w:sz w:val="24"/>
              </w:rPr>
            </w:pPr>
            <w:r>
              <w:rPr>
                <w:rFonts w:hint="eastAsia" w:ascii="仿宋" w:hAnsi="仿宋" w:eastAsia="仿宋" w:cs="楷体"/>
                <w:bCs/>
                <w:color w:val="000000"/>
                <w:sz w:val="24"/>
              </w:rPr>
              <w:t>单位支出范围与标准;单位各类支出审批权限;单位支出核算和归档</w:t>
            </w:r>
          </w:p>
        </w:tc>
      </w:tr>
      <w:tr w14:paraId="2BD8C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015" w:hRule="atLeast"/>
          <w:jc w:val="center"/>
        </w:trPr>
        <w:tc>
          <w:tcPr>
            <w:tcW w:w="704" w:type="dxa"/>
            <w:vMerge w:val="continue"/>
            <w:noWrap/>
            <w:vAlign w:val="center"/>
          </w:tcPr>
          <w:p w14:paraId="12A7C570">
            <w:pPr>
              <w:keepLines/>
              <w:spacing w:line="320" w:lineRule="exact"/>
              <w:jc w:val="center"/>
              <w:rPr>
                <w:rFonts w:eastAsia="仿宋_GB2312" w:cs="仿宋_GB2312"/>
                <w:color w:val="000000"/>
                <w:spacing w:val="-12"/>
                <w:sz w:val="24"/>
              </w:rPr>
            </w:pPr>
          </w:p>
        </w:tc>
        <w:tc>
          <w:tcPr>
            <w:tcW w:w="851" w:type="dxa"/>
            <w:vAlign w:val="center"/>
          </w:tcPr>
          <w:p w14:paraId="16741A9A">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公务卡管理</w:t>
            </w:r>
          </w:p>
        </w:tc>
        <w:tc>
          <w:tcPr>
            <w:tcW w:w="1701" w:type="dxa"/>
            <w:vAlign w:val="center"/>
          </w:tcPr>
          <w:p w14:paraId="00AA2AFC">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67DEC624">
            <w:pPr>
              <w:spacing w:line="320" w:lineRule="exact"/>
              <w:jc w:val="left"/>
              <w:rPr>
                <w:rFonts w:ascii="仿宋" w:hAnsi="仿宋" w:eastAsia="仿宋" w:cs="楷体"/>
                <w:bCs/>
                <w:color w:val="000000"/>
                <w:sz w:val="24"/>
              </w:rPr>
            </w:pPr>
            <w:r>
              <w:rPr>
                <w:rFonts w:hint="eastAsia" w:ascii="仿宋" w:hAnsi="仿宋" w:eastAsia="仿宋" w:cs="楷体_GB2312"/>
                <w:color w:val="000000"/>
                <w:sz w:val="24"/>
              </w:rPr>
              <w:t>是</w:t>
            </w:r>
          </w:p>
        </w:tc>
        <w:tc>
          <w:tcPr>
            <w:tcW w:w="1984" w:type="dxa"/>
            <w:vMerge w:val="continue"/>
            <w:vAlign w:val="center"/>
          </w:tcPr>
          <w:p w14:paraId="6A1A98AA">
            <w:pPr>
              <w:keepLines/>
              <w:spacing w:line="320" w:lineRule="exact"/>
              <w:jc w:val="left"/>
              <w:rPr>
                <w:rFonts w:eastAsia="楷体_GB2312" w:cs="楷体_GB2312"/>
                <w:color w:val="000000"/>
                <w:sz w:val="24"/>
              </w:rPr>
            </w:pPr>
          </w:p>
        </w:tc>
        <w:tc>
          <w:tcPr>
            <w:tcW w:w="3402" w:type="dxa"/>
            <w:gridSpan w:val="2"/>
            <w:vAlign w:val="center"/>
          </w:tcPr>
          <w:p w14:paraId="4F2A6BDF">
            <w:pPr>
              <w:keepLines/>
              <w:spacing w:line="320" w:lineRule="exact"/>
              <w:jc w:val="left"/>
              <w:rPr>
                <w:rFonts w:eastAsia="楷体_GB2312" w:cs="楷体_GB2312"/>
                <w:color w:val="000000"/>
                <w:sz w:val="24"/>
              </w:rPr>
            </w:pPr>
            <w:r>
              <w:rPr>
                <w:rFonts w:hint="eastAsia" w:ascii="仿宋" w:hAnsi="仿宋" w:eastAsia="仿宋" w:cs="楷体"/>
                <w:bCs/>
                <w:color w:val="000000"/>
                <w:sz w:val="24"/>
              </w:rPr>
              <w:t>单位公务卡结算范围及报销程序;单位公务卡办卡及销卡管理</w:t>
            </w:r>
          </w:p>
        </w:tc>
      </w:tr>
      <w:tr w14:paraId="3C4E3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717" w:hRule="atLeast"/>
          <w:jc w:val="center"/>
        </w:trPr>
        <w:tc>
          <w:tcPr>
            <w:tcW w:w="704" w:type="dxa"/>
            <w:vMerge w:val="restart"/>
            <w:noWrap/>
            <w:vAlign w:val="center"/>
          </w:tcPr>
          <w:p w14:paraId="1F32362B">
            <w:pPr>
              <w:keepLines/>
              <w:spacing w:line="320" w:lineRule="exact"/>
              <w:jc w:val="center"/>
              <w:rPr>
                <w:rFonts w:eastAsia="仿宋_GB2312" w:cs="仿宋_GB2312"/>
                <w:color w:val="000000"/>
                <w:spacing w:val="-12"/>
                <w:sz w:val="24"/>
              </w:rPr>
            </w:pPr>
            <w:r>
              <w:rPr>
                <w:rFonts w:hint="eastAsia" w:eastAsia="仿宋_GB2312" w:cs="仿宋_GB2312"/>
                <w:color w:val="000000"/>
                <w:spacing w:val="-12"/>
                <w:sz w:val="24"/>
              </w:rPr>
              <w:t>政府采购业务</w:t>
            </w:r>
          </w:p>
        </w:tc>
        <w:tc>
          <w:tcPr>
            <w:tcW w:w="851" w:type="dxa"/>
            <w:vAlign w:val="center"/>
          </w:tcPr>
          <w:p w14:paraId="3E67F30A">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 xml:space="preserve">采购需求管理 </w:t>
            </w:r>
          </w:p>
        </w:tc>
        <w:tc>
          <w:tcPr>
            <w:tcW w:w="1701" w:type="dxa"/>
            <w:vAlign w:val="center"/>
          </w:tcPr>
          <w:p w14:paraId="7B0C8B8D">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0B491D20">
            <w:pPr>
              <w:spacing w:line="320" w:lineRule="exact"/>
              <w:jc w:val="left"/>
              <w:rPr>
                <w:rFonts w:ascii="仿宋" w:hAnsi="仿宋" w:eastAsia="仿宋" w:cs="楷体"/>
                <w:bCs/>
                <w:color w:val="000000"/>
                <w:sz w:val="24"/>
              </w:rPr>
            </w:pPr>
            <w:r>
              <w:rPr>
                <w:rFonts w:hint="eastAsia" w:ascii="仿宋" w:hAnsi="仿宋" w:eastAsia="仿宋" w:cs="楷体_GB2312"/>
                <w:color w:val="000000"/>
                <w:sz w:val="24"/>
              </w:rPr>
              <w:t>是</w:t>
            </w:r>
          </w:p>
        </w:tc>
        <w:tc>
          <w:tcPr>
            <w:tcW w:w="1984" w:type="dxa"/>
            <w:vMerge w:val="restart"/>
            <w:vAlign w:val="center"/>
          </w:tcPr>
          <w:p w14:paraId="6C18CA71">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否</w:t>
            </w:r>
          </w:p>
          <w:p w14:paraId="14381908">
            <w:pPr>
              <w:spacing w:line="320" w:lineRule="exact"/>
              <w:jc w:val="left"/>
              <w:rPr>
                <w:rFonts w:eastAsia="楷体_GB2312" w:cs="楷体_GB2312"/>
                <w:color w:val="000000"/>
                <w:sz w:val="24"/>
              </w:rPr>
            </w:pPr>
            <w:r>
              <w:rPr>
                <w:rFonts w:hint="eastAsia" w:ascii="仿宋" w:hAnsi="仿宋" w:eastAsia="仿宋" w:cs="楷体_GB2312"/>
                <w:color w:val="000000"/>
                <w:sz w:val="24"/>
              </w:rPr>
              <w:t>否</w:t>
            </w:r>
          </w:p>
        </w:tc>
        <w:tc>
          <w:tcPr>
            <w:tcW w:w="3402" w:type="dxa"/>
            <w:gridSpan w:val="2"/>
            <w:vAlign w:val="center"/>
          </w:tcPr>
          <w:p w14:paraId="5E66CEB8">
            <w:pPr>
              <w:keepLines/>
              <w:spacing w:line="320" w:lineRule="exact"/>
              <w:jc w:val="left"/>
              <w:rPr>
                <w:rFonts w:eastAsia="楷体_GB2312" w:cs="楷体_GB2312"/>
                <w:color w:val="000000"/>
                <w:sz w:val="24"/>
              </w:rPr>
            </w:pPr>
            <w:r>
              <w:rPr>
                <w:rFonts w:hint="eastAsia" w:ascii="仿宋" w:hAnsi="仿宋" w:eastAsia="仿宋" w:cs="楷体"/>
                <w:bCs/>
                <w:color w:val="000000"/>
                <w:sz w:val="24"/>
              </w:rPr>
              <w:t>采购需求的内容、合法性、合规性、合理性;采购需求调查的主体、范围、内容、形式、存档;采购实施计划（包括采购项目预算、采购组织形式、采购方式、落实政府采购政策等）的内容、存档;采购需求审查的范围、内容、成员、程序、存档</w:t>
            </w:r>
          </w:p>
        </w:tc>
      </w:tr>
      <w:tr w14:paraId="2699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182" w:hRule="atLeast"/>
          <w:jc w:val="center"/>
        </w:trPr>
        <w:tc>
          <w:tcPr>
            <w:tcW w:w="704" w:type="dxa"/>
            <w:vMerge w:val="continue"/>
            <w:noWrap/>
            <w:vAlign w:val="center"/>
          </w:tcPr>
          <w:p w14:paraId="2A17A68C">
            <w:pPr>
              <w:keepLines/>
              <w:spacing w:line="320" w:lineRule="exact"/>
              <w:jc w:val="center"/>
              <w:rPr>
                <w:rFonts w:eastAsia="仿宋_GB2312" w:cs="仿宋_GB2312"/>
                <w:color w:val="000000"/>
                <w:spacing w:val="-12"/>
                <w:sz w:val="24"/>
              </w:rPr>
            </w:pPr>
          </w:p>
        </w:tc>
        <w:tc>
          <w:tcPr>
            <w:tcW w:w="851" w:type="dxa"/>
            <w:vAlign w:val="center"/>
          </w:tcPr>
          <w:p w14:paraId="54CBB8CC">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变更采购方式</w:t>
            </w:r>
          </w:p>
        </w:tc>
        <w:tc>
          <w:tcPr>
            <w:tcW w:w="1701" w:type="dxa"/>
            <w:vAlign w:val="center"/>
          </w:tcPr>
          <w:p w14:paraId="3A6A29C9">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34D7909B">
            <w:pPr>
              <w:spacing w:line="320" w:lineRule="exact"/>
              <w:jc w:val="left"/>
              <w:rPr>
                <w:rFonts w:ascii="仿宋" w:hAnsi="仿宋" w:eastAsia="仿宋" w:cs="楷体"/>
                <w:bCs/>
                <w:color w:val="000000"/>
                <w:sz w:val="24"/>
              </w:rPr>
            </w:pPr>
            <w:r>
              <w:rPr>
                <w:rFonts w:hint="eastAsia" w:ascii="仿宋" w:hAnsi="仿宋" w:eastAsia="仿宋" w:cs="楷体_GB2312"/>
                <w:color w:val="000000"/>
                <w:sz w:val="24"/>
              </w:rPr>
              <w:t>是</w:t>
            </w:r>
          </w:p>
        </w:tc>
        <w:tc>
          <w:tcPr>
            <w:tcW w:w="1984" w:type="dxa"/>
            <w:vMerge w:val="continue"/>
            <w:vAlign w:val="center"/>
          </w:tcPr>
          <w:p w14:paraId="72FB30C5">
            <w:pPr>
              <w:keepLines/>
              <w:spacing w:line="320" w:lineRule="exact"/>
              <w:jc w:val="center"/>
              <w:rPr>
                <w:rFonts w:eastAsia="仿宋_GB2312" w:cs="仿宋_GB2312"/>
                <w:color w:val="000000"/>
                <w:spacing w:val="-12"/>
                <w:sz w:val="24"/>
              </w:rPr>
            </w:pPr>
          </w:p>
        </w:tc>
        <w:tc>
          <w:tcPr>
            <w:tcW w:w="3402" w:type="dxa"/>
            <w:gridSpan w:val="2"/>
            <w:vAlign w:val="center"/>
          </w:tcPr>
          <w:p w14:paraId="51AEE811">
            <w:pPr>
              <w:keepLines/>
              <w:spacing w:line="320" w:lineRule="exact"/>
              <w:jc w:val="left"/>
              <w:rPr>
                <w:rFonts w:eastAsia="楷体_GB2312" w:cs="楷体_GB2312"/>
                <w:color w:val="000000"/>
                <w:sz w:val="24"/>
              </w:rPr>
            </w:pPr>
            <w:r>
              <w:rPr>
                <w:rFonts w:hint="eastAsia" w:ascii="仿宋" w:hAnsi="仿宋" w:eastAsia="仿宋" w:cs="楷体"/>
                <w:bCs/>
                <w:color w:val="000000"/>
                <w:sz w:val="24"/>
              </w:rPr>
              <w:t>申请变更采购方式的主体、程序</w:t>
            </w:r>
          </w:p>
        </w:tc>
      </w:tr>
      <w:tr w14:paraId="4D18A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199" w:hRule="atLeast"/>
          <w:jc w:val="center"/>
        </w:trPr>
        <w:tc>
          <w:tcPr>
            <w:tcW w:w="704" w:type="dxa"/>
            <w:vMerge w:val="continue"/>
            <w:noWrap/>
            <w:vAlign w:val="center"/>
          </w:tcPr>
          <w:p w14:paraId="689FFF92">
            <w:pPr>
              <w:keepLines/>
              <w:spacing w:line="320" w:lineRule="exact"/>
              <w:jc w:val="center"/>
              <w:rPr>
                <w:rFonts w:eastAsia="仿宋_GB2312" w:cs="仿宋_GB2312"/>
                <w:color w:val="000000"/>
                <w:spacing w:val="-12"/>
                <w:sz w:val="24"/>
              </w:rPr>
            </w:pPr>
          </w:p>
        </w:tc>
        <w:tc>
          <w:tcPr>
            <w:tcW w:w="851" w:type="dxa"/>
            <w:vAlign w:val="center"/>
          </w:tcPr>
          <w:p w14:paraId="1075BDC6">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采购进口产品</w:t>
            </w:r>
          </w:p>
        </w:tc>
        <w:tc>
          <w:tcPr>
            <w:tcW w:w="1701" w:type="dxa"/>
            <w:vAlign w:val="center"/>
          </w:tcPr>
          <w:p w14:paraId="34BBE69C">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76C16EBC">
            <w:pPr>
              <w:spacing w:line="320" w:lineRule="exact"/>
              <w:jc w:val="left"/>
              <w:rPr>
                <w:rFonts w:ascii="仿宋" w:hAnsi="仿宋" w:eastAsia="仿宋" w:cs="楷体"/>
                <w:bCs/>
                <w:color w:val="000000"/>
                <w:sz w:val="24"/>
              </w:rPr>
            </w:pPr>
            <w:r>
              <w:rPr>
                <w:rFonts w:hint="eastAsia" w:ascii="仿宋" w:hAnsi="仿宋" w:eastAsia="仿宋" w:cs="楷体_GB2312"/>
                <w:color w:val="000000"/>
                <w:sz w:val="24"/>
              </w:rPr>
              <w:t>是</w:t>
            </w:r>
          </w:p>
        </w:tc>
        <w:tc>
          <w:tcPr>
            <w:tcW w:w="1984" w:type="dxa"/>
            <w:vMerge w:val="continue"/>
            <w:vAlign w:val="center"/>
          </w:tcPr>
          <w:p w14:paraId="3EAE5626">
            <w:pPr>
              <w:keepLines/>
              <w:spacing w:line="320" w:lineRule="exact"/>
              <w:jc w:val="center"/>
              <w:rPr>
                <w:rFonts w:eastAsia="仿宋_GB2312" w:cs="仿宋_GB2312"/>
                <w:color w:val="000000"/>
                <w:spacing w:val="-12"/>
                <w:sz w:val="24"/>
              </w:rPr>
            </w:pPr>
          </w:p>
        </w:tc>
        <w:tc>
          <w:tcPr>
            <w:tcW w:w="3402" w:type="dxa"/>
            <w:gridSpan w:val="2"/>
            <w:vAlign w:val="center"/>
          </w:tcPr>
          <w:p w14:paraId="7AE4DD48">
            <w:pPr>
              <w:keepLines/>
              <w:spacing w:line="320" w:lineRule="exact"/>
              <w:jc w:val="left"/>
              <w:rPr>
                <w:rFonts w:eastAsia="楷体_GB2312" w:cs="楷体_GB2312"/>
                <w:color w:val="000000"/>
                <w:sz w:val="24"/>
              </w:rPr>
            </w:pPr>
            <w:r>
              <w:rPr>
                <w:rFonts w:hint="eastAsia" w:ascii="仿宋" w:hAnsi="仿宋" w:eastAsia="仿宋" w:cs="楷体"/>
                <w:bCs/>
                <w:color w:val="000000"/>
                <w:sz w:val="24"/>
              </w:rPr>
              <w:t>申请采购进口产品的主体、程序</w:t>
            </w:r>
          </w:p>
        </w:tc>
      </w:tr>
      <w:tr w14:paraId="1BAC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106" w:hRule="atLeast"/>
          <w:jc w:val="center"/>
        </w:trPr>
        <w:tc>
          <w:tcPr>
            <w:tcW w:w="704" w:type="dxa"/>
            <w:vMerge w:val="continue"/>
            <w:noWrap/>
            <w:vAlign w:val="center"/>
          </w:tcPr>
          <w:p w14:paraId="55698C22">
            <w:pPr>
              <w:keepLines/>
              <w:spacing w:line="320" w:lineRule="exact"/>
              <w:jc w:val="center"/>
              <w:rPr>
                <w:rFonts w:eastAsia="仿宋_GB2312" w:cs="仿宋_GB2312"/>
                <w:color w:val="000000"/>
                <w:spacing w:val="-12"/>
                <w:sz w:val="24"/>
              </w:rPr>
            </w:pPr>
          </w:p>
        </w:tc>
        <w:tc>
          <w:tcPr>
            <w:tcW w:w="851" w:type="dxa"/>
            <w:vAlign w:val="center"/>
          </w:tcPr>
          <w:p w14:paraId="519195C8">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履约验收</w:t>
            </w:r>
          </w:p>
        </w:tc>
        <w:tc>
          <w:tcPr>
            <w:tcW w:w="1701" w:type="dxa"/>
            <w:vAlign w:val="center"/>
          </w:tcPr>
          <w:p w14:paraId="3C2B3EE5">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15C5CDD7">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20A954FF">
            <w:pPr>
              <w:keepLines/>
              <w:spacing w:line="320" w:lineRule="exact"/>
              <w:jc w:val="left"/>
              <w:rPr>
                <w:rFonts w:ascii="仿宋" w:hAnsi="仿宋" w:eastAsia="仿宋" w:cs="楷体"/>
                <w:bCs/>
                <w:color w:val="000000"/>
                <w:sz w:val="24"/>
              </w:rPr>
            </w:pPr>
          </w:p>
        </w:tc>
        <w:tc>
          <w:tcPr>
            <w:tcW w:w="1984" w:type="dxa"/>
            <w:vMerge w:val="continue"/>
            <w:vAlign w:val="center"/>
          </w:tcPr>
          <w:p w14:paraId="51B59AC5">
            <w:pPr>
              <w:keepLines/>
              <w:spacing w:line="320" w:lineRule="exact"/>
              <w:jc w:val="center"/>
              <w:rPr>
                <w:rFonts w:eastAsia="仿宋_GB2312" w:cs="仿宋_GB2312"/>
                <w:color w:val="000000"/>
                <w:spacing w:val="-12"/>
                <w:sz w:val="24"/>
              </w:rPr>
            </w:pPr>
          </w:p>
        </w:tc>
        <w:tc>
          <w:tcPr>
            <w:tcW w:w="3402" w:type="dxa"/>
            <w:gridSpan w:val="2"/>
            <w:vAlign w:val="center"/>
          </w:tcPr>
          <w:p w14:paraId="35566CEB">
            <w:pPr>
              <w:keepLines/>
              <w:spacing w:line="320" w:lineRule="exact"/>
              <w:jc w:val="left"/>
              <w:rPr>
                <w:rFonts w:eastAsia="楷体_GB2312" w:cs="楷体_GB2312"/>
                <w:color w:val="000000"/>
                <w:sz w:val="24"/>
              </w:rPr>
            </w:pPr>
            <w:r>
              <w:rPr>
                <w:rFonts w:hint="eastAsia" w:ascii="仿宋" w:hAnsi="仿宋" w:eastAsia="仿宋" w:cs="楷体"/>
                <w:bCs/>
                <w:color w:val="000000"/>
                <w:sz w:val="24"/>
              </w:rPr>
              <w:t>履约验收的主体、时间、方式、程序、内容、验收标准等</w:t>
            </w:r>
          </w:p>
        </w:tc>
      </w:tr>
      <w:tr w14:paraId="4F647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065" w:hRule="atLeast"/>
          <w:jc w:val="center"/>
        </w:trPr>
        <w:tc>
          <w:tcPr>
            <w:tcW w:w="704" w:type="dxa"/>
            <w:vMerge w:val="continue"/>
            <w:noWrap/>
            <w:vAlign w:val="center"/>
          </w:tcPr>
          <w:p w14:paraId="4729C7F6">
            <w:pPr>
              <w:keepLines/>
              <w:spacing w:line="320" w:lineRule="exact"/>
              <w:jc w:val="center"/>
              <w:rPr>
                <w:rFonts w:eastAsia="仿宋_GB2312" w:cs="仿宋_GB2312"/>
                <w:color w:val="000000"/>
                <w:spacing w:val="-12"/>
                <w:sz w:val="24"/>
              </w:rPr>
            </w:pPr>
          </w:p>
        </w:tc>
        <w:tc>
          <w:tcPr>
            <w:tcW w:w="851" w:type="dxa"/>
            <w:vAlign w:val="center"/>
          </w:tcPr>
          <w:p w14:paraId="51C97462">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信息公开</w:t>
            </w:r>
          </w:p>
        </w:tc>
        <w:tc>
          <w:tcPr>
            <w:tcW w:w="1701" w:type="dxa"/>
            <w:vAlign w:val="center"/>
          </w:tcPr>
          <w:p w14:paraId="2A470B1A">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46A4572E">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134A8543">
            <w:pPr>
              <w:keepLines/>
              <w:autoSpaceDE w:val="0"/>
              <w:autoSpaceDN w:val="0"/>
              <w:adjustRightInd w:val="0"/>
              <w:rPr>
                <w:rFonts w:ascii="仿宋" w:hAnsi="仿宋" w:eastAsia="仿宋" w:cs="楷体"/>
                <w:bCs/>
                <w:color w:val="000000"/>
                <w:sz w:val="24"/>
              </w:rPr>
            </w:pPr>
          </w:p>
        </w:tc>
        <w:tc>
          <w:tcPr>
            <w:tcW w:w="1984" w:type="dxa"/>
            <w:vMerge w:val="continue"/>
            <w:vAlign w:val="center"/>
          </w:tcPr>
          <w:p w14:paraId="1D0030D2">
            <w:pPr>
              <w:keepLines/>
              <w:spacing w:line="320" w:lineRule="exact"/>
              <w:jc w:val="center"/>
              <w:rPr>
                <w:rFonts w:eastAsia="仿宋_GB2312" w:cs="仿宋_GB2312"/>
                <w:color w:val="000000"/>
                <w:spacing w:val="-12"/>
                <w:sz w:val="24"/>
              </w:rPr>
            </w:pPr>
          </w:p>
        </w:tc>
        <w:tc>
          <w:tcPr>
            <w:tcW w:w="3402" w:type="dxa"/>
            <w:gridSpan w:val="2"/>
            <w:vAlign w:val="center"/>
          </w:tcPr>
          <w:p w14:paraId="0F1AA890">
            <w:pPr>
              <w:keepLines/>
              <w:spacing w:line="320" w:lineRule="exact"/>
              <w:jc w:val="left"/>
              <w:rPr>
                <w:rFonts w:eastAsia="楷体_GB2312" w:cs="楷体_GB2312"/>
                <w:color w:val="000000"/>
                <w:sz w:val="24"/>
              </w:rPr>
            </w:pPr>
            <w:r>
              <w:rPr>
                <w:rFonts w:hint="eastAsia" w:ascii="仿宋" w:hAnsi="仿宋" w:eastAsia="仿宋" w:cs="楷体"/>
                <w:bCs/>
                <w:color w:val="000000"/>
                <w:sz w:val="24"/>
              </w:rPr>
              <w:t>信息公开的主体、范围、时间、内容、程序</w:t>
            </w:r>
          </w:p>
        </w:tc>
      </w:tr>
      <w:tr w14:paraId="6858D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15" w:hRule="atLeast"/>
          <w:jc w:val="center"/>
        </w:trPr>
        <w:tc>
          <w:tcPr>
            <w:tcW w:w="704" w:type="dxa"/>
            <w:vMerge w:val="restart"/>
            <w:noWrap/>
            <w:vAlign w:val="center"/>
          </w:tcPr>
          <w:p w14:paraId="3EB4E7D4">
            <w:pPr>
              <w:keepLines/>
              <w:spacing w:line="320" w:lineRule="exact"/>
              <w:jc w:val="center"/>
              <w:rPr>
                <w:rFonts w:eastAsia="仿宋_GB2312" w:cs="仿宋_GB2312"/>
                <w:color w:val="000000"/>
                <w:spacing w:val="-12"/>
                <w:sz w:val="24"/>
              </w:rPr>
            </w:pPr>
            <w:r>
              <w:rPr>
                <w:rFonts w:hint="eastAsia" w:eastAsia="仿宋_GB2312" w:cs="仿宋_GB2312"/>
                <w:color w:val="000000"/>
                <w:spacing w:val="-12"/>
                <w:sz w:val="24"/>
              </w:rPr>
              <w:t>资产管理</w:t>
            </w:r>
          </w:p>
        </w:tc>
        <w:tc>
          <w:tcPr>
            <w:tcW w:w="851" w:type="dxa"/>
            <w:vAlign w:val="center"/>
          </w:tcPr>
          <w:p w14:paraId="65C4899F">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货币资金管理</w:t>
            </w:r>
          </w:p>
        </w:tc>
        <w:tc>
          <w:tcPr>
            <w:tcW w:w="1701" w:type="dxa"/>
            <w:vAlign w:val="center"/>
          </w:tcPr>
          <w:p w14:paraId="0379225F">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27ECC804">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7FB7164A">
            <w:pPr>
              <w:keepLines/>
              <w:spacing w:line="320" w:lineRule="exact"/>
              <w:jc w:val="left"/>
              <w:rPr>
                <w:rFonts w:ascii="仿宋" w:hAnsi="仿宋" w:eastAsia="仿宋" w:cs="楷体"/>
                <w:bCs/>
                <w:color w:val="000000"/>
                <w:sz w:val="24"/>
              </w:rPr>
            </w:pPr>
          </w:p>
        </w:tc>
        <w:tc>
          <w:tcPr>
            <w:tcW w:w="1984" w:type="dxa"/>
            <w:vMerge w:val="restart"/>
            <w:vAlign w:val="center"/>
          </w:tcPr>
          <w:p w14:paraId="54D2148E">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1E38D165">
            <w:pPr>
              <w:spacing w:line="320" w:lineRule="exact"/>
              <w:jc w:val="left"/>
              <w:rPr>
                <w:rFonts w:eastAsia="楷体_GB2312" w:cs="楷体_GB2312"/>
                <w:color w:val="000000"/>
                <w:sz w:val="24"/>
              </w:rPr>
            </w:pPr>
            <w:r>
              <w:rPr>
                <w:rFonts w:hint="eastAsia" w:ascii="仿宋" w:hAnsi="仿宋" w:eastAsia="仿宋" w:cs="楷体_GB2312"/>
                <w:color w:val="000000"/>
                <w:sz w:val="24"/>
              </w:rPr>
              <w:t>是</w:t>
            </w:r>
          </w:p>
        </w:tc>
        <w:tc>
          <w:tcPr>
            <w:tcW w:w="3402" w:type="dxa"/>
            <w:gridSpan w:val="2"/>
            <w:vAlign w:val="center"/>
          </w:tcPr>
          <w:p w14:paraId="5702D265">
            <w:pPr>
              <w:keepLines/>
              <w:spacing w:line="320" w:lineRule="exact"/>
              <w:jc w:val="left"/>
              <w:rPr>
                <w:rFonts w:eastAsia="楷体_GB2312" w:cs="楷体_GB2312"/>
                <w:color w:val="000000"/>
                <w:sz w:val="24"/>
              </w:rPr>
            </w:pPr>
            <w:r>
              <w:rPr>
                <w:rFonts w:hint="eastAsia" w:ascii="仿宋" w:hAnsi="仿宋" w:eastAsia="仿宋" w:cs="楷体"/>
                <w:bCs/>
                <w:color w:val="000000"/>
                <w:sz w:val="24"/>
              </w:rPr>
              <w:t>单位银行账户类型，开立、变更、撤销程序;单位财务印章、银行密钥管理</w:t>
            </w:r>
          </w:p>
        </w:tc>
      </w:tr>
      <w:tr w14:paraId="507CE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756" w:hRule="atLeast"/>
          <w:jc w:val="center"/>
        </w:trPr>
        <w:tc>
          <w:tcPr>
            <w:tcW w:w="704" w:type="dxa"/>
            <w:vMerge w:val="continue"/>
            <w:noWrap/>
            <w:vAlign w:val="center"/>
          </w:tcPr>
          <w:p w14:paraId="2B926750">
            <w:pPr>
              <w:keepLines/>
              <w:spacing w:line="320" w:lineRule="exact"/>
              <w:jc w:val="center"/>
              <w:rPr>
                <w:rFonts w:eastAsia="仿宋_GB2312" w:cs="仿宋_GB2312"/>
                <w:color w:val="000000"/>
                <w:spacing w:val="-12"/>
                <w:sz w:val="24"/>
              </w:rPr>
            </w:pPr>
          </w:p>
        </w:tc>
        <w:tc>
          <w:tcPr>
            <w:tcW w:w="851" w:type="dxa"/>
            <w:vAlign w:val="center"/>
          </w:tcPr>
          <w:p w14:paraId="67768649">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固定资产管理</w:t>
            </w:r>
          </w:p>
        </w:tc>
        <w:tc>
          <w:tcPr>
            <w:tcW w:w="1701" w:type="dxa"/>
            <w:vAlign w:val="center"/>
          </w:tcPr>
          <w:p w14:paraId="33AC3100">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24CE558B">
            <w:pPr>
              <w:spacing w:line="320" w:lineRule="exact"/>
              <w:jc w:val="left"/>
              <w:rPr>
                <w:rFonts w:ascii="仿宋" w:hAnsi="仿宋" w:eastAsia="仿宋" w:cs="楷体"/>
                <w:bCs/>
                <w:color w:val="000000"/>
                <w:sz w:val="24"/>
              </w:rPr>
            </w:pPr>
            <w:r>
              <w:rPr>
                <w:rFonts w:hint="eastAsia" w:ascii="仿宋" w:hAnsi="仿宋" w:eastAsia="仿宋" w:cs="楷体_GB2312"/>
                <w:color w:val="000000"/>
                <w:sz w:val="24"/>
              </w:rPr>
              <w:t>是</w:t>
            </w:r>
          </w:p>
        </w:tc>
        <w:tc>
          <w:tcPr>
            <w:tcW w:w="1984" w:type="dxa"/>
            <w:vMerge w:val="continue"/>
            <w:vAlign w:val="center"/>
          </w:tcPr>
          <w:p w14:paraId="1E725533">
            <w:pPr>
              <w:keepLines/>
              <w:spacing w:line="320" w:lineRule="exact"/>
              <w:jc w:val="left"/>
              <w:rPr>
                <w:rFonts w:eastAsia="楷体_GB2312" w:cs="楷体_GB2312"/>
                <w:color w:val="000000"/>
                <w:sz w:val="24"/>
              </w:rPr>
            </w:pPr>
          </w:p>
        </w:tc>
        <w:tc>
          <w:tcPr>
            <w:tcW w:w="3402" w:type="dxa"/>
            <w:gridSpan w:val="2"/>
            <w:vAlign w:val="center"/>
          </w:tcPr>
          <w:p w14:paraId="467DF40C">
            <w:pPr>
              <w:keepLines/>
              <w:spacing w:line="320" w:lineRule="exact"/>
              <w:jc w:val="left"/>
              <w:rPr>
                <w:rFonts w:eastAsia="楷体_GB2312" w:cs="楷体_GB2312"/>
                <w:color w:val="000000"/>
                <w:sz w:val="24"/>
              </w:rPr>
            </w:pPr>
            <w:r>
              <w:rPr>
                <w:rFonts w:hint="eastAsia" w:ascii="仿宋" w:hAnsi="仿宋" w:eastAsia="仿宋" w:cs="楷体"/>
                <w:bCs/>
                <w:color w:val="000000"/>
                <w:sz w:val="24"/>
              </w:rPr>
              <w:t>单位固定资产类别与配置标准;单位固定资产使用管理;单位固定资产清查范围及程序;单位资产处置标准与审批权限</w:t>
            </w:r>
          </w:p>
        </w:tc>
      </w:tr>
      <w:tr w14:paraId="64D47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16" w:hRule="atLeast"/>
          <w:jc w:val="center"/>
        </w:trPr>
        <w:tc>
          <w:tcPr>
            <w:tcW w:w="704" w:type="dxa"/>
            <w:vMerge w:val="continue"/>
            <w:noWrap/>
            <w:vAlign w:val="center"/>
          </w:tcPr>
          <w:p w14:paraId="2C768892">
            <w:pPr>
              <w:keepLines/>
              <w:spacing w:line="320" w:lineRule="exact"/>
              <w:jc w:val="center"/>
              <w:rPr>
                <w:rFonts w:eastAsia="仿宋_GB2312" w:cs="仿宋_GB2312"/>
                <w:color w:val="000000"/>
                <w:spacing w:val="-12"/>
                <w:sz w:val="24"/>
              </w:rPr>
            </w:pPr>
          </w:p>
        </w:tc>
        <w:tc>
          <w:tcPr>
            <w:tcW w:w="851" w:type="dxa"/>
            <w:vAlign w:val="center"/>
          </w:tcPr>
          <w:p w14:paraId="7C62B2C5">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无形资产管理</w:t>
            </w:r>
          </w:p>
        </w:tc>
        <w:tc>
          <w:tcPr>
            <w:tcW w:w="1701" w:type="dxa"/>
            <w:vAlign w:val="center"/>
          </w:tcPr>
          <w:p w14:paraId="28E6C6B5">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63684255">
            <w:pPr>
              <w:spacing w:line="320" w:lineRule="exact"/>
              <w:jc w:val="left"/>
              <w:rPr>
                <w:rFonts w:ascii="仿宋" w:hAnsi="仿宋" w:eastAsia="仿宋" w:cs="楷体"/>
                <w:bCs/>
                <w:color w:val="000000"/>
                <w:sz w:val="24"/>
              </w:rPr>
            </w:pPr>
            <w:r>
              <w:rPr>
                <w:rFonts w:hint="eastAsia" w:ascii="仿宋" w:hAnsi="仿宋" w:eastAsia="仿宋" w:cs="楷体_GB2312"/>
                <w:color w:val="000000"/>
                <w:sz w:val="24"/>
              </w:rPr>
              <w:t>是</w:t>
            </w:r>
          </w:p>
          <w:p w14:paraId="7D45CB2E">
            <w:pPr>
              <w:keepLines/>
              <w:spacing w:line="320" w:lineRule="exact"/>
              <w:jc w:val="left"/>
              <w:rPr>
                <w:rFonts w:ascii="仿宋" w:hAnsi="仿宋" w:eastAsia="仿宋" w:cs="楷体"/>
                <w:bCs/>
                <w:color w:val="000000"/>
                <w:sz w:val="24"/>
              </w:rPr>
            </w:pPr>
          </w:p>
        </w:tc>
        <w:tc>
          <w:tcPr>
            <w:tcW w:w="1984" w:type="dxa"/>
            <w:vMerge w:val="continue"/>
            <w:vAlign w:val="center"/>
          </w:tcPr>
          <w:p w14:paraId="421AC0AD">
            <w:pPr>
              <w:keepLines/>
              <w:spacing w:line="320" w:lineRule="exact"/>
              <w:jc w:val="left"/>
              <w:rPr>
                <w:rFonts w:eastAsia="楷体_GB2312" w:cs="楷体_GB2312"/>
                <w:color w:val="000000"/>
                <w:sz w:val="24"/>
              </w:rPr>
            </w:pPr>
          </w:p>
        </w:tc>
        <w:tc>
          <w:tcPr>
            <w:tcW w:w="3402" w:type="dxa"/>
            <w:gridSpan w:val="2"/>
            <w:vAlign w:val="center"/>
          </w:tcPr>
          <w:p w14:paraId="05EB47B6">
            <w:pPr>
              <w:keepLines/>
              <w:spacing w:line="320" w:lineRule="exact"/>
              <w:jc w:val="left"/>
              <w:rPr>
                <w:rFonts w:eastAsia="楷体_GB2312" w:cs="楷体_GB2312"/>
                <w:color w:val="000000"/>
                <w:sz w:val="24"/>
              </w:rPr>
            </w:pPr>
            <w:r>
              <w:rPr>
                <w:rFonts w:hint="eastAsia" w:ascii="仿宋" w:hAnsi="仿宋" w:eastAsia="仿宋" w:cs="楷体"/>
                <w:bCs/>
                <w:color w:val="000000"/>
                <w:sz w:val="24"/>
              </w:rPr>
              <w:t>单位无形资产类别、登记确认、价值评估及处置</w:t>
            </w:r>
          </w:p>
        </w:tc>
      </w:tr>
      <w:tr w14:paraId="60466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655" w:hRule="atLeast"/>
          <w:jc w:val="center"/>
        </w:trPr>
        <w:tc>
          <w:tcPr>
            <w:tcW w:w="704" w:type="dxa"/>
            <w:vMerge w:val="continue"/>
            <w:noWrap/>
            <w:vAlign w:val="center"/>
          </w:tcPr>
          <w:p w14:paraId="09570A80">
            <w:pPr>
              <w:keepLines/>
              <w:spacing w:line="320" w:lineRule="exact"/>
              <w:jc w:val="center"/>
              <w:rPr>
                <w:rFonts w:eastAsia="仿宋_GB2312" w:cs="仿宋_GB2312"/>
                <w:color w:val="000000"/>
                <w:spacing w:val="-12"/>
                <w:sz w:val="24"/>
              </w:rPr>
            </w:pPr>
          </w:p>
        </w:tc>
        <w:tc>
          <w:tcPr>
            <w:tcW w:w="851" w:type="dxa"/>
            <w:vAlign w:val="center"/>
          </w:tcPr>
          <w:p w14:paraId="40063012">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对外投资管理</w:t>
            </w:r>
          </w:p>
        </w:tc>
        <w:tc>
          <w:tcPr>
            <w:tcW w:w="1701" w:type="dxa"/>
            <w:vAlign w:val="center"/>
          </w:tcPr>
          <w:p w14:paraId="0C605DAD">
            <w:pPr>
              <w:spacing w:line="320" w:lineRule="exact"/>
              <w:jc w:val="left"/>
              <w:rPr>
                <w:rFonts w:ascii="仿宋" w:hAnsi="仿宋" w:eastAsia="仿宋" w:cs="楷体_GB2312"/>
                <w:color w:val="000000"/>
                <w:sz w:val="24"/>
              </w:rPr>
            </w:pPr>
          </w:p>
          <w:p w14:paraId="23AF6885">
            <w:pPr>
              <w:spacing w:line="320" w:lineRule="exact"/>
              <w:jc w:val="left"/>
              <w:rPr>
                <w:rFonts w:ascii="仿宋" w:hAnsi="仿宋" w:eastAsia="仿宋" w:cs="楷体_GB2312"/>
                <w:color w:val="000000"/>
                <w:sz w:val="24"/>
              </w:rPr>
            </w:pPr>
          </w:p>
          <w:p w14:paraId="4DE5E8DD">
            <w:pPr>
              <w:keepLines/>
              <w:spacing w:line="320" w:lineRule="exact"/>
              <w:jc w:val="left"/>
              <w:rPr>
                <w:rFonts w:ascii="仿宋" w:hAnsi="仿宋" w:eastAsia="仿宋" w:cs="楷体"/>
                <w:bCs/>
                <w:color w:val="000000"/>
                <w:sz w:val="24"/>
              </w:rPr>
            </w:pPr>
          </w:p>
        </w:tc>
        <w:tc>
          <w:tcPr>
            <w:tcW w:w="1984" w:type="dxa"/>
            <w:vMerge w:val="continue"/>
            <w:vAlign w:val="center"/>
          </w:tcPr>
          <w:p w14:paraId="0AEB5960">
            <w:pPr>
              <w:keepLines/>
              <w:spacing w:line="320" w:lineRule="exact"/>
              <w:jc w:val="left"/>
              <w:rPr>
                <w:rFonts w:eastAsia="楷体_GB2312" w:cs="楷体_GB2312"/>
                <w:color w:val="000000"/>
                <w:sz w:val="24"/>
              </w:rPr>
            </w:pPr>
          </w:p>
        </w:tc>
        <w:tc>
          <w:tcPr>
            <w:tcW w:w="3402" w:type="dxa"/>
            <w:gridSpan w:val="2"/>
            <w:vAlign w:val="center"/>
          </w:tcPr>
          <w:p w14:paraId="1B49695A">
            <w:pPr>
              <w:keepLines/>
              <w:spacing w:line="320" w:lineRule="exact"/>
              <w:jc w:val="left"/>
              <w:rPr>
                <w:rFonts w:eastAsia="楷体_GB2312" w:cs="楷体_GB2312"/>
                <w:color w:val="000000"/>
                <w:sz w:val="24"/>
              </w:rPr>
            </w:pPr>
          </w:p>
        </w:tc>
      </w:tr>
      <w:tr w14:paraId="18B1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34" w:hRule="atLeast"/>
          <w:jc w:val="center"/>
        </w:trPr>
        <w:tc>
          <w:tcPr>
            <w:tcW w:w="704" w:type="dxa"/>
            <w:vMerge w:val="restart"/>
            <w:noWrap/>
            <w:vAlign w:val="center"/>
          </w:tcPr>
          <w:p w14:paraId="3BEEA59C">
            <w:pPr>
              <w:keepLines/>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建设项目管理</w:t>
            </w:r>
          </w:p>
        </w:tc>
        <w:tc>
          <w:tcPr>
            <w:tcW w:w="851" w:type="dxa"/>
            <w:vAlign w:val="center"/>
          </w:tcPr>
          <w:p w14:paraId="5DD5D70C">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项目立项、设计与概预算</w:t>
            </w:r>
          </w:p>
        </w:tc>
        <w:tc>
          <w:tcPr>
            <w:tcW w:w="1701" w:type="dxa"/>
            <w:vAlign w:val="center"/>
          </w:tcPr>
          <w:p w14:paraId="6F1EEFD2">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421FAD60">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0D099336">
            <w:pPr>
              <w:keepLines/>
              <w:spacing w:line="320" w:lineRule="exact"/>
              <w:jc w:val="left"/>
              <w:rPr>
                <w:rFonts w:ascii="仿宋" w:hAnsi="仿宋" w:eastAsia="仿宋" w:cs="楷体"/>
                <w:bCs/>
                <w:color w:val="000000"/>
                <w:sz w:val="24"/>
              </w:rPr>
            </w:pPr>
          </w:p>
        </w:tc>
        <w:tc>
          <w:tcPr>
            <w:tcW w:w="1984" w:type="dxa"/>
            <w:vMerge w:val="restart"/>
            <w:vAlign w:val="center"/>
          </w:tcPr>
          <w:p w14:paraId="7C77EB1C">
            <w:pPr>
              <w:keepLines/>
              <w:autoSpaceDE w:val="0"/>
              <w:autoSpaceDN w:val="0"/>
              <w:adjustRightInd w:val="0"/>
              <w:rPr>
                <w:rFonts w:ascii="仿宋" w:hAnsi="仿宋" w:eastAsia="仿宋" w:cs="楷体"/>
                <w:bCs/>
                <w:color w:val="000000"/>
                <w:sz w:val="24"/>
              </w:rPr>
            </w:pPr>
            <w:r>
              <w:rPr>
                <w:rFonts w:hint="eastAsia" w:ascii="仿宋" w:hAnsi="仿宋" w:eastAsia="仿宋" w:cs="楷体_GB2312"/>
                <w:color w:val="000000"/>
                <w:sz w:val="24"/>
              </w:rPr>
              <w:t>更新制度：</w:t>
            </w:r>
            <w:r>
              <w:rPr>
                <w:rFonts w:hint="eastAsia" w:ascii="仿宋" w:hAnsi="仿宋" w:eastAsia="仿宋" w:cs="楷体"/>
                <w:bCs/>
                <w:color w:val="000000"/>
                <w:sz w:val="24"/>
              </w:rPr>
              <w:t>是</w:t>
            </w:r>
          </w:p>
          <w:p w14:paraId="4CE1A2AB">
            <w:pPr>
              <w:keepLines/>
              <w:spacing w:line="320" w:lineRule="exact"/>
              <w:jc w:val="left"/>
              <w:rPr>
                <w:rFonts w:eastAsia="楷体_GB2312" w:cs="楷体_GB2312"/>
                <w:color w:val="000000"/>
                <w:sz w:val="24"/>
              </w:rPr>
            </w:pPr>
            <w:r>
              <w:rPr>
                <w:rFonts w:hint="eastAsia" w:ascii="仿宋" w:hAnsi="仿宋" w:eastAsia="仿宋" w:cs="楷体_GB2312"/>
                <w:color w:val="000000"/>
                <w:sz w:val="24"/>
              </w:rPr>
              <w:t>更新流程图：</w:t>
            </w:r>
            <w:r>
              <w:rPr>
                <w:rFonts w:hint="eastAsia" w:ascii="仿宋" w:hAnsi="仿宋" w:eastAsia="仿宋" w:cs="楷体"/>
                <w:bCs/>
                <w:color w:val="000000"/>
                <w:sz w:val="24"/>
              </w:rPr>
              <w:t>是</w:t>
            </w:r>
          </w:p>
        </w:tc>
        <w:tc>
          <w:tcPr>
            <w:tcW w:w="3402" w:type="dxa"/>
            <w:gridSpan w:val="2"/>
            <w:vAlign w:val="center"/>
          </w:tcPr>
          <w:p w14:paraId="110D5A03">
            <w:pPr>
              <w:keepLines/>
              <w:spacing w:line="320" w:lineRule="exact"/>
              <w:jc w:val="left"/>
              <w:rPr>
                <w:rFonts w:eastAsia="楷体_GB2312" w:cs="楷体_GB2312"/>
                <w:color w:val="000000"/>
                <w:sz w:val="24"/>
              </w:rPr>
            </w:pPr>
            <w:r>
              <w:rPr>
                <w:rFonts w:hint="eastAsia" w:ascii="仿宋" w:hAnsi="仿宋" w:eastAsia="仿宋" w:cs="楷体"/>
                <w:bCs/>
                <w:color w:val="000000"/>
                <w:sz w:val="24"/>
              </w:rPr>
              <w:t>单位项目投资评审、立项依据与审批程序</w:t>
            </w:r>
          </w:p>
        </w:tc>
      </w:tr>
      <w:tr w14:paraId="4800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375" w:hRule="atLeast"/>
          <w:jc w:val="center"/>
        </w:trPr>
        <w:tc>
          <w:tcPr>
            <w:tcW w:w="704" w:type="dxa"/>
            <w:vMerge w:val="continue"/>
            <w:noWrap/>
            <w:vAlign w:val="center"/>
          </w:tcPr>
          <w:p w14:paraId="08997429">
            <w:pPr>
              <w:keepLines/>
              <w:spacing w:line="320" w:lineRule="exact"/>
              <w:jc w:val="center"/>
              <w:rPr>
                <w:rFonts w:eastAsia="仿宋_GB2312" w:cs="仿宋_GB2312"/>
                <w:color w:val="000000"/>
                <w:spacing w:val="-12"/>
                <w:sz w:val="24"/>
              </w:rPr>
            </w:pPr>
          </w:p>
        </w:tc>
        <w:tc>
          <w:tcPr>
            <w:tcW w:w="851" w:type="dxa"/>
            <w:vAlign w:val="center"/>
          </w:tcPr>
          <w:p w14:paraId="5A5A8110">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项目采购管理</w:t>
            </w:r>
          </w:p>
        </w:tc>
        <w:tc>
          <w:tcPr>
            <w:tcW w:w="1701" w:type="dxa"/>
            <w:vAlign w:val="center"/>
          </w:tcPr>
          <w:p w14:paraId="390D5141">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3D9EC30E">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66EDA07A">
            <w:pPr>
              <w:keepLines/>
              <w:spacing w:line="320" w:lineRule="exact"/>
              <w:jc w:val="left"/>
              <w:rPr>
                <w:rFonts w:ascii="仿宋" w:hAnsi="仿宋" w:eastAsia="仿宋" w:cs="楷体"/>
                <w:bCs/>
                <w:color w:val="000000"/>
                <w:sz w:val="24"/>
              </w:rPr>
            </w:pPr>
          </w:p>
        </w:tc>
        <w:tc>
          <w:tcPr>
            <w:tcW w:w="1984" w:type="dxa"/>
            <w:vMerge w:val="continue"/>
            <w:vAlign w:val="center"/>
          </w:tcPr>
          <w:p w14:paraId="7558792B">
            <w:pPr>
              <w:keepLines/>
              <w:spacing w:line="320" w:lineRule="exact"/>
              <w:jc w:val="left"/>
              <w:rPr>
                <w:rFonts w:eastAsia="楷体_GB2312" w:cs="楷体_GB2312"/>
                <w:color w:val="000000"/>
                <w:sz w:val="24"/>
              </w:rPr>
            </w:pPr>
          </w:p>
        </w:tc>
        <w:tc>
          <w:tcPr>
            <w:tcW w:w="3402" w:type="dxa"/>
            <w:gridSpan w:val="2"/>
            <w:vAlign w:val="center"/>
          </w:tcPr>
          <w:p w14:paraId="2B7D7A2B">
            <w:pPr>
              <w:keepLines/>
              <w:spacing w:line="320" w:lineRule="exact"/>
              <w:jc w:val="left"/>
              <w:rPr>
                <w:rFonts w:eastAsia="楷体_GB2312" w:cs="楷体_GB2312"/>
                <w:color w:val="000000"/>
                <w:sz w:val="24"/>
              </w:rPr>
            </w:pPr>
            <w:r>
              <w:rPr>
                <w:rFonts w:hint="eastAsia" w:ascii="仿宋" w:hAnsi="仿宋" w:eastAsia="仿宋" w:cs="楷体"/>
                <w:bCs/>
                <w:color w:val="000000"/>
                <w:sz w:val="24"/>
              </w:rPr>
              <w:t>单位项目采购范围、方式及程序</w:t>
            </w:r>
          </w:p>
        </w:tc>
      </w:tr>
      <w:tr w14:paraId="0E2E5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41" w:hRule="atLeast"/>
          <w:jc w:val="center"/>
        </w:trPr>
        <w:tc>
          <w:tcPr>
            <w:tcW w:w="704" w:type="dxa"/>
            <w:vMerge w:val="continue"/>
            <w:noWrap/>
            <w:vAlign w:val="center"/>
          </w:tcPr>
          <w:p w14:paraId="02C7A87E">
            <w:pPr>
              <w:keepLines/>
              <w:spacing w:line="320" w:lineRule="exact"/>
              <w:jc w:val="center"/>
              <w:rPr>
                <w:rFonts w:eastAsia="仿宋_GB2312" w:cs="仿宋_GB2312"/>
                <w:color w:val="000000"/>
                <w:spacing w:val="-12"/>
                <w:sz w:val="24"/>
              </w:rPr>
            </w:pPr>
          </w:p>
        </w:tc>
        <w:tc>
          <w:tcPr>
            <w:tcW w:w="851" w:type="dxa"/>
            <w:vAlign w:val="center"/>
          </w:tcPr>
          <w:p w14:paraId="0F36A167">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项目施工、变更与资金支付</w:t>
            </w:r>
          </w:p>
        </w:tc>
        <w:tc>
          <w:tcPr>
            <w:tcW w:w="1701" w:type="dxa"/>
            <w:vAlign w:val="center"/>
          </w:tcPr>
          <w:p w14:paraId="329A7D9B">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0B8B6CE6">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58DDB84B">
            <w:pPr>
              <w:keepLines/>
              <w:spacing w:line="320" w:lineRule="exact"/>
              <w:jc w:val="left"/>
              <w:rPr>
                <w:rFonts w:ascii="仿宋" w:hAnsi="仿宋" w:eastAsia="仿宋" w:cs="楷体"/>
                <w:bCs/>
                <w:color w:val="000000"/>
                <w:sz w:val="24"/>
              </w:rPr>
            </w:pPr>
          </w:p>
        </w:tc>
        <w:tc>
          <w:tcPr>
            <w:tcW w:w="1984" w:type="dxa"/>
            <w:vMerge w:val="continue"/>
            <w:vAlign w:val="center"/>
          </w:tcPr>
          <w:p w14:paraId="37C54051">
            <w:pPr>
              <w:keepLines/>
              <w:spacing w:line="320" w:lineRule="exact"/>
              <w:jc w:val="left"/>
              <w:rPr>
                <w:rFonts w:eastAsia="楷体_GB2312" w:cs="楷体_GB2312"/>
                <w:color w:val="000000"/>
                <w:sz w:val="24"/>
              </w:rPr>
            </w:pPr>
          </w:p>
        </w:tc>
        <w:tc>
          <w:tcPr>
            <w:tcW w:w="3402" w:type="dxa"/>
            <w:gridSpan w:val="2"/>
            <w:vAlign w:val="center"/>
          </w:tcPr>
          <w:p w14:paraId="0063792A">
            <w:pPr>
              <w:keepLines/>
              <w:spacing w:line="320" w:lineRule="exact"/>
              <w:jc w:val="left"/>
              <w:rPr>
                <w:rFonts w:eastAsia="楷体_GB2312" w:cs="楷体_GB2312"/>
                <w:color w:val="000000"/>
                <w:sz w:val="24"/>
              </w:rPr>
            </w:pPr>
            <w:r>
              <w:rPr>
                <w:rFonts w:hint="eastAsia" w:ascii="仿宋" w:hAnsi="仿宋" w:eastAsia="仿宋" w:cs="楷体"/>
                <w:bCs/>
                <w:color w:val="000000"/>
                <w:sz w:val="24"/>
              </w:rPr>
              <w:t>单位项目分包控制;单位项目变更审批权限及程序;单位项目进度款、竣工决（结）算审核程序</w:t>
            </w:r>
          </w:p>
        </w:tc>
      </w:tr>
      <w:tr w14:paraId="1D487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249" w:hRule="atLeast"/>
          <w:jc w:val="center"/>
        </w:trPr>
        <w:tc>
          <w:tcPr>
            <w:tcW w:w="704" w:type="dxa"/>
            <w:vMerge w:val="continue"/>
            <w:noWrap/>
            <w:vAlign w:val="center"/>
          </w:tcPr>
          <w:p w14:paraId="4EFA9401">
            <w:pPr>
              <w:keepLines/>
              <w:widowControl/>
              <w:rPr>
                <w:sz w:val="24"/>
              </w:rPr>
            </w:pPr>
          </w:p>
        </w:tc>
        <w:tc>
          <w:tcPr>
            <w:tcW w:w="851" w:type="dxa"/>
            <w:vAlign w:val="center"/>
          </w:tcPr>
          <w:p w14:paraId="5C878B0D">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项目验收管理与绩效评价</w:t>
            </w:r>
          </w:p>
        </w:tc>
        <w:tc>
          <w:tcPr>
            <w:tcW w:w="1701" w:type="dxa"/>
            <w:vAlign w:val="center"/>
          </w:tcPr>
          <w:p w14:paraId="2B0B396C">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28EFA2E7">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48208CAE">
            <w:pPr>
              <w:keepLines/>
              <w:spacing w:line="320" w:lineRule="exact"/>
              <w:jc w:val="left"/>
              <w:rPr>
                <w:rFonts w:ascii="仿宋" w:hAnsi="仿宋" w:eastAsia="仿宋" w:cs="楷体"/>
                <w:bCs/>
                <w:color w:val="000000"/>
                <w:sz w:val="24"/>
              </w:rPr>
            </w:pPr>
          </w:p>
        </w:tc>
        <w:tc>
          <w:tcPr>
            <w:tcW w:w="1984" w:type="dxa"/>
            <w:vMerge w:val="continue"/>
            <w:vAlign w:val="center"/>
          </w:tcPr>
          <w:p w14:paraId="01BE5DD5">
            <w:pPr>
              <w:keepLines/>
              <w:spacing w:line="320" w:lineRule="exact"/>
              <w:jc w:val="left"/>
              <w:rPr>
                <w:rFonts w:eastAsia="楷体_GB2312" w:cs="楷体_GB2312"/>
                <w:color w:val="000000"/>
                <w:sz w:val="24"/>
              </w:rPr>
            </w:pPr>
          </w:p>
        </w:tc>
        <w:tc>
          <w:tcPr>
            <w:tcW w:w="3402" w:type="dxa"/>
            <w:gridSpan w:val="2"/>
            <w:vAlign w:val="center"/>
          </w:tcPr>
          <w:p w14:paraId="04F6F2BA">
            <w:pPr>
              <w:keepLines/>
              <w:spacing w:line="320" w:lineRule="exact"/>
              <w:jc w:val="left"/>
              <w:rPr>
                <w:rFonts w:eastAsia="楷体_GB2312" w:cs="楷体_GB2312"/>
                <w:color w:val="000000"/>
                <w:sz w:val="24"/>
              </w:rPr>
            </w:pPr>
            <w:r>
              <w:rPr>
                <w:rFonts w:hint="eastAsia" w:ascii="仿宋" w:hAnsi="仿宋" w:eastAsia="仿宋" w:cs="楷体"/>
                <w:bCs/>
                <w:color w:val="000000"/>
                <w:sz w:val="24"/>
              </w:rPr>
              <w:t>单位项目验收主体、内容及程序;单位项目档案管理;单位项目绩效评价形式与内容</w:t>
            </w:r>
          </w:p>
        </w:tc>
      </w:tr>
      <w:tr w14:paraId="7DEE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318" w:hRule="atLeast"/>
          <w:jc w:val="center"/>
        </w:trPr>
        <w:tc>
          <w:tcPr>
            <w:tcW w:w="704" w:type="dxa"/>
            <w:vMerge w:val="restart"/>
            <w:noWrap/>
            <w:vAlign w:val="center"/>
          </w:tcPr>
          <w:p w14:paraId="1E911E16">
            <w:pPr>
              <w:keepLines/>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合同管理</w:t>
            </w:r>
          </w:p>
        </w:tc>
        <w:tc>
          <w:tcPr>
            <w:tcW w:w="851" w:type="dxa"/>
            <w:vAlign w:val="center"/>
          </w:tcPr>
          <w:p w14:paraId="24969BAD">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合同拟订与审批</w:t>
            </w:r>
          </w:p>
        </w:tc>
        <w:tc>
          <w:tcPr>
            <w:tcW w:w="1701" w:type="dxa"/>
            <w:vAlign w:val="center"/>
          </w:tcPr>
          <w:p w14:paraId="650B2012">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56EE46C8">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258607E3">
            <w:pPr>
              <w:keepLines/>
              <w:spacing w:line="320" w:lineRule="exact"/>
              <w:jc w:val="left"/>
              <w:rPr>
                <w:rFonts w:ascii="仿宋" w:hAnsi="仿宋" w:eastAsia="仿宋" w:cs="楷体"/>
                <w:bCs/>
                <w:color w:val="000000"/>
                <w:sz w:val="24"/>
              </w:rPr>
            </w:pPr>
          </w:p>
        </w:tc>
        <w:tc>
          <w:tcPr>
            <w:tcW w:w="1984" w:type="dxa"/>
            <w:vMerge w:val="restart"/>
            <w:vAlign w:val="center"/>
          </w:tcPr>
          <w:p w14:paraId="4EA96DA9">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00B284C7">
            <w:pPr>
              <w:spacing w:line="320" w:lineRule="exact"/>
              <w:jc w:val="left"/>
              <w:rPr>
                <w:rFonts w:eastAsia="楷体_GB2312" w:cs="楷体_GB2312"/>
                <w:color w:val="000000"/>
                <w:sz w:val="24"/>
              </w:rPr>
            </w:pPr>
            <w:r>
              <w:rPr>
                <w:rFonts w:hint="eastAsia" w:ascii="仿宋" w:hAnsi="仿宋" w:eastAsia="仿宋" w:cs="楷体_GB2312"/>
                <w:color w:val="000000"/>
                <w:sz w:val="24"/>
              </w:rPr>
              <w:t>是</w:t>
            </w:r>
          </w:p>
        </w:tc>
        <w:tc>
          <w:tcPr>
            <w:tcW w:w="3402" w:type="dxa"/>
            <w:gridSpan w:val="2"/>
            <w:vAlign w:val="center"/>
          </w:tcPr>
          <w:p w14:paraId="00799AB9">
            <w:pPr>
              <w:keepLines/>
              <w:spacing w:line="320" w:lineRule="exact"/>
              <w:jc w:val="left"/>
              <w:rPr>
                <w:rFonts w:eastAsia="楷体_GB2312" w:cs="楷体_GB2312"/>
                <w:color w:val="000000"/>
                <w:sz w:val="24"/>
              </w:rPr>
            </w:pPr>
            <w:r>
              <w:rPr>
                <w:rFonts w:hint="eastAsia" w:ascii="仿宋" w:hAnsi="仿宋" w:eastAsia="仿宋" w:cs="楷体"/>
                <w:bCs/>
                <w:color w:val="000000"/>
                <w:sz w:val="24"/>
              </w:rPr>
              <w:t>单位合同签署权限及授权机制;单位合同审核主体、内容及程序;单位法务或外聘法律顾问介入条件与环节;单位合同用印程序</w:t>
            </w:r>
          </w:p>
        </w:tc>
      </w:tr>
      <w:tr w14:paraId="1D1C0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176" w:hRule="atLeast"/>
          <w:jc w:val="center"/>
        </w:trPr>
        <w:tc>
          <w:tcPr>
            <w:tcW w:w="704" w:type="dxa"/>
            <w:vMerge w:val="continue"/>
            <w:noWrap/>
            <w:vAlign w:val="center"/>
          </w:tcPr>
          <w:p w14:paraId="45FDACFD">
            <w:pPr>
              <w:keepLines/>
              <w:spacing w:line="320" w:lineRule="exact"/>
              <w:jc w:val="center"/>
              <w:rPr>
                <w:rFonts w:eastAsia="仿宋_GB2312" w:cs="仿宋_GB2312"/>
                <w:color w:val="000000"/>
                <w:spacing w:val="-12"/>
                <w:sz w:val="24"/>
              </w:rPr>
            </w:pPr>
          </w:p>
        </w:tc>
        <w:tc>
          <w:tcPr>
            <w:tcW w:w="851" w:type="dxa"/>
            <w:vAlign w:val="center"/>
          </w:tcPr>
          <w:p w14:paraId="368279E6">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合同履行与监督</w:t>
            </w:r>
          </w:p>
        </w:tc>
        <w:tc>
          <w:tcPr>
            <w:tcW w:w="1701" w:type="dxa"/>
            <w:vAlign w:val="center"/>
          </w:tcPr>
          <w:p w14:paraId="3ADE15EC">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7A828F63">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45818521">
            <w:pPr>
              <w:keepLines/>
              <w:spacing w:line="320" w:lineRule="exact"/>
              <w:jc w:val="left"/>
              <w:rPr>
                <w:rFonts w:ascii="仿宋" w:hAnsi="仿宋" w:eastAsia="仿宋" w:cs="楷体"/>
                <w:bCs/>
                <w:color w:val="000000"/>
                <w:sz w:val="24"/>
              </w:rPr>
            </w:pPr>
          </w:p>
        </w:tc>
        <w:tc>
          <w:tcPr>
            <w:tcW w:w="1984" w:type="dxa"/>
            <w:vMerge w:val="continue"/>
            <w:vAlign w:val="center"/>
          </w:tcPr>
          <w:p w14:paraId="5445DF14">
            <w:pPr>
              <w:keepLines/>
              <w:spacing w:line="320" w:lineRule="exact"/>
              <w:jc w:val="left"/>
              <w:rPr>
                <w:rFonts w:eastAsia="楷体_GB2312" w:cs="楷体_GB2312"/>
                <w:color w:val="000000"/>
                <w:sz w:val="24"/>
              </w:rPr>
            </w:pPr>
          </w:p>
        </w:tc>
        <w:tc>
          <w:tcPr>
            <w:tcW w:w="3402" w:type="dxa"/>
            <w:gridSpan w:val="2"/>
            <w:vAlign w:val="center"/>
          </w:tcPr>
          <w:p w14:paraId="5CD849C5">
            <w:pPr>
              <w:keepLines/>
              <w:spacing w:line="320" w:lineRule="exact"/>
              <w:jc w:val="left"/>
              <w:rPr>
                <w:rFonts w:eastAsia="楷体_GB2312" w:cs="楷体_GB2312"/>
                <w:color w:val="000000"/>
                <w:sz w:val="24"/>
              </w:rPr>
            </w:pPr>
            <w:r>
              <w:rPr>
                <w:rFonts w:hint="eastAsia" w:ascii="仿宋" w:hAnsi="仿宋" w:eastAsia="仿宋" w:cs="楷体"/>
                <w:bCs/>
                <w:color w:val="000000"/>
                <w:sz w:val="24"/>
              </w:rPr>
              <w:t>单位合同台账设置及管理要求;单位合同执行监督机制;单位合同变更、转让或解除机制</w:t>
            </w:r>
          </w:p>
        </w:tc>
      </w:tr>
      <w:tr w14:paraId="25539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023" w:hRule="atLeast"/>
          <w:jc w:val="center"/>
        </w:trPr>
        <w:tc>
          <w:tcPr>
            <w:tcW w:w="704" w:type="dxa"/>
            <w:vMerge w:val="continue"/>
            <w:noWrap/>
            <w:vAlign w:val="center"/>
          </w:tcPr>
          <w:p w14:paraId="5E41F076">
            <w:pPr>
              <w:keepLines/>
              <w:spacing w:line="320" w:lineRule="exact"/>
              <w:jc w:val="center"/>
              <w:rPr>
                <w:rFonts w:eastAsia="仿宋_GB2312" w:cs="仿宋_GB2312"/>
                <w:color w:val="000000"/>
                <w:spacing w:val="-12"/>
                <w:sz w:val="24"/>
              </w:rPr>
            </w:pPr>
          </w:p>
        </w:tc>
        <w:tc>
          <w:tcPr>
            <w:tcW w:w="851" w:type="dxa"/>
            <w:vAlign w:val="center"/>
          </w:tcPr>
          <w:p w14:paraId="756CEFD5">
            <w:pPr>
              <w:keepLines/>
              <w:spacing w:line="320" w:lineRule="exact"/>
              <w:jc w:val="center"/>
              <w:rPr>
                <w:rFonts w:eastAsia="仿宋_GB2312" w:cs="仿宋_GB2312"/>
                <w:color w:val="000000"/>
                <w:spacing w:val="-12"/>
                <w:sz w:val="24"/>
              </w:rPr>
            </w:pPr>
            <w:r>
              <w:rPr>
                <w:rFonts w:hint="eastAsia" w:ascii="仿宋" w:hAnsi="仿宋" w:eastAsia="仿宋" w:cs="仿宋_GB2312"/>
                <w:color w:val="000000"/>
                <w:spacing w:val="-12"/>
                <w:sz w:val="24"/>
              </w:rPr>
              <w:t>合同档案与纠纷管理</w:t>
            </w:r>
          </w:p>
        </w:tc>
        <w:tc>
          <w:tcPr>
            <w:tcW w:w="1701" w:type="dxa"/>
            <w:vAlign w:val="center"/>
          </w:tcPr>
          <w:p w14:paraId="2419BC6B">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0684A71A">
            <w:pPr>
              <w:spacing w:line="320" w:lineRule="exact"/>
              <w:jc w:val="left"/>
              <w:rPr>
                <w:rFonts w:ascii="仿宋" w:hAnsi="仿宋" w:eastAsia="仿宋" w:cs="楷体_GB2312"/>
                <w:color w:val="000000"/>
                <w:sz w:val="24"/>
              </w:rPr>
            </w:pPr>
            <w:r>
              <w:rPr>
                <w:rFonts w:hint="eastAsia" w:ascii="仿宋" w:hAnsi="仿宋" w:eastAsia="仿宋" w:cs="楷体_GB2312"/>
                <w:color w:val="000000"/>
                <w:sz w:val="24"/>
              </w:rPr>
              <w:t>是</w:t>
            </w:r>
          </w:p>
          <w:p w14:paraId="1748382B">
            <w:pPr>
              <w:keepLines/>
              <w:spacing w:line="320" w:lineRule="exact"/>
              <w:jc w:val="left"/>
              <w:rPr>
                <w:rFonts w:ascii="仿宋" w:hAnsi="仿宋" w:eastAsia="仿宋" w:cs="楷体"/>
                <w:bCs/>
                <w:color w:val="000000"/>
                <w:sz w:val="24"/>
              </w:rPr>
            </w:pPr>
          </w:p>
        </w:tc>
        <w:tc>
          <w:tcPr>
            <w:tcW w:w="1984" w:type="dxa"/>
            <w:vMerge w:val="continue"/>
            <w:vAlign w:val="center"/>
          </w:tcPr>
          <w:p w14:paraId="4A43D278">
            <w:pPr>
              <w:keepLines/>
              <w:spacing w:line="320" w:lineRule="exact"/>
              <w:jc w:val="left"/>
              <w:rPr>
                <w:rFonts w:eastAsia="楷体_GB2312" w:cs="楷体_GB2312"/>
                <w:color w:val="000000"/>
                <w:sz w:val="24"/>
              </w:rPr>
            </w:pPr>
          </w:p>
        </w:tc>
        <w:tc>
          <w:tcPr>
            <w:tcW w:w="3402" w:type="dxa"/>
            <w:gridSpan w:val="2"/>
            <w:vAlign w:val="center"/>
          </w:tcPr>
          <w:p w14:paraId="7DF290E7">
            <w:pPr>
              <w:keepLines/>
              <w:spacing w:line="320" w:lineRule="exact"/>
              <w:jc w:val="left"/>
              <w:rPr>
                <w:rFonts w:eastAsia="楷体_GB2312" w:cs="楷体_GB2312"/>
                <w:color w:val="000000"/>
                <w:sz w:val="24"/>
              </w:rPr>
            </w:pPr>
            <w:r>
              <w:rPr>
                <w:rFonts w:hint="eastAsia" w:ascii="仿宋" w:hAnsi="仿宋" w:eastAsia="仿宋" w:cs="楷体"/>
                <w:bCs/>
                <w:color w:val="000000"/>
                <w:sz w:val="24"/>
              </w:rPr>
              <w:t>单位合同执行归档制度;单位合同纠纷处理程序</w:t>
            </w:r>
          </w:p>
        </w:tc>
      </w:tr>
    </w:tbl>
    <w:p w14:paraId="6AC563FC">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说明：是否已建立制度和流程图根据单位内部控制制度和流程图建立情况勾选。截至2023年底单位已经建立对应业务环节（类别）的制度或流程图，勾选“是”；若单位尚未建立对应业务环节（类别）的制度或流程图，勾选“否”。</w:t>
      </w:r>
    </w:p>
    <w:p w14:paraId="31F749BD">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2023年度是否更新根据单位2023年度内部控制制度和流程图更新情况勾选。若单位在以前年度已经建立对应业务的制度或流程图且2023年度进行过更新，或者单位2023年度首次建立对应制度或流程图，勾选“是”，否则勾选“否”。</w:t>
      </w:r>
    </w:p>
    <w:p w14:paraId="766420BB">
      <w:pPr>
        <w:pStyle w:val="28"/>
        <w:tabs>
          <w:tab w:val="left" w:pos="851"/>
        </w:tabs>
        <w:spacing w:line="360" w:lineRule="auto"/>
        <w:ind w:firstLine="480"/>
        <w:rPr>
          <w:rFonts w:ascii="楷体" w:hAnsi="楷体" w:eastAsia="楷体" w:cs="楷体"/>
          <w:sz w:val="24"/>
        </w:rPr>
        <w:sectPr>
          <w:pgSz w:w="11906" w:h="16838"/>
          <w:pgMar w:top="1440" w:right="1800" w:bottom="1440" w:left="1800" w:header="851" w:footer="499" w:gutter="0"/>
          <w:cols w:space="720" w:num="1"/>
          <w:docGrid w:type="lines" w:linePitch="312" w:charSpace="0"/>
        </w:sectPr>
      </w:pPr>
      <w:r>
        <w:rPr>
          <w:rFonts w:hint="eastAsia" w:eastAsia="楷体_GB2312" w:cs="楷体_GB2312"/>
          <w:color w:val="000000"/>
          <w:sz w:val="24"/>
        </w:rPr>
        <w:t>需上传相应业务的内部控制制度和流程图作为佐证材料。</w:t>
      </w:r>
    </w:p>
    <w:p w14:paraId="0E7D23A5">
      <w:pPr>
        <w:widowControl/>
        <w:tabs>
          <w:tab w:val="left" w:pos="851"/>
        </w:tabs>
        <w:spacing w:line="360" w:lineRule="auto"/>
        <w:rPr>
          <w:rFonts w:eastAsia="仿宋_GB2312" w:cs="仿宋_GB2312"/>
          <w:color w:val="000000"/>
          <w:spacing w:val="-12"/>
          <w:sz w:val="28"/>
          <w:szCs w:val="28"/>
        </w:rPr>
      </w:pPr>
      <w:r>
        <w:rPr>
          <w:rFonts w:hint="eastAsia" w:eastAsia="仿宋_GB2312" w:cs="仿宋_GB2312"/>
          <w:color w:val="000000"/>
          <w:spacing w:val="-12"/>
          <w:sz w:val="28"/>
          <w:szCs w:val="28"/>
        </w:rPr>
        <w:t>（六）内部控制制度执行情况</w:t>
      </w:r>
    </w:p>
    <w:tbl>
      <w:tblPr>
        <w:tblStyle w:val="11"/>
        <w:tblW w:w="8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843"/>
        <w:gridCol w:w="5572"/>
      </w:tblGrid>
      <w:tr w14:paraId="2B760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7" w:hRule="atLeast"/>
          <w:jc w:val="center"/>
        </w:trPr>
        <w:tc>
          <w:tcPr>
            <w:tcW w:w="2843" w:type="dxa"/>
            <w:tcBorders>
              <w:left w:val="single" w:color="auto" w:sz="4" w:space="0"/>
              <w:bottom w:val="single" w:color="auto" w:sz="4" w:space="0"/>
              <w:right w:val="single" w:color="auto" w:sz="4" w:space="0"/>
            </w:tcBorders>
            <w:noWrap/>
            <w:vAlign w:val="center"/>
          </w:tcPr>
          <w:p w14:paraId="5A0FB5B4">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事前绩效评估执行情况</w:t>
            </w:r>
          </w:p>
        </w:tc>
        <w:tc>
          <w:tcPr>
            <w:tcW w:w="5572" w:type="dxa"/>
            <w:tcBorders>
              <w:left w:val="single" w:color="auto" w:sz="4" w:space="0"/>
              <w:bottom w:val="single" w:color="auto" w:sz="4" w:space="0"/>
              <w:right w:val="single" w:color="auto" w:sz="4" w:space="0"/>
            </w:tcBorders>
            <w:vAlign w:val="center"/>
          </w:tcPr>
          <w:p w14:paraId="7F065090">
            <w:pPr>
              <w:spacing w:line="320" w:lineRule="exact"/>
              <w:jc w:val="left"/>
              <w:rPr>
                <w:rFonts w:eastAsia="楷体_GB2312" w:cs="楷体_GB2312"/>
                <w:color w:val="000000"/>
                <w:sz w:val="24"/>
              </w:rPr>
            </w:pPr>
            <w:r>
              <w:rPr>
                <w:rFonts w:hint="eastAsia" w:eastAsia="楷体_GB2312" w:cs="楷体_GB2312"/>
                <w:color w:val="000000"/>
                <w:sz w:val="24"/>
              </w:rPr>
              <w:t>2023年度新增重大项目数量：</w:t>
            </w:r>
            <w:r>
              <w:rPr>
                <w:rFonts w:hint="eastAsia" w:ascii="仿宋" w:hAnsi="仿宋" w:eastAsia="仿宋"/>
                <w:bCs/>
                <w:color w:val="000000"/>
                <w:sz w:val="24"/>
              </w:rPr>
              <w:t>0</w:t>
            </w:r>
          </w:p>
          <w:p w14:paraId="19B22B70">
            <w:pPr>
              <w:spacing w:line="320" w:lineRule="exact"/>
              <w:jc w:val="left"/>
              <w:rPr>
                <w:rFonts w:eastAsia="楷体_GB2312" w:cs="楷体_GB2312"/>
                <w:color w:val="000000"/>
                <w:sz w:val="24"/>
              </w:rPr>
            </w:pPr>
            <w:r>
              <w:rPr>
                <w:rFonts w:hint="eastAsia" w:eastAsia="楷体_GB2312" w:cs="楷体_GB2312"/>
                <w:color w:val="000000"/>
                <w:sz w:val="24"/>
              </w:rPr>
              <w:t>2023年度已开展事前绩效评估的新增重大项目数量：</w:t>
            </w:r>
            <w:r>
              <w:rPr>
                <w:rFonts w:hint="eastAsia" w:ascii="仿宋" w:hAnsi="仿宋" w:eastAsia="仿宋"/>
                <w:bCs/>
                <w:color w:val="000000"/>
                <w:sz w:val="24"/>
              </w:rPr>
              <w:t>0</w:t>
            </w:r>
          </w:p>
        </w:tc>
      </w:tr>
      <w:tr w14:paraId="24FC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6" w:hRule="atLeast"/>
          <w:jc w:val="center"/>
        </w:trPr>
        <w:tc>
          <w:tcPr>
            <w:tcW w:w="2843" w:type="dxa"/>
            <w:tcBorders>
              <w:top w:val="single" w:color="auto" w:sz="4" w:space="0"/>
              <w:left w:val="single" w:color="auto" w:sz="4" w:space="0"/>
              <w:bottom w:val="single" w:color="auto" w:sz="4" w:space="0"/>
              <w:right w:val="single" w:color="auto" w:sz="4" w:space="0"/>
            </w:tcBorders>
            <w:noWrap/>
            <w:vAlign w:val="center"/>
          </w:tcPr>
          <w:p w14:paraId="61B77828">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项目支出绩效目标管理情况</w:t>
            </w:r>
          </w:p>
        </w:tc>
        <w:tc>
          <w:tcPr>
            <w:tcW w:w="5572" w:type="dxa"/>
            <w:tcBorders>
              <w:top w:val="single" w:color="auto" w:sz="4" w:space="0"/>
              <w:left w:val="single" w:color="auto" w:sz="4" w:space="0"/>
              <w:bottom w:val="single" w:color="auto" w:sz="4" w:space="0"/>
              <w:right w:val="single" w:color="auto" w:sz="4" w:space="0"/>
            </w:tcBorders>
            <w:vAlign w:val="center"/>
          </w:tcPr>
          <w:p w14:paraId="018FBB3F">
            <w:pPr>
              <w:spacing w:line="320" w:lineRule="exact"/>
              <w:jc w:val="left"/>
              <w:rPr>
                <w:rFonts w:ascii="仿宋" w:hAnsi="仿宋" w:eastAsia="仿宋"/>
                <w:bCs/>
                <w:color w:val="000000"/>
                <w:sz w:val="24"/>
              </w:rPr>
            </w:pPr>
            <w:r>
              <w:rPr>
                <w:rFonts w:hint="eastAsia" w:eastAsia="楷体_GB2312" w:cs="楷体_GB2312"/>
                <w:color w:val="000000"/>
                <w:sz w:val="24"/>
              </w:rPr>
              <w:t>2023年度项目总数：</w:t>
            </w:r>
            <w:r>
              <w:rPr>
                <w:rFonts w:hint="eastAsia" w:ascii="仿宋" w:hAnsi="仿宋" w:eastAsia="仿宋"/>
                <w:bCs/>
                <w:color w:val="000000"/>
                <w:sz w:val="24"/>
              </w:rPr>
              <w:t>6</w:t>
            </w:r>
          </w:p>
          <w:p w14:paraId="6028D3F8">
            <w:pPr>
              <w:spacing w:line="320" w:lineRule="exact"/>
              <w:jc w:val="left"/>
              <w:rPr>
                <w:rFonts w:eastAsia="楷体_GB2312" w:cs="楷体_GB2312"/>
                <w:color w:val="000000"/>
                <w:sz w:val="24"/>
              </w:rPr>
            </w:pPr>
            <w:r>
              <w:rPr>
                <w:rFonts w:hint="eastAsia" w:eastAsia="楷体_GB2312" w:cs="楷体_GB2312"/>
                <w:color w:val="000000"/>
                <w:sz w:val="24"/>
              </w:rPr>
              <w:t>2023年度已开展绩效目标管理的项目数量：</w:t>
            </w:r>
            <w:r>
              <w:rPr>
                <w:rFonts w:hint="eastAsia" w:ascii="仿宋" w:hAnsi="仿宋" w:eastAsia="仿宋"/>
                <w:bCs/>
                <w:color w:val="000000"/>
                <w:sz w:val="24"/>
              </w:rPr>
              <w:t>6</w:t>
            </w:r>
          </w:p>
        </w:tc>
      </w:tr>
      <w:tr w14:paraId="2BEA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7" w:hRule="atLeast"/>
          <w:jc w:val="center"/>
        </w:trPr>
        <w:tc>
          <w:tcPr>
            <w:tcW w:w="2843" w:type="dxa"/>
            <w:tcBorders>
              <w:top w:val="single" w:color="auto" w:sz="4" w:space="0"/>
              <w:left w:val="single" w:color="auto" w:sz="4" w:space="0"/>
              <w:bottom w:val="single" w:color="auto" w:sz="4" w:space="0"/>
              <w:right w:val="single" w:color="auto" w:sz="4" w:space="0"/>
            </w:tcBorders>
            <w:noWrap/>
            <w:vAlign w:val="center"/>
          </w:tcPr>
          <w:p w14:paraId="62712A70">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预算绩效运行监控执行情况</w:t>
            </w:r>
          </w:p>
        </w:tc>
        <w:tc>
          <w:tcPr>
            <w:tcW w:w="5572" w:type="dxa"/>
            <w:tcBorders>
              <w:top w:val="single" w:color="auto" w:sz="4" w:space="0"/>
              <w:left w:val="single" w:color="auto" w:sz="4" w:space="0"/>
              <w:bottom w:val="single" w:color="auto" w:sz="4" w:space="0"/>
              <w:right w:val="single" w:color="auto" w:sz="4" w:space="0"/>
            </w:tcBorders>
            <w:vAlign w:val="center"/>
          </w:tcPr>
          <w:p w14:paraId="21F20C0B">
            <w:pPr>
              <w:rPr>
                <w:rFonts w:ascii="仿宋" w:hAnsi="仿宋" w:eastAsia="仿宋"/>
                <w:szCs w:val="21"/>
              </w:rPr>
            </w:pPr>
            <w:r>
              <w:rPr>
                <w:rFonts w:hint="eastAsia" w:eastAsia="楷体_GB2312" w:cs="楷体_GB2312"/>
                <w:color w:val="000000"/>
                <w:sz w:val="24"/>
              </w:rPr>
              <w:t>2023年度项目总数：</w:t>
            </w:r>
            <w:r>
              <w:rPr>
                <w:rFonts w:hint="eastAsia" w:ascii="仿宋" w:hAnsi="仿宋" w:eastAsia="仿宋"/>
                <w:bCs/>
                <w:color w:val="000000"/>
                <w:sz w:val="24"/>
              </w:rPr>
              <w:t>6</w:t>
            </w:r>
          </w:p>
          <w:p w14:paraId="76F43D2E">
            <w:pPr>
              <w:spacing w:line="320" w:lineRule="exact"/>
              <w:jc w:val="left"/>
              <w:rPr>
                <w:rFonts w:eastAsia="楷体_GB2312" w:cs="楷体_GB2312"/>
                <w:color w:val="000000"/>
                <w:sz w:val="24"/>
              </w:rPr>
            </w:pPr>
            <w:r>
              <w:rPr>
                <w:rFonts w:hint="eastAsia" w:eastAsia="楷体_GB2312" w:cs="楷体_GB2312"/>
                <w:color w:val="000000"/>
                <w:sz w:val="24"/>
              </w:rPr>
              <w:t>2023年度已开展预算绩效运行监控的项目数量：</w:t>
            </w:r>
            <w:r>
              <w:rPr>
                <w:rFonts w:hint="eastAsia" w:ascii="仿宋" w:hAnsi="仿宋" w:eastAsia="仿宋"/>
                <w:bCs/>
                <w:color w:val="000000"/>
                <w:sz w:val="24"/>
              </w:rPr>
              <w:t>6</w:t>
            </w:r>
          </w:p>
        </w:tc>
      </w:tr>
      <w:tr w14:paraId="7C455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7" w:hRule="atLeast"/>
          <w:jc w:val="center"/>
        </w:trPr>
        <w:tc>
          <w:tcPr>
            <w:tcW w:w="2843" w:type="dxa"/>
            <w:tcBorders>
              <w:top w:val="single" w:color="auto" w:sz="4" w:space="0"/>
              <w:left w:val="single" w:color="auto" w:sz="4" w:space="0"/>
              <w:bottom w:val="single" w:color="auto" w:sz="4" w:space="0"/>
              <w:right w:val="single" w:color="auto" w:sz="4" w:space="0"/>
            </w:tcBorders>
            <w:noWrap/>
            <w:vAlign w:val="center"/>
          </w:tcPr>
          <w:p w14:paraId="261BF430">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预算绩效自评执行情况</w:t>
            </w:r>
          </w:p>
        </w:tc>
        <w:tc>
          <w:tcPr>
            <w:tcW w:w="5572" w:type="dxa"/>
            <w:tcBorders>
              <w:top w:val="single" w:color="auto" w:sz="4" w:space="0"/>
              <w:left w:val="single" w:color="auto" w:sz="4" w:space="0"/>
              <w:bottom w:val="single" w:color="auto" w:sz="4" w:space="0"/>
              <w:right w:val="single" w:color="auto" w:sz="4" w:space="0"/>
            </w:tcBorders>
            <w:vAlign w:val="center"/>
          </w:tcPr>
          <w:p w14:paraId="09752D5C">
            <w:pPr>
              <w:rPr>
                <w:rFonts w:ascii="仿宋" w:hAnsi="仿宋" w:eastAsia="仿宋"/>
                <w:szCs w:val="21"/>
              </w:rPr>
            </w:pPr>
            <w:r>
              <w:rPr>
                <w:rFonts w:hint="eastAsia" w:eastAsia="楷体_GB2312" w:cs="楷体_GB2312"/>
                <w:color w:val="000000"/>
                <w:sz w:val="24"/>
              </w:rPr>
              <w:t>2023年度项目总数：</w:t>
            </w:r>
            <w:r>
              <w:rPr>
                <w:rFonts w:hint="eastAsia" w:ascii="仿宋" w:hAnsi="仿宋" w:eastAsia="仿宋"/>
                <w:bCs/>
                <w:color w:val="000000"/>
                <w:sz w:val="24"/>
              </w:rPr>
              <w:t>6</w:t>
            </w:r>
          </w:p>
          <w:p w14:paraId="4BDA8F2D">
            <w:pPr>
              <w:spacing w:line="320" w:lineRule="exact"/>
              <w:jc w:val="left"/>
              <w:rPr>
                <w:rFonts w:eastAsia="楷体_GB2312" w:cs="楷体_GB2312"/>
                <w:color w:val="000000"/>
                <w:sz w:val="24"/>
              </w:rPr>
            </w:pPr>
            <w:r>
              <w:rPr>
                <w:rFonts w:hint="eastAsia" w:eastAsia="楷体_GB2312" w:cs="楷体_GB2312"/>
                <w:color w:val="000000"/>
                <w:sz w:val="24"/>
              </w:rPr>
              <w:t>2023年度已开展预算绩效自评的项目数量：</w:t>
            </w:r>
            <w:r>
              <w:rPr>
                <w:rFonts w:hint="eastAsia" w:ascii="仿宋" w:hAnsi="仿宋" w:eastAsia="仿宋"/>
                <w:bCs/>
                <w:color w:val="000000"/>
                <w:sz w:val="24"/>
              </w:rPr>
              <w:t>6</w:t>
            </w:r>
          </w:p>
        </w:tc>
      </w:tr>
      <w:tr w14:paraId="69551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3" w:hRule="atLeast"/>
          <w:jc w:val="center"/>
        </w:trPr>
        <w:tc>
          <w:tcPr>
            <w:tcW w:w="2843" w:type="dxa"/>
            <w:tcBorders>
              <w:top w:val="single" w:color="auto" w:sz="4" w:space="0"/>
              <w:left w:val="single" w:color="auto" w:sz="4" w:space="0"/>
              <w:bottom w:val="single" w:color="auto" w:sz="4" w:space="0"/>
              <w:right w:val="single" w:color="auto" w:sz="4" w:space="0"/>
            </w:tcBorders>
            <w:noWrap/>
            <w:vAlign w:val="center"/>
          </w:tcPr>
          <w:p w14:paraId="66DE627B">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非税收入管控情况</w:t>
            </w:r>
          </w:p>
        </w:tc>
        <w:tc>
          <w:tcPr>
            <w:tcW w:w="5572" w:type="dxa"/>
            <w:tcBorders>
              <w:top w:val="single" w:color="auto" w:sz="4" w:space="0"/>
              <w:left w:val="single" w:color="auto" w:sz="4" w:space="0"/>
              <w:bottom w:val="single" w:color="auto" w:sz="4" w:space="0"/>
              <w:right w:val="single" w:color="auto" w:sz="4" w:space="0"/>
            </w:tcBorders>
            <w:vAlign w:val="center"/>
          </w:tcPr>
          <w:p w14:paraId="735CBC0E">
            <w:pPr>
              <w:spacing w:line="320" w:lineRule="exact"/>
              <w:jc w:val="left"/>
              <w:rPr>
                <w:rFonts w:ascii="仿宋" w:hAnsi="仿宋" w:eastAsia="仿宋"/>
                <w:bCs/>
                <w:color w:val="000000"/>
                <w:sz w:val="24"/>
              </w:rPr>
            </w:pPr>
            <w:r>
              <w:rPr>
                <w:rFonts w:hint="eastAsia" w:eastAsia="楷体_GB2312" w:cs="楷体_GB2312"/>
                <w:color w:val="000000"/>
                <w:sz w:val="24"/>
              </w:rPr>
              <w:t>2023年度应上缴非税收入金额：</w:t>
            </w:r>
            <w:r>
              <w:rPr>
                <w:rFonts w:hint="eastAsia" w:ascii="仿宋" w:hAnsi="仿宋" w:eastAsia="仿宋"/>
                <w:bCs/>
                <w:color w:val="000000"/>
                <w:sz w:val="24"/>
              </w:rPr>
              <w:t>0.00</w:t>
            </w:r>
          </w:p>
          <w:p w14:paraId="161B063B">
            <w:pPr>
              <w:spacing w:line="320" w:lineRule="exact"/>
              <w:jc w:val="left"/>
              <w:rPr>
                <w:rFonts w:eastAsia="楷体_GB2312" w:cs="楷体_GB2312"/>
                <w:color w:val="000000"/>
                <w:sz w:val="24"/>
              </w:rPr>
            </w:pPr>
            <w:r>
              <w:rPr>
                <w:rFonts w:hint="eastAsia" w:eastAsia="楷体_GB2312" w:cs="楷体_GB2312"/>
                <w:color w:val="000000"/>
                <w:sz w:val="24"/>
              </w:rPr>
              <w:t>2023年度实际上缴非税收入金额：</w:t>
            </w:r>
            <w:r>
              <w:rPr>
                <w:rFonts w:hint="eastAsia" w:ascii="仿宋" w:hAnsi="仿宋" w:eastAsia="仿宋"/>
                <w:bCs/>
                <w:color w:val="000000"/>
                <w:sz w:val="24"/>
              </w:rPr>
              <w:t>0.00</w:t>
            </w:r>
          </w:p>
        </w:tc>
      </w:tr>
      <w:tr w14:paraId="31C34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3" w:hRule="atLeast"/>
          <w:jc w:val="center"/>
        </w:trPr>
        <w:tc>
          <w:tcPr>
            <w:tcW w:w="2843" w:type="dxa"/>
            <w:tcBorders>
              <w:top w:val="single" w:color="auto" w:sz="4" w:space="0"/>
              <w:left w:val="single" w:color="auto" w:sz="4" w:space="0"/>
              <w:bottom w:val="single" w:color="auto" w:sz="4" w:space="0"/>
              <w:right w:val="single" w:color="auto" w:sz="4" w:space="0"/>
            </w:tcBorders>
            <w:noWrap/>
            <w:vAlign w:val="center"/>
          </w:tcPr>
          <w:p w14:paraId="5425163D">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支出预决算对比情况</w:t>
            </w:r>
          </w:p>
        </w:tc>
        <w:tc>
          <w:tcPr>
            <w:tcW w:w="5572" w:type="dxa"/>
            <w:tcBorders>
              <w:top w:val="single" w:color="auto" w:sz="4" w:space="0"/>
              <w:left w:val="single" w:color="auto" w:sz="4" w:space="0"/>
              <w:bottom w:val="single" w:color="auto" w:sz="4" w:space="0"/>
              <w:right w:val="single" w:color="auto" w:sz="4" w:space="0"/>
            </w:tcBorders>
            <w:vAlign w:val="center"/>
          </w:tcPr>
          <w:p w14:paraId="6D0621B7">
            <w:pPr>
              <w:spacing w:line="320" w:lineRule="exact"/>
              <w:jc w:val="left"/>
              <w:rPr>
                <w:rFonts w:ascii="仿宋" w:hAnsi="仿宋" w:eastAsia="仿宋"/>
                <w:bCs/>
                <w:color w:val="000000"/>
                <w:sz w:val="24"/>
              </w:rPr>
            </w:pPr>
            <w:r>
              <w:rPr>
                <w:rFonts w:hint="eastAsia" w:eastAsia="楷体_GB2312" w:cs="楷体_GB2312"/>
                <w:color w:val="000000"/>
                <w:sz w:val="24"/>
              </w:rPr>
              <w:t>2023年度支出预算金额：</w:t>
            </w:r>
            <w:r>
              <w:rPr>
                <w:rFonts w:hint="eastAsia" w:ascii="仿宋" w:hAnsi="仿宋" w:eastAsia="仿宋"/>
                <w:bCs/>
                <w:color w:val="000000"/>
                <w:sz w:val="24"/>
              </w:rPr>
              <w:t>29057716.70</w:t>
            </w:r>
          </w:p>
          <w:p w14:paraId="14375254">
            <w:pPr>
              <w:spacing w:line="320" w:lineRule="exact"/>
              <w:jc w:val="left"/>
              <w:rPr>
                <w:rFonts w:eastAsia="楷体_GB2312" w:cs="楷体_GB2312"/>
                <w:color w:val="000000"/>
                <w:sz w:val="24"/>
              </w:rPr>
            </w:pPr>
            <w:r>
              <w:rPr>
                <w:rFonts w:hint="eastAsia" w:eastAsia="楷体_GB2312" w:cs="楷体_GB2312"/>
                <w:color w:val="000000"/>
                <w:sz w:val="24"/>
              </w:rPr>
              <w:t>2023年度实际支出总额：</w:t>
            </w:r>
            <w:r>
              <w:rPr>
                <w:rFonts w:hint="eastAsia" w:ascii="仿宋" w:hAnsi="仿宋" w:eastAsia="仿宋"/>
                <w:bCs/>
                <w:color w:val="000000"/>
                <w:sz w:val="24"/>
              </w:rPr>
              <w:t>29057716.70</w:t>
            </w:r>
          </w:p>
        </w:tc>
      </w:tr>
      <w:tr w14:paraId="75E5D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3" w:hRule="atLeast"/>
          <w:jc w:val="center"/>
        </w:trPr>
        <w:tc>
          <w:tcPr>
            <w:tcW w:w="2843" w:type="dxa"/>
            <w:tcBorders>
              <w:top w:val="single" w:color="auto" w:sz="4" w:space="0"/>
              <w:left w:val="single" w:color="auto" w:sz="4" w:space="0"/>
              <w:bottom w:val="single" w:color="auto" w:sz="4" w:space="0"/>
              <w:right w:val="single" w:color="auto" w:sz="4" w:space="0"/>
            </w:tcBorders>
            <w:noWrap/>
            <w:vAlign w:val="center"/>
          </w:tcPr>
          <w:p w14:paraId="32895BD1">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“三公”经费支出上下年对比情况</w:t>
            </w:r>
          </w:p>
        </w:tc>
        <w:tc>
          <w:tcPr>
            <w:tcW w:w="5572" w:type="dxa"/>
            <w:tcBorders>
              <w:top w:val="single" w:color="auto" w:sz="4" w:space="0"/>
              <w:left w:val="single" w:color="auto" w:sz="4" w:space="0"/>
              <w:bottom w:val="single" w:color="auto" w:sz="4" w:space="0"/>
              <w:right w:val="single" w:color="auto" w:sz="4" w:space="0"/>
            </w:tcBorders>
            <w:vAlign w:val="center"/>
          </w:tcPr>
          <w:p w14:paraId="6DB3090B">
            <w:pPr>
              <w:spacing w:line="320" w:lineRule="exact"/>
              <w:jc w:val="left"/>
              <w:rPr>
                <w:rFonts w:ascii="仿宋" w:hAnsi="仿宋" w:eastAsia="仿宋"/>
                <w:bCs/>
                <w:color w:val="000000"/>
                <w:sz w:val="24"/>
              </w:rPr>
            </w:pPr>
            <w:r>
              <w:rPr>
                <w:rFonts w:hint="eastAsia" w:eastAsia="楷体_GB2312" w:cs="楷体_GB2312"/>
                <w:color w:val="000000"/>
                <w:sz w:val="24"/>
              </w:rPr>
              <w:t>2022年度“三公”经费决算数：</w:t>
            </w:r>
            <w:r>
              <w:rPr>
                <w:rFonts w:hint="eastAsia" w:ascii="仿宋" w:hAnsi="仿宋" w:eastAsia="仿宋"/>
                <w:bCs/>
                <w:color w:val="000000"/>
                <w:sz w:val="24"/>
              </w:rPr>
              <w:t>0.00</w:t>
            </w:r>
          </w:p>
          <w:p w14:paraId="744691CA">
            <w:pPr>
              <w:spacing w:line="320" w:lineRule="exact"/>
              <w:jc w:val="left"/>
              <w:rPr>
                <w:rFonts w:eastAsia="楷体_GB2312" w:cs="楷体_GB2312"/>
                <w:color w:val="000000"/>
                <w:sz w:val="24"/>
              </w:rPr>
            </w:pPr>
            <w:r>
              <w:rPr>
                <w:rFonts w:hint="eastAsia" w:eastAsia="楷体_GB2312" w:cs="楷体_GB2312"/>
                <w:color w:val="000000"/>
                <w:sz w:val="24"/>
              </w:rPr>
              <w:t>2023年度“三公”经费决算数：</w:t>
            </w:r>
            <w:r>
              <w:rPr>
                <w:rFonts w:hint="eastAsia" w:ascii="仿宋" w:hAnsi="仿宋" w:eastAsia="仿宋"/>
                <w:bCs/>
                <w:color w:val="000000"/>
                <w:sz w:val="24"/>
              </w:rPr>
              <w:t>0.00</w:t>
            </w:r>
          </w:p>
        </w:tc>
      </w:tr>
      <w:tr w14:paraId="0E2CF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3" w:hRule="atLeast"/>
          <w:jc w:val="center"/>
        </w:trPr>
        <w:tc>
          <w:tcPr>
            <w:tcW w:w="2843" w:type="dxa"/>
            <w:tcBorders>
              <w:top w:val="single" w:color="auto" w:sz="4" w:space="0"/>
              <w:left w:val="single" w:color="auto" w:sz="4" w:space="0"/>
              <w:bottom w:val="single" w:color="auto" w:sz="4" w:space="0"/>
              <w:right w:val="single" w:color="auto" w:sz="4" w:space="0"/>
            </w:tcBorders>
            <w:noWrap/>
            <w:vAlign w:val="center"/>
          </w:tcPr>
          <w:p w14:paraId="76545067">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政府采购预算完成情况</w:t>
            </w:r>
          </w:p>
        </w:tc>
        <w:tc>
          <w:tcPr>
            <w:tcW w:w="5572" w:type="dxa"/>
            <w:tcBorders>
              <w:top w:val="single" w:color="auto" w:sz="4" w:space="0"/>
              <w:left w:val="single" w:color="auto" w:sz="4" w:space="0"/>
              <w:bottom w:val="single" w:color="auto" w:sz="4" w:space="0"/>
              <w:right w:val="single" w:color="auto" w:sz="4" w:space="0"/>
            </w:tcBorders>
            <w:vAlign w:val="center"/>
          </w:tcPr>
          <w:p w14:paraId="21824290">
            <w:pPr>
              <w:spacing w:line="320" w:lineRule="exact"/>
              <w:jc w:val="left"/>
              <w:rPr>
                <w:rFonts w:ascii="仿宋" w:hAnsi="仿宋" w:eastAsia="仿宋" w:cs="楷体_GB2312"/>
                <w:color w:val="000000"/>
                <w:sz w:val="24"/>
              </w:rPr>
            </w:pPr>
            <w:r>
              <w:rPr>
                <w:rFonts w:hint="eastAsia" w:eastAsia="楷体_GB2312" w:cs="楷体_GB2312"/>
                <w:color w:val="000000"/>
                <w:sz w:val="24"/>
              </w:rPr>
              <w:t>2023年度计划采购金额：</w:t>
            </w:r>
            <w:r>
              <w:rPr>
                <w:rFonts w:hint="eastAsia" w:ascii="仿宋" w:hAnsi="仿宋" w:eastAsia="仿宋"/>
                <w:bCs/>
                <w:color w:val="000000"/>
                <w:sz w:val="24"/>
              </w:rPr>
              <w:t>725000.00</w:t>
            </w:r>
          </w:p>
          <w:p w14:paraId="575B89BD">
            <w:pPr>
              <w:spacing w:line="320" w:lineRule="exact"/>
              <w:jc w:val="left"/>
              <w:rPr>
                <w:rFonts w:eastAsia="楷体_GB2312" w:cs="楷体_GB2312"/>
                <w:color w:val="000000"/>
                <w:sz w:val="24"/>
              </w:rPr>
            </w:pPr>
            <w:r>
              <w:rPr>
                <w:rFonts w:hint="eastAsia" w:eastAsia="楷体_GB2312" w:cs="楷体_GB2312"/>
                <w:color w:val="000000"/>
                <w:sz w:val="24"/>
              </w:rPr>
              <w:t>2023年度实际采购金额：</w:t>
            </w:r>
            <w:r>
              <w:rPr>
                <w:rFonts w:hint="eastAsia" w:ascii="仿宋" w:hAnsi="仿宋" w:eastAsia="仿宋"/>
                <w:bCs/>
                <w:color w:val="000000"/>
                <w:sz w:val="24"/>
              </w:rPr>
              <w:t>968769.77</w:t>
            </w:r>
          </w:p>
        </w:tc>
      </w:tr>
      <w:tr w14:paraId="3B6B4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3" w:hRule="atLeast"/>
          <w:jc w:val="center"/>
        </w:trPr>
        <w:tc>
          <w:tcPr>
            <w:tcW w:w="2843" w:type="dxa"/>
            <w:tcBorders>
              <w:top w:val="single" w:color="auto" w:sz="4" w:space="0"/>
              <w:left w:val="single" w:color="auto" w:sz="4" w:space="0"/>
              <w:bottom w:val="single" w:color="auto" w:sz="4" w:space="0"/>
              <w:right w:val="single" w:color="auto" w:sz="4" w:space="0"/>
            </w:tcBorders>
            <w:noWrap/>
            <w:vAlign w:val="center"/>
          </w:tcPr>
          <w:p w14:paraId="558C0736">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固定资产账实相符程度</w:t>
            </w:r>
          </w:p>
        </w:tc>
        <w:tc>
          <w:tcPr>
            <w:tcW w:w="5572" w:type="dxa"/>
            <w:tcBorders>
              <w:top w:val="single" w:color="auto" w:sz="4" w:space="0"/>
              <w:left w:val="single" w:color="auto" w:sz="4" w:space="0"/>
              <w:bottom w:val="single" w:color="auto" w:sz="4" w:space="0"/>
              <w:right w:val="single" w:color="auto" w:sz="4" w:space="0"/>
            </w:tcBorders>
            <w:vAlign w:val="center"/>
          </w:tcPr>
          <w:p w14:paraId="77222D13">
            <w:pPr>
              <w:spacing w:line="320" w:lineRule="exact"/>
              <w:jc w:val="left"/>
              <w:rPr>
                <w:rFonts w:ascii="仿宋" w:hAnsi="仿宋" w:eastAsia="仿宋"/>
                <w:bCs/>
                <w:color w:val="000000"/>
                <w:sz w:val="24"/>
              </w:rPr>
            </w:pPr>
            <w:r>
              <w:rPr>
                <w:rFonts w:hint="eastAsia" w:eastAsia="楷体_GB2312" w:cs="楷体_GB2312"/>
                <w:color w:val="000000"/>
                <w:sz w:val="24"/>
              </w:rPr>
              <w:t>2023年度资产清查或盘点前账面金额：</w:t>
            </w:r>
            <w:r>
              <w:rPr>
                <w:rFonts w:hint="eastAsia" w:ascii="仿宋" w:hAnsi="仿宋" w:eastAsia="仿宋"/>
                <w:bCs/>
                <w:color w:val="000000"/>
                <w:sz w:val="24"/>
              </w:rPr>
              <w:t>19262656.07</w:t>
            </w:r>
          </w:p>
          <w:p w14:paraId="73B241AC">
            <w:pPr>
              <w:spacing w:line="320" w:lineRule="exact"/>
              <w:jc w:val="left"/>
              <w:rPr>
                <w:rFonts w:eastAsia="楷体_GB2312" w:cs="楷体_GB2312"/>
                <w:color w:val="000000"/>
                <w:sz w:val="24"/>
              </w:rPr>
            </w:pPr>
            <w:r>
              <w:rPr>
                <w:rFonts w:hint="eastAsia" w:eastAsia="楷体_GB2312" w:cs="楷体_GB2312"/>
                <w:color w:val="000000"/>
                <w:sz w:val="24"/>
              </w:rPr>
              <w:t>2023年度资产清查或盘点后实际金额：</w:t>
            </w:r>
            <w:r>
              <w:rPr>
                <w:rFonts w:hint="eastAsia" w:ascii="仿宋" w:hAnsi="仿宋" w:eastAsia="仿宋"/>
                <w:bCs/>
                <w:color w:val="000000"/>
                <w:sz w:val="24"/>
              </w:rPr>
              <w:t>19262656.07</w:t>
            </w:r>
          </w:p>
        </w:tc>
      </w:tr>
      <w:tr w14:paraId="1EB07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3" w:hRule="atLeast"/>
          <w:jc w:val="center"/>
        </w:trPr>
        <w:tc>
          <w:tcPr>
            <w:tcW w:w="2843" w:type="dxa"/>
            <w:tcBorders>
              <w:top w:val="single" w:color="auto" w:sz="4" w:space="0"/>
              <w:left w:val="single" w:color="auto" w:sz="4" w:space="0"/>
              <w:right w:val="single" w:color="auto" w:sz="4" w:space="0"/>
            </w:tcBorders>
            <w:noWrap/>
            <w:vAlign w:val="center"/>
          </w:tcPr>
          <w:p w14:paraId="28957575">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固定资产处置规范程度</w:t>
            </w:r>
          </w:p>
        </w:tc>
        <w:tc>
          <w:tcPr>
            <w:tcW w:w="5572" w:type="dxa"/>
            <w:tcBorders>
              <w:top w:val="single" w:color="auto" w:sz="4" w:space="0"/>
              <w:left w:val="single" w:color="auto" w:sz="4" w:space="0"/>
              <w:right w:val="single" w:color="auto" w:sz="4" w:space="0"/>
            </w:tcBorders>
            <w:vAlign w:val="center"/>
          </w:tcPr>
          <w:p w14:paraId="042D0B45">
            <w:pPr>
              <w:spacing w:line="320" w:lineRule="exact"/>
              <w:jc w:val="left"/>
              <w:rPr>
                <w:rFonts w:ascii="仿宋" w:hAnsi="仿宋" w:eastAsia="仿宋"/>
                <w:bCs/>
                <w:color w:val="000000"/>
                <w:sz w:val="24"/>
              </w:rPr>
            </w:pPr>
            <w:r>
              <w:rPr>
                <w:rFonts w:hint="eastAsia" w:eastAsia="楷体_GB2312" w:cs="楷体_GB2312"/>
                <w:color w:val="000000"/>
                <w:sz w:val="24"/>
              </w:rPr>
              <w:t>2023年度固定资产减少额：</w:t>
            </w:r>
            <w:r>
              <w:rPr>
                <w:rFonts w:hint="eastAsia" w:ascii="仿宋" w:hAnsi="仿宋" w:eastAsia="仿宋"/>
                <w:bCs/>
                <w:color w:val="000000"/>
                <w:sz w:val="24"/>
              </w:rPr>
              <w:t>0.00</w:t>
            </w:r>
          </w:p>
          <w:p w14:paraId="355D2C79">
            <w:pPr>
              <w:spacing w:line="320" w:lineRule="exact"/>
              <w:jc w:val="left"/>
              <w:rPr>
                <w:rFonts w:eastAsia="楷体_GB2312" w:cs="楷体_GB2312"/>
                <w:color w:val="000000"/>
                <w:sz w:val="24"/>
              </w:rPr>
            </w:pPr>
            <w:r>
              <w:rPr>
                <w:rFonts w:hint="eastAsia" w:eastAsia="楷体_GB2312" w:cs="楷体_GB2312"/>
                <w:color w:val="000000"/>
                <w:sz w:val="24"/>
              </w:rPr>
              <w:t>2023年度固定资产处置审批金额：</w:t>
            </w:r>
            <w:r>
              <w:rPr>
                <w:rFonts w:hint="eastAsia" w:ascii="仿宋" w:hAnsi="仿宋" w:eastAsia="仿宋"/>
                <w:bCs/>
                <w:color w:val="000000"/>
                <w:sz w:val="24"/>
              </w:rPr>
              <w:t>0.00</w:t>
            </w:r>
          </w:p>
        </w:tc>
      </w:tr>
      <w:tr w14:paraId="73429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3" w:hRule="atLeast"/>
          <w:jc w:val="center"/>
        </w:trPr>
        <w:tc>
          <w:tcPr>
            <w:tcW w:w="2843" w:type="dxa"/>
            <w:noWrap/>
            <w:vAlign w:val="center"/>
          </w:tcPr>
          <w:p w14:paraId="49AACD6C">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项目投资计划完成情况</w:t>
            </w:r>
          </w:p>
        </w:tc>
        <w:tc>
          <w:tcPr>
            <w:tcW w:w="5572" w:type="dxa"/>
            <w:vAlign w:val="center"/>
          </w:tcPr>
          <w:p w14:paraId="1C13337D">
            <w:pPr>
              <w:spacing w:line="320" w:lineRule="exact"/>
              <w:jc w:val="left"/>
              <w:rPr>
                <w:rFonts w:ascii="仿宋" w:hAnsi="仿宋" w:eastAsia="仿宋"/>
                <w:bCs/>
                <w:color w:val="000000"/>
                <w:sz w:val="24"/>
              </w:rPr>
            </w:pPr>
            <w:r>
              <w:rPr>
                <w:rFonts w:hint="eastAsia" w:eastAsia="楷体_GB2312" w:cs="楷体_GB2312"/>
                <w:color w:val="000000"/>
                <w:sz w:val="24"/>
              </w:rPr>
              <w:t>2023年度投资计划总额：</w:t>
            </w:r>
            <w:r>
              <w:rPr>
                <w:rFonts w:hint="eastAsia" w:ascii="仿宋" w:hAnsi="仿宋" w:eastAsia="仿宋"/>
                <w:bCs/>
                <w:color w:val="000000"/>
                <w:sz w:val="24"/>
              </w:rPr>
              <w:t>0.00</w:t>
            </w:r>
          </w:p>
          <w:p w14:paraId="7A3E3C23">
            <w:pPr>
              <w:spacing w:line="320" w:lineRule="exact"/>
              <w:jc w:val="left"/>
              <w:rPr>
                <w:rFonts w:eastAsia="楷体_GB2312" w:cs="楷体_GB2312"/>
                <w:color w:val="000000"/>
                <w:sz w:val="24"/>
              </w:rPr>
            </w:pPr>
            <w:r>
              <w:rPr>
                <w:rFonts w:hint="eastAsia" w:eastAsia="楷体_GB2312" w:cs="楷体_GB2312"/>
                <w:color w:val="000000"/>
                <w:sz w:val="24"/>
              </w:rPr>
              <w:t>2023年度实际投资总额：</w:t>
            </w:r>
            <w:r>
              <w:rPr>
                <w:rFonts w:hint="eastAsia" w:ascii="仿宋" w:hAnsi="仿宋" w:eastAsia="仿宋"/>
                <w:bCs/>
                <w:color w:val="000000"/>
                <w:sz w:val="24"/>
              </w:rPr>
              <w:t>0.00</w:t>
            </w:r>
          </w:p>
        </w:tc>
      </w:tr>
      <w:tr w14:paraId="71D1F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3" w:hRule="atLeast"/>
          <w:jc w:val="center"/>
        </w:trPr>
        <w:tc>
          <w:tcPr>
            <w:tcW w:w="2843" w:type="dxa"/>
            <w:noWrap/>
            <w:vAlign w:val="center"/>
          </w:tcPr>
          <w:p w14:paraId="57C4B5CD">
            <w:pPr>
              <w:spacing w:line="320" w:lineRule="exact"/>
              <w:jc w:val="center"/>
              <w:rPr>
                <w:rFonts w:eastAsia="仿宋_GB2312" w:cs="仿宋_GB2312"/>
                <w:color w:val="000000"/>
                <w:spacing w:val="-12"/>
                <w:sz w:val="24"/>
              </w:rPr>
            </w:pPr>
            <w:r>
              <w:rPr>
                <w:rFonts w:hint="eastAsia" w:eastAsia="仿宋_GB2312" w:cs="仿宋_GB2312"/>
                <w:color w:val="000000"/>
                <w:spacing w:val="-12"/>
                <w:sz w:val="24"/>
              </w:rPr>
              <w:t>合同订立规范情况</w:t>
            </w:r>
          </w:p>
        </w:tc>
        <w:tc>
          <w:tcPr>
            <w:tcW w:w="5572" w:type="dxa"/>
            <w:vAlign w:val="center"/>
          </w:tcPr>
          <w:p w14:paraId="35519D18">
            <w:pPr>
              <w:spacing w:line="320" w:lineRule="exact"/>
              <w:jc w:val="left"/>
              <w:rPr>
                <w:rFonts w:eastAsia="楷体_GB2312" w:cs="楷体_GB2312"/>
                <w:color w:val="000000"/>
                <w:sz w:val="24"/>
              </w:rPr>
            </w:pPr>
            <w:r>
              <w:rPr>
                <w:rFonts w:hint="eastAsia" w:eastAsia="楷体_GB2312" w:cs="楷体_GB2312"/>
                <w:color w:val="000000"/>
                <w:sz w:val="24"/>
              </w:rPr>
              <w:t>2023年度合同订立数：</w:t>
            </w:r>
            <w:r>
              <w:rPr>
                <w:rFonts w:hint="eastAsia" w:ascii="仿宋" w:hAnsi="仿宋" w:eastAsia="仿宋"/>
                <w:bCs/>
                <w:color w:val="000000"/>
                <w:sz w:val="24"/>
              </w:rPr>
              <w:t>24</w:t>
            </w:r>
          </w:p>
          <w:p w14:paraId="15150252">
            <w:pPr>
              <w:spacing w:line="320" w:lineRule="exact"/>
              <w:jc w:val="left"/>
              <w:rPr>
                <w:rFonts w:eastAsia="楷体_GB2312" w:cs="楷体_GB2312"/>
                <w:color w:val="000000"/>
                <w:sz w:val="24"/>
              </w:rPr>
            </w:pPr>
            <w:r>
              <w:rPr>
                <w:rFonts w:hint="eastAsia" w:eastAsia="楷体_GB2312" w:cs="楷体_GB2312"/>
                <w:color w:val="000000"/>
                <w:sz w:val="24"/>
              </w:rPr>
              <w:t>2023年度经合法性审查的合同数：</w:t>
            </w:r>
            <w:r>
              <w:rPr>
                <w:rFonts w:hint="eastAsia" w:ascii="仿宋" w:hAnsi="仿宋" w:eastAsia="仿宋"/>
                <w:bCs/>
                <w:color w:val="000000"/>
                <w:sz w:val="24"/>
              </w:rPr>
              <w:t>24</w:t>
            </w:r>
          </w:p>
        </w:tc>
      </w:tr>
    </w:tbl>
    <w:p w14:paraId="1A1C7B71">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说明：根据单位内部控制管理制度、业务表单与文件、信息系统数据等材料填写。所填数据中，金额类指标以“元”为单位。</w:t>
      </w:r>
    </w:p>
    <w:p w14:paraId="486F8185">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1.事前绩效评估执行情况中的“2023年度新增重大项目数量”是指2023年度单位新设立的非常态化、非延续性的重大项目数量，重大项目衡量标准由各单位根据实际情况界定；“2023年度已开展事前绩效评估的新增重大项目数量”是指单位组织或由主管部门统一组织的针对2023年度新设立的重大项目开展事前绩效评估的项目数量。预算项目是指非基本支出的二级预算项目。</w:t>
      </w:r>
    </w:p>
    <w:p w14:paraId="30CF4744">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2.项目支出绩效目标管理情况中的“2023年度项目总数”是指经批复的2023年度单位正在执行的项目数量；“2023年度已开展绩效目标管理的项目数量”是指单位2023年度执行绩效目标管理的项目数量。</w:t>
      </w:r>
    </w:p>
    <w:p w14:paraId="4CA7B8B0">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3.预算绩效运行监控执行情况中的“2023年度已开展预算绩效运行监控的项目数量”是指单位针对2023年度执行项目开展绩效运行监控的项目数量。</w:t>
      </w:r>
    </w:p>
    <w:p w14:paraId="62BAF632">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4.预算绩效自评执行情况中的“2023年度已开展预算绩效自评的项目数量”是指单位针对2023年度执行项目开展绩效自评的项目数量（包括委托第三方开展绩效评价的项目）。</w:t>
      </w:r>
    </w:p>
    <w:p w14:paraId="59581FF9">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以上1-4需上传单位正在执行的预算项目清单作为佐证材料，清单中需至少包括以下信息：项目名称、项目代码、是否为2023年度新增重大项目、是否已开展事前绩效评估、是否已开展绩效目标管理、是否已开展预算绩效运行监控、是否已开展预算绩效自评。</w:t>
      </w:r>
    </w:p>
    <w:p w14:paraId="4029F138">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5.非税收入管控情况中的“2023年度应上缴非税收入金额”是指纳入预算管理以及纳入财政专户管理的非税收入合计数；“2023年度实际上缴非税收入金额”是指决算报表的《非税收入征缴情况表》（财决附04表）中已缴国库小计数及已缴财政专户小计数之和，即表第</w:t>
      </w:r>
      <w:r>
        <w:rPr>
          <w:rFonts w:eastAsia="楷体_GB2312" w:cs="楷体_GB2312"/>
          <w:color w:val="000000"/>
          <w:sz w:val="24"/>
        </w:rPr>
        <w:t>1</w:t>
      </w:r>
      <w:r>
        <w:rPr>
          <w:rFonts w:hint="eastAsia" w:eastAsia="楷体_GB2312" w:cs="楷体_GB2312"/>
          <w:color w:val="000000"/>
          <w:sz w:val="24"/>
        </w:rPr>
        <w:t>栏次第1行合计数（单位：元）。</w:t>
      </w:r>
    </w:p>
    <w:p w14:paraId="3B1D9426">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6.支出预决算对比情况中的“2023年度支出预算金额”是指2023年度决算报表的《收入支出决算总表》（财决01表）中2023年度支出的全年预算数，即表第8栏次第84行合计数（单位：元）；“2023年度实际支出总额”是指2023年度决算报表的《收入支出决算总表》（财决01表）中2023年度支出的决算数，即表第9栏次第84行合计数（单位：元）。</w:t>
      </w:r>
    </w:p>
    <w:p w14:paraId="7B5A3BEE">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7.“三公”经费支出上下年对比情况中的“2022年度‘三公’经费决算数”是指2022年决算报表的《机构运行信息表》（财决附03表）中“三公”经费支出的支出合计数，即表第3栏次第2行统计数（单位：元）；“2023年度‘三公’经费决算数”是指2023年度决算报表的《机构运行信息表》（财决附03表）中“三公”经费支出的支出合计数，即表第</w:t>
      </w:r>
      <w:r>
        <w:rPr>
          <w:rFonts w:eastAsia="楷体_GB2312" w:cs="楷体_GB2312"/>
          <w:color w:val="000000"/>
          <w:sz w:val="24"/>
        </w:rPr>
        <w:t>3</w:t>
      </w:r>
      <w:r>
        <w:rPr>
          <w:rFonts w:hint="eastAsia" w:eastAsia="楷体_GB2312" w:cs="楷体_GB2312"/>
          <w:color w:val="000000"/>
          <w:sz w:val="24"/>
        </w:rPr>
        <w:t>栏次第2行统计数（单位：元）。</w:t>
      </w:r>
    </w:p>
    <w:p w14:paraId="14EB1681">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8.政府采购预算完成情况中的“2023年度计划采购金额”是指2023年度单位预算批复中的政府采购预算金额和采购预算调整金额的合计数（单位：元）；“2023年度实际采购金额”是指实际完成的政府采购金额，即部门决算报表中相关政府采购数据，根据决算报表《机构运行信息表》（财决附03表）第</w:t>
      </w:r>
      <w:r>
        <w:rPr>
          <w:rFonts w:eastAsia="楷体_GB2312" w:cs="楷体_GB2312"/>
          <w:color w:val="000000"/>
          <w:sz w:val="24"/>
        </w:rPr>
        <w:t>4</w:t>
      </w:r>
      <w:r>
        <w:rPr>
          <w:rFonts w:hint="eastAsia" w:eastAsia="楷体_GB2312" w:cs="楷体_GB2312"/>
          <w:color w:val="000000"/>
          <w:sz w:val="24"/>
        </w:rPr>
        <w:t>栏次第40行“政府采购支出合计”的统计数（单位：元）填列。</w:t>
      </w:r>
    </w:p>
    <w:p w14:paraId="21FC6C51">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9.固定资产账实相符程度中的“2023年度固定资产盘点前账面金额”是指单位在进行固定资产盘点前确认的账面原值（单位：元）；“2023年度固定资产盘点后实际金额”是指单位按照上述有关规定进行固定资产盘点后确认的实际金额（单位：元）。需上传当年度单位固定资产盘点前账面金额记录，固定资产盘点表等资料作为佐证材料。</w:t>
      </w:r>
    </w:p>
    <w:p w14:paraId="03CD808B">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10.固定资产处置规范程度中的“2023年度固定资产减少额”是指单位国有资产报表中《资产处置情况表》（财资10表）中本期减少的固定资产账面原值，即表第6栏次第1行固定资产原值小计数（单位：元）；“2023年度固定资产处置审批金额”是指严格按照单位国有资产业务管理制度中规定的资产处置审批权限及程序，实际审批的固定资产处置金额（单位：元）（本指标考核范围不包含固定资产出租出借涉及的金额）。该指标建议参考资产登记表、资产处置审批单、单位国有资产报表中的资产处置情况表等资料填写。需上传审核后的资产处置审批单（审批单数量大于5份的单位，抽取5份；审批单数量小于或等于5份的单位，全部上传）作为佐证材料。</w:t>
      </w:r>
    </w:p>
    <w:p w14:paraId="624707D5">
      <w:pPr>
        <w:pStyle w:val="28"/>
        <w:tabs>
          <w:tab w:val="left" w:pos="851"/>
        </w:tabs>
        <w:spacing w:line="360" w:lineRule="auto"/>
        <w:ind w:firstLine="480"/>
        <w:rPr>
          <w:rFonts w:eastAsia="楷体_GB2312" w:cs="楷体_GB2312"/>
          <w:color w:val="000000"/>
          <w:sz w:val="24"/>
        </w:rPr>
      </w:pPr>
      <w:r>
        <w:rPr>
          <w:rFonts w:hint="eastAsia" w:eastAsia="楷体_GB2312" w:cs="楷体_GB2312"/>
          <w:color w:val="000000"/>
          <w:sz w:val="24"/>
        </w:rPr>
        <w:t>11.项目投资计划完成情况中的“2023年度投资计划总额”是指以预算年度为统计口径的基本建设类项目计划投资金额（单位：元），包括发展改革委安排的基建项目、同级财政安排的基建项目、其他主管部门安排的基建项目。该指标建议参考投资计划表、项目概预算表等资料填写；“2023年度实际投资额”是指2023年度决算报表中基本建设类项目支出决算金额，根据决算报表《项目收入支出决算表》（财决06表）“基建项目属性”为“发展改革委安排的基建项目”、“财政安排的基建项目”、“其他主管部门安排的基建项目”的支出数合计（单位：元）填列。需上传投资计划表或项目概预算表（项目数量大于5个的单位，抽取5份；项目数量小于或等于5个的单位，全部上传）作为佐证材料。</w:t>
      </w:r>
    </w:p>
    <w:p w14:paraId="4932F236">
      <w:pPr>
        <w:pStyle w:val="28"/>
        <w:tabs>
          <w:tab w:val="left" w:pos="851"/>
        </w:tabs>
        <w:spacing w:line="360" w:lineRule="auto"/>
        <w:ind w:firstLine="480"/>
        <w:rPr>
          <w:rFonts w:ascii="楷体" w:hAnsi="楷体" w:eastAsia="楷体" w:cs="楷体"/>
          <w:sz w:val="24"/>
        </w:rPr>
      </w:pPr>
      <w:r>
        <w:rPr>
          <w:rFonts w:hint="eastAsia" w:eastAsia="楷体_GB2312" w:cs="楷体_GB2312"/>
          <w:color w:val="000000"/>
          <w:sz w:val="24"/>
        </w:rPr>
        <w:t>12.合同订立规范情况中的“2023年度合同订立数”是指单位2023年度签订的全部合同个数；“2023年度经合法性审查的合同数”是指在已签订的合同中，严格执行审核审批程序的合同，其中具有重大影响的合同需有法务人员参与审批并签字。该指标建议参考合同文本、合同台账等资料填写。需上传审核后的合同申请审批单（合同数量大于5个的单位，抽取5份；合同数量小于或等于5个的单位，全部上传）、合同台账作为佐证材料。</w:t>
      </w:r>
    </w:p>
    <w:p w14:paraId="4A481E96">
      <w:pPr>
        <w:tabs>
          <w:tab w:val="left" w:pos="851"/>
        </w:tabs>
        <w:spacing w:after="156" w:afterLines="50" w:line="360" w:lineRule="auto"/>
        <w:jc w:val="center"/>
        <w:rPr>
          <w:rFonts w:ascii="黑体" w:eastAsia="黑体" w:cs="方正小标宋简体"/>
          <w:color w:val="000000"/>
          <w:spacing w:val="8"/>
          <w:sz w:val="36"/>
          <w:szCs w:val="36"/>
        </w:rPr>
      </w:pPr>
      <w:r>
        <w:rPr>
          <w:rFonts w:hint="eastAsia" w:ascii="黑体" w:eastAsia="黑体" w:cs="方正小标宋简体"/>
          <w:color w:val="000000"/>
          <w:spacing w:val="8"/>
          <w:sz w:val="36"/>
          <w:szCs w:val="36"/>
        </w:rPr>
        <w:t>四、内部控制信息化情况</w:t>
      </w:r>
    </w:p>
    <w:tbl>
      <w:tblPr>
        <w:tblStyle w:val="11"/>
        <w:tblW w:w="8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170"/>
        <w:gridCol w:w="6463"/>
      </w:tblGrid>
      <w:tr w14:paraId="53E59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2170" w:type="dxa"/>
            <w:noWrap/>
            <w:vAlign w:val="center"/>
          </w:tcPr>
          <w:p w14:paraId="07C1E8AE">
            <w:pPr>
              <w:spacing w:line="320" w:lineRule="exact"/>
              <w:jc w:val="left"/>
              <w:rPr>
                <w:rFonts w:eastAsia="仿宋_GB2312" w:cs="仿宋_GB2312"/>
                <w:color w:val="000000"/>
                <w:spacing w:val="-12"/>
                <w:sz w:val="24"/>
              </w:rPr>
            </w:pPr>
            <w:r>
              <w:rPr>
                <w:rFonts w:hint="eastAsia" w:eastAsia="仿宋_GB2312" w:cs="仿宋_GB2312"/>
                <w:color w:val="000000"/>
                <w:spacing w:val="-12"/>
                <w:sz w:val="24"/>
              </w:rPr>
              <w:t>单位内部控制信息化覆盖情况</w:t>
            </w:r>
          </w:p>
        </w:tc>
        <w:tc>
          <w:tcPr>
            <w:tcW w:w="6463" w:type="dxa"/>
            <w:vAlign w:val="center"/>
          </w:tcPr>
          <w:p w14:paraId="19A8B2AF">
            <w:pPr>
              <w:spacing w:line="320" w:lineRule="exact"/>
              <w:jc w:val="left"/>
              <w:rPr>
                <w:rFonts w:eastAsia="仿宋_GB2312" w:cs="仿宋_GB2312"/>
                <w:color w:val="000000"/>
                <w:spacing w:val="-12"/>
                <w:sz w:val="24"/>
              </w:rPr>
            </w:pPr>
            <w:r>
              <w:rPr>
                <w:rFonts w:hint="eastAsia" w:ascii="仿宋" w:hAnsi="仿宋" w:eastAsia="仿宋" w:cs="楷体"/>
                <w:bCs/>
                <w:color w:val="000000"/>
                <w:sz w:val="24"/>
              </w:rPr>
              <w:t>预算业务;收支业务;资产管理;政府采购业务;建设项目管理;合同管理</w:t>
            </w:r>
          </w:p>
        </w:tc>
      </w:tr>
      <w:tr w14:paraId="05802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9" w:hRule="atLeast"/>
          <w:jc w:val="center"/>
        </w:trPr>
        <w:tc>
          <w:tcPr>
            <w:tcW w:w="2170" w:type="dxa"/>
            <w:noWrap/>
            <w:vAlign w:val="center"/>
          </w:tcPr>
          <w:p w14:paraId="584EFA21">
            <w:pPr>
              <w:spacing w:line="320" w:lineRule="exact"/>
              <w:jc w:val="left"/>
              <w:rPr>
                <w:rFonts w:eastAsia="仿宋_GB2312" w:cs="仿宋_GB2312"/>
                <w:color w:val="000000"/>
                <w:spacing w:val="-12"/>
                <w:sz w:val="24"/>
              </w:rPr>
            </w:pPr>
            <w:r>
              <w:rPr>
                <w:rFonts w:hint="eastAsia" w:eastAsia="仿宋_GB2312" w:cs="仿宋_GB2312"/>
                <w:color w:val="000000"/>
                <w:spacing w:val="-12"/>
                <w:sz w:val="24"/>
              </w:rPr>
              <w:t>2023年度内部控制信息化覆盖的业务系统改造升级情况</w:t>
            </w:r>
          </w:p>
        </w:tc>
        <w:tc>
          <w:tcPr>
            <w:tcW w:w="6463" w:type="dxa"/>
            <w:vAlign w:val="center"/>
          </w:tcPr>
          <w:p w14:paraId="3FBFC12C">
            <w:pPr>
              <w:spacing w:line="320" w:lineRule="exact"/>
              <w:jc w:val="left"/>
              <w:rPr>
                <w:rFonts w:eastAsia="楷体_GB2312" w:cs="楷体_GB2312"/>
                <w:color w:val="000000"/>
                <w:sz w:val="24"/>
              </w:rPr>
            </w:pPr>
            <w:r>
              <w:rPr>
                <w:rFonts w:hint="eastAsia" w:ascii="仿宋" w:hAnsi="仿宋" w:eastAsia="仿宋" w:cs="楷体"/>
                <w:bCs/>
                <w:color w:val="000000"/>
                <w:sz w:val="24"/>
              </w:rPr>
              <w:t>未更新</w:t>
            </w:r>
          </w:p>
        </w:tc>
      </w:tr>
      <w:tr w14:paraId="51003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9" w:hRule="atLeast"/>
          <w:jc w:val="center"/>
        </w:trPr>
        <w:tc>
          <w:tcPr>
            <w:tcW w:w="2170" w:type="dxa"/>
            <w:noWrap/>
            <w:vAlign w:val="center"/>
          </w:tcPr>
          <w:p w14:paraId="0CCB72CB">
            <w:pPr>
              <w:spacing w:line="320" w:lineRule="exact"/>
              <w:jc w:val="left"/>
              <w:rPr>
                <w:rFonts w:eastAsia="仿宋_GB2312" w:cs="仿宋_GB2312"/>
                <w:color w:val="000000"/>
                <w:spacing w:val="-12"/>
                <w:sz w:val="24"/>
              </w:rPr>
            </w:pPr>
            <w:r>
              <w:rPr>
                <w:rFonts w:hint="eastAsia" w:eastAsia="仿宋_GB2312" w:cs="仿宋_GB2312"/>
                <w:color w:val="000000"/>
                <w:spacing w:val="-12"/>
                <w:sz w:val="24"/>
              </w:rPr>
              <w:t>单位内部控制信息化模块联通情况</w:t>
            </w:r>
          </w:p>
        </w:tc>
        <w:tc>
          <w:tcPr>
            <w:tcW w:w="6463" w:type="dxa"/>
            <w:vAlign w:val="center"/>
          </w:tcPr>
          <w:p w14:paraId="42160E70">
            <w:pPr>
              <w:spacing w:line="320" w:lineRule="exact"/>
              <w:jc w:val="left"/>
              <w:rPr>
                <w:rFonts w:ascii="楷体" w:hAnsi="楷体" w:eastAsia="楷体" w:cs="楷体"/>
                <w:color w:val="000000"/>
                <w:spacing w:val="-12"/>
                <w:sz w:val="24"/>
              </w:rPr>
            </w:pPr>
            <w:r>
              <w:rPr>
                <w:rFonts w:hint="eastAsia" w:ascii="仿宋" w:hAnsi="仿宋" w:eastAsia="仿宋" w:cs="楷体"/>
                <w:bCs/>
                <w:color w:val="000000"/>
                <w:sz w:val="24"/>
              </w:rPr>
              <w:t>0</w:t>
            </w:r>
          </w:p>
        </w:tc>
      </w:tr>
      <w:tr w14:paraId="2BBAE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9" w:hRule="atLeast"/>
          <w:jc w:val="center"/>
        </w:trPr>
        <w:tc>
          <w:tcPr>
            <w:tcW w:w="2170" w:type="dxa"/>
            <w:noWrap/>
            <w:vAlign w:val="center"/>
          </w:tcPr>
          <w:p w14:paraId="114415AE">
            <w:pPr>
              <w:spacing w:line="320" w:lineRule="exact"/>
              <w:jc w:val="left"/>
              <w:rPr>
                <w:rFonts w:eastAsia="仿宋_GB2312" w:cs="仿宋_GB2312"/>
                <w:color w:val="000000"/>
                <w:spacing w:val="-12"/>
                <w:sz w:val="24"/>
              </w:rPr>
            </w:pPr>
            <w:r>
              <w:rPr>
                <w:rFonts w:hint="eastAsia" w:eastAsia="仿宋_GB2312" w:cs="仿宋_GB2312"/>
                <w:color w:val="000000"/>
                <w:spacing w:val="-12"/>
                <w:sz w:val="24"/>
              </w:rPr>
              <w:t>是否联通政府会计核算模块</w:t>
            </w:r>
          </w:p>
        </w:tc>
        <w:tc>
          <w:tcPr>
            <w:tcW w:w="6463" w:type="dxa"/>
            <w:vAlign w:val="center"/>
          </w:tcPr>
          <w:p w14:paraId="3A395C0F">
            <w:pPr>
              <w:spacing w:line="320" w:lineRule="exact"/>
              <w:jc w:val="left"/>
              <w:rPr>
                <w:rFonts w:eastAsia="仿宋_GB2312" w:cs="仿宋_GB2312"/>
                <w:color w:val="000000"/>
                <w:spacing w:val="-12"/>
                <w:sz w:val="24"/>
              </w:rPr>
            </w:pPr>
            <w:r>
              <w:rPr>
                <w:rFonts w:hint="eastAsia" w:ascii="仿宋_GB2312" w:hAnsi="宋体" w:eastAsia="仿宋_GB2312"/>
                <w:sz w:val="24"/>
              </w:rPr>
              <w:t>是</w:t>
            </w:r>
          </w:p>
        </w:tc>
      </w:tr>
    </w:tbl>
    <w:p w14:paraId="00186B11">
      <w:pPr>
        <w:pStyle w:val="28"/>
        <w:tabs>
          <w:tab w:val="left" w:pos="851"/>
        </w:tabs>
        <w:spacing w:line="360" w:lineRule="auto"/>
        <w:ind w:firstLine="480"/>
      </w:pPr>
      <w:r>
        <w:rPr>
          <w:rFonts w:hint="eastAsia" w:eastAsia="楷体_GB2312" w:cs="楷体_GB2312"/>
          <w:color w:val="000000"/>
          <w:sz w:val="24"/>
        </w:rPr>
        <w:t>说明：内部控制信息化建设是指运用信息化手段将内部控制关键点嵌入业务系统中。财政部门统一建设的预算管理一体化系统、行政事业单位内部控制报告填报系统、与业务无关的内部控制工作辅助软件等，不纳入“单位内部控制信息化覆盖情况”填报范围。2023年度内部控制信息化覆盖的业务系统改造升级情况是指内部制度更新等情况对内部控制信息化覆盖的业务系统进行的内部控制相关改造升级。单位内部控制信息化模块联通是指不同业务的系统模块之间的数据信息能够同步更新与实时共享。需上传内部控制信息系统设计文档及系统截图作为佐证材料。</w:t>
      </w:r>
    </w:p>
    <w:p w14:paraId="7001E5C2">
      <w:pPr>
        <w:pStyle w:val="28"/>
        <w:tabs>
          <w:tab w:val="left" w:pos="851"/>
        </w:tabs>
        <w:spacing w:line="360" w:lineRule="auto"/>
      </w:pPr>
    </w:p>
    <w:sectPr>
      <w:pgSz w:w="11906" w:h="16838"/>
      <w:pgMar w:top="1440" w:right="1800" w:bottom="1440" w:left="1800" w:header="851" w:footer="49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2E74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0685" cy="147955"/>
              <wp:effectExtent l="0" t="0" r="18415" b="4445"/>
              <wp:wrapNone/>
              <wp:docPr id="1" name="文本框 1025"/>
              <wp:cNvGraphicFramePr/>
              <a:graphic xmlns:a="http://schemas.openxmlformats.org/drawingml/2006/main">
                <a:graphicData uri="http://schemas.microsoft.com/office/word/2010/wordprocessingShape">
                  <wps:wsp>
                    <wps:cNvSpPr txBox="1"/>
                    <wps:spPr>
                      <a:xfrm>
                        <a:off x="0" y="0"/>
                        <a:ext cx="400685" cy="147955"/>
                      </a:xfrm>
                      <a:prstGeom prst="rect">
                        <a:avLst/>
                      </a:prstGeom>
                      <a:noFill/>
                      <a:ln>
                        <a:noFill/>
                      </a:ln>
                      <a:effectLst/>
                    </wps:spPr>
                    <wps:txbx>
                      <w:txbxContent>
                        <w:p w14:paraId="7949B528">
                          <w:pPr>
                            <w:pStyle w:val="7"/>
                          </w:pPr>
                          <w:r>
                            <w:rPr>
                              <w:rFonts w:hint="eastAsia"/>
                            </w:rPr>
                            <w:t xml:space="preserve">— </w:t>
                          </w:r>
                          <w:r>
                            <w:fldChar w:fldCharType="begin"/>
                          </w:r>
                          <w:r>
                            <w:instrText xml:space="preserve"> PAGE  \* MERGEFORMAT </w:instrText>
                          </w:r>
                          <w:r>
                            <w:fldChar w:fldCharType="separate"/>
                          </w:r>
                          <w:r>
                            <w:t>20</w:t>
                          </w:r>
                          <w:r>
                            <w:fldChar w:fldCharType="end"/>
                          </w:r>
                          <w:r>
                            <w:rPr>
                              <w:rFonts w:hint="eastAsia"/>
                            </w:rPr>
                            <w:t xml:space="preserve"> —</w:t>
                          </w:r>
                        </w:p>
                      </w:txbxContent>
                    </wps:txbx>
                    <wps:bodyPr wrap="none" lIns="0" tIns="0" rIns="0" bIns="0">
                      <a:spAutoFit/>
                    </wps:bodyPr>
                  </wps:wsp>
                </a:graphicData>
              </a:graphic>
            </wp:anchor>
          </w:drawing>
        </mc:Choice>
        <mc:Fallback>
          <w:pict>
            <v:shape id="文本框 1025" o:spid="_x0000_s1026" o:spt="202" type="#_x0000_t202" style="position:absolute;left:0pt;margin-top:0pt;height:11.65pt;width:31.55pt;mso-position-horizontal:center;mso-position-horizontal-relative:margin;mso-wrap-style:none;z-index:251659264;mso-width-relative:page;mso-height-relative:page;" filled="f" stroked="f" coordsize="21600,21600" o:gfxdata="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ZQ6jy0QAAAAMBAAAPAAAAAAAAAAEAIAAAACIAAABkcnMvZG93&#10;bnJldi54bWxQSwECFAAUAAAACACHTuJA9IVAg84BAACcAwAADgAAAAAAAAABACAAAAAgAQAAZHJz&#10;L2Uyb0RvYy54bWxQSwUGAAAAAAYABgBZAQAAYAUAAAAA&#10;">
              <v:fill on="f" focussize="0,0"/>
              <v:stroke on="f"/>
              <v:imagedata o:title=""/>
              <o:lock v:ext="edit" aspectratio="f"/>
              <v:textbox inset="0mm,0mm,0mm,0mm" style="mso-fit-shape-to-text:t;">
                <w:txbxContent>
                  <w:p w14:paraId="7949B528">
                    <w:pPr>
                      <w:pStyle w:val="7"/>
                    </w:pPr>
                    <w:r>
                      <w:rPr>
                        <w:rFonts w:hint="eastAsia"/>
                      </w:rPr>
                      <w:t xml:space="preserve">— </w:t>
                    </w:r>
                    <w:r>
                      <w:fldChar w:fldCharType="begin"/>
                    </w:r>
                    <w:r>
                      <w:instrText xml:space="preserve"> PAGE  \* MERGEFORMAT </w:instrText>
                    </w:r>
                    <w:r>
                      <w:fldChar w:fldCharType="separate"/>
                    </w:r>
                    <w:r>
                      <w:t>20</w:t>
                    </w:r>
                    <w:r>
                      <w:fldChar w:fldCharType="end"/>
                    </w:r>
                    <w:r>
                      <w:rPr>
                        <w:rFonts w:hint="eastAsia"/>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6EBF8">
    <w:pPr>
      <w:pStyle w:val="7"/>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14:paraId="73921D0B">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k3ZDJmZjIyYjBiNmE1YzZhNTZmYjg5NzRhZGNlZDYifQ=="/>
  </w:docVars>
  <w:rsids>
    <w:rsidRoot w:val="0024403F"/>
    <w:rsid w:val="000002FE"/>
    <w:rsid w:val="0000053C"/>
    <w:rsid w:val="00001795"/>
    <w:rsid w:val="0000188E"/>
    <w:rsid w:val="00001ADD"/>
    <w:rsid w:val="00002BDB"/>
    <w:rsid w:val="00004163"/>
    <w:rsid w:val="00005842"/>
    <w:rsid w:val="000069F8"/>
    <w:rsid w:val="0000718E"/>
    <w:rsid w:val="0001119A"/>
    <w:rsid w:val="00011DEB"/>
    <w:rsid w:val="000134C4"/>
    <w:rsid w:val="00013587"/>
    <w:rsid w:val="000135C8"/>
    <w:rsid w:val="000140D2"/>
    <w:rsid w:val="0001604A"/>
    <w:rsid w:val="00017210"/>
    <w:rsid w:val="00020F9B"/>
    <w:rsid w:val="00021969"/>
    <w:rsid w:val="00022308"/>
    <w:rsid w:val="000223EB"/>
    <w:rsid w:val="00023B02"/>
    <w:rsid w:val="00024002"/>
    <w:rsid w:val="00026468"/>
    <w:rsid w:val="000265D5"/>
    <w:rsid w:val="00031B1B"/>
    <w:rsid w:val="00032A61"/>
    <w:rsid w:val="00035024"/>
    <w:rsid w:val="0003555F"/>
    <w:rsid w:val="00035B8E"/>
    <w:rsid w:val="00040BD3"/>
    <w:rsid w:val="00040FA0"/>
    <w:rsid w:val="0004186D"/>
    <w:rsid w:val="00041E2A"/>
    <w:rsid w:val="00041E65"/>
    <w:rsid w:val="00042E86"/>
    <w:rsid w:val="0004300B"/>
    <w:rsid w:val="00043188"/>
    <w:rsid w:val="00043EA4"/>
    <w:rsid w:val="000448FA"/>
    <w:rsid w:val="00045768"/>
    <w:rsid w:val="00045A15"/>
    <w:rsid w:val="000471BC"/>
    <w:rsid w:val="00050853"/>
    <w:rsid w:val="000517E5"/>
    <w:rsid w:val="00051AF3"/>
    <w:rsid w:val="00052496"/>
    <w:rsid w:val="00053B53"/>
    <w:rsid w:val="000550B2"/>
    <w:rsid w:val="0005513B"/>
    <w:rsid w:val="00055FAC"/>
    <w:rsid w:val="00056A1C"/>
    <w:rsid w:val="00064049"/>
    <w:rsid w:val="00064733"/>
    <w:rsid w:val="00064A26"/>
    <w:rsid w:val="00065F64"/>
    <w:rsid w:val="000704A2"/>
    <w:rsid w:val="000736D9"/>
    <w:rsid w:val="000744CA"/>
    <w:rsid w:val="000762C7"/>
    <w:rsid w:val="00076C6B"/>
    <w:rsid w:val="00080A90"/>
    <w:rsid w:val="00081458"/>
    <w:rsid w:val="000819E5"/>
    <w:rsid w:val="000829DB"/>
    <w:rsid w:val="00082A01"/>
    <w:rsid w:val="000835E6"/>
    <w:rsid w:val="00085A6C"/>
    <w:rsid w:val="000877F4"/>
    <w:rsid w:val="00091127"/>
    <w:rsid w:val="0009302D"/>
    <w:rsid w:val="00094A2F"/>
    <w:rsid w:val="00094BD1"/>
    <w:rsid w:val="000A00B5"/>
    <w:rsid w:val="000A0136"/>
    <w:rsid w:val="000A3678"/>
    <w:rsid w:val="000A39CD"/>
    <w:rsid w:val="000A40FB"/>
    <w:rsid w:val="000A44DF"/>
    <w:rsid w:val="000A6AF9"/>
    <w:rsid w:val="000A6FAE"/>
    <w:rsid w:val="000A7618"/>
    <w:rsid w:val="000A7B0A"/>
    <w:rsid w:val="000B1641"/>
    <w:rsid w:val="000B1BC8"/>
    <w:rsid w:val="000B283F"/>
    <w:rsid w:val="000B2867"/>
    <w:rsid w:val="000B3500"/>
    <w:rsid w:val="000B3CCA"/>
    <w:rsid w:val="000B7CA9"/>
    <w:rsid w:val="000C3BAF"/>
    <w:rsid w:val="000C6C8E"/>
    <w:rsid w:val="000C7874"/>
    <w:rsid w:val="000C7A72"/>
    <w:rsid w:val="000D07EE"/>
    <w:rsid w:val="000D286E"/>
    <w:rsid w:val="000D2963"/>
    <w:rsid w:val="000D506C"/>
    <w:rsid w:val="000D53D4"/>
    <w:rsid w:val="000D5640"/>
    <w:rsid w:val="000D666C"/>
    <w:rsid w:val="000E05E6"/>
    <w:rsid w:val="000E18D7"/>
    <w:rsid w:val="000E1C87"/>
    <w:rsid w:val="000E3219"/>
    <w:rsid w:val="000E4E65"/>
    <w:rsid w:val="000E6978"/>
    <w:rsid w:val="000F07B1"/>
    <w:rsid w:val="000F0B3B"/>
    <w:rsid w:val="000F190E"/>
    <w:rsid w:val="000F2303"/>
    <w:rsid w:val="000F34D5"/>
    <w:rsid w:val="000F3ADF"/>
    <w:rsid w:val="000F49C3"/>
    <w:rsid w:val="000F4E8E"/>
    <w:rsid w:val="000F6B46"/>
    <w:rsid w:val="001011FE"/>
    <w:rsid w:val="001012BA"/>
    <w:rsid w:val="001019A9"/>
    <w:rsid w:val="00101E42"/>
    <w:rsid w:val="001032BD"/>
    <w:rsid w:val="00103CA7"/>
    <w:rsid w:val="0010498F"/>
    <w:rsid w:val="00105104"/>
    <w:rsid w:val="001058F4"/>
    <w:rsid w:val="00106978"/>
    <w:rsid w:val="00106CC3"/>
    <w:rsid w:val="00106DF6"/>
    <w:rsid w:val="0011132A"/>
    <w:rsid w:val="001128FD"/>
    <w:rsid w:val="00112CEA"/>
    <w:rsid w:val="00112D65"/>
    <w:rsid w:val="001133ED"/>
    <w:rsid w:val="00115902"/>
    <w:rsid w:val="00116824"/>
    <w:rsid w:val="00120244"/>
    <w:rsid w:val="0012111A"/>
    <w:rsid w:val="001225F4"/>
    <w:rsid w:val="00122738"/>
    <w:rsid w:val="00123E29"/>
    <w:rsid w:val="00124BAA"/>
    <w:rsid w:val="00125F80"/>
    <w:rsid w:val="0012611B"/>
    <w:rsid w:val="00126320"/>
    <w:rsid w:val="0012717E"/>
    <w:rsid w:val="00127443"/>
    <w:rsid w:val="00127B95"/>
    <w:rsid w:val="00127DB5"/>
    <w:rsid w:val="00127E10"/>
    <w:rsid w:val="00130702"/>
    <w:rsid w:val="001309D2"/>
    <w:rsid w:val="00132D4F"/>
    <w:rsid w:val="0013385A"/>
    <w:rsid w:val="00134211"/>
    <w:rsid w:val="00134222"/>
    <w:rsid w:val="00134C9C"/>
    <w:rsid w:val="00135CDA"/>
    <w:rsid w:val="00136A7C"/>
    <w:rsid w:val="00136BC3"/>
    <w:rsid w:val="00136DEB"/>
    <w:rsid w:val="00137637"/>
    <w:rsid w:val="001402D1"/>
    <w:rsid w:val="001403F8"/>
    <w:rsid w:val="001424AD"/>
    <w:rsid w:val="00142D3B"/>
    <w:rsid w:val="00142E34"/>
    <w:rsid w:val="00144417"/>
    <w:rsid w:val="001452C0"/>
    <w:rsid w:val="00145546"/>
    <w:rsid w:val="00145689"/>
    <w:rsid w:val="00146B4C"/>
    <w:rsid w:val="00147D40"/>
    <w:rsid w:val="0015016B"/>
    <w:rsid w:val="00151100"/>
    <w:rsid w:val="00154698"/>
    <w:rsid w:val="00154B7E"/>
    <w:rsid w:val="00155EDD"/>
    <w:rsid w:val="001608FC"/>
    <w:rsid w:val="001612C8"/>
    <w:rsid w:val="001629B5"/>
    <w:rsid w:val="00163130"/>
    <w:rsid w:val="001638AD"/>
    <w:rsid w:val="00166AB3"/>
    <w:rsid w:val="00166B85"/>
    <w:rsid w:val="0016742E"/>
    <w:rsid w:val="00167CCE"/>
    <w:rsid w:val="00167E15"/>
    <w:rsid w:val="00167EE4"/>
    <w:rsid w:val="00172AC4"/>
    <w:rsid w:val="00174007"/>
    <w:rsid w:val="00175EE7"/>
    <w:rsid w:val="001767FF"/>
    <w:rsid w:val="00176F2B"/>
    <w:rsid w:val="0018014F"/>
    <w:rsid w:val="00181778"/>
    <w:rsid w:val="00184B7F"/>
    <w:rsid w:val="001858A2"/>
    <w:rsid w:val="00186B78"/>
    <w:rsid w:val="0018717B"/>
    <w:rsid w:val="001875E0"/>
    <w:rsid w:val="0018798D"/>
    <w:rsid w:val="001918B0"/>
    <w:rsid w:val="00192A7A"/>
    <w:rsid w:val="00193B98"/>
    <w:rsid w:val="0019426A"/>
    <w:rsid w:val="00194C68"/>
    <w:rsid w:val="001952A2"/>
    <w:rsid w:val="0019597E"/>
    <w:rsid w:val="00197862"/>
    <w:rsid w:val="00197A1A"/>
    <w:rsid w:val="001A07E6"/>
    <w:rsid w:val="001A1145"/>
    <w:rsid w:val="001A1A18"/>
    <w:rsid w:val="001A2302"/>
    <w:rsid w:val="001A24C0"/>
    <w:rsid w:val="001A2EED"/>
    <w:rsid w:val="001A3408"/>
    <w:rsid w:val="001A5B21"/>
    <w:rsid w:val="001A64BF"/>
    <w:rsid w:val="001A779E"/>
    <w:rsid w:val="001B13DE"/>
    <w:rsid w:val="001B3985"/>
    <w:rsid w:val="001B3EEC"/>
    <w:rsid w:val="001B4567"/>
    <w:rsid w:val="001B4F71"/>
    <w:rsid w:val="001B5091"/>
    <w:rsid w:val="001B6792"/>
    <w:rsid w:val="001B6C4C"/>
    <w:rsid w:val="001C1D2F"/>
    <w:rsid w:val="001C1F48"/>
    <w:rsid w:val="001C226E"/>
    <w:rsid w:val="001C255A"/>
    <w:rsid w:val="001C34F1"/>
    <w:rsid w:val="001C62AF"/>
    <w:rsid w:val="001D3977"/>
    <w:rsid w:val="001D3A15"/>
    <w:rsid w:val="001D4CEB"/>
    <w:rsid w:val="001D69EE"/>
    <w:rsid w:val="001E3A28"/>
    <w:rsid w:val="001E6257"/>
    <w:rsid w:val="001E6A53"/>
    <w:rsid w:val="001E7466"/>
    <w:rsid w:val="001F2213"/>
    <w:rsid w:val="001F3E0F"/>
    <w:rsid w:val="001F5BB6"/>
    <w:rsid w:val="001F7D18"/>
    <w:rsid w:val="001F7D51"/>
    <w:rsid w:val="00200BDF"/>
    <w:rsid w:val="00201A11"/>
    <w:rsid w:val="00201DA3"/>
    <w:rsid w:val="0020338A"/>
    <w:rsid w:val="00203B24"/>
    <w:rsid w:val="00205FAB"/>
    <w:rsid w:val="00206CEE"/>
    <w:rsid w:val="00207C70"/>
    <w:rsid w:val="002101CE"/>
    <w:rsid w:val="0021105D"/>
    <w:rsid w:val="002120BF"/>
    <w:rsid w:val="00212A50"/>
    <w:rsid w:val="0021364A"/>
    <w:rsid w:val="00213FDC"/>
    <w:rsid w:val="002151C9"/>
    <w:rsid w:val="002157B1"/>
    <w:rsid w:val="0021615F"/>
    <w:rsid w:val="002167A8"/>
    <w:rsid w:val="002168D0"/>
    <w:rsid w:val="002205EE"/>
    <w:rsid w:val="0022065D"/>
    <w:rsid w:val="00220674"/>
    <w:rsid w:val="00220934"/>
    <w:rsid w:val="00220A85"/>
    <w:rsid w:val="002217D6"/>
    <w:rsid w:val="00221A29"/>
    <w:rsid w:val="00222022"/>
    <w:rsid w:val="002229FF"/>
    <w:rsid w:val="00223282"/>
    <w:rsid w:val="0022477A"/>
    <w:rsid w:val="002249D4"/>
    <w:rsid w:val="00224FAE"/>
    <w:rsid w:val="002255B9"/>
    <w:rsid w:val="00225DC6"/>
    <w:rsid w:val="00225F25"/>
    <w:rsid w:val="002264B2"/>
    <w:rsid w:val="00227977"/>
    <w:rsid w:val="002309D4"/>
    <w:rsid w:val="002309F2"/>
    <w:rsid w:val="00231A9E"/>
    <w:rsid w:val="0023333B"/>
    <w:rsid w:val="00233B91"/>
    <w:rsid w:val="0023495D"/>
    <w:rsid w:val="002351A6"/>
    <w:rsid w:val="002359BE"/>
    <w:rsid w:val="002363EB"/>
    <w:rsid w:val="00236914"/>
    <w:rsid w:val="00236B4D"/>
    <w:rsid w:val="002417E5"/>
    <w:rsid w:val="0024403F"/>
    <w:rsid w:val="002440C0"/>
    <w:rsid w:val="00245608"/>
    <w:rsid w:val="002457B7"/>
    <w:rsid w:val="002457C8"/>
    <w:rsid w:val="00245B8E"/>
    <w:rsid w:val="00245FF3"/>
    <w:rsid w:val="00246FEA"/>
    <w:rsid w:val="002474FA"/>
    <w:rsid w:val="00247637"/>
    <w:rsid w:val="00247692"/>
    <w:rsid w:val="00247ABC"/>
    <w:rsid w:val="00247FBF"/>
    <w:rsid w:val="002507D2"/>
    <w:rsid w:val="00250BDF"/>
    <w:rsid w:val="0025111F"/>
    <w:rsid w:val="002515BC"/>
    <w:rsid w:val="00253553"/>
    <w:rsid w:val="002536A5"/>
    <w:rsid w:val="002546C3"/>
    <w:rsid w:val="00254919"/>
    <w:rsid w:val="00254A01"/>
    <w:rsid w:val="00255A99"/>
    <w:rsid w:val="00256029"/>
    <w:rsid w:val="0025662F"/>
    <w:rsid w:val="00256CE6"/>
    <w:rsid w:val="0025718B"/>
    <w:rsid w:val="00257B98"/>
    <w:rsid w:val="00257F10"/>
    <w:rsid w:val="0026086F"/>
    <w:rsid w:val="0026166A"/>
    <w:rsid w:val="0026175D"/>
    <w:rsid w:val="002621E2"/>
    <w:rsid w:val="00265499"/>
    <w:rsid w:val="0026644C"/>
    <w:rsid w:val="00267109"/>
    <w:rsid w:val="002674B0"/>
    <w:rsid w:val="00267983"/>
    <w:rsid w:val="00274037"/>
    <w:rsid w:val="00276731"/>
    <w:rsid w:val="00276E69"/>
    <w:rsid w:val="00284E02"/>
    <w:rsid w:val="002854E2"/>
    <w:rsid w:val="00287076"/>
    <w:rsid w:val="00287374"/>
    <w:rsid w:val="00287B12"/>
    <w:rsid w:val="0029014A"/>
    <w:rsid w:val="002903AC"/>
    <w:rsid w:val="00292645"/>
    <w:rsid w:val="002940D1"/>
    <w:rsid w:val="00294A57"/>
    <w:rsid w:val="00294BAF"/>
    <w:rsid w:val="00294DC1"/>
    <w:rsid w:val="0029679E"/>
    <w:rsid w:val="00297071"/>
    <w:rsid w:val="002A02CA"/>
    <w:rsid w:val="002A0A66"/>
    <w:rsid w:val="002A411A"/>
    <w:rsid w:val="002A6569"/>
    <w:rsid w:val="002A7B7B"/>
    <w:rsid w:val="002B0765"/>
    <w:rsid w:val="002B0C38"/>
    <w:rsid w:val="002B2728"/>
    <w:rsid w:val="002B317D"/>
    <w:rsid w:val="002B3839"/>
    <w:rsid w:val="002B5724"/>
    <w:rsid w:val="002B6407"/>
    <w:rsid w:val="002C066A"/>
    <w:rsid w:val="002C1C0F"/>
    <w:rsid w:val="002C1DA3"/>
    <w:rsid w:val="002C2C95"/>
    <w:rsid w:val="002C361C"/>
    <w:rsid w:val="002C3B5E"/>
    <w:rsid w:val="002C44C2"/>
    <w:rsid w:val="002C5F40"/>
    <w:rsid w:val="002C67BA"/>
    <w:rsid w:val="002C6815"/>
    <w:rsid w:val="002C72BD"/>
    <w:rsid w:val="002C750D"/>
    <w:rsid w:val="002C7A35"/>
    <w:rsid w:val="002D1657"/>
    <w:rsid w:val="002D59DA"/>
    <w:rsid w:val="002D611F"/>
    <w:rsid w:val="002D656E"/>
    <w:rsid w:val="002D700E"/>
    <w:rsid w:val="002D7C8F"/>
    <w:rsid w:val="002E1C22"/>
    <w:rsid w:val="002E20E3"/>
    <w:rsid w:val="002E24E0"/>
    <w:rsid w:val="002E3BCE"/>
    <w:rsid w:val="002E422C"/>
    <w:rsid w:val="002E4267"/>
    <w:rsid w:val="002E53E5"/>
    <w:rsid w:val="002E6CDA"/>
    <w:rsid w:val="002F149F"/>
    <w:rsid w:val="002F5922"/>
    <w:rsid w:val="002F5DF8"/>
    <w:rsid w:val="002F67B9"/>
    <w:rsid w:val="00300B01"/>
    <w:rsid w:val="00300BD2"/>
    <w:rsid w:val="00301B9A"/>
    <w:rsid w:val="003032E3"/>
    <w:rsid w:val="003034E5"/>
    <w:rsid w:val="003048DE"/>
    <w:rsid w:val="00307A1E"/>
    <w:rsid w:val="00310BF0"/>
    <w:rsid w:val="00311A17"/>
    <w:rsid w:val="00312BD4"/>
    <w:rsid w:val="003133F4"/>
    <w:rsid w:val="0031396B"/>
    <w:rsid w:val="00313DCB"/>
    <w:rsid w:val="00314C55"/>
    <w:rsid w:val="00315086"/>
    <w:rsid w:val="00316401"/>
    <w:rsid w:val="00320F71"/>
    <w:rsid w:val="00321FD5"/>
    <w:rsid w:val="003225D0"/>
    <w:rsid w:val="00323FB7"/>
    <w:rsid w:val="0032551A"/>
    <w:rsid w:val="003256A3"/>
    <w:rsid w:val="0032662B"/>
    <w:rsid w:val="0032675D"/>
    <w:rsid w:val="00327B90"/>
    <w:rsid w:val="00327FA1"/>
    <w:rsid w:val="00330030"/>
    <w:rsid w:val="003303DA"/>
    <w:rsid w:val="00331AC8"/>
    <w:rsid w:val="0033201A"/>
    <w:rsid w:val="003344FB"/>
    <w:rsid w:val="0033487B"/>
    <w:rsid w:val="0033548C"/>
    <w:rsid w:val="003355FA"/>
    <w:rsid w:val="0034056F"/>
    <w:rsid w:val="00344F64"/>
    <w:rsid w:val="00345510"/>
    <w:rsid w:val="00346F32"/>
    <w:rsid w:val="00350DAB"/>
    <w:rsid w:val="00351141"/>
    <w:rsid w:val="00352855"/>
    <w:rsid w:val="0035654D"/>
    <w:rsid w:val="003572DE"/>
    <w:rsid w:val="0035745F"/>
    <w:rsid w:val="00360122"/>
    <w:rsid w:val="00360184"/>
    <w:rsid w:val="00360240"/>
    <w:rsid w:val="0036239D"/>
    <w:rsid w:val="0036448F"/>
    <w:rsid w:val="003651CD"/>
    <w:rsid w:val="003652F7"/>
    <w:rsid w:val="003667C0"/>
    <w:rsid w:val="003676F3"/>
    <w:rsid w:val="00371325"/>
    <w:rsid w:val="00371D4E"/>
    <w:rsid w:val="00372056"/>
    <w:rsid w:val="00374419"/>
    <w:rsid w:val="00374A98"/>
    <w:rsid w:val="003755CD"/>
    <w:rsid w:val="00375701"/>
    <w:rsid w:val="0037590A"/>
    <w:rsid w:val="003759E4"/>
    <w:rsid w:val="0037616B"/>
    <w:rsid w:val="003762BA"/>
    <w:rsid w:val="00376FC6"/>
    <w:rsid w:val="00377396"/>
    <w:rsid w:val="00381B25"/>
    <w:rsid w:val="00382555"/>
    <w:rsid w:val="0038309E"/>
    <w:rsid w:val="00383D19"/>
    <w:rsid w:val="00390C48"/>
    <w:rsid w:val="00391F92"/>
    <w:rsid w:val="003922E0"/>
    <w:rsid w:val="00392DF1"/>
    <w:rsid w:val="003933E0"/>
    <w:rsid w:val="0039526C"/>
    <w:rsid w:val="00396E28"/>
    <w:rsid w:val="00396F7A"/>
    <w:rsid w:val="003970EF"/>
    <w:rsid w:val="00397124"/>
    <w:rsid w:val="003972FD"/>
    <w:rsid w:val="003A13FA"/>
    <w:rsid w:val="003A204B"/>
    <w:rsid w:val="003A25DE"/>
    <w:rsid w:val="003A30FA"/>
    <w:rsid w:val="003A47D8"/>
    <w:rsid w:val="003A4C0E"/>
    <w:rsid w:val="003A744E"/>
    <w:rsid w:val="003A7E00"/>
    <w:rsid w:val="003B0531"/>
    <w:rsid w:val="003B0535"/>
    <w:rsid w:val="003B085C"/>
    <w:rsid w:val="003B1271"/>
    <w:rsid w:val="003B1410"/>
    <w:rsid w:val="003B1520"/>
    <w:rsid w:val="003B2B6A"/>
    <w:rsid w:val="003B31E8"/>
    <w:rsid w:val="003B3DBC"/>
    <w:rsid w:val="003B443B"/>
    <w:rsid w:val="003B5674"/>
    <w:rsid w:val="003B59D8"/>
    <w:rsid w:val="003B5F2E"/>
    <w:rsid w:val="003B7F98"/>
    <w:rsid w:val="003C05A8"/>
    <w:rsid w:val="003C1827"/>
    <w:rsid w:val="003C3113"/>
    <w:rsid w:val="003C338A"/>
    <w:rsid w:val="003C4C0E"/>
    <w:rsid w:val="003C4C90"/>
    <w:rsid w:val="003C4CBF"/>
    <w:rsid w:val="003C5267"/>
    <w:rsid w:val="003C591F"/>
    <w:rsid w:val="003C5C63"/>
    <w:rsid w:val="003C6787"/>
    <w:rsid w:val="003C6D95"/>
    <w:rsid w:val="003C7D0B"/>
    <w:rsid w:val="003D19BA"/>
    <w:rsid w:val="003D3235"/>
    <w:rsid w:val="003D4E47"/>
    <w:rsid w:val="003D4F88"/>
    <w:rsid w:val="003D5810"/>
    <w:rsid w:val="003D73E5"/>
    <w:rsid w:val="003D7ECD"/>
    <w:rsid w:val="003E0479"/>
    <w:rsid w:val="003E0879"/>
    <w:rsid w:val="003E2649"/>
    <w:rsid w:val="003E41FB"/>
    <w:rsid w:val="003E4A3F"/>
    <w:rsid w:val="003E5500"/>
    <w:rsid w:val="003E6718"/>
    <w:rsid w:val="003E71E6"/>
    <w:rsid w:val="003E724D"/>
    <w:rsid w:val="003E7B92"/>
    <w:rsid w:val="003F12A6"/>
    <w:rsid w:val="003F2AE7"/>
    <w:rsid w:val="003F4493"/>
    <w:rsid w:val="003F60F8"/>
    <w:rsid w:val="003F6AB8"/>
    <w:rsid w:val="003F74AB"/>
    <w:rsid w:val="003F7991"/>
    <w:rsid w:val="0040132B"/>
    <w:rsid w:val="00401359"/>
    <w:rsid w:val="004021D4"/>
    <w:rsid w:val="004026D8"/>
    <w:rsid w:val="0040274D"/>
    <w:rsid w:val="00402A9E"/>
    <w:rsid w:val="00405129"/>
    <w:rsid w:val="00406354"/>
    <w:rsid w:val="00406FA4"/>
    <w:rsid w:val="00407A22"/>
    <w:rsid w:val="00407A2A"/>
    <w:rsid w:val="004100CD"/>
    <w:rsid w:val="00411B40"/>
    <w:rsid w:val="00412350"/>
    <w:rsid w:val="004123B4"/>
    <w:rsid w:val="00414EFE"/>
    <w:rsid w:val="004157FE"/>
    <w:rsid w:val="00415AB7"/>
    <w:rsid w:val="00417BBE"/>
    <w:rsid w:val="00417FAD"/>
    <w:rsid w:val="00420C96"/>
    <w:rsid w:val="00420F8C"/>
    <w:rsid w:val="00421028"/>
    <w:rsid w:val="004225AF"/>
    <w:rsid w:val="00422F77"/>
    <w:rsid w:val="0042304F"/>
    <w:rsid w:val="0042337D"/>
    <w:rsid w:val="00424F7A"/>
    <w:rsid w:val="004252B2"/>
    <w:rsid w:val="00426783"/>
    <w:rsid w:val="00430359"/>
    <w:rsid w:val="00430BB2"/>
    <w:rsid w:val="00431921"/>
    <w:rsid w:val="004332A7"/>
    <w:rsid w:val="00435DCC"/>
    <w:rsid w:val="004366F3"/>
    <w:rsid w:val="00442070"/>
    <w:rsid w:val="004428BD"/>
    <w:rsid w:val="004449C4"/>
    <w:rsid w:val="00445ED1"/>
    <w:rsid w:val="00446464"/>
    <w:rsid w:val="004466C2"/>
    <w:rsid w:val="00446BBC"/>
    <w:rsid w:val="00446DBB"/>
    <w:rsid w:val="00446E77"/>
    <w:rsid w:val="00447B84"/>
    <w:rsid w:val="00447DCF"/>
    <w:rsid w:val="004511BA"/>
    <w:rsid w:val="004516BD"/>
    <w:rsid w:val="00451A4F"/>
    <w:rsid w:val="00456DE2"/>
    <w:rsid w:val="004620EE"/>
    <w:rsid w:val="004627D8"/>
    <w:rsid w:val="004628AE"/>
    <w:rsid w:val="0046299C"/>
    <w:rsid w:val="00462E1E"/>
    <w:rsid w:val="00462E4E"/>
    <w:rsid w:val="0046400E"/>
    <w:rsid w:val="004649F9"/>
    <w:rsid w:val="00466815"/>
    <w:rsid w:val="00467A5F"/>
    <w:rsid w:val="00467E35"/>
    <w:rsid w:val="004713C9"/>
    <w:rsid w:val="00471516"/>
    <w:rsid w:val="00471C2C"/>
    <w:rsid w:val="00471DBD"/>
    <w:rsid w:val="00471F0E"/>
    <w:rsid w:val="00472707"/>
    <w:rsid w:val="00472D92"/>
    <w:rsid w:val="004742BE"/>
    <w:rsid w:val="00475879"/>
    <w:rsid w:val="00475D5D"/>
    <w:rsid w:val="004764A3"/>
    <w:rsid w:val="004767D0"/>
    <w:rsid w:val="00477167"/>
    <w:rsid w:val="00480EC7"/>
    <w:rsid w:val="0048178E"/>
    <w:rsid w:val="00481A84"/>
    <w:rsid w:val="004855CB"/>
    <w:rsid w:val="00485FD0"/>
    <w:rsid w:val="004878CC"/>
    <w:rsid w:val="00490B2F"/>
    <w:rsid w:val="00490B38"/>
    <w:rsid w:val="00491381"/>
    <w:rsid w:val="0049194D"/>
    <w:rsid w:val="0049358B"/>
    <w:rsid w:val="00494AA3"/>
    <w:rsid w:val="0049566E"/>
    <w:rsid w:val="00495D9A"/>
    <w:rsid w:val="004963A6"/>
    <w:rsid w:val="004A006D"/>
    <w:rsid w:val="004A088E"/>
    <w:rsid w:val="004A16B2"/>
    <w:rsid w:val="004A2D6E"/>
    <w:rsid w:val="004A30A2"/>
    <w:rsid w:val="004A3322"/>
    <w:rsid w:val="004A3993"/>
    <w:rsid w:val="004A4D15"/>
    <w:rsid w:val="004A5544"/>
    <w:rsid w:val="004A6E7D"/>
    <w:rsid w:val="004B016C"/>
    <w:rsid w:val="004B0174"/>
    <w:rsid w:val="004B05C1"/>
    <w:rsid w:val="004B067D"/>
    <w:rsid w:val="004B1B64"/>
    <w:rsid w:val="004B5B03"/>
    <w:rsid w:val="004B6D1C"/>
    <w:rsid w:val="004B7A2C"/>
    <w:rsid w:val="004C0C9A"/>
    <w:rsid w:val="004C1D9B"/>
    <w:rsid w:val="004C21EE"/>
    <w:rsid w:val="004C23DB"/>
    <w:rsid w:val="004C4276"/>
    <w:rsid w:val="004C5180"/>
    <w:rsid w:val="004D0675"/>
    <w:rsid w:val="004D0C60"/>
    <w:rsid w:val="004D28B3"/>
    <w:rsid w:val="004D52DF"/>
    <w:rsid w:val="004D567F"/>
    <w:rsid w:val="004D67B7"/>
    <w:rsid w:val="004D6B6C"/>
    <w:rsid w:val="004D6DAE"/>
    <w:rsid w:val="004E2A67"/>
    <w:rsid w:val="004E3448"/>
    <w:rsid w:val="004E38B2"/>
    <w:rsid w:val="004E4972"/>
    <w:rsid w:val="004E5D88"/>
    <w:rsid w:val="004E682A"/>
    <w:rsid w:val="004E7A61"/>
    <w:rsid w:val="004F02CB"/>
    <w:rsid w:val="004F30DB"/>
    <w:rsid w:val="004F43B8"/>
    <w:rsid w:val="004F6648"/>
    <w:rsid w:val="0050030F"/>
    <w:rsid w:val="0050059A"/>
    <w:rsid w:val="00500860"/>
    <w:rsid w:val="00505849"/>
    <w:rsid w:val="00506DF7"/>
    <w:rsid w:val="005072B8"/>
    <w:rsid w:val="005101AF"/>
    <w:rsid w:val="00512B6C"/>
    <w:rsid w:val="00513EFF"/>
    <w:rsid w:val="00514A9F"/>
    <w:rsid w:val="00514B1A"/>
    <w:rsid w:val="00514CC6"/>
    <w:rsid w:val="0051705A"/>
    <w:rsid w:val="0051757F"/>
    <w:rsid w:val="00521147"/>
    <w:rsid w:val="00523371"/>
    <w:rsid w:val="00524850"/>
    <w:rsid w:val="00524D94"/>
    <w:rsid w:val="00525600"/>
    <w:rsid w:val="0052650D"/>
    <w:rsid w:val="005274DD"/>
    <w:rsid w:val="00527CC2"/>
    <w:rsid w:val="00531C72"/>
    <w:rsid w:val="00532969"/>
    <w:rsid w:val="00533245"/>
    <w:rsid w:val="00533B10"/>
    <w:rsid w:val="00533CFF"/>
    <w:rsid w:val="00534385"/>
    <w:rsid w:val="00541B17"/>
    <w:rsid w:val="00541BD4"/>
    <w:rsid w:val="00544207"/>
    <w:rsid w:val="00544BD9"/>
    <w:rsid w:val="00545115"/>
    <w:rsid w:val="005458A5"/>
    <w:rsid w:val="00546726"/>
    <w:rsid w:val="0054679C"/>
    <w:rsid w:val="0054685A"/>
    <w:rsid w:val="005468AA"/>
    <w:rsid w:val="005475CC"/>
    <w:rsid w:val="00550026"/>
    <w:rsid w:val="005520EA"/>
    <w:rsid w:val="00552B12"/>
    <w:rsid w:val="0055399B"/>
    <w:rsid w:val="00553EDC"/>
    <w:rsid w:val="005552F8"/>
    <w:rsid w:val="00555932"/>
    <w:rsid w:val="0055732A"/>
    <w:rsid w:val="005574BA"/>
    <w:rsid w:val="00557C40"/>
    <w:rsid w:val="00560222"/>
    <w:rsid w:val="005605D7"/>
    <w:rsid w:val="00561E36"/>
    <w:rsid w:val="00563FEC"/>
    <w:rsid w:val="00564687"/>
    <w:rsid w:val="0056478A"/>
    <w:rsid w:val="00564F10"/>
    <w:rsid w:val="0056587B"/>
    <w:rsid w:val="00566280"/>
    <w:rsid w:val="0056765B"/>
    <w:rsid w:val="005679C1"/>
    <w:rsid w:val="00572952"/>
    <w:rsid w:val="00572B07"/>
    <w:rsid w:val="00573670"/>
    <w:rsid w:val="00574CAA"/>
    <w:rsid w:val="00580DA7"/>
    <w:rsid w:val="00581AD6"/>
    <w:rsid w:val="00583FA6"/>
    <w:rsid w:val="0058426F"/>
    <w:rsid w:val="00584375"/>
    <w:rsid w:val="005857CE"/>
    <w:rsid w:val="005914F2"/>
    <w:rsid w:val="00593800"/>
    <w:rsid w:val="005941FD"/>
    <w:rsid w:val="00595A21"/>
    <w:rsid w:val="005A1B73"/>
    <w:rsid w:val="005A2142"/>
    <w:rsid w:val="005A23C6"/>
    <w:rsid w:val="005A30F6"/>
    <w:rsid w:val="005A37E9"/>
    <w:rsid w:val="005A3FCD"/>
    <w:rsid w:val="005A404A"/>
    <w:rsid w:val="005A5278"/>
    <w:rsid w:val="005A551E"/>
    <w:rsid w:val="005A7084"/>
    <w:rsid w:val="005A70A5"/>
    <w:rsid w:val="005A7242"/>
    <w:rsid w:val="005B0665"/>
    <w:rsid w:val="005B08BC"/>
    <w:rsid w:val="005B2208"/>
    <w:rsid w:val="005B2CA4"/>
    <w:rsid w:val="005B3494"/>
    <w:rsid w:val="005B3CC1"/>
    <w:rsid w:val="005B4283"/>
    <w:rsid w:val="005B519E"/>
    <w:rsid w:val="005B51DF"/>
    <w:rsid w:val="005B5E80"/>
    <w:rsid w:val="005B77FF"/>
    <w:rsid w:val="005B78FF"/>
    <w:rsid w:val="005C07C1"/>
    <w:rsid w:val="005C0D64"/>
    <w:rsid w:val="005C1F5D"/>
    <w:rsid w:val="005C5012"/>
    <w:rsid w:val="005C7867"/>
    <w:rsid w:val="005D08EA"/>
    <w:rsid w:val="005D1145"/>
    <w:rsid w:val="005D241A"/>
    <w:rsid w:val="005D5082"/>
    <w:rsid w:val="005D7A7F"/>
    <w:rsid w:val="005E045A"/>
    <w:rsid w:val="005E0587"/>
    <w:rsid w:val="005E2C89"/>
    <w:rsid w:val="005E4104"/>
    <w:rsid w:val="005E410C"/>
    <w:rsid w:val="005E4EFC"/>
    <w:rsid w:val="005E7980"/>
    <w:rsid w:val="005F039E"/>
    <w:rsid w:val="005F0E4E"/>
    <w:rsid w:val="005F3048"/>
    <w:rsid w:val="005F33E1"/>
    <w:rsid w:val="005F35A0"/>
    <w:rsid w:val="005F399D"/>
    <w:rsid w:val="005F5A94"/>
    <w:rsid w:val="005F5F58"/>
    <w:rsid w:val="005F639E"/>
    <w:rsid w:val="005F676E"/>
    <w:rsid w:val="005F6B9C"/>
    <w:rsid w:val="005F6E6B"/>
    <w:rsid w:val="005F6F22"/>
    <w:rsid w:val="005F76D1"/>
    <w:rsid w:val="00600B9D"/>
    <w:rsid w:val="00600C87"/>
    <w:rsid w:val="00601FD1"/>
    <w:rsid w:val="006028C6"/>
    <w:rsid w:val="00602AD0"/>
    <w:rsid w:val="00603172"/>
    <w:rsid w:val="006031D0"/>
    <w:rsid w:val="00603486"/>
    <w:rsid w:val="00604440"/>
    <w:rsid w:val="00605999"/>
    <w:rsid w:val="00605C34"/>
    <w:rsid w:val="00605CF4"/>
    <w:rsid w:val="00607DA4"/>
    <w:rsid w:val="00610553"/>
    <w:rsid w:val="00610E9B"/>
    <w:rsid w:val="0061177B"/>
    <w:rsid w:val="006120A2"/>
    <w:rsid w:val="0061240F"/>
    <w:rsid w:val="006124C4"/>
    <w:rsid w:val="006130E4"/>
    <w:rsid w:val="00616736"/>
    <w:rsid w:val="00616843"/>
    <w:rsid w:val="00616E06"/>
    <w:rsid w:val="006176F2"/>
    <w:rsid w:val="00617DC4"/>
    <w:rsid w:val="00623EA8"/>
    <w:rsid w:val="006251A1"/>
    <w:rsid w:val="00627B6B"/>
    <w:rsid w:val="0063070F"/>
    <w:rsid w:val="00631FE2"/>
    <w:rsid w:val="0063377E"/>
    <w:rsid w:val="00636F2E"/>
    <w:rsid w:val="00641068"/>
    <w:rsid w:val="00641770"/>
    <w:rsid w:val="00641F83"/>
    <w:rsid w:val="00643630"/>
    <w:rsid w:val="00646658"/>
    <w:rsid w:val="00646B01"/>
    <w:rsid w:val="00647821"/>
    <w:rsid w:val="00650391"/>
    <w:rsid w:val="00651F3B"/>
    <w:rsid w:val="0065218B"/>
    <w:rsid w:val="00652773"/>
    <w:rsid w:val="00653315"/>
    <w:rsid w:val="006551A0"/>
    <w:rsid w:val="00655B3F"/>
    <w:rsid w:val="00657788"/>
    <w:rsid w:val="006616EE"/>
    <w:rsid w:val="00661A7C"/>
    <w:rsid w:val="00663B91"/>
    <w:rsid w:val="00663EAE"/>
    <w:rsid w:val="006642FA"/>
    <w:rsid w:val="0066498B"/>
    <w:rsid w:val="00666050"/>
    <w:rsid w:val="00671D30"/>
    <w:rsid w:val="00672484"/>
    <w:rsid w:val="00672856"/>
    <w:rsid w:val="00673ECD"/>
    <w:rsid w:val="0067526C"/>
    <w:rsid w:val="00675EFB"/>
    <w:rsid w:val="00676DA7"/>
    <w:rsid w:val="006777C7"/>
    <w:rsid w:val="00677B54"/>
    <w:rsid w:val="00680BCC"/>
    <w:rsid w:val="00680C02"/>
    <w:rsid w:val="00680F22"/>
    <w:rsid w:val="006814C7"/>
    <w:rsid w:val="00682861"/>
    <w:rsid w:val="00683FF2"/>
    <w:rsid w:val="006868A0"/>
    <w:rsid w:val="00687774"/>
    <w:rsid w:val="00687B01"/>
    <w:rsid w:val="00690C7A"/>
    <w:rsid w:val="0069289D"/>
    <w:rsid w:val="00692E5A"/>
    <w:rsid w:val="006940BE"/>
    <w:rsid w:val="00694124"/>
    <w:rsid w:val="006961F2"/>
    <w:rsid w:val="00696AE3"/>
    <w:rsid w:val="00697226"/>
    <w:rsid w:val="006A03DD"/>
    <w:rsid w:val="006A04F8"/>
    <w:rsid w:val="006A2D76"/>
    <w:rsid w:val="006A3D1B"/>
    <w:rsid w:val="006A54F5"/>
    <w:rsid w:val="006A6EBC"/>
    <w:rsid w:val="006A7411"/>
    <w:rsid w:val="006B13E8"/>
    <w:rsid w:val="006B2761"/>
    <w:rsid w:val="006B423F"/>
    <w:rsid w:val="006B5020"/>
    <w:rsid w:val="006B5501"/>
    <w:rsid w:val="006B697D"/>
    <w:rsid w:val="006B7971"/>
    <w:rsid w:val="006B79C5"/>
    <w:rsid w:val="006C0117"/>
    <w:rsid w:val="006C3886"/>
    <w:rsid w:val="006C6994"/>
    <w:rsid w:val="006D0A33"/>
    <w:rsid w:val="006D4450"/>
    <w:rsid w:val="006D4FD1"/>
    <w:rsid w:val="006D5D8C"/>
    <w:rsid w:val="006D69F7"/>
    <w:rsid w:val="006E0973"/>
    <w:rsid w:val="006E0C5A"/>
    <w:rsid w:val="006E0DF1"/>
    <w:rsid w:val="006E14CC"/>
    <w:rsid w:val="006E2EFC"/>
    <w:rsid w:val="006E3206"/>
    <w:rsid w:val="006E360F"/>
    <w:rsid w:val="006E4454"/>
    <w:rsid w:val="006E511C"/>
    <w:rsid w:val="006E635E"/>
    <w:rsid w:val="006E7BB1"/>
    <w:rsid w:val="006F24D4"/>
    <w:rsid w:val="006F3738"/>
    <w:rsid w:val="006F6212"/>
    <w:rsid w:val="006F6CE7"/>
    <w:rsid w:val="00700DD7"/>
    <w:rsid w:val="007011AF"/>
    <w:rsid w:val="007022A4"/>
    <w:rsid w:val="0070366F"/>
    <w:rsid w:val="007050AB"/>
    <w:rsid w:val="00705BB7"/>
    <w:rsid w:val="0070679A"/>
    <w:rsid w:val="00707C14"/>
    <w:rsid w:val="00711D92"/>
    <w:rsid w:val="00711F4D"/>
    <w:rsid w:val="00712577"/>
    <w:rsid w:val="0071289E"/>
    <w:rsid w:val="0071386C"/>
    <w:rsid w:val="00713A8C"/>
    <w:rsid w:val="0071587D"/>
    <w:rsid w:val="00717125"/>
    <w:rsid w:val="007226F5"/>
    <w:rsid w:val="007231DC"/>
    <w:rsid w:val="00724140"/>
    <w:rsid w:val="0072458B"/>
    <w:rsid w:val="00724D88"/>
    <w:rsid w:val="007251A4"/>
    <w:rsid w:val="00726166"/>
    <w:rsid w:val="00726253"/>
    <w:rsid w:val="00727AFC"/>
    <w:rsid w:val="00730561"/>
    <w:rsid w:val="00732AD0"/>
    <w:rsid w:val="00733FAE"/>
    <w:rsid w:val="007365B6"/>
    <w:rsid w:val="00737070"/>
    <w:rsid w:val="00740B0A"/>
    <w:rsid w:val="00740CAF"/>
    <w:rsid w:val="0074136E"/>
    <w:rsid w:val="0074199E"/>
    <w:rsid w:val="00741EFB"/>
    <w:rsid w:val="00742A00"/>
    <w:rsid w:val="007431E3"/>
    <w:rsid w:val="0074471F"/>
    <w:rsid w:val="00745349"/>
    <w:rsid w:val="00746416"/>
    <w:rsid w:val="00747128"/>
    <w:rsid w:val="00750356"/>
    <w:rsid w:val="00750B0F"/>
    <w:rsid w:val="007510D4"/>
    <w:rsid w:val="00752181"/>
    <w:rsid w:val="007522F6"/>
    <w:rsid w:val="00753A1F"/>
    <w:rsid w:val="00754413"/>
    <w:rsid w:val="0075529E"/>
    <w:rsid w:val="007604BB"/>
    <w:rsid w:val="007619D2"/>
    <w:rsid w:val="00767440"/>
    <w:rsid w:val="00770376"/>
    <w:rsid w:val="007714FC"/>
    <w:rsid w:val="007719CF"/>
    <w:rsid w:val="007751B6"/>
    <w:rsid w:val="00775876"/>
    <w:rsid w:val="00775FF7"/>
    <w:rsid w:val="00776C6C"/>
    <w:rsid w:val="00776DCC"/>
    <w:rsid w:val="007779AA"/>
    <w:rsid w:val="00780C87"/>
    <w:rsid w:val="00781A49"/>
    <w:rsid w:val="007837CB"/>
    <w:rsid w:val="00784B29"/>
    <w:rsid w:val="00784D03"/>
    <w:rsid w:val="007850B5"/>
    <w:rsid w:val="00785397"/>
    <w:rsid w:val="00785559"/>
    <w:rsid w:val="007859E4"/>
    <w:rsid w:val="00785DC1"/>
    <w:rsid w:val="00786C0C"/>
    <w:rsid w:val="00786DF1"/>
    <w:rsid w:val="00787215"/>
    <w:rsid w:val="00790351"/>
    <w:rsid w:val="007921CE"/>
    <w:rsid w:val="00792B07"/>
    <w:rsid w:val="00793270"/>
    <w:rsid w:val="00793853"/>
    <w:rsid w:val="007942B4"/>
    <w:rsid w:val="00794FCB"/>
    <w:rsid w:val="00796BC8"/>
    <w:rsid w:val="007A073C"/>
    <w:rsid w:val="007A1B09"/>
    <w:rsid w:val="007A1FB0"/>
    <w:rsid w:val="007A2094"/>
    <w:rsid w:val="007A33B1"/>
    <w:rsid w:val="007A3A26"/>
    <w:rsid w:val="007A462E"/>
    <w:rsid w:val="007A4D7D"/>
    <w:rsid w:val="007A5189"/>
    <w:rsid w:val="007A5A1B"/>
    <w:rsid w:val="007A5B51"/>
    <w:rsid w:val="007A5FA4"/>
    <w:rsid w:val="007A6CC5"/>
    <w:rsid w:val="007B0B08"/>
    <w:rsid w:val="007B1C2B"/>
    <w:rsid w:val="007B212C"/>
    <w:rsid w:val="007B245D"/>
    <w:rsid w:val="007B2F03"/>
    <w:rsid w:val="007B3463"/>
    <w:rsid w:val="007B3CC4"/>
    <w:rsid w:val="007B404D"/>
    <w:rsid w:val="007B4282"/>
    <w:rsid w:val="007B4452"/>
    <w:rsid w:val="007B4D19"/>
    <w:rsid w:val="007B5C86"/>
    <w:rsid w:val="007B7531"/>
    <w:rsid w:val="007B7BA6"/>
    <w:rsid w:val="007C0DDF"/>
    <w:rsid w:val="007C23BB"/>
    <w:rsid w:val="007C31D8"/>
    <w:rsid w:val="007C4003"/>
    <w:rsid w:val="007C6988"/>
    <w:rsid w:val="007C7550"/>
    <w:rsid w:val="007D150D"/>
    <w:rsid w:val="007D1AEE"/>
    <w:rsid w:val="007D2B34"/>
    <w:rsid w:val="007D60A2"/>
    <w:rsid w:val="007D7444"/>
    <w:rsid w:val="007D7759"/>
    <w:rsid w:val="007D7C1C"/>
    <w:rsid w:val="007E143C"/>
    <w:rsid w:val="007E2C2C"/>
    <w:rsid w:val="007E3ADA"/>
    <w:rsid w:val="007E3E8E"/>
    <w:rsid w:val="007E4D21"/>
    <w:rsid w:val="007E4F68"/>
    <w:rsid w:val="007E6F92"/>
    <w:rsid w:val="007E7D37"/>
    <w:rsid w:val="007F064A"/>
    <w:rsid w:val="007F0E9B"/>
    <w:rsid w:val="007F26A7"/>
    <w:rsid w:val="007F3242"/>
    <w:rsid w:val="007F3E23"/>
    <w:rsid w:val="007F43CB"/>
    <w:rsid w:val="007F448C"/>
    <w:rsid w:val="007F5DCE"/>
    <w:rsid w:val="007F6A31"/>
    <w:rsid w:val="00800C00"/>
    <w:rsid w:val="00800C9C"/>
    <w:rsid w:val="0080288B"/>
    <w:rsid w:val="008031C4"/>
    <w:rsid w:val="0080339D"/>
    <w:rsid w:val="0080456C"/>
    <w:rsid w:val="008047E8"/>
    <w:rsid w:val="00805932"/>
    <w:rsid w:val="00805D30"/>
    <w:rsid w:val="00806958"/>
    <w:rsid w:val="00806C85"/>
    <w:rsid w:val="00807F89"/>
    <w:rsid w:val="00810E1D"/>
    <w:rsid w:val="00813B83"/>
    <w:rsid w:val="00815554"/>
    <w:rsid w:val="00815845"/>
    <w:rsid w:val="00815D6A"/>
    <w:rsid w:val="00815F97"/>
    <w:rsid w:val="00816416"/>
    <w:rsid w:val="00817133"/>
    <w:rsid w:val="00820A3C"/>
    <w:rsid w:val="008213D4"/>
    <w:rsid w:val="00821A09"/>
    <w:rsid w:val="00822B36"/>
    <w:rsid w:val="00822D2B"/>
    <w:rsid w:val="00826ACC"/>
    <w:rsid w:val="0082704A"/>
    <w:rsid w:val="00834355"/>
    <w:rsid w:val="00834DE0"/>
    <w:rsid w:val="00835BB2"/>
    <w:rsid w:val="008373D6"/>
    <w:rsid w:val="00837953"/>
    <w:rsid w:val="00837971"/>
    <w:rsid w:val="00837B09"/>
    <w:rsid w:val="00842A56"/>
    <w:rsid w:val="00842C51"/>
    <w:rsid w:val="00843034"/>
    <w:rsid w:val="008437D5"/>
    <w:rsid w:val="00843E8E"/>
    <w:rsid w:val="00843FAA"/>
    <w:rsid w:val="008466B3"/>
    <w:rsid w:val="0084689B"/>
    <w:rsid w:val="00847514"/>
    <w:rsid w:val="00847E27"/>
    <w:rsid w:val="008502AF"/>
    <w:rsid w:val="008511A9"/>
    <w:rsid w:val="00853D22"/>
    <w:rsid w:val="00853D48"/>
    <w:rsid w:val="008559A3"/>
    <w:rsid w:val="00855FE0"/>
    <w:rsid w:val="00856438"/>
    <w:rsid w:val="00857C59"/>
    <w:rsid w:val="00860FF7"/>
    <w:rsid w:val="0086136C"/>
    <w:rsid w:val="00862AE1"/>
    <w:rsid w:val="00863E5E"/>
    <w:rsid w:val="00865A05"/>
    <w:rsid w:val="008674E0"/>
    <w:rsid w:val="00870088"/>
    <w:rsid w:val="008700CD"/>
    <w:rsid w:val="0087020E"/>
    <w:rsid w:val="008710AF"/>
    <w:rsid w:val="00871355"/>
    <w:rsid w:val="0087185B"/>
    <w:rsid w:val="0087741A"/>
    <w:rsid w:val="00880993"/>
    <w:rsid w:val="00880B00"/>
    <w:rsid w:val="00881200"/>
    <w:rsid w:val="00881240"/>
    <w:rsid w:val="00881336"/>
    <w:rsid w:val="00881B49"/>
    <w:rsid w:val="00881E51"/>
    <w:rsid w:val="00883722"/>
    <w:rsid w:val="00884604"/>
    <w:rsid w:val="00884C38"/>
    <w:rsid w:val="00885C6B"/>
    <w:rsid w:val="008900E5"/>
    <w:rsid w:val="0089036E"/>
    <w:rsid w:val="00893A32"/>
    <w:rsid w:val="00894033"/>
    <w:rsid w:val="00894863"/>
    <w:rsid w:val="00895367"/>
    <w:rsid w:val="008965B2"/>
    <w:rsid w:val="00896ABC"/>
    <w:rsid w:val="0089725C"/>
    <w:rsid w:val="008A0447"/>
    <w:rsid w:val="008A076E"/>
    <w:rsid w:val="008A0ACB"/>
    <w:rsid w:val="008A0DFF"/>
    <w:rsid w:val="008A1F22"/>
    <w:rsid w:val="008A25DE"/>
    <w:rsid w:val="008A2E69"/>
    <w:rsid w:val="008A3F66"/>
    <w:rsid w:val="008A5DDB"/>
    <w:rsid w:val="008A6CD7"/>
    <w:rsid w:val="008A7545"/>
    <w:rsid w:val="008B0063"/>
    <w:rsid w:val="008B06C7"/>
    <w:rsid w:val="008B0BD6"/>
    <w:rsid w:val="008B1D63"/>
    <w:rsid w:val="008B696D"/>
    <w:rsid w:val="008C2315"/>
    <w:rsid w:val="008C25C8"/>
    <w:rsid w:val="008C4048"/>
    <w:rsid w:val="008C66F3"/>
    <w:rsid w:val="008C6AD5"/>
    <w:rsid w:val="008C6B72"/>
    <w:rsid w:val="008C6C72"/>
    <w:rsid w:val="008C7683"/>
    <w:rsid w:val="008D0BB5"/>
    <w:rsid w:val="008D1423"/>
    <w:rsid w:val="008D1E2C"/>
    <w:rsid w:val="008D1FAC"/>
    <w:rsid w:val="008D2022"/>
    <w:rsid w:val="008D2A24"/>
    <w:rsid w:val="008D2B36"/>
    <w:rsid w:val="008D48F1"/>
    <w:rsid w:val="008D6067"/>
    <w:rsid w:val="008D6BE5"/>
    <w:rsid w:val="008E0330"/>
    <w:rsid w:val="008E0435"/>
    <w:rsid w:val="008E0D1A"/>
    <w:rsid w:val="008E7EBA"/>
    <w:rsid w:val="008F0BAF"/>
    <w:rsid w:val="008F0F45"/>
    <w:rsid w:val="008F131E"/>
    <w:rsid w:val="008F179E"/>
    <w:rsid w:val="008F1B6D"/>
    <w:rsid w:val="008F1C7C"/>
    <w:rsid w:val="008F22E0"/>
    <w:rsid w:val="008F246F"/>
    <w:rsid w:val="008F2840"/>
    <w:rsid w:val="008F4E7D"/>
    <w:rsid w:val="008F5824"/>
    <w:rsid w:val="008F666A"/>
    <w:rsid w:val="008F6C15"/>
    <w:rsid w:val="008F7456"/>
    <w:rsid w:val="008F74A2"/>
    <w:rsid w:val="008F7584"/>
    <w:rsid w:val="0090014E"/>
    <w:rsid w:val="00900A87"/>
    <w:rsid w:val="00901794"/>
    <w:rsid w:val="009036E6"/>
    <w:rsid w:val="00904B1C"/>
    <w:rsid w:val="00904FA8"/>
    <w:rsid w:val="009050AA"/>
    <w:rsid w:val="009052CA"/>
    <w:rsid w:val="00905810"/>
    <w:rsid w:val="0090643F"/>
    <w:rsid w:val="009076D8"/>
    <w:rsid w:val="00910470"/>
    <w:rsid w:val="00911044"/>
    <w:rsid w:val="00912E24"/>
    <w:rsid w:val="0091335C"/>
    <w:rsid w:val="00914112"/>
    <w:rsid w:val="009145C9"/>
    <w:rsid w:val="00914EB8"/>
    <w:rsid w:val="00915CAB"/>
    <w:rsid w:val="00915EB5"/>
    <w:rsid w:val="00920C09"/>
    <w:rsid w:val="00922A56"/>
    <w:rsid w:val="0092343D"/>
    <w:rsid w:val="0092447B"/>
    <w:rsid w:val="00924CF9"/>
    <w:rsid w:val="00924D7D"/>
    <w:rsid w:val="00925DD4"/>
    <w:rsid w:val="0093085A"/>
    <w:rsid w:val="00930F2E"/>
    <w:rsid w:val="009312F5"/>
    <w:rsid w:val="009317F6"/>
    <w:rsid w:val="0093283C"/>
    <w:rsid w:val="0093650C"/>
    <w:rsid w:val="00936939"/>
    <w:rsid w:val="0093727C"/>
    <w:rsid w:val="009373A3"/>
    <w:rsid w:val="00941D06"/>
    <w:rsid w:val="009420D6"/>
    <w:rsid w:val="009426D2"/>
    <w:rsid w:val="00943DFE"/>
    <w:rsid w:val="0094410E"/>
    <w:rsid w:val="00944572"/>
    <w:rsid w:val="00946BF0"/>
    <w:rsid w:val="00947602"/>
    <w:rsid w:val="00947DBD"/>
    <w:rsid w:val="00950730"/>
    <w:rsid w:val="009511B7"/>
    <w:rsid w:val="00951FC4"/>
    <w:rsid w:val="00953BD2"/>
    <w:rsid w:val="00954A4E"/>
    <w:rsid w:val="00954C1E"/>
    <w:rsid w:val="00954FD0"/>
    <w:rsid w:val="009562B8"/>
    <w:rsid w:val="00962398"/>
    <w:rsid w:val="00962E55"/>
    <w:rsid w:val="00962EDA"/>
    <w:rsid w:val="00964A52"/>
    <w:rsid w:val="00964A6E"/>
    <w:rsid w:val="00964E95"/>
    <w:rsid w:val="009653A0"/>
    <w:rsid w:val="009659C3"/>
    <w:rsid w:val="00965CA4"/>
    <w:rsid w:val="00966D7F"/>
    <w:rsid w:val="009702A0"/>
    <w:rsid w:val="00971E86"/>
    <w:rsid w:val="00972D7A"/>
    <w:rsid w:val="0097346C"/>
    <w:rsid w:val="009747D7"/>
    <w:rsid w:val="0097491E"/>
    <w:rsid w:val="00975980"/>
    <w:rsid w:val="009762F3"/>
    <w:rsid w:val="00977D1C"/>
    <w:rsid w:val="009809A8"/>
    <w:rsid w:val="00980D04"/>
    <w:rsid w:val="00982035"/>
    <w:rsid w:val="00982755"/>
    <w:rsid w:val="00983828"/>
    <w:rsid w:val="00983EF0"/>
    <w:rsid w:val="00985048"/>
    <w:rsid w:val="00986713"/>
    <w:rsid w:val="0098723D"/>
    <w:rsid w:val="00987645"/>
    <w:rsid w:val="00987ABB"/>
    <w:rsid w:val="00992CA5"/>
    <w:rsid w:val="0099304B"/>
    <w:rsid w:val="0099593B"/>
    <w:rsid w:val="00996152"/>
    <w:rsid w:val="0099634B"/>
    <w:rsid w:val="009963A1"/>
    <w:rsid w:val="009963EE"/>
    <w:rsid w:val="00997D07"/>
    <w:rsid w:val="009A0B56"/>
    <w:rsid w:val="009A155F"/>
    <w:rsid w:val="009A21CA"/>
    <w:rsid w:val="009A2616"/>
    <w:rsid w:val="009A2977"/>
    <w:rsid w:val="009A29DB"/>
    <w:rsid w:val="009A4C7A"/>
    <w:rsid w:val="009A5C3D"/>
    <w:rsid w:val="009A7CEC"/>
    <w:rsid w:val="009B0095"/>
    <w:rsid w:val="009B1AAA"/>
    <w:rsid w:val="009B2D47"/>
    <w:rsid w:val="009B339E"/>
    <w:rsid w:val="009B4281"/>
    <w:rsid w:val="009B5389"/>
    <w:rsid w:val="009B74E0"/>
    <w:rsid w:val="009B7CEC"/>
    <w:rsid w:val="009C0644"/>
    <w:rsid w:val="009C2DD9"/>
    <w:rsid w:val="009C2FC2"/>
    <w:rsid w:val="009C3A6B"/>
    <w:rsid w:val="009C431A"/>
    <w:rsid w:val="009C48F0"/>
    <w:rsid w:val="009C52BF"/>
    <w:rsid w:val="009D154A"/>
    <w:rsid w:val="009D2FA6"/>
    <w:rsid w:val="009D4149"/>
    <w:rsid w:val="009D5BF6"/>
    <w:rsid w:val="009D720A"/>
    <w:rsid w:val="009D7CA5"/>
    <w:rsid w:val="009D7FF0"/>
    <w:rsid w:val="009E0A41"/>
    <w:rsid w:val="009E0F5E"/>
    <w:rsid w:val="009E1A26"/>
    <w:rsid w:val="009E1ED9"/>
    <w:rsid w:val="009E2204"/>
    <w:rsid w:val="009E27D8"/>
    <w:rsid w:val="009E3264"/>
    <w:rsid w:val="009E32C7"/>
    <w:rsid w:val="009E3737"/>
    <w:rsid w:val="009E3E94"/>
    <w:rsid w:val="009E4EA9"/>
    <w:rsid w:val="009E561C"/>
    <w:rsid w:val="009F0BD5"/>
    <w:rsid w:val="009F2E19"/>
    <w:rsid w:val="009F2F53"/>
    <w:rsid w:val="009F544A"/>
    <w:rsid w:val="009F5C0F"/>
    <w:rsid w:val="00A00849"/>
    <w:rsid w:val="00A01590"/>
    <w:rsid w:val="00A019A0"/>
    <w:rsid w:val="00A020E3"/>
    <w:rsid w:val="00A02BE7"/>
    <w:rsid w:val="00A0370B"/>
    <w:rsid w:val="00A03803"/>
    <w:rsid w:val="00A06702"/>
    <w:rsid w:val="00A067F2"/>
    <w:rsid w:val="00A06B3E"/>
    <w:rsid w:val="00A0724A"/>
    <w:rsid w:val="00A1004D"/>
    <w:rsid w:val="00A10CBA"/>
    <w:rsid w:val="00A10D7F"/>
    <w:rsid w:val="00A13764"/>
    <w:rsid w:val="00A14AE7"/>
    <w:rsid w:val="00A14D00"/>
    <w:rsid w:val="00A15416"/>
    <w:rsid w:val="00A15684"/>
    <w:rsid w:val="00A15C17"/>
    <w:rsid w:val="00A16078"/>
    <w:rsid w:val="00A16C00"/>
    <w:rsid w:val="00A1783D"/>
    <w:rsid w:val="00A206CA"/>
    <w:rsid w:val="00A22282"/>
    <w:rsid w:val="00A2376E"/>
    <w:rsid w:val="00A244EE"/>
    <w:rsid w:val="00A253EE"/>
    <w:rsid w:val="00A2610B"/>
    <w:rsid w:val="00A27B50"/>
    <w:rsid w:val="00A27B5D"/>
    <w:rsid w:val="00A310AD"/>
    <w:rsid w:val="00A311CA"/>
    <w:rsid w:val="00A33D79"/>
    <w:rsid w:val="00A35388"/>
    <w:rsid w:val="00A3687E"/>
    <w:rsid w:val="00A405BF"/>
    <w:rsid w:val="00A41CD4"/>
    <w:rsid w:val="00A42002"/>
    <w:rsid w:val="00A43A37"/>
    <w:rsid w:val="00A44C86"/>
    <w:rsid w:val="00A45B20"/>
    <w:rsid w:val="00A50A1B"/>
    <w:rsid w:val="00A516F4"/>
    <w:rsid w:val="00A52D68"/>
    <w:rsid w:val="00A52EAF"/>
    <w:rsid w:val="00A54423"/>
    <w:rsid w:val="00A5545C"/>
    <w:rsid w:val="00A56151"/>
    <w:rsid w:val="00A56493"/>
    <w:rsid w:val="00A56A3B"/>
    <w:rsid w:val="00A57C5B"/>
    <w:rsid w:val="00A611A5"/>
    <w:rsid w:val="00A6209B"/>
    <w:rsid w:val="00A6243F"/>
    <w:rsid w:val="00A6380F"/>
    <w:rsid w:val="00A63DBB"/>
    <w:rsid w:val="00A67EA4"/>
    <w:rsid w:val="00A74002"/>
    <w:rsid w:val="00A745F3"/>
    <w:rsid w:val="00A74637"/>
    <w:rsid w:val="00A74810"/>
    <w:rsid w:val="00A757C4"/>
    <w:rsid w:val="00A775AA"/>
    <w:rsid w:val="00A77CA6"/>
    <w:rsid w:val="00A77D08"/>
    <w:rsid w:val="00A80D6F"/>
    <w:rsid w:val="00A80E49"/>
    <w:rsid w:val="00A81B35"/>
    <w:rsid w:val="00A81C6E"/>
    <w:rsid w:val="00A82445"/>
    <w:rsid w:val="00A82E65"/>
    <w:rsid w:val="00A837A8"/>
    <w:rsid w:val="00A849F3"/>
    <w:rsid w:val="00A84EBD"/>
    <w:rsid w:val="00A84F2F"/>
    <w:rsid w:val="00A850C5"/>
    <w:rsid w:val="00A858B7"/>
    <w:rsid w:val="00A863EA"/>
    <w:rsid w:val="00A86E6D"/>
    <w:rsid w:val="00A873EB"/>
    <w:rsid w:val="00A874C8"/>
    <w:rsid w:val="00A90783"/>
    <w:rsid w:val="00A909E3"/>
    <w:rsid w:val="00A92A2B"/>
    <w:rsid w:val="00A93696"/>
    <w:rsid w:val="00A93FF3"/>
    <w:rsid w:val="00A94C70"/>
    <w:rsid w:val="00A95577"/>
    <w:rsid w:val="00A95622"/>
    <w:rsid w:val="00A96611"/>
    <w:rsid w:val="00A96BCB"/>
    <w:rsid w:val="00A97A2A"/>
    <w:rsid w:val="00AA0C13"/>
    <w:rsid w:val="00AA15ED"/>
    <w:rsid w:val="00AA35DD"/>
    <w:rsid w:val="00AA508C"/>
    <w:rsid w:val="00AA6136"/>
    <w:rsid w:val="00AB01B0"/>
    <w:rsid w:val="00AB103C"/>
    <w:rsid w:val="00AB1505"/>
    <w:rsid w:val="00AB17A8"/>
    <w:rsid w:val="00AB220B"/>
    <w:rsid w:val="00AB2F9D"/>
    <w:rsid w:val="00AB3608"/>
    <w:rsid w:val="00AB39EF"/>
    <w:rsid w:val="00AB5649"/>
    <w:rsid w:val="00AB595B"/>
    <w:rsid w:val="00AB610D"/>
    <w:rsid w:val="00AB6C7E"/>
    <w:rsid w:val="00AB7535"/>
    <w:rsid w:val="00AC0854"/>
    <w:rsid w:val="00AC08AB"/>
    <w:rsid w:val="00AC1D0E"/>
    <w:rsid w:val="00AC3037"/>
    <w:rsid w:val="00AC3379"/>
    <w:rsid w:val="00AC46B1"/>
    <w:rsid w:val="00AC4D36"/>
    <w:rsid w:val="00AC5433"/>
    <w:rsid w:val="00AC55BF"/>
    <w:rsid w:val="00AC60BD"/>
    <w:rsid w:val="00AC7775"/>
    <w:rsid w:val="00AC7FBE"/>
    <w:rsid w:val="00AD04A9"/>
    <w:rsid w:val="00AD22CC"/>
    <w:rsid w:val="00AD4550"/>
    <w:rsid w:val="00AD544A"/>
    <w:rsid w:val="00AD7CB2"/>
    <w:rsid w:val="00AD7DCD"/>
    <w:rsid w:val="00AE0AA7"/>
    <w:rsid w:val="00AE0BC7"/>
    <w:rsid w:val="00AE25A0"/>
    <w:rsid w:val="00AE2D70"/>
    <w:rsid w:val="00AE38A7"/>
    <w:rsid w:val="00AE3D71"/>
    <w:rsid w:val="00AE454F"/>
    <w:rsid w:val="00AE49E6"/>
    <w:rsid w:val="00AE4FD6"/>
    <w:rsid w:val="00AE547B"/>
    <w:rsid w:val="00AE665E"/>
    <w:rsid w:val="00AE71B7"/>
    <w:rsid w:val="00AE7E5A"/>
    <w:rsid w:val="00AF2985"/>
    <w:rsid w:val="00AF2CF8"/>
    <w:rsid w:val="00AF3E3B"/>
    <w:rsid w:val="00AF448B"/>
    <w:rsid w:val="00AF5896"/>
    <w:rsid w:val="00AF7CE4"/>
    <w:rsid w:val="00B00166"/>
    <w:rsid w:val="00B004AE"/>
    <w:rsid w:val="00B00786"/>
    <w:rsid w:val="00B01642"/>
    <w:rsid w:val="00B04DF1"/>
    <w:rsid w:val="00B05389"/>
    <w:rsid w:val="00B07FEE"/>
    <w:rsid w:val="00B14292"/>
    <w:rsid w:val="00B145D0"/>
    <w:rsid w:val="00B14B7E"/>
    <w:rsid w:val="00B14D98"/>
    <w:rsid w:val="00B14DA8"/>
    <w:rsid w:val="00B15CD5"/>
    <w:rsid w:val="00B15F70"/>
    <w:rsid w:val="00B15F98"/>
    <w:rsid w:val="00B161FD"/>
    <w:rsid w:val="00B1687E"/>
    <w:rsid w:val="00B20654"/>
    <w:rsid w:val="00B217B9"/>
    <w:rsid w:val="00B21DAD"/>
    <w:rsid w:val="00B229B6"/>
    <w:rsid w:val="00B243AE"/>
    <w:rsid w:val="00B244AE"/>
    <w:rsid w:val="00B25548"/>
    <w:rsid w:val="00B25966"/>
    <w:rsid w:val="00B26088"/>
    <w:rsid w:val="00B2734B"/>
    <w:rsid w:val="00B314A6"/>
    <w:rsid w:val="00B324C0"/>
    <w:rsid w:val="00B335AF"/>
    <w:rsid w:val="00B33F49"/>
    <w:rsid w:val="00B366EA"/>
    <w:rsid w:val="00B36CF8"/>
    <w:rsid w:val="00B36D59"/>
    <w:rsid w:val="00B37831"/>
    <w:rsid w:val="00B40323"/>
    <w:rsid w:val="00B40587"/>
    <w:rsid w:val="00B41D95"/>
    <w:rsid w:val="00B4214E"/>
    <w:rsid w:val="00B43413"/>
    <w:rsid w:val="00B44E7F"/>
    <w:rsid w:val="00B46BB0"/>
    <w:rsid w:val="00B509BD"/>
    <w:rsid w:val="00B51098"/>
    <w:rsid w:val="00B52768"/>
    <w:rsid w:val="00B53F5A"/>
    <w:rsid w:val="00B543AD"/>
    <w:rsid w:val="00B55D1F"/>
    <w:rsid w:val="00B5623E"/>
    <w:rsid w:val="00B5757C"/>
    <w:rsid w:val="00B57A1A"/>
    <w:rsid w:val="00B60423"/>
    <w:rsid w:val="00B60677"/>
    <w:rsid w:val="00B63618"/>
    <w:rsid w:val="00B6554C"/>
    <w:rsid w:val="00B66D5D"/>
    <w:rsid w:val="00B67D8E"/>
    <w:rsid w:val="00B72005"/>
    <w:rsid w:val="00B72371"/>
    <w:rsid w:val="00B72DFE"/>
    <w:rsid w:val="00B75A9F"/>
    <w:rsid w:val="00B7678D"/>
    <w:rsid w:val="00B767C7"/>
    <w:rsid w:val="00B76839"/>
    <w:rsid w:val="00B778A6"/>
    <w:rsid w:val="00B779D5"/>
    <w:rsid w:val="00B82574"/>
    <w:rsid w:val="00B83075"/>
    <w:rsid w:val="00B85093"/>
    <w:rsid w:val="00B85D28"/>
    <w:rsid w:val="00B85FA2"/>
    <w:rsid w:val="00B871D2"/>
    <w:rsid w:val="00B87462"/>
    <w:rsid w:val="00B8769A"/>
    <w:rsid w:val="00B878C3"/>
    <w:rsid w:val="00B90623"/>
    <w:rsid w:val="00B90D32"/>
    <w:rsid w:val="00B92708"/>
    <w:rsid w:val="00B936AB"/>
    <w:rsid w:val="00B968B3"/>
    <w:rsid w:val="00B96AD4"/>
    <w:rsid w:val="00BA0273"/>
    <w:rsid w:val="00BA0806"/>
    <w:rsid w:val="00BA0BBE"/>
    <w:rsid w:val="00BA0EC7"/>
    <w:rsid w:val="00BA2542"/>
    <w:rsid w:val="00BA2924"/>
    <w:rsid w:val="00BA3DAF"/>
    <w:rsid w:val="00BA6C5E"/>
    <w:rsid w:val="00BA6F86"/>
    <w:rsid w:val="00BA70EA"/>
    <w:rsid w:val="00BB199F"/>
    <w:rsid w:val="00BB2001"/>
    <w:rsid w:val="00BB30F6"/>
    <w:rsid w:val="00BB44BB"/>
    <w:rsid w:val="00BB5779"/>
    <w:rsid w:val="00BB5F57"/>
    <w:rsid w:val="00BB5F84"/>
    <w:rsid w:val="00BB63A5"/>
    <w:rsid w:val="00BB6662"/>
    <w:rsid w:val="00BB7BE1"/>
    <w:rsid w:val="00BC148F"/>
    <w:rsid w:val="00BC17A0"/>
    <w:rsid w:val="00BC21DB"/>
    <w:rsid w:val="00BC3B10"/>
    <w:rsid w:val="00BC4401"/>
    <w:rsid w:val="00BD017A"/>
    <w:rsid w:val="00BD2AF2"/>
    <w:rsid w:val="00BD2EAC"/>
    <w:rsid w:val="00BD3C73"/>
    <w:rsid w:val="00BD421A"/>
    <w:rsid w:val="00BD439C"/>
    <w:rsid w:val="00BD6832"/>
    <w:rsid w:val="00BE1440"/>
    <w:rsid w:val="00BE18EF"/>
    <w:rsid w:val="00BE24A0"/>
    <w:rsid w:val="00BE5245"/>
    <w:rsid w:val="00BE6837"/>
    <w:rsid w:val="00BE6A62"/>
    <w:rsid w:val="00BF18D2"/>
    <w:rsid w:val="00BF1A2D"/>
    <w:rsid w:val="00BF1C23"/>
    <w:rsid w:val="00BF264D"/>
    <w:rsid w:val="00BF7D6A"/>
    <w:rsid w:val="00C00264"/>
    <w:rsid w:val="00C01E51"/>
    <w:rsid w:val="00C05CC4"/>
    <w:rsid w:val="00C06575"/>
    <w:rsid w:val="00C06E71"/>
    <w:rsid w:val="00C10E6E"/>
    <w:rsid w:val="00C114A7"/>
    <w:rsid w:val="00C14BEC"/>
    <w:rsid w:val="00C179D4"/>
    <w:rsid w:val="00C211CC"/>
    <w:rsid w:val="00C218F8"/>
    <w:rsid w:val="00C21C5A"/>
    <w:rsid w:val="00C23912"/>
    <w:rsid w:val="00C23C74"/>
    <w:rsid w:val="00C2628A"/>
    <w:rsid w:val="00C262FB"/>
    <w:rsid w:val="00C26C25"/>
    <w:rsid w:val="00C275CC"/>
    <w:rsid w:val="00C31B7D"/>
    <w:rsid w:val="00C325A2"/>
    <w:rsid w:val="00C32AFE"/>
    <w:rsid w:val="00C33E52"/>
    <w:rsid w:val="00C345B6"/>
    <w:rsid w:val="00C34D5B"/>
    <w:rsid w:val="00C35D65"/>
    <w:rsid w:val="00C36010"/>
    <w:rsid w:val="00C3643C"/>
    <w:rsid w:val="00C373A6"/>
    <w:rsid w:val="00C40C49"/>
    <w:rsid w:val="00C4230E"/>
    <w:rsid w:val="00C42C3A"/>
    <w:rsid w:val="00C4330A"/>
    <w:rsid w:val="00C45734"/>
    <w:rsid w:val="00C470DB"/>
    <w:rsid w:val="00C47BFA"/>
    <w:rsid w:val="00C50BB7"/>
    <w:rsid w:val="00C52C1C"/>
    <w:rsid w:val="00C5346B"/>
    <w:rsid w:val="00C54D98"/>
    <w:rsid w:val="00C565B1"/>
    <w:rsid w:val="00C56DD3"/>
    <w:rsid w:val="00C57173"/>
    <w:rsid w:val="00C57416"/>
    <w:rsid w:val="00C61760"/>
    <w:rsid w:val="00C61FB4"/>
    <w:rsid w:val="00C62A13"/>
    <w:rsid w:val="00C64F59"/>
    <w:rsid w:val="00C6566D"/>
    <w:rsid w:val="00C662F1"/>
    <w:rsid w:val="00C67A2A"/>
    <w:rsid w:val="00C7227C"/>
    <w:rsid w:val="00C72C09"/>
    <w:rsid w:val="00C734D0"/>
    <w:rsid w:val="00C73B75"/>
    <w:rsid w:val="00C753ED"/>
    <w:rsid w:val="00C75614"/>
    <w:rsid w:val="00C75AA7"/>
    <w:rsid w:val="00C7618A"/>
    <w:rsid w:val="00C76626"/>
    <w:rsid w:val="00C77FFC"/>
    <w:rsid w:val="00C802CA"/>
    <w:rsid w:val="00C81651"/>
    <w:rsid w:val="00C831C3"/>
    <w:rsid w:val="00C8374F"/>
    <w:rsid w:val="00C85B20"/>
    <w:rsid w:val="00C85E6E"/>
    <w:rsid w:val="00C86B19"/>
    <w:rsid w:val="00C874DE"/>
    <w:rsid w:val="00C87E15"/>
    <w:rsid w:val="00C92F28"/>
    <w:rsid w:val="00C93BBC"/>
    <w:rsid w:val="00C9480D"/>
    <w:rsid w:val="00C96156"/>
    <w:rsid w:val="00CA1196"/>
    <w:rsid w:val="00CA1555"/>
    <w:rsid w:val="00CA163A"/>
    <w:rsid w:val="00CA17D7"/>
    <w:rsid w:val="00CA2998"/>
    <w:rsid w:val="00CA352C"/>
    <w:rsid w:val="00CA3637"/>
    <w:rsid w:val="00CA3A62"/>
    <w:rsid w:val="00CA71B0"/>
    <w:rsid w:val="00CA73C3"/>
    <w:rsid w:val="00CA7D47"/>
    <w:rsid w:val="00CB022B"/>
    <w:rsid w:val="00CB0B01"/>
    <w:rsid w:val="00CB2089"/>
    <w:rsid w:val="00CB2934"/>
    <w:rsid w:val="00CB385E"/>
    <w:rsid w:val="00CB3AA9"/>
    <w:rsid w:val="00CB53D1"/>
    <w:rsid w:val="00CB5B27"/>
    <w:rsid w:val="00CB5D5A"/>
    <w:rsid w:val="00CB619F"/>
    <w:rsid w:val="00CB67D7"/>
    <w:rsid w:val="00CB6AA2"/>
    <w:rsid w:val="00CB6C7A"/>
    <w:rsid w:val="00CB7B3C"/>
    <w:rsid w:val="00CC0ED0"/>
    <w:rsid w:val="00CC1872"/>
    <w:rsid w:val="00CC2DEC"/>
    <w:rsid w:val="00CC3EC0"/>
    <w:rsid w:val="00CC4995"/>
    <w:rsid w:val="00CC538F"/>
    <w:rsid w:val="00CC78D4"/>
    <w:rsid w:val="00CC7F3F"/>
    <w:rsid w:val="00CD544A"/>
    <w:rsid w:val="00CE33F1"/>
    <w:rsid w:val="00CE35B0"/>
    <w:rsid w:val="00CE51BF"/>
    <w:rsid w:val="00CE57F9"/>
    <w:rsid w:val="00CE7044"/>
    <w:rsid w:val="00CF06B9"/>
    <w:rsid w:val="00CF0AE6"/>
    <w:rsid w:val="00CF3A31"/>
    <w:rsid w:val="00CF542C"/>
    <w:rsid w:val="00CF5942"/>
    <w:rsid w:val="00CF691F"/>
    <w:rsid w:val="00CF6C26"/>
    <w:rsid w:val="00CF6D76"/>
    <w:rsid w:val="00D00D01"/>
    <w:rsid w:val="00D010A7"/>
    <w:rsid w:val="00D04B4D"/>
    <w:rsid w:val="00D076DA"/>
    <w:rsid w:val="00D11F45"/>
    <w:rsid w:val="00D13B0A"/>
    <w:rsid w:val="00D13C7E"/>
    <w:rsid w:val="00D1427E"/>
    <w:rsid w:val="00D14B88"/>
    <w:rsid w:val="00D16D78"/>
    <w:rsid w:val="00D16EBE"/>
    <w:rsid w:val="00D171A0"/>
    <w:rsid w:val="00D17D66"/>
    <w:rsid w:val="00D203E3"/>
    <w:rsid w:val="00D20FF9"/>
    <w:rsid w:val="00D21C59"/>
    <w:rsid w:val="00D22F01"/>
    <w:rsid w:val="00D237DB"/>
    <w:rsid w:val="00D2388F"/>
    <w:rsid w:val="00D23C04"/>
    <w:rsid w:val="00D30C55"/>
    <w:rsid w:val="00D3128C"/>
    <w:rsid w:val="00D32021"/>
    <w:rsid w:val="00D322E0"/>
    <w:rsid w:val="00D327BD"/>
    <w:rsid w:val="00D331B3"/>
    <w:rsid w:val="00D3323B"/>
    <w:rsid w:val="00D332F7"/>
    <w:rsid w:val="00D34990"/>
    <w:rsid w:val="00D34E44"/>
    <w:rsid w:val="00D35AED"/>
    <w:rsid w:val="00D36375"/>
    <w:rsid w:val="00D37FC4"/>
    <w:rsid w:val="00D40886"/>
    <w:rsid w:val="00D40B48"/>
    <w:rsid w:val="00D41012"/>
    <w:rsid w:val="00D419FE"/>
    <w:rsid w:val="00D426D6"/>
    <w:rsid w:val="00D43686"/>
    <w:rsid w:val="00D44C3E"/>
    <w:rsid w:val="00D471E0"/>
    <w:rsid w:val="00D4783B"/>
    <w:rsid w:val="00D478B8"/>
    <w:rsid w:val="00D51412"/>
    <w:rsid w:val="00D52454"/>
    <w:rsid w:val="00D53FE9"/>
    <w:rsid w:val="00D5568B"/>
    <w:rsid w:val="00D5587F"/>
    <w:rsid w:val="00D55F6E"/>
    <w:rsid w:val="00D5631B"/>
    <w:rsid w:val="00D56797"/>
    <w:rsid w:val="00D56EE5"/>
    <w:rsid w:val="00D56FAB"/>
    <w:rsid w:val="00D575BE"/>
    <w:rsid w:val="00D60276"/>
    <w:rsid w:val="00D630BB"/>
    <w:rsid w:val="00D63D96"/>
    <w:rsid w:val="00D649ED"/>
    <w:rsid w:val="00D726FB"/>
    <w:rsid w:val="00D72977"/>
    <w:rsid w:val="00D742A4"/>
    <w:rsid w:val="00D758C9"/>
    <w:rsid w:val="00D77070"/>
    <w:rsid w:val="00D80D70"/>
    <w:rsid w:val="00D81591"/>
    <w:rsid w:val="00D8296D"/>
    <w:rsid w:val="00D82C53"/>
    <w:rsid w:val="00D830C1"/>
    <w:rsid w:val="00D83B08"/>
    <w:rsid w:val="00D84A76"/>
    <w:rsid w:val="00D84C35"/>
    <w:rsid w:val="00D84DF8"/>
    <w:rsid w:val="00D86D70"/>
    <w:rsid w:val="00D87323"/>
    <w:rsid w:val="00D90BCF"/>
    <w:rsid w:val="00D9171F"/>
    <w:rsid w:val="00D92608"/>
    <w:rsid w:val="00D94621"/>
    <w:rsid w:val="00D9557E"/>
    <w:rsid w:val="00D95D08"/>
    <w:rsid w:val="00D96778"/>
    <w:rsid w:val="00D96FE0"/>
    <w:rsid w:val="00D97914"/>
    <w:rsid w:val="00D97B32"/>
    <w:rsid w:val="00DA146D"/>
    <w:rsid w:val="00DA1A3B"/>
    <w:rsid w:val="00DA2D9C"/>
    <w:rsid w:val="00DA3CF5"/>
    <w:rsid w:val="00DA45B0"/>
    <w:rsid w:val="00DA4F39"/>
    <w:rsid w:val="00DA561B"/>
    <w:rsid w:val="00DA604D"/>
    <w:rsid w:val="00DA6C1F"/>
    <w:rsid w:val="00DA6E8C"/>
    <w:rsid w:val="00DB02E9"/>
    <w:rsid w:val="00DB0784"/>
    <w:rsid w:val="00DB1135"/>
    <w:rsid w:val="00DB18BC"/>
    <w:rsid w:val="00DB1D86"/>
    <w:rsid w:val="00DB379A"/>
    <w:rsid w:val="00DB5069"/>
    <w:rsid w:val="00DB68D7"/>
    <w:rsid w:val="00DB738D"/>
    <w:rsid w:val="00DC1A20"/>
    <w:rsid w:val="00DC2D14"/>
    <w:rsid w:val="00DC31D9"/>
    <w:rsid w:val="00DC5149"/>
    <w:rsid w:val="00DC53ED"/>
    <w:rsid w:val="00DC745B"/>
    <w:rsid w:val="00DC7760"/>
    <w:rsid w:val="00DD14D3"/>
    <w:rsid w:val="00DD17D6"/>
    <w:rsid w:val="00DD1EF7"/>
    <w:rsid w:val="00DD5588"/>
    <w:rsid w:val="00DD7BE1"/>
    <w:rsid w:val="00DE0A37"/>
    <w:rsid w:val="00DE1958"/>
    <w:rsid w:val="00DE37EE"/>
    <w:rsid w:val="00DE3A2F"/>
    <w:rsid w:val="00DE431B"/>
    <w:rsid w:val="00DE4AA2"/>
    <w:rsid w:val="00DE5362"/>
    <w:rsid w:val="00DE76B9"/>
    <w:rsid w:val="00DF0EAE"/>
    <w:rsid w:val="00DF2ACA"/>
    <w:rsid w:val="00DF2CD8"/>
    <w:rsid w:val="00DF30D3"/>
    <w:rsid w:val="00DF4246"/>
    <w:rsid w:val="00DF5535"/>
    <w:rsid w:val="00DF68EA"/>
    <w:rsid w:val="00E01B88"/>
    <w:rsid w:val="00E030FA"/>
    <w:rsid w:val="00E05051"/>
    <w:rsid w:val="00E05FF1"/>
    <w:rsid w:val="00E10B7F"/>
    <w:rsid w:val="00E14139"/>
    <w:rsid w:val="00E14B35"/>
    <w:rsid w:val="00E1574D"/>
    <w:rsid w:val="00E1603A"/>
    <w:rsid w:val="00E208E0"/>
    <w:rsid w:val="00E22256"/>
    <w:rsid w:val="00E22638"/>
    <w:rsid w:val="00E22749"/>
    <w:rsid w:val="00E23AA7"/>
    <w:rsid w:val="00E240F0"/>
    <w:rsid w:val="00E2572B"/>
    <w:rsid w:val="00E257A1"/>
    <w:rsid w:val="00E2717D"/>
    <w:rsid w:val="00E27DF1"/>
    <w:rsid w:val="00E30FAD"/>
    <w:rsid w:val="00E31A0E"/>
    <w:rsid w:val="00E32457"/>
    <w:rsid w:val="00E32849"/>
    <w:rsid w:val="00E33A71"/>
    <w:rsid w:val="00E34EAF"/>
    <w:rsid w:val="00E35F8F"/>
    <w:rsid w:val="00E36CB4"/>
    <w:rsid w:val="00E4032A"/>
    <w:rsid w:val="00E43CA8"/>
    <w:rsid w:val="00E45881"/>
    <w:rsid w:val="00E460F4"/>
    <w:rsid w:val="00E46709"/>
    <w:rsid w:val="00E469A5"/>
    <w:rsid w:val="00E543D5"/>
    <w:rsid w:val="00E54991"/>
    <w:rsid w:val="00E56BE9"/>
    <w:rsid w:val="00E56E7E"/>
    <w:rsid w:val="00E579ED"/>
    <w:rsid w:val="00E602EC"/>
    <w:rsid w:val="00E608FE"/>
    <w:rsid w:val="00E60D21"/>
    <w:rsid w:val="00E62349"/>
    <w:rsid w:val="00E62549"/>
    <w:rsid w:val="00E626EE"/>
    <w:rsid w:val="00E62D8D"/>
    <w:rsid w:val="00E63891"/>
    <w:rsid w:val="00E63A1F"/>
    <w:rsid w:val="00E66B86"/>
    <w:rsid w:val="00E704AC"/>
    <w:rsid w:val="00E71D0B"/>
    <w:rsid w:val="00E7294C"/>
    <w:rsid w:val="00E742E5"/>
    <w:rsid w:val="00E750A5"/>
    <w:rsid w:val="00E7703F"/>
    <w:rsid w:val="00E77856"/>
    <w:rsid w:val="00E77F29"/>
    <w:rsid w:val="00E80C8C"/>
    <w:rsid w:val="00E81BC9"/>
    <w:rsid w:val="00E81C31"/>
    <w:rsid w:val="00E838E5"/>
    <w:rsid w:val="00E85054"/>
    <w:rsid w:val="00E86E6E"/>
    <w:rsid w:val="00E9155E"/>
    <w:rsid w:val="00E91571"/>
    <w:rsid w:val="00E91691"/>
    <w:rsid w:val="00E917FF"/>
    <w:rsid w:val="00E91916"/>
    <w:rsid w:val="00E92834"/>
    <w:rsid w:val="00E94591"/>
    <w:rsid w:val="00E94F2E"/>
    <w:rsid w:val="00E95724"/>
    <w:rsid w:val="00EA1519"/>
    <w:rsid w:val="00EA36BC"/>
    <w:rsid w:val="00EA3866"/>
    <w:rsid w:val="00EA3FBC"/>
    <w:rsid w:val="00EA47E6"/>
    <w:rsid w:val="00EA5083"/>
    <w:rsid w:val="00EA5284"/>
    <w:rsid w:val="00EA6126"/>
    <w:rsid w:val="00EA7B20"/>
    <w:rsid w:val="00EA7B59"/>
    <w:rsid w:val="00EB0332"/>
    <w:rsid w:val="00EB0CFC"/>
    <w:rsid w:val="00EB210E"/>
    <w:rsid w:val="00EB4708"/>
    <w:rsid w:val="00EB4D5F"/>
    <w:rsid w:val="00EB6102"/>
    <w:rsid w:val="00EC0A95"/>
    <w:rsid w:val="00EC21E4"/>
    <w:rsid w:val="00EC3689"/>
    <w:rsid w:val="00EC3CAD"/>
    <w:rsid w:val="00EC5029"/>
    <w:rsid w:val="00EC5707"/>
    <w:rsid w:val="00EC6782"/>
    <w:rsid w:val="00EC6F42"/>
    <w:rsid w:val="00EC71FE"/>
    <w:rsid w:val="00EC7299"/>
    <w:rsid w:val="00EC7A31"/>
    <w:rsid w:val="00ED1999"/>
    <w:rsid w:val="00ED484F"/>
    <w:rsid w:val="00ED5B27"/>
    <w:rsid w:val="00ED6DB3"/>
    <w:rsid w:val="00ED751A"/>
    <w:rsid w:val="00ED7AAF"/>
    <w:rsid w:val="00ED7D75"/>
    <w:rsid w:val="00EE25DC"/>
    <w:rsid w:val="00EE39FB"/>
    <w:rsid w:val="00EE4598"/>
    <w:rsid w:val="00EE531B"/>
    <w:rsid w:val="00EE6762"/>
    <w:rsid w:val="00EE6BCA"/>
    <w:rsid w:val="00EF03C6"/>
    <w:rsid w:val="00EF0524"/>
    <w:rsid w:val="00EF0A13"/>
    <w:rsid w:val="00EF1726"/>
    <w:rsid w:val="00EF1E0D"/>
    <w:rsid w:val="00EF2602"/>
    <w:rsid w:val="00EF326B"/>
    <w:rsid w:val="00EF382C"/>
    <w:rsid w:val="00EF3CC8"/>
    <w:rsid w:val="00EF4C8C"/>
    <w:rsid w:val="00EF6132"/>
    <w:rsid w:val="00EF6EB7"/>
    <w:rsid w:val="00F029E9"/>
    <w:rsid w:val="00F0358D"/>
    <w:rsid w:val="00F03823"/>
    <w:rsid w:val="00F03DBD"/>
    <w:rsid w:val="00F04D27"/>
    <w:rsid w:val="00F05502"/>
    <w:rsid w:val="00F05CE9"/>
    <w:rsid w:val="00F06032"/>
    <w:rsid w:val="00F0715A"/>
    <w:rsid w:val="00F07891"/>
    <w:rsid w:val="00F07A51"/>
    <w:rsid w:val="00F07AB6"/>
    <w:rsid w:val="00F11045"/>
    <w:rsid w:val="00F148FF"/>
    <w:rsid w:val="00F15ABC"/>
    <w:rsid w:val="00F16652"/>
    <w:rsid w:val="00F178B1"/>
    <w:rsid w:val="00F17924"/>
    <w:rsid w:val="00F20C15"/>
    <w:rsid w:val="00F21F9F"/>
    <w:rsid w:val="00F27306"/>
    <w:rsid w:val="00F2774F"/>
    <w:rsid w:val="00F3114A"/>
    <w:rsid w:val="00F3192B"/>
    <w:rsid w:val="00F31BD3"/>
    <w:rsid w:val="00F32746"/>
    <w:rsid w:val="00F335FE"/>
    <w:rsid w:val="00F353DB"/>
    <w:rsid w:val="00F3660E"/>
    <w:rsid w:val="00F40919"/>
    <w:rsid w:val="00F420FA"/>
    <w:rsid w:val="00F43486"/>
    <w:rsid w:val="00F43EDB"/>
    <w:rsid w:val="00F453D7"/>
    <w:rsid w:val="00F45578"/>
    <w:rsid w:val="00F465B8"/>
    <w:rsid w:val="00F46A57"/>
    <w:rsid w:val="00F46F52"/>
    <w:rsid w:val="00F475F5"/>
    <w:rsid w:val="00F50427"/>
    <w:rsid w:val="00F50552"/>
    <w:rsid w:val="00F51355"/>
    <w:rsid w:val="00F5152C"/>
    <w:rsid w:val="00F52F60"/>
    <w:rsid w:val="00F5347D"/>
    <w:rsid w:val="00F53CD6"/>
    <w:rsid w:val="00F553F1"/>
    <w:rsid w:val="00F570DD"/>
    <w:rsid w:val="00F60AF5"/>
    <w:rsid w:val="00F60B14"/>
    <w:rsid w:val="00F626B8"/>
    <w:rsid w:val="00F62E1A"/>
    <w:rsid w:val="00F6338A"/>
    <w:rsid w:val="00F635F0"/>
    <w:rsid w:val="00F64854"/>
    <w:rsid w:val="00F669CD"/>
    <w:rsid w:val="00F67584"/>
    <w:rsid w:val="00F70030"/>
    <w:rsid w:val="00F703CF"/>
    <w:rsid w:val="00F71662"/>
    <w:rsid w:val="00F72475"/>
    <w:rsid w:val="00F74E2A"/>
    <w:rsid w:val="00F7601C"/>
    <w:rsid w:val="00F7634F"/>
    <w:rsid w:val="00F80010"/>
    <w:rsid w:val="00F80F7D"/>
    <w:rsid w:val="00F81CA7"/>
    <w:rsid w:val="00F83A4E"/>
    <w:rsid w:val="00F83E4E"/>
    <w:rsid w:val="00F868EB"/>
    <w:rsid w:val="00F90DD1"/>
    <w:rsid w:val="00F91434"/>
    <w:rsid w:val="00F9221D"/>
    <w:rsid w:val="00F93C4E"/>
    <w:rsid w:val="00F9412C"/>
    <w:rsid w:val="00F94890"/>
    <w:rsid w:val="00F9533D"/>
    <w:rsid w:val="00F9541A"/>
    <w:rsid w:val="00F96358"/>
    <w:rsid w:val="00FA24EA"/>
    <w:rsid w:val="00FA2D1A"/>
    <w:rsid w:val="00FA4E55"/>
    <w:rsid w:val="00FB0033"/>
    <w:rsid w:val="00FB0ACB"/>
    <w:rsid w:val="00FB2745"/>
    <w:rsid w:val="00FB2A3F"/>
    <w:rsid w:val="00FB2CB3"/>
    <w:rsid w:val="00FB46B5"/>
    <w:rsid w:val="00FB655A"/>
    <w:rsid w:val="00FC091E"/>
    <w:rsid w:val="00FC0DE2"/>
    <w:rsid w:val="00FC12B6"/>
    <w:rsid w:val="00FC1EB7"/>
    <w:rsid w:val="00FC2577"/>
    <w:rsid w:val="00FC34B5"/>
    <w:rsid w:val="00FC5959"/>
    <w:rsid w:val="00FC67A6"/>
    <w:rsid w:val="00FC699E"/>
    <w:rsid w:val="00FC6B62"/>
    <w:rsid w:val="00FC7767"/>
    <w:rsid w:val="00FC7BDC"/>
    <w:rsid w:val="00FD146A"/>
    <w:rsid w:val="00FD1543"/>
    <w:rsid w:val="00FD164E"/>
    <w:rsid w:val="00FD20F3"/>
    <w:rsid w:val="00FD2188"/>
    <w:rsid w:val="00FD2429"/>
    <w:rsid w:val="00FD28D8"/>
    <w:rsid w:val="00FD2C57"/>
    <w:rsid w:val="00FD3DF0"/>
    <w:rsid w:val="00FD4113"/>
    <w:rsid w:val="00FD5E2E"/>
    <w:rsid w:val="00FE1B3B"/>
    <w:rsid w:val="00FE1D86"/>
    <w:rsid w:val="00FE2679"/>
    <w:rsid w:val="00FE34ED"/>
    <w:rsid w:val="00FE4337"/>
    <w:rsid w:val="00FE4904"/>
    <w:rsid w:val="00FE4C69"/>
    <w:rsid w:val="00FE57EE"/>
    <w:rsid w:val="00FE58C7"/>
    <w:rsid w:val="00FE7588"/>
    <w:rsid w:val="00FF30CE"/>
    <w:rsid w:val="00FF37C2"/>
    <w:rsid w:val="00FF4D69"/>
    <w:rsid w:val="00FF4FAC"/>
    <w:rsid w:val="00FF508D"/>
    <w:rsid w:val="00FF624A"/>
    <w:rsid w:val="00FF7712"/>
    <w:rsid w:val="00FF79A9"/>
    <w:rsid w:val="00FF7BAE"/>
    <w:rsid w:val="01152B5F"/>
    <w:rsid w:val="012304E9"/>
    <w:rsid w:val="017F3EED"/>
    <w:rsid w:val="02206017"/>
    <w:rsid w:val="024677F2"/>
    <w:rsid w:val="02EC7A94"/>
    <w:rsid w:val="036E5A21"/>
    <w:rsid w:val="03E6051C"/>
    <w:rsid w:val="0419631C"/>
    <w:rsid w:val="043240A2"/>
    <w:rsid w:val="04FB5A13"/>
    <w:rsid w:val="07EC6F0B"/>
    <w:rsid w:val="08433A0C"/>
    <w:rsid w:val="08965EEE"/>
    <w:rsid w:val="08A4443A"/>
    <w:rsid w:val="08CA63AF"/>
    <w:rsid w:val="097F7B3F"/>
    <w:rsid w:val="0A37356D"/>
    <w:rsid w:val="0B8F2541"/>
    <w:rsid w:val="0D897B37"/>
    <w:rsid w:val="0DCB1BC3"/>
    <w:rsid w:val="0DE37B48"/>
    <w:rsid w:val="0E397051"/>
    <w:rsid w:val="0E537FC3"/>
    <w:rsid w:val="0E856EE6"/>
    <w:rsid w:val="0E861029"/>
    <w:rsid w:val="0EC6726F"/>
    <w:rsid w:val="0F4B692A"/>
    <w:rsid w:val="0F4F16A2"/>
    <w:rsid w:val="0FFF0A52"/>
    <w:rsid w:val="106519EC"/>
    <w:rsid w:val="108F3EB6"/>
    <w:rsid w:val="113E51CB"/>
    <w:rsid w:val="115171FB"/>
    <w:rsid w:val="116622C5"/>
    <w:rsid w:val="11A95B02"/>
    <w:rsid w:val="120C7C36"/>
    <w:rsid w:val="127C57D1"/>
    <w:rsid w:val="13163C28"/>
    <w:rsid w:val="136172A7"/>
    <w:rsid w:val="142349C8"/>
    <w:rsid w:val="161335DB"/>
    <w:rsid w:val="162C5612"/>
    <w:rsid w:val="16BF7034"/>
    <w:rsid w:val="17C522FB"/>
    <w:rsid w:val="17DE18E5"/>
    <w:rsid w:val="17F74BD6"/>
    <w:rsid w:val="18805235"/>
    <w:rsid w:val="18A104D3"/>
    <w:rsid w:val="19102702"/>
    <w:rsid w:val="196842EC"/>
    <w:rsid w:val="19B55AB3"/>
    <w:rsid w:val="19DD426E"/>
    <w:rsid w:val="1A9C317B"/>
    <w:rsid w:val="1AA470EC"/>
    <w:rsid w:val="1C041EE0"/>
    <w:rsid w:val="1C3A1F70"/>
    <w:rsid w:val="1C66081D"/>
    <w:rsid w:val="1D646708"/>
    <w:rsid w:val="1D6557FB"/>
    <w:rsid w:val="1DC03651"/>
    <w:rsid w:val="1EBEBACC"/>
    <w:rsid w:val="1EBF7192"/>
    <w:rsid w:val="1EF11CAE"/>
    <w:rsid w:val="1F31751A"/>
    <w:rsid w:val="1F31F7A1"/>
    <w:rsid w:val="1F7E4056"/>
    <w:rsid w:val="1FBF4E55"/>
    <w:rsid w:val="1FC78CFF"/>
    <w:rsid w:val="1FE55C39"/>
    <w:rsid w:val="1FFC1957"/>
    <w:rsid w:val="20040FEB"/>
    <w:rsid w:val="21701FA9"/>
    <w:rsid w:val="21E130F9"/>
    <w:rsid w:val="221B5564"/>
    <w:rsid w:val="221C32B7"/>
    <w:rsid w:val="222A03BD"/>
    <w:rsid w:val="2266371B"/>
    <w:rsid w:val="227B643E"/>
    <w:rsid w:val="22803907"/>
    <w:rsid w:val="22AC2254"/>
    <w:rsid w:val="22AE7071"/>
    <w:rsid w:val="22BF02BB"/>
    <w:rsid w:val="23101417"/>
    <w:rsid w:val="23406771"/>
    <w:rsid w:val="23575131"/>
    <w:rsid w:val="241C7B3C"/>
    <w:rsid w:val="242B24DF"/>
    <w:rsid w:val="242D7C97"/>
    <w:rsid w:val="24CC5CC8"/>
    <w:rsid w:val="24D317D8"/>
    <w:rsid w:val="25F45C2B"/>
    <w:rsid w:val="26B31186"/>
    <w:rsid w:val="26FB6832"/>
    <w:rsid w:val="27AF685B"/>
    <w:rsid w:val="27C841EF"/>
    <w:rsid w:val="27E65076"/>
    <w:rsid w:val="27F3508A"/>
    <w:rsid w:val="27FA25B3"/>
    <w:rsid w:val="280F62F4"/>
    <w:rsid w:val="28ED0B6A"/>
    <w:rsid w:val="29301AA6"/>
    <w:rsid w:val="29890D1D"/>
    <w:rsid w:val="29DF4157"/>
    <w:rsid w:val="2A1F68E6"/>
    <w:rsid w:val="2A707334"/>
    <w:rsid w:val="2AA67E09"/>
    <w:rsid w:val="2B866286"/>
    <w:rsid w:val="2BBF51E4"/>
    <w:rsid w:val="2BDD749A"/>
    <w:rsid w:val="2BE05FF3"/>
    <w:rsid w:val="2CC4142B"/>
    <w:rsid w:val="2CDA3039"/>
    <w:rsid w:val="2CF215A6"/>
    <w:rsid w:val="2D465680"/>
    <w:rsid w:val="2D822664"/>
    <w:rsid w:val="2E210A49"/>
    <w:rsid w:val="2E5F196A"/>
    <w:rsid w:val="2E976651"/>
    <w:rsid w:val="2ED72E9E"/>
    <w:rsid w:val="2EE61ACE"/>
    <w:rsid w:val="2F1B151A"/>
    <w:rsid w:val="2F772DD4"/>
    <w:rsid w:val="2FA1773B"/>
    <w:rsid w:val="2FA507F3"/>
    <w:rsid w:val="2FFF2B2A"/>
    <w:rsid w:val="303E0A07"/>
    <w:rsid w:val="305A3B95"/>
    <w:rsid w:val="312D0FFD"/>
    <w:rsid w:val="31D45E2B"/>
    <w:rsid w:val="31D870DD"/>
    <w:rsid w:val="3203475A"/>
    <w:rsid w:val="320C4E1B"/>
    <w:rsid w:val="32422633"/>
    <w:rsid w:val="32CA4316"/>
    <w:rsid w:val="32FF3914"/>
    <w:rsid w:val="331F06CE"/>
    <w:rsid w:val="332A5B91"/>
    <w:rsid w:val="33EB1C4D"/>
    <w:rsid w:val="342F19A0"/>
    <w:rsid w:val="344519DA"/>
    <w:rsid w:val="34471A3D"/>
    <w:rsid w:val="348E6CC8"/>
    <w:rsid w:val="355E29A1"/>
    <w:rsid w:val="361956B6"/>
    <w:rsid w:val="36726B1F"/>
    <w:rsid w:val="37275F79"/>
    <w:rsid w:val="37423DB7"/>
    <w:rsid w:val="377756FB"/>
    <w:rsid w:val="378B6FC9"/>
    <w:rsid w:val="379640D5"/>
    <w:rsid w:val="37BE3A1B"/>
    <w:rsid w:val="3800089E"/>
    <w:rsid w:val="380B1D9A"/>
    <w:rsid w:val="38E21CF2"/>
    <w:rsid w:val="393802F5"/>
    <w:rsid w:val="396360C2"/>
    <w:rsid w:val="399B1433"/>
    <w:rsid w:val="39CB0253"/>
    <w:rsid w:val="39F96249"/>
    <w:rsid w:val="3AFFC741"/>
    <w:rsid w:val="3B0D0FD9"/>
    <w:rsid w:val="3B1829FB"/>
    <w:rsid w:val="3B3FFCFD"/>
    <w:rsid w:val="3BFFC5AA"/>
    <w:rsid w:val="3C4741CA"/>
    <w:rsid w:val="3C73C9D8"/>
    <w:rsid w:val="3C842F63"/>
    <w:rsid w:val="3CA3403D"/>
    <w:rsid w:val="3CDD7461"/>
    <w:rsid w:val="3D06174C"/>
    <w:rsid w:val="3D0A1843"/>
    <w:rsid w:val="3D876254"/>
    <w:rsid w:val="3D9F6FDD"/>
    <w:rsid w:val="3DED3D29"/>
    <w:rsid w:val="3E033769"/>
    <w:rsid w:val="3E227533"/>
    <w:rsid w:val="3EE91D34"/>
    <w:rsid w:val="3EEA117C"/>
    <w:rsid w:val="3EFC0235"/>
    <w:rsid w:val="3F3B8353"/>
    <w:rsid w:val="3F4807FB"/>
    <w:rsid w:val="3F567850"/>
    <w:rsid w:val="3F6C182D"/>
    <w:rsid w:val="3F7722E4"/>
    <w:rsid w:val="3F7B876D"/>
    <w:rsid w:val="3F89400C"/>
    <w:rsid w:val="3FB7A5DE"/>
    <w:rsid w:val="3FDE3206"/>
    <w:rsid w:val="3FFD515A"/>
    <w:rsid w:val="40AE42A3"/>
    <w:rsid w:val="41132FEC"/>
    <w:rsid w:val="41B04259"/>
    <w:rsid w:val="41B1600A"/>
    <w:rsid w:val="41C06764"/>
    <w:rsid w:val="41D3555E"/>
    <w:rsid w:val="41D568DA"/>
    <w:rsid w:val="424E17F4"/>
    <w:rsid w:val="43023191"/>
    <w:rsid w:val="43D93B74"/>
    <w:rsid w:val="43F05E44"/>
    <w:rsid w:val="43FB1D2B"/>
    <w:rsid w:val="442D4F36"/>
    <w:rsid w:val="44646F6D"/>
    <w:rsid w:val="44EA5EFB"/>
    <w:rsid w:val="44F95853"/>
    <w:rsid w:val="458C4680"/>
    <w:rsid w:val="45906A27"/>
    <w:rsid w:val="474A1856"/>
    <w:rsid w:val="47863161"/>
    <w:rsid w:val="48094F09"/>
    <w:rsid w:val="4876635A"/>
    <w:rsid w:val="48C87F22"/>
    <w:rsid w:val="49AC3932"/>
    <w:rsid w:val="49DE0681"/>
    <w:rsid w:val="4A4F4EC2"/>
    <w:rsid w:val="4B34573C"/>
    <w:rsid w:val="4B3738BB"/>
    <w:rsid w:val="4B7A7170"/>
    <w:rsid w:val="4B7C6BF7"/>
    <w:rsid w:val="4BDA5388"/>
    <w:rsid w:val="4CFB5359"/>
    <w:rsid w:val="4D4D1809"/>
    <w:rsid w:val="4E4A439A"/>
    <w:rsid w:val="4F001BCC"/>
    <w:rsid w:val="4F5218ED"/>
    <w:rsid w:val="4F784888"/>
    <w:rsid w:val="4FDB5896"/>
    <w:rsid w:val="4FE41E54"/>
    <w:rsid w:val="4FFFE86B"/>
    <w:rsid w:val="508D3093"/>
    <w:rsid w:val="509012EC"/>
    <w:rsid w:val="50BD2FA6"/>
    <w:rsid w:val="51932FAD"/>
    <w:rsid w:val="51F845EB"/>
    <w:rsid w:val="51FB360F"/>
    <w:rsid w:val="5221432D"/>
    <w:rsid w:val="52A60F92"/>
    <w:rsid w:val="52EE71FB"/>
    <w:rsid w:val="53524DED"/>
    <w:rsid w:val="53A139B4"/>
    <w:rsid w:val="53A86F18"/>
    <w:rsid w:val="53CB445D"/>
    <w:rsid w:val="548270CF"/>
    <w:rsid w:val="54D91622"/>
    <w:rsid w:val="54F01D45"/>
    <w:rsid w:val="560E647A"/>
    <w:rsid w:val="565F310C"/>
    <w:rsid w:val="566A6020"/>
    <w:rsid w:val="56972C61"/>
    <w:rsid w:val="56E94433"/>
    <w:rsid w:val="5736A64D"/>
    <w:rsid w:val="573F860C"/>
    <w:rsid w:val="57D17909"/>
    <w:rsid w:val="587E6648"/>
    <w:rsid w:val="58B27CC3"/>
    <w:rsid w:val="58D565A1"/>
    <w:rsid w:val="59115FAF"/>
    <w:rsid w:val="59260E57"/>
    <w:rsid w:val="594B1719"/>
    <w:rsid w:val="59BF009D"/>
    <w:rsid w:val="5A217E5B"/>
    <w:rsid w:val="5ADA210C"/>
    <w:rsid w:val="5AEE74A6"/>
    <w:rsid w:val="5AF75EB0"/>
    <w:rsid w:val="5B5C53E4"/>
    <w:rsid w:val="5B625BCE"/>
    <w:rsid w:val="5BE06CA5"/>
    <w:rsid w:val="5BFB3FFB"/>
    <w:rsid w:val="5C6D736B"/>
    <w:rsid w:val="5C823256"/>
    <w:rsid w:val="5D3D1D71"/>
    <w:rsid w:val="5DE441AC"/>
    <w:rsid w:val="5DE46FAF"/>
    <w:rsid w:val="5DE7A303"/>
    <w:rsid w:val="5E0F5E3E"/>
    <w:rsid w:val="5E8763EC"/>
    <w:rsid w:val="5EB7567E"/>
    <w:rsid w:val="5ED42420"/>
    <w:rsid w:val="5EFE157D"/>
    <w:rsid w:val="5F6D6F85"/>
    <w:rsid w:val="5F6F63DB"/>
    <w:rsid w:val="5F770F26"/>
    <w:rsid w:val="5F7FA953"/>
    <w:rsid w:val="5FD7044A"/>
    <w:rsid w:val="5FD7ACE4"/>
    <w:rsid w:val="5FDBF106"/>
    <w:rsid w:val="5FE75D63"/>
    <w:rsid w:val="5FF6B3BE"/>
    <w:rsid w:val="60342F05"/>
    <w:rsid w:val="60507D65"/>
    <w:rsid w:val="60A52EB0"/>
    <w:rsid w:val="60FD28B6"/>
    <w:rsid w:val="617C5745"/>
    <w:rsid w:val="61A27384"/>
    <w:rsid w:val="61EA59E2"/>
    <w:rsid w:val="621B4097"/>
    <w:rsid w:val="624125B1"/>
    <w:rsid w:val="62D84CFA"/>
    <w:rsid w:val="635F3637"/>
    <w:rsid w:val="63B2022D"/>
    <w:rsid w:val="63F87562"/>
    <w:rsid w:val="64085A7D"/>
    <w:rsid w:val="644A7D2D"/>
    <w:rsid w:val="64C268FF"/>
    <w:rsid w:val="6500635B"/>
    <w:rsid w:val="657F2909"/>
    <w:rsid w:val="65D66667"/>
    <w:rsid w:val="66D777FD"/>
    <w:rsid w:val="677D539D"/>
    <w:rsid w:val="678F513D"/>
    <w:rsid w:val="67ED7463"/>
    <w:rsid w:val="68516BE0"/>
    <w:rsid w:val="68773090"/>
    <w:rsid w:val="68C70F39"/>
    <w:rsid w:val="68D7106B"/>
    <w:rsid w:val="68EE41E3"/>
    <w:rsid w:val="69581DF6"/>
    <w:rsid w:val="69DF332A"/>
    <w:rsid w:val="69E35F50"/>
    <w:rsid w:val="6A6D6BA4"/>
    <w:rsid w:val="6A9308E3"/>
    <w:rsid w:val="6ABC739A"/>
    <w:rsid w:val="6BB11A6E"/>
    <w:rsid w:val="6BF46938"/>
    <w:rsid w:val="6C920AD6"/>
    <w:rsid w:val="6D023F42"/>
    <w:rsid w:val="6D4A5B6D"/>
    <w:rsid w:val="6D974042"/>
    <w:rsid w:val="6DBF7CC9"/>
    <w:rsid w:val="6DD01BE3"/>
    <w:rsid w:val="6E8C59CD"/>
    <w:rsid w:val="6F035A59"/>
    <w:rsid w:val="6F2D283B"/>
    <w:rsid w:val="6F483AD1"/>
    <w:rsid w:val="6F5F908F"/>
    <w:rsid w:val="6F6F40CF"/>
    <w:rsid w:val="6FA8F579"/>
    <w:rsid w:val="6FC5102F"/>
    <w:rsid w:val="6FD22763"/>
    <w:rsid w:val="6FE11806"/>
    <w:rsid w:val="7037347A"/>
    <w:rsid w:val="706C7393"/>
    <w:rsid w:val="70B33B2D"/>
    <w:rsid w:val="70B93212"/>
    <w:rsid w:val="70DE4060"/>
    <w:rsid w:val="710D58AC"/>
    <w:rsid w:val="71761B9F"/>
    <w:rsid w:val="71FA13BB"/>
    <w:rsid w:val="720867EF"/>
    <w:rsid w:val="722C04C9"/>
    <w:rsid w:val="72406071"/>
    <w:rsid w:val="72CFC3FC"/>
    <w:rsid w:val="72EA28D9"/>
    <w:rsid w:val="72FF7D9B"/>
    <w:rsid w:val="731B16A2"/>
    <w:rsid w:val="73A79CD9"/>
    <w:rsid w:val="73D040CE"/>
    <w:rsid w:val="73E4411B"/>
    <w:rsid w:val="741D056B"/>
    <w:rsid w:val="745D6409"/>
    <w:rsid w:val="746F11F1"/>
    <w:rsid w:val="74791845"/>
    <w:rsid w:val="74995177"/>
    <w:rsid w:val="74AB4FE5"/>
    <w:rsid w:val="74E41BEE"/>
    <w:rsid w:val="761F7F3A"/>
    <w:rsid w:val="76856420"/>
    <w:rsid w:val="76D74425"/>
    <w:rsid w:val="76EF5746"/>
    <w:rsid w:val="76FE86AA"/>
    <w:rsid w:val="76FF0528"/>
    <w:rsid w:val="77045574"/>
    <w:rsid w:val="770D6A93"/>
    <w:rsid w:val="77335A07"/>
    <w:rsid w:val="77343076"/>
    <w:rsid w:val="774B0A1F"/>
    <w:rsid w:val="777EDCD6"/>
    <w:rsid w:val="77AF34F8"/>
    <w:rsid w:val="78014D8E"/>
    <w:rsid w:val="78432D95"/>
    <w:rsid w:val="786D7712"/>
    <w:rsid w:val="788A7FD7"/>
    <w:rsid w:val="78DC6412"/>
    <w:rsid w:val="78F788B9"/>
    <w:rsid w:val="78FE0CA5"/>
    <w:rsid w:val="795B78CF"/>
    <w:rsid w:val="79B33F8C"/>
    <w:rsid w:val="7A966109"/>
    <w:rsid w:val="7B101F55"/>
    <w:rsid w:val="7BDFBDF7"/>
    <w:rsid w:val="7CC95FF2"/>
    <w:rsid w:val="7D396E2D"/>
    <w:rsid w:val="7D694E9E"/>
    <w:rsid w:val="7DDB7BFC"/>
    <w:rsid w:val="7DFDF57C"/>
    <w:rsid w:val="7E1B40AE"/>
    <w:rsid w:val="7E3B1A79"/>
    <w:rsid w:val="7E4BE362"/>
    <w:rsid w:val="7E7B8CEA"/>
    <w:rsid w:val="7E830941"/>
    <w:rsid w:val="7EBC2911"/>
    <w:rsid w:val="7EE3F40F"/>
    <w:rsid w:val="7F3472CE"/>
    <w:rsid w:val="7F724BB1"/>
    <w:rsid w:val="7F756D55"/>
    <w:rsid w:val="7F986626"/>
    <w:rsid w:val="7F9D5378"/>
    <w:rsid w:val="7FB3D93E"/>
    <w:rsid w:val="7FB742CF"/>
    <w:rsid w:val="7FBB6CEB"/>
    <w:rsid w:val="7FD97BFC"/>
    <w:rsid w:val="7FDD6302"/>
    <w:rsid w:val="7FE5BBC4"/>
    <w:rsid w:val="7FEDF1A2"/>
    <w:rsid w:val="7FEF1928"/>
    <w:rsid w:val="7FEF9E0B"/>
    <w:rsid w:val="7FFB4B33"/>
    <w:rsid w:val="7FFBC002"/>
    <w:rsid w:val="9F5F21F2"/>
    <w:rsid w:val="9FF7C9A4"/>
    <w:rsid w:val="ACFA3B4B"/>
    <w:rsid w:val="B6FC9F44"/>
    <w:rsid w:val="B8CABF0E"/>
    <w:rsid w:val="BABDE969"/>
    <w:rsid w:val="BDCFB3C2"/>
    <w:rsid w:val="BDED0696"/>
    <w:rsid w:val="BE2E9E46"/>
    <w:rsid w:val="BEBCEDEA"/>
    <w:rsid w:val="BEBEDF04"/>
    <w:rsid w:val="BF7DC39C"/>
    <w:rsid w:val="BFF7C5D1"/>
    <w:rsid w:val="C5FFB1ED"/>
    <w:rsid w:val="CE9F08AC"/>
    <w:rsid w:val="CEFBDA19"/>
    <w:rsid w:val="CFDD728B"/>
    <w:rsid w:val="D78F8098"/>
    <w:rsid w:val="DD7C3D08"/>
    <w:rsid w:val="DE5FC5B7"/>
    <w:rsid w:val="DF3FB433"/>
    <w:rsid w:val="DF6B2684"/>
    <w:rsid w:val="DFE55A2A"/>
    <w:rsid w:val="DFE785C9"/>
    <w:rsid w:val="E55FED39"/>
    <w:rsid w:val="E57BA949"/>
    <w:rsid w:val="E77BCD92"/>
    <w:rsid w:val="E77F5E46"/>
    <w:rsid w:val="E9FD44C5"/>
    <w:rsid w:val="EBAF2FE0"/>
    <w:rsid w:val="EDFF833E"/>
    <w:rsid w:val="EF65483F"/>
    <w:rsid w:val="EFB60E6A"/>
    <w:rsid w:val="EFDE7EFB"/>
    <w:rsid w:val="EFED7D33"/>
    <w:rsid w:val="EFFB6C99"/>
    <w:rsid w:val="EFFB7C8A"/>
    <w:rsid w:val="F4FF036E"/>
    <w:rsid w:val="F67AEFC4"/>
    <w:rsid w:val="F7B30FD6"/>
    <w:rsid w:val="F7DFD0E6"/>
    <w:rsid w:val="F7FFD9C3"/>
    <w:rsid w:val="F9E708BC"/>
    <w:rsid w:val="FA6A1BCF"/>
    <w:rsid w:val="FB7D863F"/>
    <w:rsid w:val="FBF7CB2B"/>
    <w:rsid w:val="FC1545B4"/>
    <w:rsid w:val="FCAB2894"/>
    <w:rsid w:val="FCFD8A34"/>
    <w:rsid w:val="FD9EB9E0"/>
    <w:rsid w:val="FDEE5E35"/>
    <w:rsid w:val="FDF8AE67"/>
    <w:rsid w:val="FE4DE98C"/>
    <w:rsid w:val="FE5E1487"/>
    <w:rsid w:val="FE79C8BB"/>
    <w:rsid w:val="FEBA2B6C"/>
    <w:rsid w:val="FEFE2721"/>
    <w:rsid w:val="FF3F2220"/>
    <w:rsid w:val="FF75D420"/>
    <w:rsid w:val="FF7C5FDE"/>
    <w:rsid w:val="FF9FBA0F"/>
    <w:rsid w:val="FFAEE9A2"/>
    <w:rsid w:val="FFF54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qFormat/>
    <w:uiPriority w:val="0"/>
    <w:pPr>
      <w:spacing w:before="100" w:beforeAutospacing="1" w:after="100" w:afterAutospacing="1"/>
      <w:jc w:val="left"/>
      <w:outlineLvl w:val="2"/>
    </w:pPr>
    <w:rPr>
      <w:rFonts w:hint="eastAsia" w:ascii="宋体" w:hAnsi="宋体"/>
      <w:b/>
      <w:bCs/>
      <w:kern w:val="0"/>
      <w:sz w:val="27"/>
      <w:szCs w:val="27"/>
    </w:rPr>
  </w:style>
  <w:style w:type="character" w:default="1" w:styleId="14">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0"/>
    <w:autoRedefine/>
    <w:unhideWhenUsed/>
    <w:qFormat/>
    <w:uiPriority w:val="0"/>
    <w:rPr>
      <w:rFonts w:ascii="宋体"/>
      <w:sz w:val="18"/>
      <w:szCs w:val="18"/>
    </w:rPr>
  </w:style>
  <w:style w:type="paragraph" w:styleId="4">
    <w:name w:val="annotation text"/>
    <w:basedOn w:val="1"/>
    <w:link w:val="21"/>
    <w:autoRedefine/>
    <w:unhideWhenUsed/>
    <w:qFormat/>
    <w:uiPriority w:val="0"/>
    <w:pPr>
      <w:jc w:val="left"/>
    </w:pPr>
  </w:style>
  <w:style w:type="paragraph" w:styleId="5">
    <w:name w:val="Body Text"/>
    <w:basedOn w:val="1"/>
    <w:link w:val="22"/>
    <w:autoRedefine/>
    <w:qFormat/>
    <w:uiPriority w:val="0"/>
    <w:pPr>
      <w:adjustRightInd w:val="0"/>
      <w:jc w:val="left"/>
      <w:textAlignment w:val="baseline"/>
    </w:pPr>
    <w:rPr>
      <w:szCs w:val="20"/>
    </w:rPr>
  </w:style>
  <w:style w:type="paragraph" w:styleId="6">
    <w:name w:val="Balloon Text"/>
    <w:basedOn w:val="1"/>
    <w:link w:val="23"/>
    <w:autoRedefine/>
    <w:semiHidden/>
    <w:qFormat/>
    <w:uiPriority w:val="0"/>
    <w:rPr>
      <w:sz w:val="18"/>
      <w:szCs w:val="18"/>
    </w:rPr>
  </w:style>
  <w:style w:type="paragraph" w:styleId="7">
    <w:name w:val="footer"/>
    <w:basedOn w:val="1"/>
    <w:link w:val="24"/>
    <w:autoRedefine/>
    <w:qFormat/>
    <w:uiPriority w:val="0"/>
    <w:pPr>
      <w:tabs>
        <w:tab w:val="center" w:pos="4153"/>
        <w:tab w:val="right" w:pos="8306"/>
      </w:tabs>
      <w:snapToGrid w:val="0"/>
      <w:jc w:val="left"/>
    </w:pPr>
    <w:rPr>
      <w:sz w:val="18"/>
      <w:szCs w:val="18"/>
    </w:rPr>
  </w:style>
  <w:style w:type="paragraph" w:styleId="8">
    <w:name w:val="header"/>
    <w:basedOn w:val="1"/>
    <w:link w:val="25"/>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26"/>
    <w:autoRedefine/>
    <w:semiHidden/>
    <w:qFormat/>
    <w:uiPriority w:val="0"/>
    <w:pPr>
      <w:snapToGrid w:val="0"/>
      <w:jc w:val="left"/>
    </w:pPr>
    <w:rPr>
      <w:sz w:val="18"/>
      <w:szCs w:val="18"/>
    </w:rPr>
  </w:style>
  <w:style w:type="paragraph" w:styleId="10">
    <w:name w:val="annotation subject"/>
    <w:basedOn w:val="4"/>
    <w:next w:val="4"/>
    <w:link w:val="27"/>
    <w:autoRedefine/>
    <w:unhideWhenUsed/>
    <w:qFormat/>
    <w:uiPriority w:val="0"/>
    <w:rPr>
      <w:b/>
      <w:bCs/>
    </w:rPr>
  </w:style>
  <w:style w:type="table" w:styleId="12">
    <w:name w:val="Table Grid"/>
    <w:basedOn w:val="1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
    <w:name w:val="Table Theme"/>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autoRedefine/>
    <w:qFormat/>
    <w:uiPriority w:val="0"/>
  </w:style>
  <w:style w:type="character" w:styleId="16">
    <w:name w:val="FollowedHyperlink"/>
    <w:basedOn w:val="14"/>
    <w:autoRedefine/>
    <w:qFormat/>
    <w:uiPriority w:val="0"/>
    <w:rPr>
      <w:color w:val="800080"/>
      <w:u w:val="single"/>
    </w:rPr>
  </w:style>
  <w:style w:type="character" w:styleId="17">
    <w:name w:val="Hyperlink"/>
    <w:basedOn w:val="14"/>
    <w:autoRedefine/>
    <w:qFormat/>
    <w:uiPriority w:val="0"/>
    <w:rPr>
      <w:color w:val="0000FF"/>
      <w:u w:val="single"/>
    </w:rPr>
  </w:style>
  <w:style w:type="character" w:styleId="18">
    <w:name w:val="annotation reference"/>
    <w:basedOn w:val="14"/>
    <w:autoRedefine/>
    <w:unhideWhenUsed/>
    <w:qFormat/>
    <w:uiPriority w:val="0"/>
    <w:rPr>
      <w:sz w:val="21"/>
      <w:szCs w:val="21"/>
    </w:rPr>
  </w:style>
  <w:style w:type="character" w:styleId="19">
    <w:name w:val="footnote reference"/>
    <w:basedOn w:val="14"/>
    <w:autoRedefine/>
    <w:semiHidden/>
    <w:qFormat/>
    <w:uiPriority w:val="0"/>
    <w:rPr>
      <w:vertAlign w:val="superscript"/>
    </w:rPr>
  </w:style>
  <w:style w:type="character" w:customStyle="1" w:styleId="20">
    <w:name w:val="文档结构图 字符"/>
    <w:basedOn w:val="14"/>
    <w:link w:val="3"/>
    <w:autoRedefine/>
    <w:semiHidden/>
    <w:qFormat/>
    <w:uiPriority w:val="0"/>
    <w:rPr>
      <w:rFonts w:ascii="宋体"/>
      <w:kern w:val="2"/>
      <w:sz w:val="18"/>
      <w:szCs w:val="18"/>
    </w:rPr>
  </w:style>
  <w:style w:type="character" w:customStyle="1" w:styleId="21">
    <w:name w:val="批注文字 字符"/>
    <w:basedOn w:val="14"/>
    <w:link w:val="4"/>
    <w:autoRedefine/>
    <w:semiHidden/>
    <w:qFormat/>
    <w:uiPriority w:val="0"/>
    <w:rPr>
      <w:kern w:val="2"/>
      <w:sz w:val="21"/>
      <w:szCs w:val="24"/>
    </w:rPr>
  </w:style>
  <w:style w:type="character" w:customStyle="1" w:styleId="22">
    <w:name w:val="正文文本 字符"/>
    <w:basedOn w:val="14"/>
    <w:link w:val="5"/>
    <w:autoRedefine/>
    <w:qFormat/>
    <w:uiPriority w:val="0"/>
    <w:rPr>
      <w:kern w:val="2"/>
      <w:sz w:val="21"/>
    </w:rPr>
  </w:style>
  <w:style w:type="character" w:customStyle="1" w:styleId="23">
    <w:name w:val="批注框文本 字符"/>
    <w:basedOn w:val="14"/>
    <w:link w:val="6"/>
    <w:autoRedefine/>
    <w:semiHidden/>
    <w:qFormat/>
    <w:uiPriority w:val="0"/>
    <w:rPr>
      <w:kern w:val="2"/>
      <w:sz w:val="18"/>
      <w:szCs w:val="18"/>
    </w:rPr>
  </w:style>
  <w:style w:type="character" w:customStyle="1" w:styleId="24">
    <w:name w:val="页脚 字符"/>
    <w:basedOn w:val="14"/>
    <w:link w:val="7"/>
    <w:autoRedefine/>
    <w:qFormat/>
    <w:uiPriority w:val="0"/>
    <w:rPr>
      <w:kern w:val="2"/>
      <w:sz w:val="18"/>
      <w:szCs w:val="18"/>
    </w:rPr>
  </w:style>
  <w:style w:type="character" w:customStyle="1" w:styleId="25">
    <w:name w:val="页眉 字符"/>
    <w:basedOn w:val="14"/>
    <w:link w:val="8"/>
    <w:autoRedefine/>
    <w:qFormat/>
    <w:uiPriority w:val="0"/>
    <w:rPr>
      <w:kern w:val="2"/>
      <w:sz w:val="18"/>
      <w:szCs w:val="18"/>
    </w:rPr>
  </w:style>
  <w:style w:type="character" w:customStyle="1" w:styleId="26">
    <w:name w:val="脚注文本 字符"/>
    <w:basedOn w:val="14"/>
    <w:link w:val="9"/>
    <w:autoRedefine/>
    <w:semiHidden/>
    <w:qFormat/>
    <w:uiPriority w:val="0"/>
    <w:rPr>
      <w:kern w:val="2"/>
      <w:sz w:val="18"/>
      <w:szCs w:val="18"/>
    </w:rPr>
  </w:style>
  <w:style w:type="character" w:customStyle="1" w:styleId="27">
    <w:name w:val="批注主题 字符"/>
    <w:basedOn w:val="21"/>
    <w:link w:val="10"/>
    <w:autoRedefine/>
    <w:semiHidden/>
    <w:qFormat/>
    <w:uiPriority w:val="0"/>
    <w:rPr>
      <w:b/>
      <w:bCs/>
      <w:kern w:val="2"/>
      <w:sz w:val="21"/>
      <w:szCs w:val="24"/>
    </w:rPr>
  </w:style>
  <w:style w:type="paragraph" w:styleId="28">
    <w:name w:val="List Paragraph"/>
    <w:basedOn w:val="1"/>
    <w:autoRedefine/>
    <w:qFormat/>
    <w:uiPriority w:val="34"/>
    <w:pPr>
      <w:ind w:firstLine="420" w:firstLineChars="200"/>
    </w:pPr>
  </w:style>
  <w:style w:type="paragraph" w:customStyle="1" w:styleId="29">
    <w:name w:val="修订1"/>
    <w:autoRedefine/>
    <w:semiHidden/>
    <w:qFormat/>
    <w:uiPriority w:val="99"/>
    <w:rPr>
      <w:rFonts w:ascii="Times New Roman" w:hAnsi="Times New Roman" w:eastAsia="宋体" w:cs="Times New Roman"/>
      <w:kern w:val="2"/>
      <w:sz w:val="21"/>
      <w:szCs w:val="24"/>
      <w:lang w:val="en-US" w:eastAsia="zh-CN" w:bidi="ar-SA"/>
    </w:rPr>
  </w:style>
  <w:style w:type="table" w:customStyle="1" w:styleId="30">
    <w:name w:val="Table Grid1"/>
    <w:basedOn w:val="1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
    <w:name w:val="修订2"/>
    <w:autoRedefine/>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7DD813-6818-4A5B-993B-E961948834F8}">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16920</Words>
  <Characters>17498</Characters>
  <Lines>125</Lines>
  <Paragraphs>35</Paragraphs>
  <TotalTime>0</TotalTime>
  <ScaleCrop>false</ScaleCrop>
  <LinksUpToDate>false</LinksUpToDate>
  <CharactersWithSpaces>17860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2024-03-11T02:14:00Z</dcterms:created>
  <dc:creator>zm</dc:creator>
  <cp:lastModifiedBy>嘟嘟</cp:lastModifiedBy>
  <cp:lastPrinted>2023-03-18T17:13:00Z</cp:lastPrinted>
  <dcterms:modified xsi:type="dcterms:W3CDTF">2026-03-09T06:25:24Z</dcterms:modified>
  <dc:title>签     报</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976E7D08BA5E405587D84A7722080C04_13</vt:lpwstr>
  </property>
  <property fmtid="{D5CDD505-2E9C-101B-9397-08002B2CF9AE}" pid="4" name="KSOTemplateDocerSaveRecord">
    <vt:lpwstr>eyJoZGlkIjoiMjE2YWY5NzI1MThhZDljY2U3MzkwYzYyOTljZjg5ZmIiLCJ1c2VySWQiOiI0MjQ5NjU3NjUifQ==</vt:lpwstr>
  </property>
</Properties>
</file>