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CDFD0">
      <w:pPr>
        <w:spacing w:before="0" w:after="0"/>
        <w:jc w:val="center"/>
        <w:rPr>
          <w:rFonts w:ascii="宋体" w:hAnsi="宋体" w:eastAsia="宋体" w:cs="宋体"/>
          <w:b/>
          <w:i w:val="0"/>
          <w:color w:val="000000"/>
          <w:sz w:val="54"/>
          <w:u w:val="none"/>
        </w:rPr>
      </w:pPr>
      <w:bookmarkStart w:id="0" w:name="_GoBack"/>
      <w:r>
        <w:rPr>
          <w:rFonts w:hint="eastAsia" w:cs="宋体"/>
          <w:b/>
          <w:i w:val="0"/>
          <w:color w:val="000000"/>
          <w:sz w:val="54"/>
          <w:u w:val="none"/>
          <w:lang w:val="en-US" w:eastAsia="zh-CN"/>
        </w:rPr>
        <w:t>景德镇一中</w:t>
      </w:r>
      <w:r>
        <w:rPr>
          <w:rFonts w:ascii="宋体" w:hAnsi="宋体" w:eastAsia="宋体" w:cs="宋体"/>
          <w:b/>
          <w:i w:val="0"/>
          <w:color w:val="000000"/>
          <w:sz w:val="54"/>
          <w:u w:val="none"/>
        </w:rPr>
        <w:t>2024年度</w:t>
      </w:r>
      <w:bookmarkEnd w:id="0"/>
    </w:p>
    <w:p w14:paraId="79A2A616">
      <w:pPr>
        <w:spacing w:before="0" w:after="0"/>
        <w:jc w:val="center"/>
      </w:pPr>
      <w:r>
        <w:rPr>
          <w:rFonts w:ascii="宋体" w:hAnsi="宋体" w:eastAsia="宋体" w:cs="宋体"/>
          <w:b/>
          <w:i w:val="0"/>
          <w:color w:val="000000"/>
          <w:sz w:val="54"/>
          <w:u w:val="none"/>
        </w:rPr>
        <w:t>行政事业性国有资产分析报告</w:t>
      </w:r>
    </w:p>
    <w:p w14:paraId="2E7B8364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为适应向全国人大常委会报告国有资产管理情况工作的要求，根据《行政单位国有资产管理暂行办法》（财政部令第35号）、《事业单位国有资产管理暂行办法》（财政部令第36号）和《行政事业单位国有资产报告制度》等有关规定，现对我单位本年度资产总体、配置、使用、处置以及收益情况等分析报告如下：</w:t>
      </w:r>
    </w:p>
    <w:p w14:paraId="7FC288EC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一、单位基本情况</w:t>
      </w:r>
    </w:p>
    <w:p w14:paraId="065EDC0D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截至2024年12月31日，我单位编制人数291人，较上年度增加4人，年末实有人数279人，较上年度增加11人。</w:t>
      </w:r>
    </w:p>
    <w:p w14:paraId="414559CC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二、行政事业单位国有资产基本情况</w:t>
      </w:r>
    </w:p>
    <w:p w14:paraId="23E7059D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（一）资产总体情况</w:t>
      </w:r>
    </w:p>
    <w:p w14:paraId="054145CF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截至2024年12月31日，我单位资产总额（账面净值，下同）4,973.50万元，较上年增长-1.36%。负债总额30.99万元,较上年增长65.30%。净资产4,942.51万元,较上年增长-1.61%。</w:t>
      </w:r>
    </w:p>
    <w:p w14:paraId="355F8A9B">
      <w:pPr>
        <w:spacing w:before="0" w:after="0" w:line="468" w:lineRule="exact"/>
        <w:ind w:firstLine="602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1.资产分布情况。</w:t>
      </w:r>
    </w:p>
    <w:p w14:paraId="5F5689C6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我部门/单位行政单位国有资产0.00万元，占0.00%；事业单位国有资产4,973.50万元，占100.00%。</w:t>
      </w:r>
    </w:p>
    <w:p w14:paraId="7A47260D">
      <w:pPr>
        <w:spacing w:before="0" w:after="0" w:line="468" w:lineRule="exact"/>
        <w:ind w:firstLine="602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2.资产构成情况。</w:t>
      </w:r>
    </w:p>
    <w:p w14:paraId="4381290B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流动资产253.25万元，较上年增长7.55%，占资产总额5.09%；固定资产4,204.13万元，较上年增长-2.01%, 占资产总额84.53%；在建工程0.00万元，较上年增长0.00%，占资产总额0.00%；长期投资0.00万元，占资产总额0.00%；无形资产0.00万元，较上年增长0.00%，占资产总额0.00%；公共基础设施0.00万元，占资产总额0.00%；政府储备物资0.00万元，占资产总额0.00%；文物文化资产0.00万元，占资产总额0.00%；保障性住房0.00万元，占资产总额0.00%；其他资产5,161,208.88万元，占资产总额10.38%。</w:t>
      </w:r>
    </w:p>
    <w:p w14:paraId="42A1443A">
      <w:pPr>
        <w:spacing w:before="0" w:after="0" w:line="468" w:lineRule="exact"/>
        <w:ind w:firstLine="602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3.固定资产构成情况。</w:t>
      </w:r>
    </w:p>
    <w:p w14:paraId="18F771A5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 xml:space="preserve">房屋和构筑物3,380.91万元，占固定资产的80.42%（其中，房屋3,232.00万元，占固定资产的76.88%）；设备600.40万元，占14.28%（其中，车辆0.00万元，占0.00%，单价100万（含）以上（不含车辆）设备83.19万元，占1.98%）；文物和陈列品0.00万元，占0.00%；图书和档案72.60万元，占1.73%；家具和用具150.21万元，占3.57%；特种动植物0.00万元，占0.00%。 </w:t>
      </w:r>
    </w:p>
    <w:p w14:paraId="75E41B2E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（二）具体管理情况</w:t>
      </w:r>
    </w:p>
    <w:p w14:paraId="28CDF47E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1.资产配置情况</w:t>
      </w:r>
    </w:p>
    <w:p w14:paraId="57BDBE9B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2024年度，我部门/单位配置固定资产271.39万元（账面原值，下同）。从资产类别分析，配置房屋和构筑物0.00万元，占0.00%；配置设备253.19万元，占93.29%；配置文物和陈列品0.00万元，占0.00%；配置图书和档案0.00万元，占0.00%；配置家具和用具18.20万元，占6.71%；配置特种动植物0.00万元，占0.00%。从配置方式分析，建设0.00万元，占0.00%；新购211.96万元，占78.10%；调拨55.10万元，占20.30%；接受捐赠0.00万元，占0.00%；置换0.00万元，占0.00%；其他方式新增4.33万元，占1.60%。</w:t>
      </w:r>
    </w:p>
    <w:p w14:paraId="3521CD01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我部门/单位配置无形资产0.00万元。从资产类别分析，配置专利0.00万元，占0.00%；配置非专利技术0.00万元，占0.00%；配置土地使用权0.00万元，占0.00%；配置计算机软件0.00万元，占0.00%。从配置方式分析，建设0.00万元，占0.00%；新购0.00万元，占0.00%；调拨0.00万元，占0.00%；接受捐赠0.00万元，占0.00%；置换0.00万元，占0.00%；其他方式新增0.00万元，占0.00%。</w:t>
      </w:r>
    </w:p>
    <w:p w14:paraId="3B15E67D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我部门/单位配置在建工程0.00万元。</w:t>
      </w:r>
    </w:p>
    <w:p w14:paraId="4A2DB467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2.资产使用情况。</w:t>
      </w:r>
    </w:p>
    <w:p w14:paraId="68121A51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（1）资产自用情况。</w:t>
      </w:r>
    </w:p>
    <w:p w14:paraId="00DA400A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自用固定资产9,584.37万元，占账面固定资产总额的100.00%，其中:在用9,584.37万元，占账面固定资产总额的100.00%；闲置0.00万元，占账面固定资产总额的0.00%；待处置（待报废、毁损等）0.00万元，占账面固定资产总额的0.00%。自用无形资产0.00万元，占账面无形资产总额的100.00%；其中在用0.00万元，占账面无形资产总额的100.00%；闲置0.00万元，占账面无形资产总额的0.00%；待处置（待报废、毁损等）0.00万元，占账面无形资产总额的0.00%。</w:t>
      </w:r>
    </w:p>
    <w:p w14:paraId="2A530172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（2）出租出借情况。</w:t>
      </w:r>
    </w:p>
    <w:p w14:paraId="7960CCF5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出租出借资产0.00万元，占资产总额的0.00%。其中，流动资产0.00万元，占资产总额的0.00%；固定资产0.00万元，占资产总额的0.00%；无形资产0.00万元，占资产总额的0.00%；在建工程0.00万元，占资产总额的0.00%；其他资产0.00万元，占资产总额的0.00%。</w:t>
      </w:r>
    </w:p>
    <w:p w14:paraId="547B6D6E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2024年度新增出租出借资产0.00万元。其中，流动资产0.00万元，占0.00%；固定资产0.00万元，占0.00%；无形资产0.00万元，占0.00%,在建工程0.00万元，占0.00%,其他资产0.00万元，占0.00%。</w:t>
      </w:r>
    </w:p>
    <w:p w14:paraId="2813F8CB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（3）对外投资情况。</w:t>
      </w:r>
    </w:p>
    <w:p w14:paraId="06949E37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截至2024年12月31日，我部门/单位对外投资总额0.00万元。其中，短期投资0.00万元；长期债券投资0.00万元；长期股权投资0.00万元。</w:t>
      </w:r>
    </w:p>
    <w:p w14:paraId="69D9E38D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2024年度新增对外投资0.00笔，账面原值0.00万元。其中，短期投资0.00笔，账面原值0.00万元；长期债券投资0.00笔，账面原值0.00万元；长期股权投资0.00笔，账面原值0.00万元。</w:t>
      </w:r>
    </w:p>
    <w:p w14:paraId="261D2DDB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3.资产处置情况</w:t>
      </w:r>
    </w:p>
    <w:p w14:paraId="59709C15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2024年度，我部门/单位处置资产0.00万元。从资产类别分析,流动资产0.00万元，占0.00%；固定资产0.00万元，占0.00%；无形资产0.00万元，占0.00%；长期投资0.00万元，占0.00%；在建工程0.00万元，占0.00%；其他资产0.00万元，占0.00%。从处置形式上分析，转让0.00万元，占0.00%；无偿划转0.00万元，占0.00%；对外捐赠0.00万元，占0.00%；置换0.00万元，占0.00%；报废0.00万元，占0.00%；损失核销0.00万元，占0.00%，其他方式0.00万元，占0.00%。</w:t>
      </w:r>
    </w:p>
    <w:p w14:paraId="744CD86E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4.资产收益情况。</w:t>
      </w:r>
    </w:p>
    <w:p w14:paraId="2041CF7D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2024年度，我部门/单位出租出借资产收益0.00万元，其中，流动资产收益0.00万元，占0.00%；固定资产收益0.00万元，占0.00%；无形资产收益0.00万元，占0.00%；在建工程收益0.00万元，占0.00%；其他资产收益0.00万元，占0.00%；往期出租出借资产收益0.00万元，占0.00%。对外投资收益0.00万元，其中，短期投资收益0.00万元，占0.00%；长期债券投资收益0.00万元，占0.00%；长期股权投资收益0.00万元，占0.00%。资产处置收益0.00万元，其中：本期处置资产收益0.00万元，占0.00%；往期处置资产收益0.00万元，占0.00%。</w:t>
      </w:r>
    </w:p>
    <w:p w14:paraId="365F0F75">
      <w:pPr>
        <w:spacing w:before="0" w:after="0"/>
        <w:ind w:firstLine="602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5.资产盘活情况。</w:t>
      </w:r>
    </w:p>
    <w:p w14:paraId="2277B131">
      <w:pPr>
        <w:spacing w:before="0" w:after="0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2024年度，我部门/单位盘活资产0.00万元，收入0.00万元。按盘活方式，内部挖潜0.00万元，占0.00%；共享共用0.00万元，占0.00%；调剂利用（无偿划转）0.00万元，占0.00%；对外出租0.00万元，占0.00%；转让（出售）0.00万元，占0.00%；其他方式0.00万元，占0.00%。按资产分类，固定资产盘活0.00万元，占0.00%，其中房屋0.00万元，占固定资产0.00%，设备0.00万元，占固定资产0.00%；无形资产0.00万元，占0.00%；其他资产0.00万元，占0.00%。</w:t>
      </w:r>
    </w:p>
    <w:p w14:paraId="5DCC2D30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（三）重点资产情况。</w:t>
      </w:r>
    </w:p>
    <w:p w14:paraId="5EC8816D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1.土地资产情况。</w:t>
      </w:r>
    </w:p>
    <w:p w14:paraId="1241981B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土地账面面积135,665.00平方米，账面原值0.00万元，账面净值0.00万元。从使用状况分析：在用135,665.00平方米，占比100.00%，出租出借0.00平方米，占比0.00%，闲置0.00平方米，占比0.00%，待处置0.00平方米，占比0.00%。本年度新增0.00平方米，账面原值0.00万元。</w:t>
      </w:r>
    </w:p>
    <w:p w14:paraId="1A6ECDF4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2.房屋资产情况</w:t>
      </w:r>
    </w:p>
    <w:p w14:paraId="66D3988A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房屋账面面积55,059.24平方米，账面价值5,285.89万元，其中办公用房面积6,177.00平方米，占房屋的11.22%；业务用房面积32,717.07平方米，占59.42%；其他用房面积16,165.17平方米，占29.36%。从使用状况分析：在用55,059.24平方米，占100.00%,出租出借0.00平方米，占0.00%,闲置0.00平方米，占0.00%,待处置0.00平方米，占0.00%。</w:t>
      </w:r>
    </w:p>
    <w:p w14:paraId="02499449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本年度新增账面面积0.00平方米，账面原值0.00万元；本年度处置账面面积0.00平方米，账面原值0.00万元。</w:t>
      </w:r>
    </w:p>
    <w:p w14:paraId="4AD57DD2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3.车辆资产情况</w:t>
      </w:r>
    </w:p>
    <w:p w14:paraId="723D8D1E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截至2024年12月31日，我部门/单位车辆账面数量0辆，账面原值0.00万元，账面净值0.00万元。从使用状况分析：在用0辆，占0.00%，出租出借0辆，占0.00%，闲置0辆，占0.00%，待处置0辆，占0.00%。</w:t>
      </w:r>
    </w:p>
    <w:p w14:paraId="11621B7E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本年度新增车辆0辆，账面原值0.00万元；处置车辆0辆，账面原值0.00万元。</w:t>
      </w:r>
    </w:p>
    <w:p w14:paraId="321A22E5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4.在建工程情况</w:t>
      </w:r>
    </w:p>
    <w:p w14:paraId="39D3D892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截至2024年12月31日，我部门/单位账面在建工程0.00万元，其中，在建0.00万元，占0.00%，停建0.00万元，占0.00%；建成未使用0.00万元,占0.00%；已投入使用0.00万元，占0.00%；（未转固年限大于6个月0.00万元，占0.00%）。</w:t>
      </w:r>
    </w:p>
    <w:p w14:paraId="331DDF94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本年度新增0.00万元，处置0.00万元。</w:t>
      </w:r>
    </w:p>
    <w:p w14:paraId="41F953C6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（四）资产绩效情况。</w:t>
      </w:r>
    </w:p>
    <w:p w14:paraId="40C21BE1">
      <w:pPr>
        <w:spacing w:before="0" w:after="0" w:line="468" w:lineRule="exact"/>
        <w:ind w:firstLine="600" w:firstLineChars="200"/>
        <w:jc w:val="both"/>
        <w:rPr>
          <w:sz w:val="30"/>
          <w:szCs w:val="30"/>
        </w:rPr>
      </w:pPr>
      <w:r>
        <w:rPr>
          <w:rFonts w:ascii="宋体" w:hAnsi="宋体" w:eastAsia="宋体" w:cs="宋体"/>
          <w:b w:val="0"/>
          <w:i w:val="0"/>
          <w:color w:val="000000"/>
          <w:sz w:val="30"/>
          <w:szCs w:val="30"/>
          <w:u w:val="none"/>
        </w:rPr>
        <w:t>截至2024年12月31日，我部门/单位固定资产成新率为43.86%；公共基础设施成新率为0.00%；保障性住房成新率为0.00%。</w:t>
      </w:r>
    </w:p>
    <w:p w14:paraId="41B3DE90">
      <w:pPr>
        <w:numPr>
          <w:ilvl w:val="0"/>
          <w:numId w:val="1"/>
        </w:numPr>
        <w:spacing w:before="0" w:after="0" w:line="468" w:lineRule="exact"/>
        <w:ind w:firstLine="600" w:firstLineChars="200"/>
        <w:jc w:val="left"/>
        <w:rPr>
          <w:rFonts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资产管理工作情况</w:t>
      </w:r>
    </w:p>
    <w:p w14:paraId="0070BD40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cs="宋体"/>
          <w:b w:val="0"/>
          <w:bCs w:val="0"/>
          <w:i w:val="0"/>
          <w:color w:val="000000"/>
          <w:sz w:val="30"/>
          <w:szCs w:val="30"/>
          <w:u w:val="none"/>
          <w:lang w:eastAsia="zh-CN"/>
        </w:rPr>
        <w:t>（一）</w:t>
      </w: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资产购置</w:t>
      </w:r>
    </w:p>
    <w:p w14:paraId="4B522D44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1.需求：各部门根据自身工作和教学需要，提前提交资产购置申请，并详细说明购置理由、预期用途以及预估数量等信息。</w:t>
      </w:r>
    </w:p>
    <w:p w14:paraId="0AEC826F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2.审批：申请提交后，</w:t>
      </w:r>
      <w:r>
        <w:rPr>
          <w:rFonts w:hint="eastAsia" w:cs="宋体"/>
          <w:b w:val="0"/>
          <w:bCs w:val="0"/>
          <w:i w:val="0"/>
          <w:color w:val="000000"/>
          <w:sz w:val="30"/>
          <w:szCs w:val="30"/>
          <w:u w:val="none"/>
          <w:lang w:eastAsia="zh-CN"/>
        </w:rPr>
        <w:t>经校领导审批后，</w:t>
      </w: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方可进行购置。</w:t>
      </w:r>
    </w:p>
    <w:p w14:paraId="39B00DA0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3.采购执行：严格按照相关采购规定，通过公开招标、询价等合法合规的采购方式，选择优质供应商进行采购，确保所购资产质量可靠、价格合理。</w:t>
      </w:r>
    </w:p>
    <w:p w14:paraId="0E352AC5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（二）资产入账与登记</w:t>
      </w:r>
    </w:p>
    <w:p w14:paraId="63E6A5E3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新购置的资产到货后，资产管理部门会同采购部门、使用部门共同进行验收。验收合格后，及时进行资产入账操作，详细记录资产的名称、规格型号、购置日期、购置价格、供应商等信息，并为每件资产赋予唯一的资产编号，同时在资产管理系统中进行登记，建立电子档案，以便后续的查询、管理和盘点。</w:t>
      </w:r>
    </w:p>
    <w:p w14:paraId="44156F1D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（三）资产使用与维护</w:t>
      </w:r>
    </w:p>
    <w:p w14:paraId="52BF800D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1.资产调配：根据各部门实际需求，合理调配资产，提高资产的使用效率。例如，在教学设备方面，会根据课程安排和各学科教学特点，将多媒体设备等调配到最需要的教室使用。</w:t>
      </w:r>
    </w:p>
    <w:p w14:paraId="65C33B96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2.日常维护：对于教学设备等关键资产，定期安排专业技术人员进行检查、保养和维修，确保其性能良好，能够正常投入使用。同时，要求使用人员在使用过程中规范操作，如发现资产故障及时上报，以便及时处理。</w:t>
      </w:r>
    </w:p>
    <w:p w14:paraId="4B34DF69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（四）资产盘点与清查</w:t>
      </w:r>
    </w:p>
    <w:p w14:paraId="323FDC32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1.定期盘点：每年组织全校范围的资产盘点工作。由资产管理部门牵头，各使用部门配合，按照资产清单逐一核对资产的实际存在情况、使用状态等。盘点过程中，认真填写盘点表，记录资产的盘点结果，如是否存在盘盈、盘亏等情况。</w:t>
      </w:r>
    </w:p>
    <w:p w14:paraId="30F52959">
      <w:pPr>
        <w:numPr>
          <w:ilvl w:val="0"/>
          <w:numId w:val="0"/>
        </w:numPr>
        <w:spacing w:before="0" w:after="0" w:line="468" w:lineRule="exact"/>
        <w:ind w:firstLine="600" w:firstLineChars="200"/>
        <w:jc w:val="left"/>
        <w:rPr>
          <w:rFonts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2.清查处理：对于盘点中发现的问题，如资产丢失、损坏无法修复等，及时进行调查分析，明确责任归属。若是因使用人员违规操作导致的，按照学校相关规定进行处理；若是正常损耗等原因造成的，及时进行资产核销或更新等处理，并在资产管理系统中更新资产信息，确保资产账实相符。</w:t>
      </w:r>
    </w:p>
    <w:p w14:paraId="7FA38B18">
      <w:pPr>
        <w:spacing w:before="0" w:after="0" w:line="468" w:lineRule="exact"/>
        <w:ind w:firstLine="602" w:firstLineChars="200"/>
        <w:jc w:val="left"/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四、保障单位履职和促进事业发展情况</w:t>
      </w:r>
    </w:p>
    <w:p w14:paraId="055C7C53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学校资产管理工作对学校事业发展起到了至关重要的作用。在教学方面，优质的资产配置为教学活动提供了丰富多样的教学资源，使得教学手段更加多元化，提高了教学质量，培养出了更多适应社会需求的高素质人才，这是学校履行教育职责、实现教育事业发展的核心目标。</w:t>
      </w:r>
    </w:p>
    <w:p w14:paraId="322DC928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在校园文化建设方面，完善的公共资产如体育馆、图书馆、艺术场馆等的管理和使用，为师生提供了丰富多彩的课余生活场所，营造了良好的校园文化氛围，有利于培养学生的综合素质和创新精神，促进了学校文化事业的发展。</w:t>
      </w:r>
    </w:p>
    <w:p w14:paraId="6E3CE03D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u w:val="none"/>
        </w:rPr>
        <w:t>通过合理配置和有效利用资产，帮助学校节约了大量的资金资源。一方面，避免了不必要的资产重复购置，通过资产共享等方式提高了资产的使用效率；另一方面，通过规范的资产处置和盘活闲置资产，实现了资产的保值增值。这些举措为学校的可持续发展提供了坚实的经济基础，使得学校能够将更多的资金投入到教学科研等核心业务中，进一步提升学校的综合实力。</w:t>
      </w:r>
    </w:p>
    <w:p w14:paraId="10997886">
      <w:pPr>
        <w:spacing w:before="0" w:after="0" w:line="468" w:lineRule="exact"/>
        <w:ind w:firstLine="602" w:firstLineChars="200"/>
        <w:jc w:val="left"/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五、资产管理工作存在的问题</w:t>
      </w:r>
    </w:p>
    <w:p w14:paraId="7F3F015F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（一）资产管理人员专业素养有待提高</w:t>
      </w:r>
    </w:p>
    <w:p w14:paraId="2572E9C2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cs="宋体"/>
          <w:b w:val="0"/>
          <w:bCs w:val="0"/>
          <w:i w:val="0"/>
          <w:color w:val="000000"/>
          <w:sz w:val="30"/>
          <w:szCs w:val="30"/>
          <w:u w:val="none"/>
          <w:lang w:eastAsia="zh-CN"/>
        </w:rPr>
        <w:t>学校</w:t>
      </w: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资产管理人员缺乏系统的资产管理知识和专业技能，在处理一些复杂的资产账务、评估资产价值等方面存在一定困难，影响了资产管理工作的精细化程度。</w:t>
      </w:r>
    </w:p>
    <w:p w14:paraId="73F18688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（二）资产管理信息化建设仍需加强</w:t>
      </w:r>
    </w:p>
    <w:p w14:paraId="463A487F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虽然我校已经建立了资产管理系统，但系统功能还不够完善，如在资产动态跟踪、数据分析等方面存在不足，不能很好地满足现代资产管理的需求。</w:t>
      </w:r>
    </w:p>
    <w:p w14:paraId="37BB799B">
      <w:pPr>
        <w:spacing w:before="0" w:after="0" w:line="468" w:lineRule="exact"/>
        <w:ind w:firstLine="600" w:firstLineChars="200"/>
        <w:jc w:val="left"/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（三）部分资产使用效率仍可提升</w:t>
      </w:r>
    </w:p>
    <w:p w14:paraId="34E7E67C">
      <w:pPr>
        <w:spacing w:before="0" w:after="0" w:line="468" w:lineRule="exact"/>
        <w:ind w:firstLine="600" w:firstLineChars="200"/>
        <w:jc w:val="left"/>
        <w:rPr>
          <w:rFonts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</w:pPr>
      <w:r>
        <w:rPr>
          <w:rFonts w:hint="eastAsia" w:ascii="宋体" w:hAnsi="宋体" w:eastAsia="宋体" w:cs="宋体"/>
          <w:b w:val="0"/>
          <w:bCs w:val="0"/>
          <w:i w:val="0"/>
          <w:color w:val="000000"/>
          <w:sz w:val="30"/>
          <w:szCs w:val="30"/>
          <w:u w:val="none"/>
        </w:rPr>
        <w:t>尽管在资产调配和使用方面采取了一些措施，但仍存在部分资产（如一些老旧的实验设备）由于技术更新换代等原因，使用频率较低，有待进一步挖掘其潜在使用价值，提高其整体使用效率。</w:t>
      </w:r>
    </w:p>
    <w:p w14:paraId="5C27E971">
      <w:pPr>
        <w:spacing w:before="0" w:after="0" w:line="468" w:lineRule="exact"/>
        <w:ind w:firstLine="602" w:firstLineChars="200"/>
        <w:jc w:val="left"/>
        <w:rPr>
          <w:sz w:val="30"/>
          <w:szCs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  <w:szCs w:val="30"/>
          <w:u w:val="none"/>
        </w:rPr>
        <w:t>六、下一步工作思路</w:t>
      </w:r>
    </w:p>
    <w:p w14:paraId="705AC232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（一）加强人员培训</w:t>
      </w:r>
    </w:p>
    <w:p w14:paraId="0E0B2758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定期组织资产管理人员参加专业培训，邀请业内专家授课，内容涵盖资产管理政策法规、账务处理、价值评估等方面，提高资产管理人员的专业素养和业务能力，使其能够更好地胜任资产管理工作。</w:t>
      </w:r>
    </w:p>
    <w:p w14:paraId="5DDA5E8E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（二）完善信息化建设</w:t>
      </w:r>
    </w:p>
    <w:p w14:paraId="0DED3CEB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加大对资产管理信息化建设的投入，升级现有的资产管理系统，增加资产动态跟踪、数据分析等功能模块，实现资产从购置到报废全生命周期的信息化管理，提高资产管理的效率和精准度。</w:t>
      </w:r>
    </w:p>
    <w:p w14:paraId="16321455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（三）优化资产配置与使用</w:t>
      </w:r>
    </w:p>
    <w:p w14:paraId="154FE77E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继续深入调研各部门资产需求，结合学校发展战略，进一步优化资产配置方案。对于使用效率较低的资产，通过技术改造、共享使用等方式，挖掘其潜在价值，提高其使用效率，确保资产能够更好地服务于学校的教育教学活动和发展需求。</w:t>
      </w:r>
    </w:p>
    <w:p w14:paraId="7186AF28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</w:p>
    <w:p w14:paraId="6910FAEB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</w:p>
    <w:p w14:paraId="35820665">
      <w:pPr>
        <w:spacing w:before="0" w:after="0" w:line="468" w:lineRule="exact"/>
        <w:ind w:firstLine="600" w:firstLineChars="200"/>
        <w:jc w:val="left"/>
        <w:rPr>
          <w:rFonts w:hint="eastAsia"/>
          <w:sz w:val="30"/>
          <w:szCs w:val="30"/>
        </w:rPr>
      </w:pPr>
    </w:p>
    <w:p w14:paraId="344C134E">
      <w:pPr>
        <w:spacing w:before="0" w:after="0" w:line="468" w:lineRule="exact"/>
        <w:ind w:firstLine="6300" w:firstLineChars="2100"/>
        <w:jc w:val="left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景德镇一中</w:t>
      </w:r>
    </w:p>
    <w:p w14:paraId="6106F899">
      <w:pPr>
        <w:spacing w:before="0" w:after="0" w:line="468" w:lineRule="exact"/>
        <w:ind w:firstLine="6000" w:firstLineChars="2000"/>
        <w:jc w:val="left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2025年1月19日</w:t>
      </w:r>
    </w:p>
    <w:p w14:paraId="5727D0F9">
      <w:pPr>
        <w:spacing w:before="0" w:after="0"/>
        <w:jc w:val="left"/>
      </w:pPr>
    </w:p>
    <w:sectPr>
      <w:pgSz w:w="11906" w:h="16838"/>
      <w:pgMar w:top="986" w:right="1082" w:bottom="1043" w:left="1082" w:header="0" w:footer="720" w:gutter="0"/>
      <w:pgNumType w:fmt="decimal"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39B33E"/>
    <w:multiLevelType w:val="singleLevel"/>
    <w:tmpl w:val="ED39B33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evenAndOddHeaders w:val="1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0C0990"/>
    <w:rsid w:val="185274B5"/>
    <w:rsid w:val="35CD57AB"/>
    <w:rsid w:val="3D202336"/>
    <w:rsid w:val="46990993"/>
    <w:rsid w:val="6B2358FC"/>
    <w:rsid w:val="6B4B7D52"/>
    <w:rsid w:val="7012558D"/>
    <w:rsid w:val="70E470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nhideWhenUsed="0" w:uiPriority="99" w:semiHidden="0" w:name="heading 5"/>
    <w:lsdException w:unhideWhenUsed="0" w:uiPriority="99" w:semiHidden="0" w:name="heading 6"/>
    <w:lsdException w:unhideWhenUsed="0" w:uiPriority="99" w:semiHidden="0" w:name="heading 7"/>
    <w:lsdException w:unhideWhenUsed="0" w:uiPriority="99" w:semiHidden="0" w:name="heading 8"/>
    <w:lsdException w:unhideWhenUsed="0" w:uiPriority="99" w:semiHidden="0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nhideWhenUsed="0" w:uiPriority="99" w:semiHidden="0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99" w:semiHidden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99" w:semiHidden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adjustRightInd/>
      <w:snapToGrid w:val="0"/>
      <w:spacing w:line="360" w:lineRule="auto"/>
      <w:contextualSpacing/>
      <w:jc w:val="left"/>
    </w:pPr>
    <w:rPr>
      <w:rFonts w:ascii="宋体" w:hAnsi="宋体" w:eastAsia="宋体" w:cstheme="minorBidi"/>
      <w:bCs/>
      <w:kern w:val="30"/>
      <w:sz w:val="24"/>
      <w:szCs w:val="30"/>
    </w:rPr>
  </w:style>
  <w:style w:type="paragraph" w:styleId="2">
    <w:name w:val="heading 1"/>
    <w:qFormat/>
    <w:uiPriority w:val="9"/>
    <w:pPr>
      <w:keepNext/>
      <w:keepLines/>
      <w:widowControl/>
      <w:adjustRightInd/>
      <w:snapToGrid w:val="0"/>
      <w:spacing w:line="360" w:lineRule="auto"/>
      <w:contextualSpacing/>
      <w:jc w:val="left"/>
      <w:outlineLvl w:val="0"/>
    </w:pPr>
    <w:rPr>
      <w:rFonts w:ascii="黑体" w:hAnsi="黑体" w:eastAsia="黑体" w:cstheme="minorBidi"/>
      <w:bCs/>
      <w:kern w:val="44"/>
      <w:sz w:val="32"/>
      <w:szCs w:val="44"/>
    </w:rPr>
  </w:style>
  <w:style w:type="paragraph" w:styleId="3">
    <w:name w:val="heading 2"/>
    <w:unhideWhenUsed/>
    <w:qFormat/>
    <w:uiPriority w:val="9"/>
    <w:pPr>
      <w:keepNext/>
      <w:keepLines/>
      <w:widowControl/>
      <w:adjustRightInd/>
      <w:snapToGrid w:val="0"/>
      <w:spacing w:line="360" w:lineRule="auto"/>
      <w:contextualSpacing/>
      <w:jc w:val="left"/>
      <w:outlineLvl w:val="1"/>
    </w:pPr>
    <w:rPr>
      <w:rFonts w:ascii="楷体" w:hAnsi="楷体" w:eastAsia="楷体" w:cstheme="minorBidi"/>
      <w:bCs/>
      <w:kern w:val="44"/>
      <w:sz w:val="30"/>
      <w:szCs w:val="44"/>
    </w:rPr>
  </w:style>
  <w:style w:type="paragraph" w:styleId="4">
    <w:name w:val="heading 3"/>
    <w:unhideWhenUsed/>
    <w:qFormat/>
    <w:uiPriority w:val="9"/>
    <w:pPr>
      <w:keepNext/>
      <w:keepLines/>
      <w:widowControl/>
      <w:adjustRightInd/>
      <w:snapToGrid w:val="0"/>
      <w:spacing w:line="360" w:lineRule="auto"/>
      <w:contextualSpacing/>
      <w:jc w:val="left"/>
      <w:outlineLvl w:val="2"/>
    </w:pPr>
    <w:rPr>
      <w:rFonts w:ascii="宋体" w:hAnsi="宋体" w:eastAsia="宋体" w:cstheme="minorBidi"/>
      <w:b/>
      <w:bCs/>
      <w:kern w:val="30"/>
      <w:sz w:val="24"/>
      <w:szCs w:val="30"/>
    </w:rPr>
  </w:style>
  <w:style w:type="paragraph" w:styleId="5">
    <w:name w:val="heading 4"/>
    <w:unhideWhenUsed/>
    <w:qFormat/>
    <w:uiPriority w:val="9"/>
    <w:pPr>
      <w:keepNext/>
      <w:keepLines/>
      <w:widowControl/>
      <w:adjustRightInd/>
      <w:snapToGrid w:val="0"/>
      <w:spacing w:line="360" w:lineRule="auto"/>
      <w:contextualSpacing/>
      <w:jc w:val="left"/>
      <w:outlineLvl w:val="3"/>
    </w:pPr>
    <w:rPr>
      <w:rFonts w:ascii="宋体" w:hAnsi="宋体" w:eastAsia="宋体" w:cstheme="minorBidi"/>
      <w:bCs/>
      <w:kern w:val="30"/>
      <w:sz w:val="24"/>
      <w:szCs w:val="30"/>
    </w:rPr>
  </w:style>
  <w:style w:type="character" w:default="1" w:styleId="7">
    <w:name w:val="Default Paragraph Font"/>
    <w:qFormat/>
    <w:uiPriority w:val="99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4501</Words>
  <Characters>5713</Characters>
  <TotalTime>3</TotalTime>
  <ScaleCrop>false</ScaleCrop>
  <LinksUpToDate>false</LinksUpToDate>
  <CharactersWithSpaces>5715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2025-02-19T02:04:00Z</dcterms:created>
  <dc:creator>Apache POI</dc:creator>
  <cp:lastModifiedBy>Admin</cp:lastModifiedBy>
  <dcterms:modified xsi:type="dcterms:W3CDTF">2025-12-22T01:18:52Z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eyJoZGlkIjoiY2QzNWE5NWIyZjA3M2QxNDk4YTc3YzZmYzA3YzEwMzYiLCJ1c2VySWQiOiI0MjUzNDcwNjAifQ==</vt:lpwstr>
  </property>
  <property fmtid="{D5CDD505-2E9C-101B-9397-08002B2CF9AE}" pid="3" name="KSOProductBuildVer">
    <vt:lpwstr>2052-12.1.0.24034</vt:lpwstr>
  </property>
  <property fmtid="{D5CDD505-2E9C-101B-9397-08002B2CF9AE}" pid="4" name="ICV">
    <vt:lpwstr>4617C610830547D3AA36C59220FB0FFA_13</vt:lpwstr>
  </property>
</Properties>
</file>