
<file path=[Content_Types].xml><?xml version="1.0" encoding="utf-8"?>
<Types xmlns="http://schemas.openxmlformats.org/package/2006/content-types">
  <Default Extension="png" ContentType="image/png"/>
  <Default Extension="jpeg" ContentType="image/jpeg"/>
  <Default Extension="JPG" ContentType="image/.jpg"/>
  <Default Extension="gif" ContentType="image/gi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B4AF1C">
      <w:pPr>
        <w:keepNext w:val="0"/>
        <w:keepLines w:val="0"/>
        <w:widowControl/>
        <w:suppressLineNumbers w:val="0"/>
        <w:spacing w:after="240" w:afterAutospacing="0"/>
        <w:jc w:val="left"/>
      </w:pPr>
      <w:r>
        <w:rPr>
          <w:rFonts w:ascii="宋体" w:hAnsi="宋体" w:eastAsia="宋体" w:cs="宋体"/>
          <w:kern w:val="0"/>
          <w:sz w:val="24"/>
          <w:szCs w:val="24"/>
          <w:bdr w:val="none" w:color="auto" w:sz="0" w:space="0"/>
          <w:lang w:val="en-US" w:eastAsia="zh-CN" w:bidi="ar"/>
        </w:rPr>
        <w:t>7月20日，景德镇机电工程学校“穿越榫卯时光，3D建模助力非遗文化数字化传承”暑期实践活动在乐平市建文古建筑有限公司正式拉开帷幕。校党总支书记康乐阗、校长方超领队，王斐、周鹏两位老师带领24名同学携无人机、3D扫描仪等专业设备，通过实地研学与技术实操，探索非遗文化与现代科技融合的创新路径。上午8时，师生一行乘坐大巴出发，经过1小时的车程顺利抵达实践基地。简短的开营仪式结束后，乐平古建筑专家柴总亲自带领师生们参观了古建筑生产基地。从主柱、童柱的力学结构，到穿方、垂花的精巧设计，柴总将民俗掌故与建筑美学巧妙结合，生动地解析了“四柱三间牌楼式”古戏台的营造奥秘。“原来屋檐的每一道翘角都蕴含着抗震的智慧！”3D组学生章宇枫在参观笔记中感慨道。精美的木雕纹样与恢弘的建筑格局，令师生们无不为之赞叹。</w:t>
      </w:r>
      <w:r>
        <w:rPr>
          <w:rFonts w:ascii="宋体" w:hAnsi="宋体" w:eastAsia="宋体" w:cs="宋体"/>
          <w:kern w:val="0"/>
          <w:sz w:val="24"/>
          <w:szCs w:val="24"/>
          <w:bdr w:val="none" w:color="auto" w:sz="0" w:space="0"/>
          <w:lang w:val="en-US" w:eastAsia="zh-CN" w:bidi="ar"/>
        </w:rPr>
        <w:drawing>
          <wp:inline distT="0" distB="0" distL="114300" distR="114300">
            <wp:extent cx="5266690" cy="3116580"/>
            <wp:effectExtent l="0" t="0" r="10160" b="762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4"/>
                    <a:stretch>
                      <a:fillRect/>
                    </a:stretch>
                  </pic:blipFill>
                  <pic:spPr>
                    <a:xfrm>
                      <a:off x="0" y="0"/>
                      <a:ext cx="5266690" cy="311658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71135" cy="3397885"/>
            <wp:effectExtent l="0" t="0" r="5715" b="12065"/>
            <wp:docPr id="1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IMG_257"/>
                    <pic:cNvPicPr>
                      <a:picLocks noChangeAspect="1"/>
                    </pic:cNvPicPr>
                  </pic:nvPicPr>
                  <pic:blipFill>
                    <a:blip r:embed="rId5"/>
                    <a:stretch>
                      <a:fillRect/>
                    </a:stretch>
                  </pic:blipFill>
                  <pic:spPr>
                    <a:xfrm>
                      <a:off x="0" y="0"/>
                      <a:ext cx="5271135" cy="339788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73040" cy="2860675"/>
            <wp:effectExtent l="0" t="0" r="3810" b="15875"/>
            <wp:docPr id="6"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IMG_258"/>
                    <pic:cNvPicPr>
                      <a:picLocks noChangeAspect="1"/>
                    </pic:cNvPicPr>
                  </pic:nvPicPr>
                  <pic:blipFill>
                    <a:blip r:embed="rId6"/>
                    <a:stretch>
                      <a:fillRect/>
                    </a:stretch>
                  </pic:blipFill>
                  <pic:spPr>
                    <a:xfrm>
                      <a:off x="0" y="0"/>
                      <a:ext cx="5273040" cy="286067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3515995"/>
            <wp:effectExtent l="0" t="0" r="10160" b="8255"/>
            <wp:docPr id="8"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IMG_259"/>
                    <pic:cNvPicPr>
                      <a:picLocks noChangeAspect="1"/>
                    </pic:cNvPicPr>
                  </pic:nvPicPr>
                  <pic:blipFill>
                    <a:blip r:embed="rId7"/>
                    <a:stretch>
                      <a:fillRect/>
                    </a:stretch>
                  </pic:blipFill>
                  <pic:spPr>
                    <a:xfrm>
                      <a:off x="0" y="0"/>
                      <a:ext cx="5266690" cy="3515995"/>
                    </a:xfrm>
                    <a:prstGeom prst="rect">
                      <a:avLst/>
                    </a:prstGeom>
                    <a:noFill/>
                    <a:ln w="9525">
                      <a:noFill/>
                    </a:ln>
                  </pic:spPr>
                </pic:pic>
              </a:graphicData>
            </a:graphic>
          </wp:inline>
        </w:drawing>
      </w:r>
    </w:p>
    <w:p w14:paraId="7C79EED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分组实践：数字技术对话传统工艺</w:t>
      </w:r>
    </w:p>
    <w:p w14:paraId="636AC959">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676275" cy="285750"/>
            <wp:effectExtent l="0" t="0" r="0" b="0"/>
            <wp:docPr id="9"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IMG_260"/>
                    <pic:cNvPicPr>
                      <a:picLocks noChangeAspect="1"/>
                    </pic:cNvPicPr>
                  </pic:nvPicPr>
                  <pic:blipFill>
                    <a:blip r:embed="rId8"/>
                    <a:stretch>
                      <a:fillRect/>
                    </a:stretch>
                  </pic:blipFill>
                  <pic:spPr>
                    <a:xfrm>
                      <a:off x="0" y="0"/>
                      <a:ext cx="676275" cy="28575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t>上午10点钟开始，四个专项小组按照既定计划展开实操。无人机航拍组在炎炎烈日下操控着他们的设备，成功地完成了基地200㎡在建古戏台的360度拍摄任务。他们不仅拍摄了全景，还进行了低空飞行，捕捉到了斗拱、飞檐、门牌上的雕花等细节部分，这些珍贵的影像资料将为后续的三维建模工作提供重要的空间数据支持。</w:t>
      </w:r>
      <w:r>
        <w:rPr>
          <w:rFonts w:ascii="宋体" w:hAnsi="宋体" w:eastAsia="宋体" w:cs="宋体"/>
          <w:kern w:val="0"/>
          <w:sz w:val="24"/>
          <w:szCs w:val="24"/>
          <w:bdr w:val="none" w:color="auto" w:sz="0" w:space="0"/>
          <w:lang w:val="en-US" w:eastAsia="zh-CN" w:bidi="ar"/>
        </w:rPr>
        <w:drawing>
          <wp:inline distT="0" distB="0" distL="114300" distR="114300">
            <wp:extent cx="5266690" cy="3515995"/>
            <wp:effectExtent l="0" t="0" r="10160" b="8255"/>
            <wp:docPr id="11"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61"/>
                    <pic:cNvPicPr>
                      <a:picLocks noChangeAspect="1"/>
                    </pic:cNvPicPr>
                  </pic:nvPicPr>
                  <pic:blipFill>
                    <a:blip r:embed="rId9"/>
                    <a:stretch>
                      <a:fillRect/>
                    </a:stretch>
                  </pic:blipFill>
                  <pic:spPr>
                    <a:xfrm>
                      <a:off x="0" y="0"/>
                      <a:ext cx="5266690" cy="3515995"/>
                    </a:xfrm>
                    <a:prstGeom prst="rect">
                      <a:avLst/>
                    </a:prstGeom>
                    <a:noFill/>
                    <a:ln w="9525">
                      <a:noFill/>
                    </a:ln>
                  </pic:spPr>
                </pic:pic>
              </a:graphicData>
            </a:graphic>
          </wp:inline>
        </w:drawing>
      </w:r>
    </w:p>
    <w:p w14:paraId="018D860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1AB8C2F">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267325" cy="4848225"/>
            <wp:effectExtent l="0" t="0" r="9525" b="9525"/>
            <wp:docPr id="7"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62"/>
                    <pic:cNvPicPr>
                      <a:picLocks noChangeAspect="1"/>
                    </pic:cNvPicPr>
                  </pic:nvPicPr>
                  <pic:blipFill>
                    <a:blip r:embed="rId10"/>
                    <a:stretch>
                      <a:fillRect/>
                    </a:stretch>
                  </pic:blipFill>
                  <pic:spPr>
                    <a:xfrm>
                      <a:off x="0" y="0"/>
                      <a:ext cx="5267325" cy="484822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t>3D扫描组虽在设备调试阶段遭遇技术瓶颈，但在带队老师的帮助和指导下，他们最终掌握了构建扫描的操作流程，成功地完成了对6件精美木雕构件的数据采集工作，为建立非物质文化遗产素材库积累了宝贵的第一手资料。</w:t>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10"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IMG_263"/>
                    <pic:cNvPicPr>
                      <a:picLocks noChangeAspect="1"/>
                    </pic:cNvPicPr>
                  </pic:nvPicPr>
                  <pic:blipFill>
                    <a:blip r:embed="rId11"/>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t>图片拍摄组则专注于拍摄木构件上的纹样和建筑结构的细节。他们拍摄了超过600张高清照片，并且对这些照片进行了分区域的标注和编号，以便于后续的手工建模工作能够顺利进行。这些照片不仅记录了建筑的细节，也为后续的工作提供了便利。</w:t>
      </w:r>
      <w:r>
        <w:rPr>
          <w:rFonts w:ascii="宋体" w:hAnsi="宋体" w:eastAsia="宋体" w:cs="宋体"/>
          <w:kern w:val="0"/>
          <w:sz w:val="24"/>
          <w:szCs w:val="24"/>
          <w:bdr w:val="none" w:color="auto" w:sz="0" w:space="0"/>
          <w:lang w:val="en-US" w:eastAsia="zh-CN" w:bidi="ar"/>
        </w:rPr>
        <w:drawing>
          <wp:inline distT="0" distB="0" distL="114300" distR="114300">
            <wp:extent cx="5266690" cy="3296920"/>
            <wp:effectExtent l="0" t="0" r="10160" b="17780"/>
            <wp:docPr id="1"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descr="IMG_264"/>
                    <pic:cNvPicPr>
                      <a:picLocks noChangeAspect="1"/>
                    </pic:cNvPicPr>
                  </pic:nvPicPr>
                  <pic:blipFill>
                    <a:blip r:embed="rId12"/>
                    <a:stretch>
                      <a:fillRect/>
                    </a:stretch>
                  </pic:blipFill>
                  <pic:spPr>
                    <a:xfrm>
                      <a:off x="0" y="0"/>
                      <a:ext cx="5266690" cy="329692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t>视频拍摄组全程跟拍了整个活动的过程。他们记录下了工匠们雕刻的特写镜头、同学们实际操作的过程以及活动的总结。在返程的途中，他们还对同学进行了随机采访，捕捉到了许多珍贵的实践心得和影像资料。这些视频资料不仅记录了活动的全过程，也为未来的研究和教学提供了生动的素材。</w:t>
      </w:r>
      <w:r>
        <w:rPr>
          <w:rFonts w:ascii="宋体" w:hAnsi="宋体" w:eastAsia="宋体" w:cs="宋体"/>
          <w:kern w:val="0"/>
          <w:sz w:val="24"/>
          <w:szCs w:val="24"/>
          <w:bdr w:val="none" w:color="auto" w:sz="0" w:space="0"/>
          <w:lang w:val="en-US" w:eastAsia="zh-CN" w:bidi="ar"/>
        </w:rPr>
        <w:drawing>
          <wp:inline distT="0" distB="0" distL="114300" distR="114300">
            <wp:extent cx="5265420" cy="3294380"/>
            <wp:effectExtent l="0" t="0" r="11430" b="1270"/>
            <wp:docPr id="2"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descr="IMG_265"/>
                    <pic:cNvPicPr>
                      <a:picLocks noChangeAspect="1"/>
                    </pic:cNvPicPr>
                  </pic:nvPicPr>
                  <pic:blipFill>
                    <a:blip r:embed="rId13"/>
                    <a:stretch>
                      <a:fillRect/>
                    </a:stretch>
                  </pic:blipFill>
                  <pic:spPr>
                    <a:xfrm>
                      <a:off x="0" y="0"/>
                      <a:ext cx="5265420" cy="3294380"/>
                    </a:xfrm>
                    <a:prstGeom prst="rect">
                      <a:avLst/>
                    </a:prstGeom>
                    <a:noFill/>
                    <a:ln w="9525">
                      <a:noFill/>
                    </a:ln>
                  </pic:spPr>
                </pic:pic>
              </a:graphicData>
            </a:graphic>
          </wp:inline>
        </w:drawing>
      </w:r>
    </w:p>
    <w:p w14:paraId="5B5B354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安全保障：细节处筑牢实践防线</w:t>
      </w:r>
    </w:p>
    <w:p w14:paraId="16A8B9D8">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676275" cy="285750"/>
            <wp:effectExtent l="0" t="0" r="0" b="0"/>
            <wp:docPr id="3"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descr="IMG_266"/>
                    <pic:cNvPicPr>
                      <a:picLocks noChangeAspect="1"/>
                    </pic:cNvPicPr>
                  </pic:nvPicPr>
                  <pic:blipFill>
                    <a:blip r:embed="rId8"/>
                    <a:stretch>
                      <a:fillRect/>
                    </a:stretch>
                  </pic:blipFill>
                  <pic:spPr>
                    <a:xfrm>
                      <a:off x="0" y="0"/>
                      <a:ext cx="676275" cy="28575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t>为应对高温天气，校方为此次暑期实践活动精心制定了多重保障措施：各小组均设立专职安全员，负责全面监测环境风险，确保第一时间发现并处理潜在隐患；配备应急药箱和充足的饮用水，以应对突发状况，保障师生的健康安全。此外，大巴车全程开启空调，不仅作为临时休息点，还提供了舒适的避暑环境。为了进一步保障学生安全，全体人员均购买了短期意外险，以应对不可预见的意外事件。家长群也实时同步学生的行程信息，详细记录每一步的动态，确保“离校-返程”全流程的安全闭环管理，让家长安心，学生放心，力求为参与师生营造一个安全、舒适的活动环境。</w:t>
      </w:r>
    </w:p>
    <w:p w14:paraId="115C412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传承创新：非遗保护的“青春答卷”</w:t>
      </w:r>
    </w:p>
    <w:p w14:paraId="4584F928">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676275" cy="285750"/>
            <wp:effectExtent l="0" t="0" r="0" b="0"/>
            <wp:docPr id="4"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2" descr="IMG_267"/>
                    <pic:cNvPicPr>
                      <a:picLocks noChangeAspect="1"/>
                    </pic:cNvPicPr>
                  </pic:nvPicPr>
                  <pic:blipFill>
                    <a:blip r:embed="rId8"/>
                    <a:stretch>
                      <a:fillRect/>
                    </a:stretch>
                  </pic:blipFill>
                  <pic:spPr>
                    <a:xfrm>
                      <a:off x="0" y="0"/>
                      <a:ext cx="676275" cy="28575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t>下午16时，第一期活动结束。总结会上，方超校长对师生的实践成果给予高度评价，特别表扬了同学们在高温环境下展现的专注投入与团队协作精神。康乐阗书记强调，本次实践是“工匠精神进校园”的鲜活实践案例，学生不仅用数字化手段精准记录了非遗技艺细节，更在亲手操作中深刻理解了传统文化的当代传承价值。本次活动累计采集600余张高清图片、120分钟视频素材及三维数据，为后续3D建模、3D动画、视频创作提供核心素材，相关成果将被整合应用于学校的专业课程与文化传承项目，让更多人能够直观领略中国传统文化的独特风采。</w:t>
      </w:r>
      <w:r>
        <w:rPr>
          <w:rFonts w:ascii="宋体" w:hAnsi="宋体" w:eastAsia="宋体" w:cs="宋体"/>
          <w:kern w:val="0"/>
          <w:sz w:val="24"/>
          <w:szCs w:val="24"/>
          <w:bdr w:val="none" w:color="auto" w:sz="0" w:space="0"/>
          <w:lang w:val="en-US" w:eastAsia="zh-CN" w:bidi="ar"/>
        </w:rPr>
        <w:drawing>
          <wp:inline distT="0" distB="0" distL="114300" distR="114300">
            <wp:extent cx="5266690" cy="3515995"/>
            <wp:effectExtent l="0" t="0" r="10160" b="8255"/>
            <wp:docPr id="14"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IMG_268"/>
                    <pic:cNvPicPr>
                      <a:picLocks noChangeAspect="1"/>
                    </pic:cNvPicPr>
                  </pic:nvPicPr>
                  <pic:blipFill>
                    <a:blip r:embed="rId14"/>
                    <a:stretch>
                      <a:fillRect/>
                    </a:stretch>
                  </pic:blipFill>
                  <pic:spPr>
                    <a:xfrm>
                      <a:off x="0" y="0"/>
                      <a:ext cx="5266690" cy="351599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t>此次暑期实践活动采用“沉浸式体验+数字化记录”的创新模式，将古建技艺与现代科技有机结合，积极探索非遗文化的新传承路径。师生们深入古建筑内部，近距离领略榫卯结构的精妙之处，深刻感受古人的智慧与匠心，借助3D扫描、建模等先进数字化技术，精准记录下复杂的榫卯结构，为非遗文化的保护与传承贡献青春力量。这一创新实践不仅让古老的非遗文化焕发新的生机，也使师生们在实践中拓宽了视野，提升了专业技能，为非遗文化传承注入了青春活力，同时也为职业教育的产教融合开辟了新路径。参与学生纷纷表示，将以此次实践为契机，持续关注非遗保护，努力让传统技艺在数字时代焕发新的光彩。</w:t>
      </w:r>
    </w:p>
    <w:p w14:paraId="4AF65B77">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CF6E0"/>
        <w:spacing w:before="0" w:beforeAutospacing="0" w:after="0" w:afterAutospacing="0"/>
        <w:ind w:left="0" w:right="0" w:firstLine="0"/>
        <w:jc w:val="both"/>
        <w:rPr>
          <w:rFonts w:ascii="Microsoft YaHei UI" w:hAnsi="Microsoft YaHei UI" w:eastAsia="Microsoft YaHei UI" w:cs="Microsoft YaHei UI"/>
          <w:i w:val="0"/>
          <w:iCs w:val="0"/>
          <w:caps w:val="0"/>
          <w:spacing w:val="8"/>
          <w:sz w:val="25"/>
          <w:szCs w:val="25"/>
        </w:rPr>
      </w:pPr>
    </w:p>
    <w:p w14:paraId="25C707C5">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267960" cy="5078730"/>
            <wp:effectExtent l="0" t="0" r="8890" b="7620"/>
            <wp:docPr id="13"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descr="IMG_269"/>
                    <pic:cNvPicPr>
                      <a:picLocks noChangeAspect="1"/>
                    </pic:cNvPicPr>
                  </pic:nvPicPr>
                  <pic:blipFill>
                    <a:blip r:embed="rId15"/>
                    <a:stretch>
                      <a:fillRect/>
                    </a:stretch>
                  </pic:blipFill>
                  <pic:spPr>
                    <a:xfrm>
                      <a:off x="0" y="0"/>
                      <a:ext cx="5267960" cy="5078730"/>
                    </a:xfrm>
                    <a:prstGeom prst="rect">
                      <a:avLst/>
                    </a:prstGeom>
                    <a:noFill/>
                    <a:ln w="9525">
                      <a:noFill/>
                    </a:ln>
                  </pic:spPr>
                </pic:pic>
              </a:graphicData>
            </a:graphic>
          </wp:inline>
        </w:drawing>
      </w:r>
    </w:p>
    <w:p w14:paraId="22C95087">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CF6E0"/>
        <w:spacing w:before="0" w:beforeAutospacing="0" w:after="0" w:afterAutospacing="0"/>
        <w:ind w:left="0" w:right="0" w:firstLine="0"/>
        <w:jc w:val="both"/>
        <w:rPr>
          <w:rFonts w:hint="eastAsia" w:ascii="Microsoft YaHei UI" w:hAnsi="Microsoft YaHei UI" w:eastAsia="Microsoft YaHei UI" w:cs="Microsoft YaHei UI"/>
          <w:i w:val="0"/>
          <w:iCs w:val="0"/>
          <w:caps w:val="0"/>
          <w:spacing w:val="8"/>
          <w:sz w:val="25"/>
          <w:szCs w:val="25"/>
        </w:rPr>
      </w:pPr>
    </w:p>
    <w:p w14:paraId="0B4608B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CF6E0"/>
        <w:spacing w:before="0" w:beforeAutospacing="0" w:after="0" w:afterAutospacing="0"/>
        <w:ind w:left="0" w:right="0" w:firstLine="0"/>
        <w:jc w:val="both"/>
        <w:rPr>
          <w:rFonts w:hint="eastAsia" w:ascii="Microsoft YaHei UI" w:hAnsi="Microsoft YaHei UI" w:eastAsia="Microsoft YaHei UI" w:cs="Microsoft YaHei UI"/>
          <w:i w:val="0"/>
          <w:iCs w:val="0"/>
          <w:caps w:val="0"/>
          <w:spacing w:val="8"/>
          <w:sz w:val="25"/>
          <w:szCs w:val="25"/>
        </w:rPr>
      </w:pPr>
    </w:p>
    <w:p w14:paraId="0E6AF2BF">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CF6E0"/>
        <w:spacing w:before="0" w:beforeAutospacing="0" w:after="0" w:afterAutospacing="0"/>
        <w:ind w:left="0" w:right="0" w:firstLine="0"/>
        <w:jc w:val="center"/>
        <w:rPr>
          <w:rFonts w:hint="eastAsia" w:ascii="Microsoft YaHei UI" w:hAnsi="Microsoft YaHei UI" w:eastAsia="Microsoft YaHei UI" w:cs="Microsoft YaHei UI"/>
          <w:i w:val="0"/>
          <w:iCs w:val="0"/>
          <w:caps w:val="0"/>
          <w:spacing w:val="8"/>
          <w:sz w:val="25"/>
          <w:szCs w:val="25"/>
        </w:rPr>
      </w:pPr>
      <w:r>
        <w:rPr>
          <w:rFonts w:hint="eastAsia" w:ascii="Microsoft YaHei UI" w:hAnsi="Microsoft YaHei UI" w:eastAsia="Microsoft YaHei UI" w:cs="Microsoft YaHei UI"/>
          <w:i w:val="0"/>
          <w:iCs w:val="0"/>
          <w:caps w:val="0"/>
          <w:color w:val="B2B2B2"/>
          <w:spacing w:val="8"/>
          <w:sz w:val="21"/>
          <w:szCs w:val="21"/>
          <w:bdr w:val="none" w:color="auto" w:sz="0" w:space="0"/>
          <w:shd w:val="clear" w:fill="FCF6E0"/>
        </w:rPr>
        <w:t>一审：王婓</w:t>
      </w:r>
    </w:p>
    <w:p w14:paraId="7D1610ED">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CF6E0"/>
        <w:spacing w:before="0" w:beforeAutospacing="0" w:after="0" w:afterAutospacing="0"/>
        <w:ind w:left="0" w:right="0" w:firstLine="0"/>
        <w:jc w:val="center"/>
        <w:rPr>
          <w:rFonts w:hint="eastAsia" w:ascii="Microsoft YaHei UI" w:hAnsi="Microsoft YaHei UI" w:eastAsia="Microsoft YaHei UI" w:cs="Microsoft YaHei UI"/>
          <w:i w:val="0"/>
          <w:iCs w:val="0"/>
          <w:caps w:val="0"/>
          <w:spacing w:val="8"/>
          <w:sz w:val="25"/>
          <w:szCs w:val="25"/>
        </w:rPr>
      </w:pPr>
      <w:r>
        <w:rPr>
          <w:rFonts w:hint="eastAsia" w:ascii="Microsoft YaHei UI" w:hAnsi="Microsoft YaHei UI" w:eastAsia="Microsoft YaHei UI" w:cs="Microsoft YaHei UI"/>
          <w:i w:val="0"/>
          <w:iCs w:val="0"/>
          <w:caps w:val="0"/>
          <w:color w:val="B2B2B2"/>
          <w:spacing w:val="8"/>
          <w:sz w:val="21"/>
          <w:szCs w:val="21"/>
          <w:bdr w:val="none" w:color="auto" w:sz="0" w:space="0"/>
          <w:shd w:val="clear" w:fill="FCF6E0"/>
        </w:rPr>
        <w:t>二审：邹晨光</w:t>
      </w:r>
    </w:p>
    <w:p w14:paraId="2D385435">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CF6E0"/>
        <w:spacing w:before="0" w:beforeAutospacing="0" w:after="0" w:afterAutospacing="0"/>
        <w:ind w:left="0" w:right="0" w:firstLine="0"/>
        <w:jc w:val="center"/>
        <w:rPr>
          <w:rFonts w:hint="eastAsia" w:ascii="Microsoft YaHei UI" w:hAnsi="Microsoft YaHei UI" w:eastAsia="Microsoft YaHei UI" w:cs="Microsoft YaHei UI"/>
          <w:i w:val="0"/>
          <w:iCs w:val="0"/>
          <w:caps w:val="0"/>
          <w:spacing w:val="8"/>
          <w:sz w:val="25"/>
          <w:szCs w:val="25"/>
        </w:rPr>
      </w:pPr>
      <w:r>
        <w:rPr>
          <w:rFonts w:hint="eastAsia" w:ascii="Microsoft YaHei UI" w:hAnsi="Microsoft YaHei UI" w:eastAsia="Microsoft YaHei UI" w:cs="Microsoft YaHei UI"/>
          <w:i w:val="0"/>
          <w:iCs w:val="0"/>
          <w:caps w:val="0"/>
          <w:color w:val="B2B2B2"/>
          <w:spacing w:val="8"/>
          <w:sz w:val="21"/>
          <w:szCs w:val="21"/>
          <w:bdr w:val="none" w:color="auto" w:sz="0" w:space="0"/>
          <w:shd w:val="clear" w:fill="FCF6E0"/>
        </w:rPr>
        <w:t>三审：方超</w:t>
      </w:r>
    </w:p>
    <w:p w14:paraId="215EC6D7">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CF6E0"/>
        <w:spacing w:before="0" w:beforeAutospacing="0" w:after="0" w:afterAutospacing="0"/>
        <w:ind w:left="0" w:right="0" w:firstLine="0"/>
        <w:jc w:val="center"/>
        <w:rPr>
          <w:rFonts w:hint="eastAsia" w:ascii="Microsoft YaHei UI" w:hAnsi="Microsoft YaHei UI" w:eastAsia="Microsoft YaHei UI" w:cs="Microsoft YaHei UI"/>
          <w:i w:val="0"/>
          <w:iCs w:val="0"/>
          <w:caps w:val="0"/>
          <w:spacing w:val="8"/>
          <w:sz w:val="25"/>
          <w:szCs w:val="25"/>
        </w:rPr>
      </w:pPr>
      <w:r>
        <w:rPr>
          <w:rFonts w:hint="eastAsia" w:ascii="Microsoft YaHei UI" w:hAnsi="Microsoft YaHei UI" w:eastAsia="Microsoft YaHei UI" w:cs="Microsoft YaHei UI"/>
          <w:i w:val="0"/>
          <w:iCs w:val="0"/>
          <w:caps w:val="0"/>
          <w:color w:val="B2B2B2"/>
          <w:spacing w:val="8"/>
          <w:sz w:val="21"/>
          <w:szCs w:val="21"/>
          <w:bdr w:val="none" w:color="auto" w:sz="0" w:space="0"/>
          <w:shd w:val="clear" w:fill="FCF6E0"/>
        </w:rPr>
        <w:t>一校：周鹏</w:t>
      </w:r>
    </w:p>
    <w:p w14:paraId="1DE30497">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CF6E0"/>
        <w:spacing w:before="0" w:beforeAutospacing="0" w:after="0" w:afterAutospacing="0"/>
        <w:ind w:left="0" w:right="0" w:firstLine="0"/>
        <w:jc w:val="center"/>
        <w:rPr>
          <w:rFonts w:hint="eastAsia" w:ascii="Microsoft YaHei UI" w:hAnsi="Microsoft YaHei UI" w:eastAsia="Microsoft YaHei UI" w:cs="Microsoft YaHei UI"/>
          <w:i w:val="0"/>
          <w:iCs w:val="0"/>
          <w:caps w:val="0"/>
          <w:spacing w:val="8"/>
          <w:sz w:val="25"/>
          <w:szCs w:val="25"/>
        </w:rPr>
      </w:pPr>
      <w:r>
        <w:rPr>
          <w:rFonts w:hint="eastAsia" w:ascii="Microsoft YaHei UI" w:hAnsi="Microsoft YaHei UI" w:eastAsia="Microsoft YaHei UI" w:cs="Microsoft YaHei UI"/>
          <w:i w:val="0"/>
          <w:iCs w:val="0"/>
          <w:caps w:val="0"/>
          <w:color w:val="B2B2B2"/>
          <w:spacing w:val="8"/>
          <w:sz w:val="21"/>
          <w:szCs w:val="21"/>
          <w:bdr w:val="none" w:color="auto" w:sz="0" w:space="0"/>
          <w:shd w:val="clear" w:fill="FCF6E0"/>
        </w:rPr>
        <w:t>二校：刘小林</w:t>
      </w:r>
    </w:p>
    <w:p w14:paraId="700BC987">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CF6E0"/>
        <w:spacing w:before="0" w:beforeAutospacing="0" w:after="0" w:afterAutospacing="0"/>
        <w:ind w:left="0" w:right="0" w:firstLine="0"/>
        <w:jc w:val="center"/>
        <w:rPr>
          <w:rFonts w:hint="eastAsia" w:ascii="Microsoft YaHei UI" w:hAnsi="Microsoft YaHei UI" w:eastAsia="Microsoft YaHei UI" w:cs="Microsoft YaHei UI"/>
          <w:i w:val="0"/>
          <w:iCs w:val="0"/>
          <w:caps w:val="0"/>
          <w:spacing w:val="8"/>
          <w:sz w:val="25"/>
          <w:szCs w:val="25"/>
        </w:rPr>
      </w:pPr>
      <w:r>
        <w:rPr>
          <w:rFonts w:hint="eastAsia" w:ascii="Microsoft YaHei UI" w:hAnsi="Microsoft YaHei UI" w:eastAsia="Microsoft YaHei UI" w:cs="Microsoft YaHei UI"/>
          <w:i w:val="0"/>
          <w:iCs w:val="0"/>
          <w:caps w:val="0"/>
          <w:color w:val="B2B2B2"/>
          <w:spacing w:val="8"/>
          <w:sz w:val="21"/>
          <w:szCs w:val="21"/>
          <w:bdr w:val="none" w:color="auto" w:sz="0" w:space="0"/>
          <w:shd w:val="clear" w:fill="FCF6E0"/>
        </w:rPr>
        <w:t>三校：万芸郦</w:t>
      </w:r>
    </w:p>
    <w:p w14:paraId="381B6D73">
      <w:pPr>
        <w:keepNext w:val="0"/>
        <w:keepLines w:val="0"/>
        <w:widowControl/>
        <w:suppressLineNumbers w:val="0"/>
        <w:jc w:val="left"/>
      </w:pPr>
    </w:p>
    <w:p w14:paraId="47558D7E">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E907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GIF"/><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2025-12-18T05:10:04Z</dcterms:created>
  <dc:creator>Administrator</dc:creator>
  <cp:lastModifiedBy>周鹏</cp:lastModifiedBy>
  <dcterms:modified xsi:type="dcterms:W3CDTF">2025-12-18T05:10:25Z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BDEB8F8A06AE442D8B89DF3189E90D2C_12</vt:lpwstr>
  </property>
</Properties>
</file>