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ECF90D">
      <w:pPr>
        <w:keepNext w:val="0"/>
        <w:keepLines w:val="0"/>
        <w:widowControl/>
        <w:suppressLineNumbers w:val="0"/>
        <w:jc w:val="left"/>
      </w:pPr>
      <w:r>
        <w:rPr>
          <w:rFonts w:ascii="宋体" w:hAnsi="宋体" w:eastAsia="宋体" w:cs="宋体"/>
          <w:kern w:val="0"/>
          <w:sz w:val="24"/>
          <w:szCs w:val="24"/>
          <w:lang w:val="en-US" w:eastAsia="zh-CN" w:bidi="ar"/>
        </w:rPr>
        <w:t>为切实提升教师的消防安全意识和应急处置能力，积极响应教育部和国家消防救援局的工作部署，9月5日15时，景德镇机电工程学校组织教师集中收看了2025年秋季全国中小学消防安全公开课，为构建平安校园筑牢坚实的师资防线。</w:t>
      </w:r>
      <w:r>
        <w:rPr>
          <w:rFonts w:ascii="宋体" w:hAnsi="宋体" w:eastAsia="宋体" w:cs="宋体"/>
          <w:kern w:val="0"/>
          <w:sz w:val="24"/>
          <w:szCs w:val="24"/>
          <w:bdr w:val="none" w:color="auto" w:sz="0" w:space="0"/>
          <w:lang w:val="en-US" w:eastAsia="zh-CN" w:bidi="ar"/>
        </w:rPr>
        <w:drawing>
          <wp:inline distT="0" distB="0" distL="114300" distR="114300">
            <wp:extent cx="5267325" cy="3392805"/>
            <wp:effectExtent l="0" t="0" r="9525" b="1714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5267325" cy="3392805"/>
                    </a:xfrm>
                    <a:prstGeom prst="rect">
                      <a:avLst/>
                    </a:prstGeom>
                    <a:noFill/>
                    <a:ln w="9525">
                      <a:noFill/>
                    </a:ln>
                  </pic:spPr>
                </pic:pic>
              </a:graphicData>
            </a:graphic>
          </wp:inline>
        </w:drawing>
      </w:r>
      <w:r>
        <w:rPr>
          <w:rFonts w:ascii="宋体" w:hAnsi="宋体" w:eastAsia="宋体" w:cs="宋体"/>
          <w:kern w:val="0"/>
          <w:sz w:val="21"/>
          <w:szCs w:val="21"/>
          <w:bdr w:val="none" w:color="auto" w:sz="0" w:space="0"/>
          <w:lang w:val="en-US" w:eastAsia="zh-CN" w:bidi="ar"/>
        </w:rPr>
        <w:t>本次公开课由“中国消防”“微言教育”官方微信视频号、微博、抖音等多平台同步直播，时长约60分钟。课程聚焦校园常见场景，结合近年来全国范围内发生的真实火灾案例，通过“理论讲解+实操演示”的方式，系统解读了火灾预防要点、初期火情扑救技巧、疏散逃生规范，并现场演示了灭火器、消防栓等器材的正确操作步骤。课程内容兼具专业性与实用性，有效填补了教师在校园消防安全管理中的知识盲区。</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5269865" cy="3542665"/>
            <wp:effectExtent l="0" t="0" r="6985" b="635"/>
            <wp:docPr id="4"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7"/>
                    <pic:cNvPicPr>
                      <a:picLocks noChangeAspect="1"/>
                    </pic:cNvPicPr>
                  </pic:nvPicPr>
                  <pic:blipFill>
                    <a:blip r:embed="rId5"/>
                    <a:stretch>
                      <a:fillRect/>
                    </a:stretch>
                  </pic:blipFill>
                  <pic:spPr>
                    <a:xfrm>
                      <a:off x="0" y="0"/>
                      <a:ext cx="5269865" cy="3542665"/>
                    </a:xfrm>
                    <a:prstGeom prst="rect">
                      <a:avLst/>
                    </a:prstGeom>
                    <a:noFill/>
                    <a:ln w="9525">
                      <a:noFill/>
                    </a:ln>
                  </pic:spPr>
                </pic:pic>
              </a:graphicData>
            </a:graphic>
          </wp:inline>
        </w:drawing>
      </w:r>
      <w:r>
        <w:rPr>
          <w:rFonts w:ascii="宋体" w:hAnsi="宋体" w:eastAsia="宋体" w:cs="宋体"/>
          <w:kern w:val="0"/>
          <w:sz w:val="21"/>
          <w:szCs w:val="21"/>
          <w:bdr w:val="none" w:color="auto" w:sz="0" w:space="0"/>
          <w:lang w:val="en-US" w:eastAsia="zh-CN" w:bidi="ar"/>
        </w:rPr>
        <w:t>观看过程中，教师们专注投入，认真记录关键要点，对如何在课堂中融入消防安全教育、火灾预防等问题高度关注。课后，教师们围绕校园火灾隐患排查和应急疏散预案优化等主题展开深入交流，结合教学管理实际分享学习感悟，进一步强化了“安全第一、预防为主”的责任意识。此次消防安全公开课学习活动，不仅使教师系统掌握了实用的消防安全技能，更明确了其在校园安全工作中的示范与引导作用。下一步，学校将以此次活动为契机，进一步落实“平安校园”建设要求的具体举措，持续深化校园安全管理工作，在定期组织校园消防应急演练和隐患排查专项行动的同时，推动消防安全教育与学科教学深度融合，引导学生树立“隐患险于明火，防范胜于救灾”的安全观念，形成“教师带头学安全、学生主动懂安全、全校共同抓安全”的良好氛围。</w:t>
      </w:r>
    </w:p>
    <w:p w14:paraId="6DCCC25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1266825" cy="476250"/>
            <wp:effectExtent l="0" t="0" r="9525" b="0"/>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1266825" cy="476250"/>
                    </a:xfrm>
                    <a:prstGeom prst="rect">
                      <a:avLst/>
                    </a:prstGeom>
                    <a:noFill/>
                    <a:ln w="9525">
                      <a:noFill/>
                    </a:ln>
                  </pic:spPr>
                </pic:pic>
              </a:graphicData>
            </a:graphic>
          </wp:inline>
        </w:drawing>
      </w:r>
    </w:p>
    <w:p w14:paraId="4FAD12F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5266690"/>
            <wp:effectExtent l="0" t="0" r="10160" b="10160"/>
            <wp:docPr id="2"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IMG_259"/>
                    <pic:cNvPicPr>
                      <a:picLocks noChangeAspect="1"/>
                    </pic:cNvPicPr>
                  </pic:nvPicPr>
                  <pic:blipFill>
                    <a:blip r:embed="rId7"/>
                    <a:stretch>
                      <a:fillRect/>
                    </a:stretch>
                  </pic:blipFill>
                  <pic:spPr>
                    <a:xfrm>
                      <a:off x="0" y="0"/>
                      <a:ext cx="5266690" cy="5266690"/>
                    </a:xfrm>
                    <a:prstGeom prst="rect">
                      <a:avLst/>
                    </a:prstGeom>
                    <a:noFill/>
                    <a:ln w="9525">
                      <a:noFill/>
                    </a:ln>
                  </pic:spPr>
                </pic:pic>
              </a:graphicData>
            </a:graphic>
          </wp:inline>
        </w:drawing>
      </w:r>
    </w:p>
    <w:p w14:paraId="1ABAEC4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409464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z w:val="18"/>
          <w:szCs w:val="18"/>
          <w:bdr w:val="none" w:color="auto" w:sz="0" w:space="0"/>
        </w:rPr>
        <w:t>一审：姜可儿</w:t>
      </w:r>
    </w:p>
    <w:p w14:paraId="03B43E9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z w:val="18"/>
          <w:szCs w:val="18"/>
          <w:bdr w:val="none" w:color="auto" w:sz="0" w:space="0"/>
        </w:rPr>
        <w:t>二审：黄奇</w:t>
      </w:r>
    </w:p>
    <w:p w14:paraId="09E0085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z w:val="18"/>
          <w:szCs w:val="18"/>
          <w:bdr w:val="none" w:color="auto" w:sz="0" w:space="0"/>
        </w:rPr>
        <w:t>三审：杨捷</w:t>
      </w:r>
    </w:p>
    <w:p w14:paraId="535F8CE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z w:val="18"/>
          <w:szCs w:val="18"/>
          <w:bdr w:val="none" w:color="auto" w:sz="0" w:space="0"/>
        </w:rPr>
        <w:t>一校：周鹏</w:t>
      </w:r>
    </w:p>
    <w:p w14:paraId="64782EF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z w:val="18"/>
          <w:szCs w:val="18"/>
          <w:bdr w:val="none" w:color="auto" w:sz="0" w:space="0"/>
        </w:rPr>
        <w:t>二校：刘小林</w:t>
      </w:r>
    </w:p>
    <w:p w14:paraId="1F97B38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z w:val="18"/>
          <w:szCs w:val="18"/>
          <w:bdr w:val="none" w:color="auto" w:sz="0" w:space="0"/>
        </w:rPr>
        <w:t>三校：万芸郦</w:t>
      </w:r>
    </w:p>
    <w:p w14:paraId="41615E5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143DDE1">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4B2A71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2025-12-18T05:13:40Z</dcterms:created>
  <dc:creator>Administrator</dc:creator>
  <cp:lastModifiedBy>周鹏</cp:lastModifiedBy>
  <dcterms:modified xsi:type="dcterms:W3CDTF">2025-12-18T05:13:56Z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4FBDA99B218B436F9E4C82C7BD5FAA66_12</vt:lpwstr>
  </property>
</Properties>
</file>