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457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val="0"/>
          <w:bCs w:val="0"/>
          <w:sz w:val="40"/>
          <w:szCs w:val="48"/>
          <w:lang w:val="en-US" w:eastAsia="zh-CN"/>
        </w:rPr>
      </w:pPr>
      <w:bookmarkStart w:id="0" w:name="_GoBack"/>
      <w:r>
        <w:rPr>
          <w:rFonts w:hint="eastAsia" w:ascii="方正公文小标宋" w:hAnsi="方正公文小标宋" w:eastAsia="方正公文小标宋" w:cs="方正公文小标宋"/>
          <w:b w:val="0"/>
          <w:bCs w:val="0"/>
          <w:sz w:val="40"/>
          <w:szCs w:val="48"/>
          <w:lang w:val="en-US" w:eastAsia="zh-CN"/>
        </w:rPr>
        <w:t>景德镇机电工程学校财务管理办法</w:t>
      </w:r>
      <w:bookmarkEnd w:id="0"/>
    </w:p>
    <w:p w14:paraId="40D81E03">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第一章 总则</w:t>
      </w:r>
    </w:p>
    <w:p w14:paraId="3A723E3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第一条 为了进一步规范学校财务管理工作，合理使用各项资金，厉行节约，保障学校日常工作的正常开展，根据国家相关规定要求，结合我校实际，制定本办法。</w:t>
      </w:r>
    </w:p>
    <w:p w14:paraId="09920E9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第二条 校食堂如归属我校管理的话，实行独立核算，制定食堂管理制度，加强出入库管理，接受学校财务监管，并根据学校实际情况和上级财政有关规定，由校党委会议研究决定是否并入学校大账统一管理。</w:t>
      </w:r>
    </w:p>
    <w:p w14:paraId="39F156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第三条 严格各项支出审批程序，除党费和工会经费支出由分管领导审批外，所有经费报支实行逐级签字报批制度。学校一般业务经费开支，必须有经办人和所在部门主要负责人签字、财务负责人预审、分管领导再审、分管财务领导批准、学校主要领导签字方可拨款支付；重大项目和大额资金支出，必须按照学校“三重一大”有关规定，经校党委会审定同意后按上述审批程序办理。学校各部门如需采购用品，请填写“物品购置申请单”，按申请单上程序进行审批。</w:t>
      </w:r>
    </w:p>
    <w:p w14:paraId="1C25D344">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第二章 差旅费管理</w:t>
      </w:r>
    </w:p>
    <w:p w14:paraId="09949A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第四条 差旅费。差旅费是指工作人员临时到常驻地以外地区公务出差所发生的城市间交通费、住宿费、伙食补助费、市内交通费等。差旅费报销时应提供工作人员出差审批件（文）、车（船、机）票、保险票据、住宿费发票等凭证。住宿费、机票及乘机保险支出等按规定用公务卡结算。</w:t>
      </w:r>
    </w:p>
    <w:p w14:paraId="14C6E30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(一)城市间交通费（车船费）</w:t>
      </w:r>
    </w:p>
    <w:p w14:paraId="77651C9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出差人员应按规定等级乘坐交通工具。乘坐交通工具的等级见下表：</w:t>
      </w:r>
    </w:p>
    <w:p w14:paraId="4C4A13A5">
      <w:pPr>
        <w:rPr>
          <w:rFonts w:hint="eastAsia" w:ascii="仿宋_GB2312" w:hAnsi="仿宋_GB2312" w:eastAsia="仿宋_GB2312" w:cs="仿宋_GB2312"/>
          <w:sz w:val="28"/>
          <w:szCs w:val="28"/>
        </w:rPr>
      </w:pPr>
      <w:r>
        <w:rPr>
          <w:rFonts w:hint="eastAsia" w:ascii="仿宋_GB2312" w:hAnsi="仿宋_GB2312" w:eastAsia="仿宋_GB2312" w:cs="仿宋_GB2312"/>
        </w:rPr>
        <w:drawing>
          <wp:inline distT="0" distB="0" distL="0" distR="0">
            <wp:extent cx="5524500" cy="2514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524500" cy="2514600"/>
                    </a:xfrm>
                    <a:prstGeom prst="rect">
                      <a:avLst/>
                    </a:prstGeom>
                  </pic:spPr>
                </pic:pic>
              </a:graphicData>
            </a:graphic>
          </wp:inline>
        </w:drawing>
      </w:r>
    </w:p>
    <w:p w14:paraId="465A01C8">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乘坐火车（包括动车、全列软席列车），从当日晚 8 时至次日晨 7 时乘车 5 小时以上的，或连续乘车超过 7 小时的，方可购买和报销同席卧铺票。</w:t>
      </w:r>
    </w:p>
    <w:p w14:paraId="0165E63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出差人员乘坐飞机要从严控制，出差路途较远或出差任务紧急的，经学校主要领导在同意后，签署意见方可乘坐飞机。</w:t>
      </w:r>
    </w:p>
    <w:p w14:paraId="3384B8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(二)住宿费</w:t>
      </w:r>
    </w:p>
    <w:p w14:paraId="1313F6C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工作人员因公出差，住宿费按实际住宿天数凭据报销，同行同姓别人员，按照两人一标间每天300 元（省内省外）限额标准执行；副县级及以上人员按每人每天300元（省内省外）限额标准执行。因特殊情况超过规定标准的，应事前报告学校主要领导，经批准方可报销。</w:t>
      </w:r>
    </w:p>
    <w:p w14:paraId="3885A02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出差人员应在规定的住宿费限额标准内，选择安全、经济、便捷的宾馆住宿。</w:t>
      </w:r>
    </w:p>
    <w:p w14:paraId="1CAE2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（三）伙食补助费、市内交通费（交通费）</w:t>
      </w:r>
    </w:p>
    <w:p w14:paraId="62746E8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工作人员出差，伙食补助费及市内交通费按如下标准进行补助：</w:t>
      </w:r>
    </w:p>
    <w:p w14:paraId="15B3BA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1、伙食补助费</w:t>
      </w:r>
    </w:p>
    <w:p w14:paraId="7B2255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伙食补助费按每人每天省内（省外）100元、沿海及特区120元予以补助。出差人员应自行用餐。凡由接待单位统一安排用餐的，应向接待单位交纳伙食费。</w:t>
      </w:r>
    </w:p>
    <w:p w14:paraId="675610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2、市内交通费</w:t>
      </w:r>
    </w:p>
    <w:p w14:paraId="5DCDFD0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市内交通费按省内出差每人每天40元、省外出差每人每天 80元的标准定额包干（不再报销的士及市内公交票）。</w:t>
      </w:r>
    </w:p>
    <w:p w14:paraId="74D49C5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（四）其他</w:t>
      </w:r>
    </w:p>
    <w:p w14:paraId="1A451B72">
      <w:pPr>
        <w:keepNext w:val="0"/>
        <w:keepLines w:val="0"/>
        <w:pageBreakBefore w:val="0"/>
        <w:widowControl w:val="0"/>
        <w:kinsoku/>
        <w:wordWrap/>
        <w:overflowPunct/>
        <w:topLinePunct w:val="0"/>
        <w:autoSpaceDE/>
        <w:autoSpaceDN/>
        <w:bidi w:val="0"/>
        <w:adjustRightInd w:val="0"/>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1、工作人员外出参加会议、培训，由举办单位统一安排食宿的，会议、培训期间的食宿费和市内交通费由会议、培训举办单位按规定统一开支。往返会议、培训地点的差旅费由所在单位按规定报销。</w:t>
      </w:r>
    </w:p>
    <w:p w14:paraId="3053631A">
      <w:pPr>
        <w:keepNext w:val="0"/>
        <w:keepLines w:val="0"/>
        <w:pageBreakBefore w:val="0"/>
        <w:widowControl w:val="0"/>
        <w:kinsoku/>
        <w:wordWrap/>
        <w:overflowPunct/>
        <w:topLinePunct w:val="0"/>
        <w:autoSpaceDE/>
        <w:autoSpaceDN/>
        <w:bidi w:val="0"/>
        <w:adjustRightInd w:val="0"/>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2、车（船、机）票订、退票费及附加费凭据报销；乘坐往返机场的专线客车费凭据报销；因特殊原因产生的退票费等费用，写情况说明，经学校主要领导签字批准后按 凭据报销。</w:t>
      </w:r>
    </w:p>
    <w:p w14:paraId="5DA476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4、未按规定标准开支差旅费的，超支部分由个人自理。</w:t>
      </w:r>
    </w:p>
    <w:p w14:paraId="15D43D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5、严禁一事多次出差。公务出差应事前与有关单位或个人先行联系，如因未事前联系而造成一事多次出差，不予报销差旅费。因特殊原因产生的一事多次出差情况，写情况说明，经学校主要领导签字批准后按 凭据报销。</w:t>
      </w:r>
    </w:p>
    <w:p w14:paraId="666FF5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6、出差回校后应在二周内完成报账手续。</w:t>
      </w:r>
    </w:p>
    <w:p w14:paraId="6B2CD7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第五条 出差审批。出差审批指需因公外出的工作人员应事先向本部门负责人通报出差事由，经学校主要领导在出差审批件（文）签字，作为出差报销凭证。</w:t>
      </w:r>
    </w:p>
    <w:p w14:paraId="797A5CEC">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第三章 会议和培训费管理</w:t>
      </w:r>
    </w:p>
    <w:p w14:paraId="2962B67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会议和培训费开支标准按有关规定执行。会议和培训结束后应及时报账。报账时，经办部门应据实提供会议或培训通知等明细支出表。</w:t>
      </w:r>
    </w:p>
    <w:p w14:paraId="139EED0D">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第四章 采购和维修管理</w:t>
      </w:r>
    </w:p>
    <w:p w14:paraId="7281229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第七条 办公用品、各种耗材实行统一采购。各科室所需办公用品、耗材按学期提出申请，经领导审批后报总务处进行采购，凡自行购置的办公用品、耗材不予报销。单项价值较大的办公用品由科室提出申请，报所属科室领导向学校主要领导汇报后，按“三重一大”规定批准后实施采购。</w:t>
      </w:r>
    </w:p>
    <w:p w14:paraId="0EA18DA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第八条 办公设备、交通工具、专用设备等的购置更新，在年初预算编制之前（学年结束时），由需要科室提出申请，经学校主要领导结合总务、财务整体统筹意见后审定，按照“三重一大”规定批准后，进入预算编制，组织进行政府采购。</w:t>
      </w:r>
    </w:p>
    <w:p w14:paraId="6E4A3C4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 学校房屋、公共设施的大额修缮（五万元以上）由后勤部门提出申请，报学校主要领导审定，按“三重一大”规定批准后组织实施。修缮工程经验收合格后按规定审批程序报支。</w:t>
      </w:r>
    </w:p>
    <w:p w14:paraId="2DE960D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奖金、福利费管理</w:t>
      </w:r>
    </w:p>
    <w:p w14:paraId="2FD16AC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奖励金的发放严格按照省有关文件政策执行，由具体负责专项工作的部门提供政策依据，造表，按规定程序审批后发放。奖励金发放按照上半年考录、调入及下半年调出、过世的，全额发放；下半年考录、调入及上半年调出、过世的减半发放的原则执行。</w:t>
      </w:r>
    </w:p>
    <w:p w14:paraId="060DF60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第十一条 工作人员值班费和加班费由各科室报分管领导审核，学校主要领导审批，按照规定程序审批后发放。</w:t>
      </w:r>
    </w:p>
    <w:p w14:paraId="760FA06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第十二条 夏季降温费、冬季取暖费、特殊津贴、抚恤金、计划生育、探亲假、年休假、病事假待遇、独生子女费等福利费用，由学校相关部门按照有关规定提出发放意见，按规定程序审批后发放。</w:t>
      </w:r>
    </w:p>
    <w:p w14:paraId="220DC64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其它日常费用管理</w:t>
      </w:r>
    </w:p>
    <w:p w14:paraId="3858F3D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 离退休人员的活动经费、住院病人探视费（每人每年仅限一次，住院病人必须是进行手术治疗）、教职工丧亲慰问费、邮电费、燃油费、水费、电费、小额维修费、环卫安保费、劳动保护支出、聘用人员工资等按规定程序审批后据实报销。有采购支出的，除转账外，须使用公务卡刷卡结算。</w:t>
      </w:r>
    </w:p>
    <w:p w14:paraId="4BD9DD7D">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第七章 专项经费管理</w:t>
      </w:r>
    </w:p>
    <w:p w14:paraId="06AF035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财政等专项经费的拨付，要建立严格的审核制度，做到手续完善，资料完备，相关单位公章及负责人签字（或印鉴）齐全。具体见相关专项资金管理办法。</w:t>
      </w:r>
    </w:p>
    <w:p w14:paraId="62671DF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第八章 借款和备用金管理</w:t>
      </w:r>
    </w:p>
    <w:p w14:paraId="511E71D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第十五条 实行公务卡制度后，原则上个人不预借现金。个人支付的公务开支通过刷卡透支，报账冲返。确需预借现金的，应填制借款申请单，说明借款事由，按规定程序审批后办理。事项办结后，借款人必须在事毕二周内结清账务，不得拖延。</w:t>
      </w:r>
    </w:p>
    <w:p w14:paraId="5A8B7C48">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第九章 实物资产管理</w:t>
      </w:r>
    </w:p>
    <w:p w14:paraId="468B7E0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第十六条 建立健全实物资产管理制度。总务处专人管理台账；为保证账实相符，定期进行实务资产盘点，盘点结果由总务处报学校主要领导审定后进行账务调整。</w:t>
      </w:r>
    </w:p>
    <w:p w14:paraId="0571AA4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第十七条 固定资产的处置应按照省有关规定执行，相关部门不得自行处置。确需报废的，由使用部门提出申请、总务处牵头、相关科室参与按规定程序审批后办理，报废取得的残值收入应及时入账。</w:t>
      </w:r>
    </w:p>
    <w:p w14:paraId="54E13500">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第十章 公务卡管理</w:t>
      </w:r>
    </w:p>
    <w:p w14:paraId="5E58EC9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第十八条 除外聘人员外，办公费、咨询费、手续费、邮电费、住宿费、机票费、印刷费、维修（护）费、租赁费、会议费、培训费、公务接待费、专用材料费等均须使用公务卡刷卡结算（除转账外），报账时应附上刷卡回单。所有报账除转账外均打入个人公务卡（外聘无卡人员除外），原则上不得取现。</w:t>
      </w:r>
    </w:p>
    <w:p w14:paraId="7559D3E7">
      <w:pPr>
        <w:pStyle w:val="4"/>
        <w:ind w:firstLine="640"/>
        <w:jc w:val="left"/>
        <w:rPr>
          <w:rFonts w:hint="eastAsia" w:ascii="黑体" w:hAnsi="黑体" w:eastAsia="黑体" w:cs="黑体"/>
          <w:color w:val="000000"/>
          <w:sz w:val="28"/>
          <w:szCs w:val="28"/>
        </w:rPr>
      </w:pPr>
      <w:r>
        <w:rPr>
          <w:rFonts w:hint="eastAsia" w:ascii="黑体" w:hAnsi="黑体" w:eastAsia="黑体" w:cs="黑体"/>
          <w:color w:val="000000"/>
          <w:sz w:val="28"/>
          <w:szCs w:val="28"/>
        </w:rPr>
        <w:t>第十一章 其他</w:t>
      </w:r>
    </w:p>
    <w:p w14:paraId="3FA4390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第十九条 招生产生的差旅费、餐费、车辆支出、宣传费、劳务费等计入招生专项支出，按国家有关规定由招生就业处统筹进行报支。</w:t>
      </w:r>
    </w:p>
    <w:p w14:paraId="0C15E86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第十二章 附则</w:t>
      </w:r>
    </w:p>
    <w:p w14:paraId="1EE8D73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第二十一条 本办法自颁布之日起实行。其他与本办法不相符的有关规定以本办法为准。本办法未详细说明的以其他有关规定为准。</w:t>
      </w:r>
    </w:p>
    <w:p w14:paraId="05C62DD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第二十二条 本办法由校总务处负责解释。</w:t>
      </w:r>
    </w:p>
    <w:p w14:paraId="4D886491">
      <w:pPr>
        <w:rPr>
          <w:rFonts w:hint="eastAsia" w:ascii="仿宋_GB2312" w:hAnsi="仿宋_GB2312" w:eastAsia="仿宋_GB2312" w:cs="仿宋_GB2312"/>
          <w:sz w:val="28"/>
          <w:szCs w:val="28"/>
        </w:rPr>
      </w:pPr>
    </w:p>
    <w:p w14:paraId="59CF67F9">
      <w:pPr>
        <w:ind w:firstLine="5600" w:firstLineChars="2000"/>
        <w:rPr>
          <w:rFonts w:hint="default" w:eastAsia="仿宋_GB2312"/>
          <w:sz w:val="32"/>
          <w:szCs w:val="32"/>
          <w:lang w:val="en-US" w:eastAsia="zh-CN"/>
        </w:rPr>
      </w:pPr>
      <w:r>
        <w:rPr>
          <w:rFonts w:hint="eastAsia" w:ascii="仿宋_GB2312" w:hAnsi="仿宋_GB2312" w:eastAsia="仿宋_GB2312" w:cs="仿宋_GB2312"/>
          <w:sz w:val="28"/>
          <w:szCs w:val="28"/>
          <w:lang w:val="en-US" w:eastAsia="zh-CN"/>
        </w:rPr>
        <w:t>2025年2月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7C2F89-4129-4513-9D0F-A1C31121A0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9B2ADE6-7879-4197-AF16-39FC47E0BFFD}"/>
  </w:font>
  <w:font w:name="方正公文小标宋">
    <w:panose1 w:val="02000500000000000000"/>
    <w:charset w:val="86"/>
    <w:family w:val="auto"/>
    <w:pitch w:val="default"/>
    <w:sig w:usb0="A00002BF" w:usb1="38CF7CFA" w:usb2="00000016" w:usb3="00000000" w:csb0="00040001" w:csb1="00000000"/>
    <w:embedRegular r:id="rId3" w:fontKey="{F37F0541-B777-4107-9F7D-C3259CFCBADF}"/>
  </w:font>
  <w:font w:name="仿宋_GB2312">
    <w:altName w:val="仿宋"/>
    <w:panose1 w:val="02010609030101010101"/>
    <w:charset w:val="86"/>
    <w:family w:val="auto"/>
    <w:pitch w:val="default"/>
    <w:sig w:usb0="00000000" w:usb1="00000000" w:usb2="00000000" w:usb3="00000000" w:csb0="00040000" w:csb1="00000000"/>
    <w:embedRegular r:id="rId4" w:fontKey="{946207AA-761D-4AC7-9097-B80EA10E759F}"/>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7F0CF9"/>
    <w:rsid w:val="3B3D625A"/>
    <w:rsid w:val="50692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文本 (2)"/>
    <w:basedOn w:val="1"/>
    <w:qFormat/>
    <w:uiPriority w:val="0"/>
    <w:pPr>
      <w:spacing w:line="627" w:lineRule="exact"/>
      <w:ind w:firstLine="620"/>
      <w:jc w:val="left"/>
    </w:pPr>
    <w:rPr>
      <w:rFonts w:ascii="黑体" w:hAnsi="黑体" w:eastAsia="黑体" w:cs="黑体"/>
      <w:sz w:val="32"/>
      <w:szCs w:val="3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2025-12-18T08:08:44Z</dcterms:created>
  <dc:creator>刘小林</dc:creator>
  <cp:lastModifiedBy>玉翱虬</cp:lastModifiedBy>
  <dcterms:modified xsi:type="dcterms:W3CDTF">2025-12-18T08:10:38Z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eyJoZGlkIjoiMWNkMjkwMWIwMTJhYTAwYzc4N2UwYjA3ODhmOTRlMTkiLCJ1c2VySWQiOiIzMjcyNjcyMzgifQ==</vt:lpwstr>
  </property>
  <property fmtid="{D5CDD505-2E9C-101B-9397-08002B2CF9AE}" pid="4" name="ICV">
    <vt:lpwstr>0F0A5F18F9ED4E9EA9C4B55F20E3449C_12</vt:lpwstr>
  </property>
</Properties>
</file>