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315B9">
      <w:pPr>
        <w:jc w:val="center"/>
        <w:rPr>
          <w:rFonts w:hint="eastAsia" w:ascii="宋体" w:hAnsi="宋体" w:eastAsia="宋体"/>
          <w:sz w:val="44"/>
          <w:szCs w:val="44"/>
        </w:rPr>
      </w:pPr>
    </w:p>
    <w:p w14:paraId="147A71D3">
      <w:pPr>
        <w:jc w:val="center"/>
        <w:rPr>
          <w:rFonts w:ascii="宋体" w:hAnsi="宋体" w:eastAsia="宋体"/>
          <w:sz w:val="44"/>
          <w:szCs w:val="44"/>
        </w:rPr>
      </w:pPr>
    </w:p>
    <w:p w14:paraId="17A0311B">
      <w:pPr>
        <w:jc w:val="center"/>
        <w:rPr>
          <w:rFonts w:ascii="宋体" w:hAnsi="宋体" w:eastAsia="宋体"/>
          <w:sz w:val="44"/>
          <w:szCs w:val="44"/>
        </w:rPr>
      </w:pPr>
    </w:p>
    <w:p w14:paraId="7B9AAD32">
      <w:pPr>
        <w:jc w:val="center"/>
        <w:rPr>
          <w:rFonts w:ascii="黑体" w:hAnsi="黑体" w:eastAsia="黑体" w:cs="黑体"/>
          <w:sz w:val="52"/>
          <w:szCs w:val="52"/>
        </w:rPr>
      </w:pPr>
      <w:r>
        <w:rPr>
          <w:rFonts w:hint="eastAsia" w:ascii="黑体" w:hAnsi="黑体" w:eastAsia="黑体" w:cs="黑体"/>
          <w:sz w:val="52"/>
          <w:szCs w:val="52"/>
        </w:rPr>
        <w:t>江西景德镇长运突发事件</w:t>
      </w:r>
    </w:p>
    <w:p w14:paraId="65EB3C34">
      <w:pPr>
        <w:jc w:val="center"/>
        <w:rPr>
          <w:rFonts w:ascii="宋体" w:hAnsi="宋体" w:eastAsia="宋体"/>
          <w:b/>
          <w:bCs/>
          <w:sz w:val="52"/>
          <w:szCs w:val="52"/>
        </w:rPr>
      </w:pPr>
      <w:r>
        <w:rPr>
          <w:rFonts w:hint="eastAsia" w:ascii="黑体" w:hAnsi="黑体" w:eastAsia="黑体" w:cs="黑体"/>
          <w:sz w:val="52"/>
          <w:szCs w:val="52"/>
        </w:rPr>
        <w:t>综合应急预案</w:t>
      </w:r>
    </w:p>
    <w:p w14:paraId="783AD243">
      <w:pPr>
        <w:jc w:val="center"/>
        <w:rPr>
          <w:rFonts w:ascii="宋体" w:hAnsi="宋体" w:eastAsia="宋体"/>
          <w:sz w:val="44"/>
          <w:szCs w:val="44"/>
        </w:rPr>
      </w:pPr>
    </w:p>
    <w:p w14:paraId="16A9770A">
      <w:pPr>
        <w:jc w:val="center"/>
        <w:rPr>
          <w:rFonts w:ascii="宋体" w:hAnsi="宋体" w:eastAsia="宋体"/>
          <w:sz w:val="44"/>
          <w:szCs w:val="44"/>
        </w:rPr>
      </w:pPr>
    </w:p>
    <w:p w14:paraId="66BD9F34">
      <w:pPr>
        <w:jc w:val="center"/>
        <w:rPr>
          <w:rFonts w:ascii="宋体" w:hAnsi="宋体" w:eastAsia="宋体"/>
          <w:sz w:val="44"/>
          <w:szCs w:val="44"/>
        </w:rPr>
      </w:pPr>
    </w:p>
    <w:p w14:paraId="30E73FD1">
      <w:pPr>
        <w:jc w:val="center"/>
        <w:rPr>
          <w:rFonts w:ascii="宋体" w:hAnsi="宋体" w:eastAsia="宋体"/>
          <w:sz w:val="44"/>
          <w:szCs w:val="44"/>
        </w:rPr>
      </w:pPr>
    </w:p>
    <w:p w14:paraId="127EF378">
      <w:pPr>
        <w:ind w:firstLine="1325" w:firstLineChars="300"/>
        <w:rPr>
          <w:rFonts w:ascii="宋体" w:hAnsi="宋体" w:eastAsia="宋体"/>
          <w:b/>
          <w:bCs/>
          <w:sz w:val="44"/>
          <w:szCs w:val="44"/>
          <w:u w:val="single"/>
        </w:rPr>
      </w:pPr>
      <w:r>
        <w:rPr>
          <w:rFonts w:hint="eastAsia" w:ascii="宋体" w:hAnsi="宋体" w:eastAsia="宋体"/>
          <w:b/>
          <w:bCs/>
          <w:sz w:val="44"/>
          <w:szCs w:val="44"/>
        </w:rPr>
        <w:t>版  本：</w:t>
      </w:r>
      <w:r>
        <w:rPr>
          <w:rFonts w:hint="eastAsia" w:ascii="宋体" w:hAnsi="宋体" w:eastAsia="宋体"/>
          <w:b/>
          <w:bCs/>
          <w:sz w:val="44"/>
          <w:szCs w:val="44"/>
          <w:u w:val="single"/>
        </w:rPr>
        <w:t xml:space="preserve">    第2023版    </w:t>
      </w:r>
    </w:p>
    <w:p w14:paraId="30634475">
      <w:pPr>
        <w:rPr>
          <w:rFonts w:ascii="宋体" w:hAnsi="宋体" w:eastAsia="宋体"/>
          <w:sz w:val="44"/>
          <w:szCs w:val="44"/>
        </w:rPr>
      </w:pPr>
    </w:p>
    <w:p w14:paraId="46F6806B">
      <w:pPr>
        <w:ind w:firstLine="1325" w:firstLineChars="300"/>
        <w:rPr>
          <w:rFonts w:ascii="宋体" w:hAnsi="宋体" w:eastAsia="宋体"/>
          <w:b/>
          <w:bCs/>
          <w:sz w:val="44"/>
          <w:szCs w:val="44"/>
          <w:u w:val="single"/>
        </w:rPr>
      </w:pPr>
      <w:r>
        <w:rPr>
          <w:rFonts w:hint="eastAsia" w:ascii="宋体" w:hAnsi="宋体" w:eastAsia="宋体"/>
          <w:b/>
          <w:bCs/>
          <w:sz w:val="44"/>
          <w:szCs w:val="44"/>
        </w:rPr>
        <w:t>编  制：</w:t>
      </w:r>
      <w:r>
        <w:rPr>
          <w:rFonts w:hint="eastAsia" w:ascii="宋体" w:hAnsi="宋体" w:eastAsia="宋体"/>
          <w:b/>
          <w:bCs/>
          <w:sz w:val="44"/>
          <w:szCs w:val="44"/>
          <w:u w:val="single"/>
        </w:rPr>
        <w:t xml:space="preserve">    安全生产部   </w:t>
      </w:r>
    </w:p>
    <w:p w14:paraId="5BC59786">
      <w:pPr>
        <w:ind w:firstLine="1320" w:firstLineChars="300"/>
        <w:rPr>
          <w:rFonts w:ascii="宋体" w:hAnsi="宋体" w:eastAsia="宋体"/>
          <w:sz w:val="44"/>
          <w:szCs w:val="44"/>
          <w:u w:val="single"/>
        </w:rPr>
      </w:pPr>
    </w:p>
    <w:p w14:paraId="2C7AD7AD">
      <w:pPr>
        <w:jc w:val="center"/>
        <w:rPr>
          <w:rFonts w:ascii="宋体" w:hAnsi="宋体" w:eastAsia="宋体"/>
          <w:sz w:val="44"/>
          <w:szCs w:val="44"/>
        </w:rPr>
      </w:pPr>
    </w:p>
    <w:p w14:paraId="2A882036">
      <w:pPr>
        <w:jc w:val="center"/>
        <w:rPr>
          <w:rFonts w:ascii="宋体" w:hAnsi="宋体" w:eastAsia="宋体"/>
          <w:sz w:val="44"/>
          <w:szCs w:val="44"/>
        </w:rPr>
      </w:pPr>
    </w:p>
    <w:p w14:paraId="056D1E8F">
      <w:pPr>
        <w:jc w:val="center"/>
        <w:rPr>
          <w:rFonts w:ascii="宋体" w:hAnsi="宋体" w:eastAsia="宋体"/>
          <w:sz w:val="44"/>
          <w:szCs w:val="44"/>
        </w:rPr>
      </w:pPr>
    </w:p>
    <w:p w14:paraId="716BA0F2">
      <w:pPr>
        <w:jc w:val="center"/>
        <w:rPr>
          <w:rFonts w:ascii="宋体" w:hAnsi="宋体" w:eastAsia="宋体"/>
          <w:sz w:val="44"/>
          <w:szCs w:val="44"/>
        </w:rPr>
      </w:pPr>
    </w:p>
    <w:p w14:paraId="6A439466">
      <w:pPr>
        <w:jc w:val="center"/>
        <w:rPr>
          <w:rFonts w:ascii="宋体" w:hAnsi="宋体" w:eastAsia="宋体"/>
          <w:sz w:val="36"/>
          <w:szCs w:val="36"/>
        </w:rPr>
      </w:pPr>
    </w:p>
    <w:p w14:paraId="71424649">
      <w:pPr>
        <w:jc w:val="center"/>
        <w:rPr>
          <w:rFonts w:ascii="宋体" w:hAnsi="宋体" w:eastAsia="宋体"/>
          <w:sz w:val="36"/>
          <w:szCs w:val="36"/>
        </w:rPr>
      </w:pPr>
      <w:r>
        <w:rPr>
          <w:rFonts w:hint="eastAsia" w:ascii="宋体" w:hAnsi="宋体" w:eastAsia="宋体"/>
          <w:sz w:val="36"/>
          <w:szCs w:val="36"/>
        </w:rPr>
        <w:t>江西景德镇长运</w:t>
      </w:r>
    </w:p>
    <w:p w14:paraId="6DEE4ECF">
      <w:pPr>
        <w:jc w:val="center"/>
        <w:rPr>
          <w:rFonts w:ascii="宋体" w:hAnsi="宋体" w:eastAsia="宋体"/>
          <w:sz w:val="36"/>
          <w:szCs w:val="36"/>
        </w:rPr>
        <w:sectPr>
          <w:footerReference r:id="rId3" w:type="default"/>
          <w:pgSz w:w="11906" w:h="16838"/>
          <w:pgMar w:top="1440" w:right="1797" w:bottom="1440" w:left="1797" w:header="851" w:footer="992" w:gutter="0"/>
          <w:cols w:space="0" w:num="1"/>
          <w:docGrid w:type="lines" w:linePitch="317" w:charSpace="0"/>
        </w:sectPr>
      </w:pPr>
      <w:r>
        <w:rPr>
          <w:rFonts w:hint="eastAsia" w:ascii="宋体" w:hAnsi="宋体" w:eastAsia="宋体"/>
          <w:sz w:val="36"/>
          <w:szCs w:val="36"/>
        </w:rPr>
        <w:t>二〇二三年八月</w:t>
      </w:r>
    </w:p>
    <w:sdt>
      <w:sdtPr>
        <w:rPr>
          <w:rFonts w:ascii="宋体" w:hAnsi="宋体" w:eastAsia="宋体"/>
          <w:sz w:val="44"/>
          <w:szCs w:val="44"/>
        </w:rPr>
        <w:id w:val="147475552"/>
        <w:docPartObj>
          <w:docPartGallery w:val="Table of Contents"/>
          <w:docPartUnique/>
        </w:docPartObj>
      </w:sdtPr>
      <w:sdtEndPr>
        <w:rPr>
          <w:rFonts w:hint="eastAsia" w:ascii="仿宋_GB2312" w:hAnsi="仿宋_GB2312" w:eastAsia="仿宋_GB2312" w:cs="仿宋_GB2312"/>
          <w:b/>
          <w:sz w:val="21"/>
          <w:szCs w:val="30"/>
        </w:rPr>
      </w:sdtEndPr>
      <w:sdtContent>
        <w:p w14:paraId="3E6B4556">
          <w:pPr>
            <w:jc w:val="center"/>
            <w:rPr>
              <w:rFonts w:eastAsia="方正小标宋简体" w:asciiTheme="minorEastAsia" w:hAnsiTheme="minorEastAsia" w:cstheme="minorEastAsia"/>
              <w:sz w:val="44"/>
              <w:szCs w:val="44"/>
            </w:rPr>
          </w:pPr>
          <w:r>
            <w:rPr>
              <w:rFonts w:hint="eastAsia" w:ascii="方正小标宋简体" w:eastAsia="方正小标宋简体"/>
              <w:b/>
              <w:sz w:val="44"/>
              <w:szCs w:val="44"/>
            </w:rPr>
            <w:t>目  录</w:t>
          </w:r>
        </w:p>
        <w:p w14:paraId="2659AA4F">
          <w:pPr>
            <w:pStyle w:val="8"/>
            <w:tabs>
              <w:tab w:val="right" w:leader="dot" w:pos="8306"/>
            </w:tabs>
            <w:rPr>
              <w:rFonts w:ascii="黑体" w:hAnsi="黑体" w:eastAsia="黑体" w:cs="黑体"/>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TOC \o "1-2" \h \u </w:instrText>
          </w:r>
          <w:r>
            <w:rPr>
              <w:rFonts w:hint="eastAsia" w:ascii="仿宋_GB2312" w:hAnsi="仿宋_GB2312" w:eastAsia="仿宋_GB2312" w:cs="仿宋_GB2312"/>
              <w:sz w:val="28"/>
              <w:szCs w:val="28"/>
            </w:rPr>
            <w:fldChar w:fldCharType="separate"/>
          </w:r>
          <w:r>
            <w:fldChar w:fldCharType="begin"/>
          </w:r>
          <w:r>
            <w:instrText xml:space="preserve"> HYPERLINK \l "_Toc25061" </w:instrText>
          </w:r>
          <w:r>
            <w:fldChar w:fldCharType="separate"/>
          </w:r>
          <w:r>
            <w:rPr>
              <w:rFonts w:hint="eastAsia" w:ascii="黑体" w:hAnsi="黑体" w:eastAsia="黑体" w:cs="黑体"/>
              <w:sz w:val="28"/>
              <w:szCs w:val="28"/>
            </w:rPr>
            <w:t>第一章 总则</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_Toc25061 </w:instrText>
          </w:r>
          <w:r>
            <w:rPr>
              <w:rFonts w:hint="eastAsia" w:ascii="黑体" w:hAnsi="黑体" w:eastAsia="黑体" w:cs="黑体"/>
              <w:sz w:val="28"/>
              <w:szCs w:val="28"/>
            </w:rPr>
            <w:fldChar w:fldCharType="separate"/>
          </w:r>
          <w:r>
            <w:rPr>
              <w:rFonts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3DEE512">
          <w:pPr>
            <w:pStyle w:val="9"/>
            <w:tabs>
              <w:tab w:val="right" w:leader="dot" w:pos="8306"/>
            </w:tabs>
            <w:ind w:left="0" w:leftChars="0"/>
            <w:rPr>
              <w:rFonts w:ascii="黑体" w:hAnsi="黑体" w:eastAsia="黑体" w:cs="黑体"/>
              <w:sz w:val="28"/>
              <w:szCs w:val="28"/>
            </w:rPr>
          </w:pPr>
          <w:r>
            <w:fldChar w:fldCharType="begin"/>
          </w:r>
          <w:r>
            <w:instrText xml:space="preserve"> HYPERLINK \l "_Toc9449" </w:instrText>
          </w:r>
          <w:r>
            <w:fldChar w:fldCharType="separate"/>
          </w:r>
          <w:r>
            <w:rPr>
              <w:rFonts w:hint="eastAsia" w:ascii="黑体" w:hAnsi="黑体" w:eastAsia="黑体" w:cs="黑体"/>
              <w:sz w:val="28"/>
              <w:szCs w:val="28"/>
            </w:rPr>
            <w:t>一、编制目的</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_Toc9449 </w:instrText>
          </w:r>
          <w:r>
            <w:rPr>
              <w:rFonts w:hint="eastAsia" w:ascii="黑体" w:hAnsi="黑体" w:eastAsia="黑体" w:cs="黑体"/>
              <w:sz w:val="28"/>
              <w:szCs w:val="28"/>
            </w:rPr>
            <w:fldChar w:fldCharType="separate"/>
          </w:r>
          <w:r>
            <w:rPr>
              <w:rFonts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11923B9">
          <w:pPr>
            <w:pStyle w:val="9"/>
            <w:tabs>
              <w:tab w:val="right" w:leader="dot" w:pos="8306"/>
            </w:tabs>
            <w:ind w:left="0" w:leftChars="0"/>
            <w:rPr>
              <w:rFonts w:ascii="黑体" w:hAnsi="黑体" w:eastAsia="黑体" w:cs="黑体"/>
              <w:sz w:val="28"/>
              <w:szCs w:val="28"/>
            </w:rPr>
          </w:pPr>
          <w:r>
            <w:fldChar w:fldCharType="begin"/>
          </w:r>
          <w:r>
            <w:instrText xml:space="preserve"> HYPERLINK \l "_Toc24357" </w:instrText>
          </w:r>
          <w:r>
            <w:fldChar w:fldCharType="separate"/>
          </w:r>
          <w:r>
            <w:rPr>
              <w:rFonts w:hint="eastAsia" w:ascii="黑体" w:hAnsi="黑体" w:eastAsia="黑体" w:cs="黑体"/>
              <w:sz w:val="28"/>
              <w:szCs w:val="28"/>
            </w:rPr>
            <w:t>二、编制依据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_Toc24357 </w:instrText>
          </w:r>
          <w:r>
            <w:rPr>
              <w:rFonts w:hint="eastAsia" w:ascii="黑体" w:hAnsi="黑体" w:eastAsia="黑体" w:cs="黑体"/>
              <w:sz w:val="28"/>
              <w:szCs w:val="28"/>
            </w:rPr>
            <w:fldChar w:fldCharType="separate"/>
          </w:r>
          <w:r>
            <w:rPr>
              <w:rFonts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A400E5D">
          <w:pPr>
            <w:pStyle w:val="9"/>
            <w:tabs>
              <w:tab w:val="right" w:leader="dot" w:pos="8306"/>
            </w:tabs>
            <w:ind w:left="0" w:leftChars="0"/>
            <w:rPr>
              <w:rFonts w:ascii="黑体" w:hAnsi="黑体" w:eastAsia="黑体" w:cs="黑体"/>
              <w:sz w:val="28"/>
              <w:szCs w:val="28"/>
            </w:rPr>
          </w:pPr>
          <w:r>
            <w:fldChar w:fldCharType="begin"/>
          </w:r>
          <w:r>
            <w:instrText xml:space="preserve"> HYPERLINK \l "_Toc22088" </w:instrText>
          </w:r>
          <w:r>
            <w:fldChar w:fldCharType="separate"/>
          </w:r>
          <w:r>
            <w:rPr>
              <w:rFonts w:hint="eastAsia" w:ascii="黑体" w:hAnsi="黑体" w:eastAsia="黑体" w:cs="黑体"/>
              <w:sz w:val="28"/>
              <w:szCs w:val="28"/>
            </w:rPr>
            <w:t>三、适用范围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_Toc22088 </w:instrText>
          </w:r>
          <w:r>
            <w:rPr>
              <w:rFonts w:hint="eastAsia" w:ascii="黑体" w:hAnsi="黑体" w:eastAsia="黑体" w:cs="黑体"/>
              <w:sz w:val="28"/>
              <w:szCs w:val="28"/>
            </w:rPr>
            <w:fldChar w:fldCharType="separate"/>
          </w:r>
          <w:r>
            <w:rPr>
              <w:rFonts w:ascii="黑体" w:hAnsi="黑体" w:eastAsia="黑体" w:cs="黑体"/>
              <w:sz w:val="28"/>
              <w:szCs w:val="28"/>
            </w:rPr>
            <w:t>4</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34C9E17D">
          <w:pPr>
            <w:pStyle w:val="9"/>
            <w:tabs>
              <w:tab w:val="right" w:leader="dot" w:pos="8306"/>
            </w:tabs>
            <w:ind w:left="0" w:leftChars="0"/>
            <w:rPr>
              <w:rFonts w:ascii="黑体" w:hAnsi="黑体" w:eastAsia="黑体" w:cs="黑体"/>
              <w:sz w:val="28"/>
              <w:szCs w:val="28"/>
            </w:rPr>
          </w:pPr>
          <w:r>
            <w:fldChar w:fldCharType="begin"/>
          </w:r>
          <w:r>
            <w:instrText xml:space="preserve"> HYPERLINK \l "_Toc12361" </w:instrText>
          </w:r>
          <w:r>
            <w:fldChar w:fldCharType="separate"/>
          </w:r>
          <w:r>
            <w:rPr>
              <w:rFonts w:hint="eastAsia" w:ascii="黑体" w:hAnsi="黑体" w:eastAsia="黑体" w:cs="黑体"/>
              <w:sz w:val="28"/>
              <w:szCs w:val="28"/>
            </w:rPr>
            <w:t>四、应急预案体系</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9</w:t>
          </w:r>
        </w:p>
        <w:p w14:paraId="7B683534">
          <w:pPr>
            <w:pStyle w:val="9"/>
            <w:tabs>
              <w:tab w:val="right" w:leader="dot" w:pos="8306"/>
            </w:tabs>
            <w:ind w:left="0" w:leftChars="0"/>
            <w:rPr>
              <w:rFonts w:ascii="黑体" w:hAnsi="黑体" w:eastAsia="黑体" w:cs="黑体"/>
              <w:sz w:val="28"/>
              <w:szCs w:val="28"/>
            </w:rPr>
          </w:pPr>
          <w:r>
            <w:fldChar w:fldCharType="begin"/>
          </w:r>
          <w:r>
            <w:instrText xml:space="preserve"> HYPERLINK \l "_Toc4409" </w:instrText>
          </w:r>
          <w:r>
            <w:fldChar w:fldCharType="separate"/>
          </w:r>
          <w:r>
            <w:rPr>
              <w:rFonts w:hint="eastAsia" w:ascii="黑体" w:hAnsi="黑体" w:eastAsia="黑体" w:cs="黑体"/>
              <w:sz w:val="28"/>
              <w:szCs w:val="28"/>
            </w:rPr>
            <w:t>五、应急工作原则</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9</w:t>
          </w:r>
        </w:p>
        <w:p w14:paraId="34D5BF22">
          <w:pPr>
            <w:pStyle w:val="9"/>
            <w:tabs>
              <w:tab w:val="right" w:leader="dot" w:pos="8306"/>
            </w:tabs>
            <w:ind w:left="0" w:leftChars="0"/>
            <w:rPr>
              <w:rFonts w:ascii="黑体" w:hAnsi="黑体" w:eastAsia="黑体" w:cs="黑体"/>
              <w:sz w:val="28"/>
              <w:szCs w:val="28"/>
            </w:rPr>
          </w:pPr>
          <w:r>
            <w:fldChar w:fldCharType="begin"/>
          </w:r>
          <w:r>
            <w:instrText xml:space="preserve"> HYPERLINK \l "_Toc23039" </w:instrText>
          </w:r>
          <w:r>
            <w:fldChar w:fldCharType="separate"/>
          </w:r>
          <w:r>
            <w:rPr>
              <w:rFonts w:hint="eastAsia" w:ascii="黑体" w:hAnsi="黑体" w:eastAsia="黑体" w:cs="黑体"/>
              <w:sz w:val="28"/>
              <w:szCs w:val="28"/>
            </w:rPr>
            <w:t>六、预案启动条件</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10</w:t>
          </w:r>
        </w:p>
        <w:p w14:paraId="74DEE229">
          <w:pPr>
            <w:pStyle w:val="8"/>
            <w:tabs>
              <w:tab w:val="right" w:leader="dot" w:pos="8306"/>
            </w:tabs>
            <w:rPr>
              <w:rFonts w:ascii="黑体" w:hAnsi="黑体" w:eastAsia="黑体" w:cs="黑体"/>
              <w:sz w:val="28"/>
              <w:szCs w:val="28"/>
            </w:rPr>
          </w:pPr>
          <w:r>
            <w:fldChar w:fldCharType="begin"/>
          </w:r>
          <w:r>
            <w:instrText xml:space="preserve"> HYPERLINK \l "_Toc21405" </w:instrText>
          </w:r>
          <w:r>
            <w:fldChar w:fldCharType="separate"/>
          </w:r>
          <w:r>
            <w:rPr>
              <w:rFonts w:hint="eastAsia" w:ascii="黑体" w:hAnsi="黑体" w:eastAsia="黑体" w:cs="黑体"/>
              <w:sz w:val="28"/>
              <w:szCs w:val="28"/>
            </w:rPr>
            <w:t>第二章 应急组织机构及工作职责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_Toc21405 </w:instrText>
          </w:r>
          <w:r>
            <w:rPr>
              <w:rFonts w:hint="eastAsia" w:ascii="黑体" w:hAnsi="黑体" w:eastAsia="黑体" w:cs="黑体"/>
              <w:sz w:val="28"/>
              <w:szCs w:val="28"/>
            </w:rPr>
            <w:fldChar w:fldCharType="separate"/>
          </w:r>
          <w:r>
            <w:rPr>
              <w:rFonts w:ascii="黑体" w:hAnsi="黑体" w:eastAsia="黑体" w:cs="黑体"/>
              <w:sz w:val="28"/>
              <w:szCs w:val="28"/>
            </w:rPr>
            <w:t>9</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CA741D3">
          <w:pPr>
            <w:pStyle w:val="9"/>
            <w:tabs>
              <w:tab w:val="right" w:leader="dot" w:pos="8306"/>
            </w:tabs>
            <w:ind w:left="0" w:leftChars="0"/>
            <w:rPr>
              <w:rFonts w:ascii="黑体" w:hAnsi="黑体" w:eastAsia="黑体" w:cs="黑体"/>
              <w:sz w:val="28"/>
              <w:szCs w:val="28"/>
            </w:rPr>
          </w:pPr>
          <w:r>
            <w:fldChar w:fldCharType="begin"/>
          </w:r>
          <w:r>
            <w:instrText xml:space="preserve"> HYPERLINK \l "_Toc26343" </w:instrText>
          </w:r>
          <w:r>
            <w:fldChar w:fldCharType="separate"/>
          </w:r>
          <w:r>
            <w:rPr>
              <w:rFonts w:hint="eastAsia" w:ascii="黑体" w:hAnsi="黑体" w:eastAsia="黑体" w:cs="黑体"/>
              <w:sz w:val="28"/>
              <w:szCs w:val="28"/>
            </w:rPr>
            <w:t>一、机构职责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_Toc26343 </w:instrText>
          </w:r>
          <w:r>
            <w:rPr>
              <w:rFonts w:hint="eastAsia" w:ascii="黑体" w:hAnsi="黑体" w:eastAsia="黑体" w:cs="黑体"/>
              <w:sz w:val="28"/>
              <w:szCs w:val="28"/>
            </w:rPr>
            <w:fldChar w:fldCharType="separate"/>
          </w:r>
          <w:r>
            <w:rPr>
              <w:rFonts w:ascii="黑体" w:hAnsi="黑体" w:eastAsia="黑体" w:cs="黑体"/>
              <w:sz w:val="28"/>
              <w:szCs w:val="28"/>
            </w:rPr>
            <w:t>10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F907B05">
          <w:pPr>
            <w:pStyle w:val="9"/>
            <w:tabs>
              <w:tab w:val="right" w:leader="dot" w:pos="8306"/>
            </w:tabs>
            <w:ind w:left="0" w:leftChars="0"/>
            <w:rPr>
              <w:rFonts w:ascii="黑体" w:hAnsi="黑体" w:eastAsia="黑体" w:cs="黑体"/>
              <w:sz w:val="28"/>
              <w:szCs w:val="28"/>
            </w:rPr>
          </w:pPr>
          <w:r>
            <w:fldChar w:fldCharType="begin"/>
          </w:r>
          <w:r>
            <w:instrText xml:space="preserve"> HYPERLINK \l "_Toc30920" </w:instrText>
          </w:r>
          <w:r>
            <w:fldChar w:fldCharType="separate"/>
          </w:r>
          <w:r>
            <w:rPr>
              <w:rFonts w:hint="eastAsia" w:ascii="黑体" w:hAnsi="黑体" w:eastAsia="黑体" w:cs="黑体"/>
              <w:sz w:val="28"/>
              <w:szCs w:val="28"/>
            </w:rPr>
            <w:t>二、领导职责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_Toc30920 </w:instrText>
          </w:r>
          <w:r>
            <w:rPr>
              <w:rFonts w:hint="eastAsia" w:ascii="黑体" w:hAnsi="黑体" w:eastAsia="黑体" w:cs="黑体"/>
              <w:sz w:val="28"/>
              <w:szCs w:val="28"/>
            </w:rPr>
            <w:fldChar w:fldCharType="separate"/>
          </w:r>
          <w:r>
            <w:rPr>
              <w:rFonts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34A60C65">
          <w:pPr>
            <w:pStyle w:val="9"/>
            <w:tabs>
              <w:tab w:val="right" w:leader="dot" w:pos="8306"/>
            </w:tabs>
            <w:ind w:left="0" w:leftChars="0"/>
            <w:rPr>
              <w:rFonts w:ascii="黑体" w:hAnsi="黑体" w:eastAsia="黑体" w:cs="黑体"/>
              <w:sz w:val="28"/>
              <w:szCs w:val="28"/>
            </w:rPr>
          </w:pPr>
          <w:r>
            <w:fldChar w:fldCharType="begin"/>
          </w:r>
          <w:r>
            <w:instrText xml:space="preserve"> HYPERLINK \l "_Toc15189" </w:instrText>
          </w:r>
          <w:r>
            <w:fldChar w:fldCharType="separate"/>
          </w:r>
          <w:r>
            <w:rPr>
              <w:rFonts w:hint="eastAsia" w:ascii="黑体" w:hAnsi="黑体" w:eastAsia="黑体" w:cs="黑体"/>
              <w:sz w:val="28"/>
              <w:szCs w:val="28"/>
            </w:rPr>
            <w:t>三、成员职责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_Toc15189 </w:instrText>
          </w:r>
          <w:r>
            <w:rPr>
              <w:rFonts w:hint="eastAsia" w:ascii="黑体" w:hAnsi="黑体" w:eastAsia="黑体" w:cs="黑体"/>
              <w:sz w:val="28"/>
              <w:szCs w:val="28"/>
            </w:rPr>
            <w:fldChar w:fldCharType="separate"/>
          </w:r>
          <w:r>
            <w:rPr>
              <w:rFonts w:ascii="黑体" w:hAnsi="黑体" w:eastAsia="黑体" w:cs="黑体"/>
              <w:sz w:val="28"/>
              <w:szCs w:val="28"/>
            </w:rPr>
            <w:t>13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69E10E4">
          <w:pPr>
            <w:pStyle w:val="8"/>
            <w:tabs>
              <w:tab w:val="right" w:leader="dot" w:pos="8306"/>
            </w:tabs>
            <w:rPr>
              <w:rFonts w:ascii="黑体" w:hAnsi="黑体" w:eastAsia="黑体" w:cs="黑体"/>
              <w:sz w:val="28"/>
              <w:szCs w:val="28"/>
            </w:rPr>
          </w:pPr>
          <w:r>
            <w:fldChar w:fldCharType="begin"/>
          </w:r>
          <w:r>
            <w:instrText xml:space="preserve"> HYPERLINK \l "_Toc14544" </w:instrText>
          </w:r>
          <w:r>
            <w:fldChar w:fldCharType="separate"/>
          </w:r>
          <w:r>
            <w:rPr>
              <w:rFonts w:hint="eastAsia" w:ascii="黑体" w:hAnsi="黑体" w:eastAsia="黑体" w:cs="黑体"/>
              <w:sz w:val="28"/>
              <w:szCs w:val="28"/>
            </w:rPr>
            <w:t>第三章 风险、危险源评估分析</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_Toc14544 </w:instrText>
          </w:r>
          <w:r>
            <w:rPr>
              <w:rFonts w:hint="eastAsia" w:ascii="黑体" w:hAnsi="黑体" w:eastAsia="黑体" w:cs="黑体"/>
              <w:sz w:val="28"/>
              <w:szCs w:val="28"/>
            </w:rPr>
            <w:fldChar w:fldCharType="separate"/>
          </w:r>
          <w:r>
            <w:rPr>
              <w:rFonts w:ascii="黑体" w:hAnsi="黑体" w:eastAsia="黑体" w:cs="黑体"/>
              <w:sz w:val="28"/>
              <w:szCs w:val="28"/>
            </w:rPr>
            <w:t>16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446E1DF1">
          <w:pPr>
            <w:pStyle w:val="9"/>
            <w:tabs>
              <w:tab w:val="right" w:leader="dot" w:pos="8306"/>
            </w:tabs>
            <w:ind w:left="0" w:leftChars="0"/>
            <w:rPr>
              <w:rFonts w:ascii="黑体" w:hAnsi="黑体" w:eastAsia="黑体" w:cs="黑体"/>
              <w:sz w:val="28"/>
              <w:szCs w:val="28"/>
            </w:rPr>
          </w:pPr>
          <w:r>
            <w:fldChar w:fldCharType="begin"/>
          </w:r>
          <w:r>
            <w:instrText xml:space="preserve"> HYPERLINK \l "_Toc10219" </w:instrText>
          </w:r>
          <w:r>
            <w:fldChar w:fldCharType="separate"/>
          </w:r>
          <w:r>
            <w:rPr>
              <w:rFonts w:hint="eastAsia" w:ascii="黑体" w:hAnsi="黑体" w:eastAsia="黑体" w:cs="黑体"/>
              <w:sz w:val="28"/>
              <w:szCs w:val="28"/>
            </w:rPr>
            <w:t>一、风险评估分析</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_Toc10219 </w:instrText>
          </w:r>
          <w:r>
            <w:rPr>
              <w:rFonts w:hint="eastAsia" w:ascii="黑体" w:hAnsi="黑体" w:eastAsia="黑体" w:cs="黑体"/>
              <w:sz w:val="28"/>
              <w:szCs w:val="28"/>
            </w:rPr>
            <w:fldChar w:fldCharType="separate"/>
          </w:r>
          <w:r>
            <w:rPr>
              <w:rFonts w:ascii="黑体" w:hAnsi="黑体" w:eastAsia="黑体" w:cs="黑体"/>
              <w:sz w:val="28"/>
              <w:szCs w:val="28"/>
            </w:rPr>
            <w:t>16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64EEA54">
          <w:pPr>
            <w:pStyle w:val="9"/>
            <w:tabs>
              <w:tab w:val="right" w:leader="dot" w:pos="8306"/>
            </w:tabs>
            <w:ind w:left="0" w:leftChars="0"/>
            <w:rPr>
              <w:rFonts w:ascii="黑体" w:hAnsi="黑体" w:eastAsia="黑体" w:cs="黑体"/>
              <w:sz w:val="28"/>
              <w:szCs w:val="28"/>
            </w:rPr>
          </w:pPr>
          <w:r>
            <w:fldChar w:fldCharType="begin"/>
          </w:r>
          <w:r>
            <w:instrText xml:space="preserve"> HYPERLINK \l "_Toc16164" </w:instrText>
          </w:r>
          <w:r>
            <w:fldChar w:fldCharType="separate"/>
          </w:r>
          <w:r>
            <w:rPr>
              <w:rFonts w:hint="eastAsia" w:ascii="黑体" w:hAnsi="黑体" w:eastAsia="黑体" w:cs="黑体"/>
              <w:sz w:val="28"/>
              <w:szCs w:val="28"/>
            </w:rPr>
            <w:t>二、危险源评估分析</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20</w:t>
          </w:r>
        </w:p>
        <w:p w14:paraId="70B4F72A">
          <w:pPr>
            <w:pStyle w:val="8"/>
            <w:tabs>
              <w:tab w:val="right" w:leader="dot" w:pos="8306"/>
            </w:tabs>
            <w:rPr>
              <w:rFonts w:ascii="黑体" w:hAnsi="黑体" w:eastAsia="黑体" w:cs="黑体"/>
              <w:sz w:val="28"/>
              <w:szCs w:val="28"/>
            </w:rPr>
          </w:pPr>
          <w:r>
            <w:fldChar w:fldCharType="begin"/>
          </w:r>
          <w:r>
            <w:instrText xml:space="preserve"> HYPERLINK \l "_Toc14925" </w:instrText>
          </w:r>
          <w:r>
            <w:fldChar w:fldCharType="separate"/>
          </w:r>
          <w:r>
            <w:rPr>
              <w:rFonts w:hint="eastAsia" w:ascii="黑体" w:hAnsi="黑体" w:eastAsia="黑体" w:cs="黑体"/>
              <w:sz w:val="28"/>
              <w:szCs w:val="28"/>
            </w:rPr>
            <w:t>第四章 监测与预警</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_Toc14925 </w:instrText>
          </w:r>
          <w:r>
            <w:rPr>
              <w:rFonts w:hint="eastAsia" w:ascii="黑体" w:hAnsi="黑体" w:eastAsia="黑体" w:cs="黑体"/>
              <w:sz w:val="28"/>
              <w:szCs w:val="28"/>
            </w:rPr>
            <w:fldChar w:fldCharType="separate"/>
          </w:r>
          <w:r>
            <w:rPr>
              <w:rFonts w:ascii="黑体" w:hAnsi="黑体" w:eastAsia="黑体" w:cs="黑体"/>
              <w:sz w:val="28"/>
              <w:szCs w:val="28"/>
            </w:rPr>
            <w:t>19</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CF7B0F5">
          <w:pPr>
            <w:pStyle w:val="9"/>
            <w:tabs>
              <w:tab w:val="right" w:leader="dot" w:pos="8306"/>
            </w:tabs>
            <w:ind w:left="0" w:leftChars="0"/>
            <w:rPr>
              <w:rFonts w:ascii="黑体" w:hAnsi="黑体" w:eastAsia="黑体" w:cs="黑体"/>
              <w:sz w:val="28"/>
              <w:szCs w:val="28"/>
            </w:rPr>
          </w:pPr>
          <w:r>
            <w:fldChar w:fldCharType="begin"/>
          </w:r>
          <w:r>
            <w:instrText xml:space="preserve"> HYPERLINK \l "_Toc31490" </w:instrText>
          </w:r>
          <w:r>
            <w:fldChar w:fldCharType="separate"/>
          </w:r>
          <w:r>
            <w:rPr>
              <w:rFonts w:hint="eastAsia" w:ascii="黑体" w:hAnsi="黑体" w:eastAsia="黑体" w:cs="黑体"/>
              <w:sz w:val="28"/>
              <w:szCs w:val="28"/>
            </w:rPr>
            <w:t>一、突发事件的监测</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_Toc31490 </w:instrText>
          </w:r>
          <w:r>
            <w:rPr>
              <w:rFonts w:hint="eastAsia" w:ascii="黑体" w:hAnsi="黑体" w:eastAsia="黑体" w:cs="黑体"/>
              <w:sz w:val="28"/>
              <w:szCs w:val="28"/>
            </w:rPr>
            <w:fldChar w:fldCharType="separate"/>
          </w:r>
          <w:r>
            <w:rPr>
              <w:rFonts w:ascii="黑体" w:hAnsi="黑体" w:eastAsia="黑体" w:cs="黑体"/>
              <w:sz w:val="28"/>
              <w:szCs w:val="28"/>
            </w:rPr>
            <w:t>19</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27D6E431">
          <w:pPr>
            <w:pStyle w:val="9"/>
            <w:tabs>
              <w:tab w:val="right" w:leader="dot" w:pos="8306"/>
            </w:tabs>
            <w:ind w:left="0" w:leftChars="0"/>
            <w:rPr>
              <w:rFonts w:ascii="黑体" w:hAnsi="黑体" w:eastAsia="黑体" w:cs="黑体"/>
              <w:sz w:val="28"/>
              <w:szCs w:val="28"/>
            </w:rPr>
          </w:pPr>
          <w:r>
            <w:fldChar w:fldCharType="begin"/>
          </w:r>
          <w:r>
            <w:instrText xml:space="preserve"> HYPERLINK \l "_Toc1092" </w:instrText>
          </w:r>
          <w:r>
            <w:fldChar w:fldCharType="separate"/>
          </w:r>
          <w:r>
            <w:rPr>
              <w:rFonts w:hint="eastAsia" w:ascii="黑体" w:hAnsi="黑体" w:eastAsia="黑体" w:cs="黑体"/>
              <w:sz w:val="28"/>
              <w:szCs w:val="28"/>
            </w:rPr>
            <w:t>二、突发事件的预警</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_Toc1092 </w:instrText>
          </w:r>
          <w:r>
            <w:rPr>
              <w:rFonts w:hint="eastAsia" w:ascii="黑体" w:hAnsi="黑体" w:eastAsia="黑体" w:cs="黑体"/>
              <w:sz w:val="28"/>
              <w:szCs w:val="28"/>
            </w:rPr>
            <w:fldChar w:fldCharType="separate"/>
          </w:r>
          <w:r>
            <w:rPr>
              <w:rFonts w:ascii="黑体" w:hAnsi="黑体" w:eastAsia="黑体" w:cs="黑体"/>
              <w:sz w:val="28"/>
              <w:szCs w:val="28"/>
            </w:rPr>
            <w:t>20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43DB6467">
          <w:pPr>
            <w:pStyle w:val="8"/>
            <w:tabs>
              <w:tab w:val="right" w:leader="dot" w:pos="8306"/>
            </w:tabs>
            <w:rPr>
              <w:rFonts w:ascii="黑体" w:hAnsi="黑体" w:eastAsia="黑体" w:cs="黑体"/>
              <w:sz w:val="28"/>
              <w:szCs w:val="28"/>
            </w:rPr>
          </w:pPr>
          <w:r>
            <w:fldChar w:fldCharType="begin"/>
          </w:r>
          <w:r>
            <w:instrText xml:space="preserve"> HYPERLINK \l "_Toc8332" </w:instrText>
          </w:r>
          <w:r>
            <w:fldChar w:fldCharType="separate"/>
          </w:r>
          <w:r>
            <w:rPr>
              <w:rFonts w:hint="eastAsia" w:ascii="黑体" w:hAnsi="黑体" w:eastAsia="黑体" w:cs="黑体"/>
              <w:sz w:val="28"/>
              <w:szCs w:val="28"/>
            </w:rPr>
            <w:t>第五章 组织指挥与应急处置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_Toc8332 </w:instrText>
          </w:r>
          <w:r>
            <w:rPr>
              <w:rFonts w:hint="eastAsia" w:ascii="黑体" w:hAnsi="黑体" w:eastAsia="黑体" w:cs="黑体"/>
              <w:sz w:val="28"/>
              <w:szCs w:val="28"/>
            </w:rPr>
            <w:fldChar w:fldCharType="separate"/>
          </w:r>
          <w:r>
            <w:rPr>
              <w:rFonts w:ascii="黑体" w:hAnsi="黑体" w:eastAsia="黑体" w:cs="黑体"/>
              <w:sz w:val="28"/>
              <w:szCs w:val="28"/>
            </w:rPr>
            <w:t>25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D8DD326">
          <w:pPr>
            <w:pStyle w:val="9"/>
            <w:tabs>
              <w:tab w:val="right" w:leader="dot" w:pos="8306"/>
            </w:tabs>
            <w:ind w:left="0" w:leftChars="0"/>
            <w:rPr>
              <w:rFonts w:ascii="黑体" w:hAnsi="黑体" w:eastAsia="黑体" w:cs="黑体"/>
              <w:sz w:val="28"/>
              <w:szCs w:val="28"/>
            </w:rPr>
          </w:pPr>
          <w:r>
            <w:fldChar w:fldCharType="begin"/>
          </w:r>
          <w:r>
            <w:instrText xml:space="preserve"> HYPERLINK \l "_Toc5372" </w:instrText>
          </w:r>
          <w:r>
            <w:fldChar w:fldCharType="separate"/>
          </w:r>
          <w:r>
            <w:rPr>
              <w:rFonts w:hint="eastAsia" w:ascii="黑体" w:hAnsi="黑体" w:eastAsia="黑体" w:cs="黑体"/>
              <w:sz w:val="28"/>
              <w:szCs w:val="28"/>
            </w:rPr>
            <w:t>一、指挥机构及职责任务</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28</w:t>
          </w:r>
        </w:p>
        <w:p w14:paraId="337AF9D4">
          <w:pPr>
            <w:pStyle w:val="9"/>
            <w:tabs>
              <w:tab w:val="right" w:leader="dot" w:pos="8306"/>
            </w:tabs>
            <w:ind w:left="0" w:leftChars="0"/>
            <w:rPr>
              <w:rFonts w:ascii="黑体" w:hAnsi="黑体" w:eastAsia="黑体" w:cs="黑体"/>
              <w:sz w:val="28"/>
              <w:szCs w:val="28"/>
            </w:rPr>
          </w:pPr>
          <w:r>
            <w:fldChar w:fldCharType="begin"/>
          </w:r>
          <w:r>
            <w:instrText xml:space="preserve"> HYPERLINK \l "_Toc18308" </w:instrText>
          </w:r>
          <w:r>
            <w:fldChar w:fldCharType="separate"/>
          </w:r>
          <w:r>
            <w:rPr>
              <w:rFonts w:hint="eastAsia" w:ascii="黑体" w:hAnsi="黑体" w:eastAsia="黑体" w:cs="黑体"/>
              <w:sz w:val="28"/>
              <w:szCs w:val="28"/>
            </w:rPr>
            <w:t>二、应急响应与处置措施</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31</w:t>
          </w:r>
        </w:p>
        <w:p w14:paraId="61433AC9">
          <w:pPr>
            <w:pStyle w:val="8"/>
            <w:tabs>
              <w:tab w:val="right" w:leader="dot" w:pos="8306"/>
            </w:tabs>
            <w:rPr>
              <w:rFonts w:ascii="黑体" w:hAnsi="黑体" w:eastAsia="黑体" w:cs="黑体"/>
              <w:sz w:val="28"/>
              <w:szCs w:val="28"/>
            </w:rPr>
          </w:pPr>
          <w:r>
            <w:fldChar w:fldCharType="begin"/>
          </w:r>
          <w:r>
            <w:instrText xml:space="preserve"> HYPERLINK \l "_Toc32077" </w:instrText>
          </w:r>
          <w:r>
            <w:fldChar w:fldCharType="separate"/>
          </w:r>
          <w:r>
            <w:rPr>
              <w:rFonts w:hint="eastAsia" w:ascii="黑体" w:hAnsi="黑体" w:eastAsia="黑体" w:cs="黑体"/>
              <w:sz w:val="28"/>
              <w:szCs w:val="28"/>
            </w:rPr>
            <w:t>第六章 应急保障措施</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41</w:t>
          </w:r>
        </w:p>
        <w:p w14:paraId="71E9BB2D">
          <w:pPr>
            <w:pStyle w:val="9"/>
            <w:tabs>
              <w:tab w:val="right" w:leader="dot" w:pos="8306"/>
            </w:tabs>
            <w:ind w:left="0" w:leftChars="0"/>
            <w:rPr>
              <w:rFonts w:ascii="黑体" w:hAnsi="黑体" w:eastAsia="黑体" w:cs="黑体"/>
              <w:sz w:val="28"/>
              <w:szCs w:val="28"/>
            </w:rPr>
          </w:pPr>
          <w:r>
            <w:fldChar w:fldCharType="begin"/>
          </w:r>
          <w:r>
            <w:instrText xml:space="preserve"> HYPERLINK \l "_Toc15617" </w:instrText>
          </w:r>
          <w:r>
            <w:fldChar w:fldCharType="separate"/>
          </w:r>
          <w:r>
            <w:rPr>
              <w:rFonts w:hint="eastAsia" w:ascii="黑体" w:hAnsi="黑体" w:eastAsia="黑体" w:cs="黑体"/>
              <w:sz w:val="28"/>
              <w:szCs w:val="28"/>
            </w:rPr>
            <w:t>一、应急通信保障</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41</w:t>
          </w:r>
        </w:p>
        <w:p w14:paraId="5BBC9113">
          <w:pPr>
            <w:pStyle w:val="9"/>
            <w:tabs>
              <w:tab w:val="right" w:leader="dot" w:pos="8306"/>
            </w:tabs>
            <w:ind w:left="0" w:leftChars="0"/>
            <w:rPr>
              <w:rFonts w:ascii="黑体" w:hAnsi="黑体" w:eastAsia="黑体" w:cs="黑体"/>
              <w:sz w:val="28"/>
              <w:szCs w:val="28"/>
            </w:rPr>
          </w:pPr>
          <w:r>
            <w:fldChar w:fldCharType="begin"/>
          </w:r>
          <w:r>
            <w:instrText xml:space="preserve"> HYPERLINK \l "_Toc16170" </w:instrText>
          </w:r>
          <w:r>
            <w:fldChar w:fldCharType="separate"/>
          </w:r>
          <w:r>
            <w:rPr>
              <w:rFonts w:hint="eastAsia" w:ascii="黑体" w:hAnsi="黑体" w:eastAsia="黑体" w:cs="黑体"/>
              <w:sz w:val="28"/>
              <w:szCs w:val="28"/>
            </w:rPr>
            <w:t>二、应急救援队伍</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_Toc16170 </w:instrText>
          </w:r>
          <w:r>
            <w:rPr>
              <w:rFonts w:hint="eastAsia" w:ascii="黑体" w:hAnsi="黑体" w:eastAsia="黑体" w:cs="黑体"/>
              <w:sz w:val="28"/>
              <w:szCs w:val="28"/>
            </w:rPr>
            <w:fldChar w:fldCharType="separate"/>
          </w:r>
          <w:r>
            <w:rPr>
              <w:rFonts w:ascii="黑体" w:hAnsi="黑体" w:eastAsia="黑体" w:cs="黑体"/>
              <w:sz w:val="28"/>
              <w:szCs w:val="28"/>
            </w:rPr>
            <w:t>39</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4310102E">
          <w:pPr>
            <w:pStyle w:val="9"/>
            <w:tabs>
              <w:tab w:val="right" w:leader="dot" w:pos="8306"/>
            </w:tabs>
            <w:ind w:left="0" w:leftChars="0"/>
            <w:rPr>
              <w:rFonts w:ascii="黑体" w:hAnsi="黑体" w:eastAsia="黑体" w:cs="黑体"/>
              <w:sz w:val="28"/>
              <w:szCs w:val="28"/>
            </w:rPr>
          </w:pPr>
          <w:r>
            <w:fldChar w:fldCharType="begin"/>
          </w:r>
          <w:r>
            <w:instrText xml:space="preserve"> HYPERLINK \l "_Toc1935" </w:instrText>
          </w:r>
          <w:r>
            <w:fldChar w:fldCharType="separate"/>
          </w:r>
          <w:r>
            <w:rPr>
              <w:rFonts w:hint="eastAsia" w:ascii="黑体" w:hAnsi="黑体" w:eastAsia="黑体" w:cs="黑体"/>
              <w:sz w:val="28"/>
              <w:szCs w:val="28"/>
            </w:rPr>
            <w:t>三、应急物资保障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_Toc1935 </w:instrText>
          </w:r>
          <w:r>
            <w:rPr>
              <w:rFonts w:hint="eastAsia" w:ascii="黑体" w:hAnsi="黑体" w:eastAsia="黑体" w:cs="黑体"/>
              <w:sz w:val="28"/>
              <w:szCs w:val="28"/>
            </w:rPr>
            <w:fldChar w:fldCharType="separate"/>
          </w:r>
          <w:r>
            <w:rPr>
              <w:rFonts w:ascii="黑体" w:hAnsi="黑体" w:eastAsia="黑体" w:cs="黑体"/>
              <w:sz w:val="28"/>
              <w:szCs w:val="28"/>
            </w:rPr>
            <w:t>40</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87188D6">
          <w:pPr>
            <w:pStyle w:val="9"/>
            <w:tabs>
              <w:tab w:val="right" w:leader="dot" w:pos="8306"/>
            </w:tabs>
            <w:ind w:left="0" w:leftChars="0"/>
            <w:rPr>
              <w:rFonts w:ascii="黑体" w:hAnsi="黑体" w:eastAsia="黑体" w:cs="黑体"/>
              <w:sz w:val="28"/>
              <w:szCs w:val="28"/>
            </w:rPr>
          </w:pPr>
          <w:r>
            <w:fldChar w:fldCharType="begin"/>
          </w:r>
          <w:r>
            <w:instrText xml:space="preserve"> HYPERLINK \l "_Toc18861" </w:instrText>
          </w:r>
          <w:r>
            <w:fldChar w:fldCharType="separate"/>
          </w:r>
          <w:r>
            <w:rPr>
              <w:rFonts w:hint="eastAsia" w:ascii="黑体" w:hAnsi="黑体" w:eastAsia="黑体" w:cs="黑体"/>
              <w:sz w:val="28"/>
              <w:szCs w:val="28"/>
            </w:rPr>
            <w:t>四、应急经费保障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_Toc18861 </w:instrText>
          </w:r>
          <w:r>
            <w:rPr>
              <w:rFonts w:hint="eastAsia" w:ascii="黑体" w:hAnsi="黑体" w:eastAsia="黑体" w:cs="黑体"/>
              <w:sz w:val="28"/>
              <w:szCs w:val="28"/>
            </w:rPr>
            <w:fldChar w:fldCharType="separate"/>
          </w:r>
          <w:r>
            <w:rPr>
              <w:rFonts w:ascii="黑体" w:hAnsi="黑体" w:eastAsia="黑体" w:cs="黑体"/>
              <w:sz w:val="28"/>
              <w:szCs w:val="28"/>
            </w:rPr>
            <w:t>41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16F1BF83">
          <w:pPr>
            <w:pStyle w:val="8"/>
            <w:tabs>
              <w:tab w:val="right" w:leader="dot" w:pos="8306"/>
            </w:tabs>
            <w:rPr>
              <w:rFonts w:ascii="黑体" w:hAnsi="黑体" w:eastAsia="黑体" w:cs="黑体"/>
              <w:sz w:val="28"/>
              <w:szCs w:val="28"/>
            </w:rPr>
          </w:pPr>
          <w:r>
            <w:fldChar w:fldCharType="begin"/>
          </w:r>
          <w:r>
            <w:instrText xml:space="preserve"> HYPERLINK \l "_Toc22943" </w:instrText>
          </w:r>
          <w:r>
            <w:fldChar w:fldCharType="separate"/>
          </w:r>
          <w:r>
            <w:rPr>
              <w:rFonts w:hint="eastAsia" w:ascii="黑体" w:hAnsi="黑体" w:eastAsia="黑体" w:cs="黑体"/>
              <w:sz w:val="28"/>
              <w:szCs w:val="28"/>
            </w:rPr>
            <w:t>第七章 应急预案的管理</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_Toc22943 </w:instrText>
          </w:r>
          <w:r>
            <w:rPr>
              <w:rFonts w:hint="eastAsia" w:ascii="黑体" w:hAnsi="黑体" w:eastAsia="黑体" w:cs="黑体"/>
              <w:sz w:val="28"/>
              <w:szCs w:val="28"/>
            </w:rPr>
            <w:fldChar w:fldCharType="separate"/>
          </w:r>
          <w:r>
            <w:rPr>
              <w:rFonts w:ascii="黑体" w:hAnsi="黑体" w:eastAsia="黑体" w:cs="黑体"/>
              <w:sz w:val="28"/>
              <w:szCs w:val="28"/>
            </w:rPr>
            <w:t>41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70B319B">
          <w:pPr>
            <w:pStyle w:val="9"/>
            <w:tabs>
              <w:tab w:val="right" w:leader="dot" w:pos="8306"/>
            </w:tabs>
            <w:ind w:left="0" w:leftChars="0"/>
            <w:rPr>
              <w:rFonts w:ascii="黑体" w:hAnsi="黑体" w:eastAsia="黑体" w:cs="黑体"/>
              <w:sz w:val="28"/>
              <w:szCs w:val="28"/>
            </w:rPr>
          </w:pPr>
          <w:r>
            <w:fldChar w:fldCharType="begin"/>
          </w:r>
          <w:r>
            <w:instrText xml:space="preserve"> HYPERLINK \l "_Toc28246" </w:instrText>
          </w:r>
          <w:r>
            <w:fldChar w:fldCharType="separate"/>
          </w:r>
          <w:r>
            <w:rPr>
              <w:rFonts w:hint="eastAsia" w:ascii="黑体" w:hAnsi="黑体" w:eastAsia="黑体" w:cs="黑体"/>
              <w:sz w:val="28"/>
              <w:szCs w:val="28"/>
            </w:rPr>
            <w:t>一、预案培训</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_Toc28246 </w:instrText>
          </w:r>
          <w:r>
            <w:rPr>
              <w:rFonts w:hint="eastAsia" w:ascii="黑体" w:hAnsi="黑体" w:eastAsia="黑体" w:cs="黑体"/>
              <w:sz w:val="28"/>
              <w:szCs w:val="28"/>
            </w:rPr>
            <w:fldChar w:fldCharType="separate"/>
          </w:r>
          <w:r>
            <w:rPr>
              <w:rFonts w:ascii="黑体" w:hAnsi="黑体" w:eastAsia="黑体" w:cs="黑体"/>
              <w:sz w:val="28"/>
              <w:szCs w:val="28"/>
            </w:rPr>
            <w:t>41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08306A6C">
          <w:pPr>
            <w:pStyle w:val="9"/>
            <w:tabs>
              <w:tab w:val="right" w:leader="dot" w:pos="8306"/>
            </w:tabs>
            <w:ind w:left="0" w:leftChars="0"/>
            <w:rPr>
              <w:rFonts w:ascii="黑体" w:hAnsi="黑体" w:eastAsia="黑体" w:cs="黑体"/>
              <w:sz w:val="28"/>
              <w:szCs w:val="28"/>
            </w:rPr>
          </w:pPr>
          <w:r>
            <w:fldChar w:fldCharType="begin"/>
          </w:r>
          <w:r>
            <w:instrText xml:space="preserve"> HYPERLINK \l "_Toc19510" </w:instrText>
          </w:r>
          <w:r>
            <w:fldChar w:fldCharType="separate"/>
          </w:r>
          <w:r>
            <w:rPr>
              <w:rFonts w:hint="eastAsia" w:ascii="黑体" w:hAnsi="黑体" w:eastAsia="黑体" w:cs="黑体"/>
              <w:sz w:val="28"/>
              <w:szCs w:val="28"/>
            </w:rPr>
            <w:t>二、应急演练</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_Toc19510 </w:instrText>
          </w:r>
          <w:r>
            <w:rPr>
              <w:rFonts w:hint="eastAsia" w:ascii="黑体" w:hAnsi="黑体" w:eastAsia="黑体" w:cs="黑体"/>
              <w:sz w:val="28"/>
              <w:szCs w:val="28"/>
            </w:rPr>
            <w:fldChar w:fldCharType="separate"/>
          </w:r>
          <w:r>
            <w:rPr>
              <w:rFonts w:ascii="黑体" w:hAnsi="黑体" w:eastAsia="黑体" w:cs="黑体"/>
              <w:sz w:val="28"/>
              <w:szCs w:val="28"/>
            </w:rPr>
            <w:t>42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39A90454">
          <w:pPr>
            <w:pStyle w:val="9"/>
            <w:tabs>
              <w:tab w:val="right" w:leader="dot" w:pos="8306"/>
            </w:tabs>
            <w:ind w:left="0" w:leftChars="0"/>
            <w:rPr>
              <w:rFonts w:ascii="黑体" w:hAnsi="黑体" w:eastAsia="黑体" w:cs="黑体"/>
              <w:sz w:val="28"/>
              <w:szCs w:val="28"/>
            </w:rPr>
          </w:pPr>
          <w:r>
            <w:fldChar w:fldCharType="begin"/>
          </w:r>
          <w:r>
            <w:instrText xml:space="preserve"> HYPERLINK \l "_Toc24956" </w:instrText>
          </w:r>
          <w:r>
            <w:fldChar w:fldCharType="separate"/>
          </w:r>
          <w:r>
            <w:rPr>
              <w:rFonts w:hint="eastAsia" w:ascii="黑体" w:hAnsi="黑体" w:eastAsia="黑体" w:cs="黑体"/>
              <w:sz w:val="28"/>
              <w:szCs w:val="28"/>
            </w:rPr>
            <w:t>三、预案评估和修订</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_Toc24956 </w:instrText>
          </w:r>
          <w:r>
            <w:rPr>
              <w:rFonts w:hint="eastAsia" w:ascii="黑体" w:hAnsi="黑体" w:eastAsia="黑体" w:cs="黑体"/>
              <w:sz w:val="28"/>
              <w:szCs w:val="28"/>
            </w:rPr>
            <w:fldChar w:fldCharType="separate"/>
          </w:r>
          <w:r>
            <w:rPr>
              <w:rFonts w:ascii="黑体" w:hAnsi="黑体" w:eastAsia="黑体" w:cs="黑体"/>
              <w:sz w:val="28"/>
              <w:szCs w:val="28"/>
            </w:rPr>
            <w:t>43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7DE46E3">
          <w:pPr>
            <w:pStyle w:val="9"/>
            <w:tabs>
              <w:tab w:val="right" w:leader="dot" w:pos="8306"/>
            </w:tabs>
            <w:ind w:left="0" w:leftChars="0"/>
            <w:rPr>
              <w:rFonts w:ascii="黑体" w:hAnsi="黑体" w:eastAsia="黑体" w:cs="黑体"/>
              <w:sz w:val="28"/>
              <w:szCs w:val="28"/>
            </w:rPr>
          </w:pPr>
          <w:r>
            <w:fldChar w:fldCharType="begin"/>
          </w:r>
          <w:r>
            <w:instrText xml:space="preserve"> HYPERLINK \l "_Toc19502" </w:instrText>
          </w:r>
          <w:r>
            <w:fldChar w:fldCharType="separate"/>
          </w:r>
          <w:r>
            <w:rPr>
              <w:rFonts w:hint="eastAsia" w:ascii="黑体" w:hAnsi="黑体" w:eastAsia="黑体" w:cs="黑体"/>
              <w:sz w:val="28"/>
              <w:szCs w:val="28"/>
            </w:rPr>
            <w:t>四、预案备案</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_Toc19502 </w:instrText>
          </w:r>
          <w:r>
            <w:rPr>
              <w:rFonts w:hint="eastAsia" w:ascii="黑体" w:hAnsi="黑体" w:eastAsia="黑体" w:cs="黑体"/>
              <w:sz w:val="28"/>
              <w:szCs w:val="28"/>
            </w:rPr>
            <w:fldChar w:fldCharType="separate"/>
          </w:r>
          <w:r>
            <w:rPr>
              <w:rFonts w:ascii="黑体" w:hAnsi="黑体" w:eastAsia="黑体" w:cs="黑体"/>
              <w:sz w:val="28"/>
              <w:szCs w:val="28"/>
            </w:rPr>
            <w:t>44</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533B01F4">
          <w:pPr>
            <w:pStyle w:val="8"/>
            <w:tabs>
              <w:tab w:val="right" w:leader="dot" w:pos="8306"/>
            </w:tabs>
            <w:rPr>
              <w:rFonts w:ascii="黑体" w:hAnsi="黑体" w:eastAsia="黑体" w:cs="黑体"/>
              <w:sz w:val="28"/>
              <w:szCs w:val="28"/>
            </w:rPr>
          </w:pPr>
          <w:r>
            <w:fldChar w:fldCharType="begin"/>
          </w:r>
          <w:r>
            <w:instrText xml:space="preserve"> HYPERLINK \l "_Toc9978" </w:instrText>
          </w:r>
          <w:r>
            <w:fldChar w:fldCharType="separate"/>
          </w:r>
          <w:r>
            <w:rPr>
              <w:rFonts w:hint="eastAsia" w:ascii="黑体" w:hAnsi="黑体" w:eastAsia="黑体" w:cs="黑体"/>
              <w:sz w:val="28"/>
              <w:szCs w:val="28"/>
            </w:rPr>
            <w:t>第八章 附则与附件</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_Toc9978 </w:instrText>
          </w:r>
          <w:r>
            <w:rPr>
              <w:rFonts w:hint="eastAsia" w:ascii="黑体" w:hAnsi="黑体" w:eastAsia="黑体" w:cs="黑体"/>
              <w:sz w:val="28"/>
              <w:szCs w:val="28"/>
            </w:rPr>
            <w:fldChar w:fldCharType="separate"/>
          </w:r>
          <w:r>
            <w:rPr>
              <w:rFonts w:ascii="黑体" w:hAnsi="黑体" w:eastAsia="黑体" w:cs="黑体"/>
              <w:sz w:val="28"/>
              <w:szCs w:val="28"/>
            </w:rPr>
            <w:t>45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7B56FE18">
          <w:pPr>
            <w:pStyle w:val="9"/>
            <w:tabs>
              <w:tab w:val="right" w:leader="dot" w:pos="8306"/>
            </w:tabs>
            <w:ind w:left="0" w:leftChars="0"/>
            <w:rPr>
              <w:rFonts w:ascii="黑体" w:hAnsi="黑体" w:eastAsia="黑体" w:cs="黑体"/>
              <w:sz w:val="28"/>
              <w:szCs w:val="28"/>
            </w:rPr>
          </w:pPr>
          <w:r>
            <w:fldChar w:fldCharType="begin"/>
          </w:r>
          <w:r>
            <w:instrText xml:space="preserve"> HYPERLINK \l "_Toc13976" </w:instrText>
          </w:r>
          <w:r>
            <w:fldChar w:fldCharType="separate"/>
          </w:r>
          <w:r>
            <w:rPr>
              <w:rFonts w:hint="eastAsia" w:ascii="黑体" w:hAnsi="黑体" w:eastAsia="黑体" w:cs="黑体"/>
              <w:sz w:val="28"/>
              <w:szCs w:val="28"/>
            </w:rPr>
            <w:t>一、附则</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_Toc13976 </w:instrText>
          </w:r>
          <w:r>
            <w:rPr>
              <w:rFonts w:hint="eastAsia" w:ascii="黑体" w:hAnsi="黑体" w:eastAsia="黑体" w:cs="黑体"/>
              <w:sz w:val="28"/>
              <w:szCs w:val="28"/>
            </w:rPr>
            <w:fldChar w:fldCharType="separate"/>
          </w:r>
          <w:r>
            <w:rPr>
              <w:rFonts w:ascii="黑体" w:hAnsi="黑体" w:eastAsia="黑体" w:cs="黑体"/>
              <w:sz w:val="28"/>
              <w:szCs w:val="28"/>
            </w:rPr>
            <w:t>45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14:paraId="67C81F8D">
          <w:pPr>
            <w:pStyle w:val="9"/>
            <w:tabs>
              <w:tab w:val="right" w:leader="dot" w:pos="8306"/>
            </w:tabs>
            <w:ind w:left="0" w:leftChars="0"/>
            <w:rPr>
              <w:rFonts w:ascii="仿宋_GB2312" w:hAnsi="仿宋_GB2312" w:eastAsia="仿宋_GB2312" w:cs="仿宋_GB2312"/>
              <w:sz w:val="28"/>
              <w:szCs w:val="28"/>
            </w:rPr>
          </w:pPr>
          <w:r>
            <w:fldChar w:fldCharType="begin"/>
          </w:r>
          <w:r>
            <w:instrText xml:space="preserve"> HYPERLINK \l "_Toc5543" </w:instrText>
          </w:r>
          <w:r>
            <w:fldChar w:fldCharType="separate"/>
          </w:r>
          <w:r>
            <w:rPr>
              <w:rFonts w:hint="eastAsia" w:ascii="黑体" w:hAnsi="黑体" w:eastAsia="黑体" w:cs="黑体"/>
              <w:sz w:val="28"/>
              <w:szCs w:val="28"/>
            </w:rPr>
            <w:t>二、附件</w:t>
          </w:r>
          <w:r>
            <w:rPr>
              <w:rFonts w:hint="eastAsia" w:ascii="黑体" w:hAnsi="黑体" w:eastAsia="黑体" w:cs="黑体"/>
              <w:sz w:val="28"/>
              <w:szCs w:val="28"/>
            </w:rPr>
            <w:tab/>
          </w:r>
          <w:r>
            <w:rPr>
              <w:rFonts w:hint="eastAsia" w:ascii="黑体" w:hAnsi="黑体" w:eastAsia="黑体" w:cs="黑体"/>
              <w:sz w:val="28"/>
              <w:szCs w:val="28"/>
            </w:rPr>
            <w:fldChar w:fldCharType="end"/>
          </w:r>
          <w:r>
            <w:rPr>
              <w:rFonts w:hint="eastAsia" w:ascii="黑体" w:hAnsi="黑体" w:eastAsia="黑体" w:cs="黑体"/>
              <w:sz w:val="28"/>
              <w:szCs w:val="28"/>
            </w:rPr>
            <w:t>50</w:t>
          </w:r>
        </w:p>
        <w:p w14:paraId="2E4AF8BA">
          <w:pPr>
            <w:rPr>
              <w:rFonts w:ascii="仿宋_GB2312" w:hAnsi="仿宋_GB2312" w:eastAsia="仿宋_GB2312" w:cs="仿宋_GB2312"/>
              <w:b/>
              <w:szCs w:val="30"/>
            </w:rPr>
            <w:sectPr>
              <w:footerReference r:id="rId4" w:type="default"/>
              <w:pgSz w:w="11906" w:h="16838"/>
              <w:pgMar w:top="1440" w:right="1797" w:bottom="1440" w:left="1797" w:header="851" w:footer="992" w:gutter="0"/>
              <w:pgNumType w:start="1"/>
              <w:cols w:space="0" w:num="1"/>
              <w:docGrid w:type="lines" w:linePitch="317" w:charSpace="0"/>
            </w:sectPr>
          </w:pPr>
          <w:r>
            <w:rPr>
              <w:rFonts w:hint="eastAsia" w:ascii="仿宋_GB2312" w:hAnsi="仿宋_GB2312" w:eastAsia="仿宋_GB2312" w:cs="仿宋_GB2312"/>
              <w:sz w:val="28"/>
              <w:szCs w:val="28"/>
            </w:rPr>
            <w:fldChar w:fldCharType="end"/>
          </w:r>
        </w:p>
      </w:sdtContent>
    </w:sdt>
    <w:p w14:paraId="08F12DD2">
      <w:pPr>
        <w:pStyle w:val="2"/>
        <w:numPr>
          <w:ilvl w:val="0"/>
          <w:numId w:val="1"/>
        </w:numPr>
        <w:snapToGrid w:val="0"/>
        <w:spacing w:line="520" w:lineRule="exact"/>
        <w:jc w:val="center"/>
        <w:rPr>
          <w:rFonts w:ascii="方正小标宋简体" w:eastAsia="方正小标宋简体"/>
          <w:b w:val="0"/>
          <w:bCs/>
          <w:kern w:val="2"/>
          <w:sz w:val="32"/>
          <w:szCs w:val="32"/>
        </w:rPr>
      </w:pPr>
      <w:bookmarkStart w:id="0" w:name="_Toc25061"/>
      <w:r>
        <w:rPr>
          <w:rFonts w:hint="eastAsia" w:ascii="方正小标宋简体" w:eastAsia="方正小标宋简体"/>
          <w:b w:val="0"/>
          <w:bCs/>
          <w:kern w:val="2"/>
          <w:sz w:val="32"/>
          <w:szCs w:val="32"/>
        </w:rPr>
        <w:t>总 则</w:t>
      </w:r>
      <w:bookmarkEnd w:id="0"/>
    </w:p>
    <w:p w14:paraId="2E1CFA71">
      <w:pPr>
        <w:pStyle w:val="14"/>
        <w:spacing w:beforeLines="50" w:afterLines="50" w:line="520" w:lineRule="exact"/>
        <w:ind w:left="0" w:leftChars="0" w:firstLine="640" w:firstLineChars="200"/>
        <w:rPr>
          <w:rFonts w:ascii="黑体" w:hAnsi="黑体" w:eastAsia="黑体" w:cs="黑体"/>
          <w:b w:val="0"/>
          <w:bCs/>
          <w:sz w:val="32"/>
          <w:szCs w:val="32"/>
        </w:rPr>
      </w:pPr>
      <w:bookmarkStart w:id="1" w:name="_Toc9449"/>
      <w:r>
        <w:rPr>
          <w:rFonts w:hint="eastAsia" w:ascii="黑体" w:hAnsi="黑体" w:eastAsia="黑体" w:cs="黑体"/>
          <w:b w:val="0"/>
          <w:bCs/>
          <w:sz w:val="32"/>
          <w:szCs w:val="32"/>
        </w:rPr>
        <w:t>一、编制目的</w:t>
      </w:r>
      <w:bookmarkEnd w:id="1"/>
    </w:p>
    <w:p w14:paraId="1B987C44">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为提高江西景德镇长运应急处置能力，有效预防和减少突发事件及其造成的损害，最大程度减少人员伤亡、财产损失，降低社会负面影响，保护江西景德镇长运、职工、相关方等生命财产安全，维护正常的生产秩序，保障江西景德镇长运安全稳定运行。按照国家相关法律法规，特制定本预案。</w:t>
      </w:r>
    </w:p>
    <w:p w14:paraId="2BFC093B">
      <w:pPr>
        <w:pStyle w:val="14"/>
        <w:spacing w:beforeLines="50" w:afterLines="50" w:line="520" w:lineRule="exact"/>
        <w:ind w:left="0" w:leftChars="0" w:firstLine="640" w:firstLineChars="200"/>
        <w:rPr>
          <w:rFonts w:ascii="黑体" w:hAnsi="黑体" w:eastAsia="黑体" w:cs="黑体"/>
          <w:b w:val="0"/>
          <w:bCs/>
          <w:sz w:val="32"/>
          <w:szCs w:val="32"/>
        </w:rPr>
      </w:pPr>
      <w:bookmarkStart w:id="2" w:name="_Toc24357"/>
      <w:r>
        <w:rPr>
          <w:rFonts w:hint="eastAsia" w:ascii="黑体" w:hAnsi="黑体" w:eastAsia="黑体" w:cs="黑体"/>
          <w:b w:val="0"/>
          <w:bCs/>
          <w:sz w:val="32"/>
          <w:szCs w:val="32"/>
        </w:rPr>
        <w:t>二、编制依据</w:t>
      </w:r>
      <w:bookmarkEnd w:id="2"/>
    </w:p>
    <w:p w14:paraId="0B086F23">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本预案主要依据以下法律法规及相关规定要求编制：</w:t>
      </w:r>
    </w:p>
    <w:p w14:paraId="4116068E">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《中华人民共和国安全生产法》（2021年9月1日施行）</w:t>
      </w:r>
    </w:p>
    <w:p w14:paraId="232BB1C9">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《中华人民共和国消防法》（2021年4月29日施行）</w:t>
      </w:r>
    </w:p>
    <w:p w14:paraId="2E3543A3">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《中华人民共和国突发事件应对法》（2007年8月30日施行）</w:t>
      </w:r>
    </w:p>
    <w:p w14:paraId="5FC89D8F">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《生产安全事故报告和调查处理条例》（国务院2007第493号令）</w:t>
      </w:r>
    </w:p>
    <w:p w14:paraId="1F9F0732">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《生产安全事故应急预案管理办法》（2019年9月1日施行）</w:t>
      </w:r>
    </w:p>
    <w:p w14:paraId="609D9EE9">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《国家突发公共事件总体应急预案》（2006年1月8日发布实施）</w:t>
      </w:r>
    </w:p>
    <w:p w14:paraId="636D6888">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《突发公共卫生事件应急条例》（2011年1月8日修订）</w:t>
      </w:r>
    </w:p>
    <w:p w14:paraId="6B157569">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《国家安全生产事故灾难应急预案》（2006年1月22日施行）</w:t>
      </w:r>
    </w:p>
    <w:p w14:paraId="11EE434A">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《生产经营单位安全生产事故应急预案编制导则》（GB/T29639-2020）</w:t>
      </w:r>
    </w:p>
    <w:p w14:paraId="18F2F5D0">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《社会单位灭火和应急疏散预案编制及实施导则》（GB/T38315-2019）</w:t>
      </w:r>
    </w:p>
    <w:p w14:paraId="06CCDB01">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《生产经营单位生产安全事故应急预案评估指南》（AQ/T9011-2019）</w:t>
      </w:r>
    </w:p>
    <w:p w14:paraId="09F321E9">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《生产安全事故应急演练基本规范》（AQ/T9007-2019）</w:t>
      </w:r>
    </w:p>
    <w:p w14:paraId="37C00095">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《特种设备安全监察条例》（2009年5月1日施行）</w:t>
      </w:r>
    </w:p>
    <w:p w14:paraId="5E142D98">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《关于印发〈企业安全生产费用提取和使用管理办法〉的通知》（2022年11月21日施行）</w:t>
      </w:r>
    </w:p>
    <w:p w14:paraId="5018EC06">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《江西省突发事件应对条例》（2013年7月27日施行）</w:t>
      </w:r>
    </w:p>
    <w:p w14:paraId="7D3A7C6E">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《江西省突发公共事件整体应急预案》（2008年施行）</w:t>
      </w:r>
    </w:p>
    <w:p w14:paraId="745DEFE6">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《南昌市交通投资集团有限公司应急管理办法（试行）》（2023版）</w:t>
      </w:r>
    </w:p>
    <w:p w14:paraId="0525696A">
      <w:pPr>
        <w:spacing w:line="520" w:lineRule="exact"/>
        <w:ind w:firstLine="681" w:firstLineChars="213"/>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《江西长运突发事件综合应急预案（2023版）》</w:t>
      </w:r>
    </w:p>
    <w:p w14:paraId="7AAB482D">
      <w:pPr>
        <w:pStyle w:val="14"/>
        <w:spacing w:beforeLines="50" w:afterLines="50" w:line="520" w:lineRule="exact"/>
        <w:ind w:left="0" w:leftChars="0" w:firstLine="640" w:firstLineChars="200"/>
        <w:rPr>
          <w:rFonts w:ascii="黑体" w:hAnsi="黑体" w:eastAsia="黑体" w:cs="黑体"/>
          <w:b w:val="0"/>
          <w:bCs/>
          <w:sz w:val="32"/>
          <w:szCs w:val="32"/>
        </w:rPr>
      </w:pPr>
      <w:bookmarkStart w:id="3" w:name="_Toc22088"/>
      <w:r>
        <w:rPr>
          <w:rFonts w:hint="eastAsia" w:ascii="黑体" w:hAnsi="黑体" w:eastAsia="黑体" w:cs="黑体"/>
          <w:b w:val="0"/>
          <w:bCs/>
          <w:sz w:val="32"/>
          <w:szCs w:val="32"/>
        </w:rPr>
        <w:t>三、适用范围</w:t>
      </w:r>
      <w:bookmarkEnd w:id="3"/>
    </w:p>
    <w:p w14:paraId="154F9151">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（一）适应单位</w:t>
      </w:r>
    </w:p>
    <w:p w14:paraId="3BDA9695">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本预案适用江西景德镇长运本部及下属各子公司突然发生,造成或可能造成重大人员伤亡、财产损失、严重社会危害、危及公共安全的需要采取紧急处置措施予以应对的事件。</w:t>
      </w:r>
    </w:p>
    <w:p w14:paraId="595222A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（二）适应突发事件类型</w:t>
      </w:r>
    </w:p>
    <w:p w14:paraId="33807C12">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根据突发事件的发生过程、性质，可分为以下四类：</w:t>
      </w:r>
    </w:p>
    <w:p w14:paraId="4C426A87">
      <w:pPr>
        <w:spacing w:line="520" w:lineRule="exact"/>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1、自然灾害。</w:t>
      </w:r>
      <w:r>
        <w:rPr>
          <w:rFonts w:hint="eastAsia" w:ascii="仿宋_GB2312" w:hAnsi="仿宋_GB2312" w:eastAsia="仿宋_GB2312" w:cs="仿宋_GB2312"/>
          <w:sz w:val="32"/>
          <w:szCs w:val="32"/>
        </w:rPr>
        <w:t>主要包括气象灾害（冰冻、雨雪雾、洪水等）、地震灾害、地质灾害、生物灾害等。</w:t>
      </w:r>
    </w:p>
    <w:p w14:paraId="5559EA20">
      <w:pPr>
        <w:spacing w:line="520" w:lineRule="exact"/>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2、事故灾难。</w:t>
      </w:r>
      <w:r>
        <w:rPr>
          <w:rFonts w:hint="eastAsia" w:ascii="仿宋_GB2312" w:hAnsi="仿宋_GB2312" w:eastAsia="仿宋_GB2312" w:cs="仿宋_GB2312"/>
          <w:sz w:val="32"/>
          <w:szCs w:val="32"/>
        </w:rPr>
        <w:t>主要包括安全事故、交通事故、火灾事故等。</w:t>
      </w:r>
    </w:p>
    <w:p w14:paraId="4F72353B">
      <w:pPr>
        <w:spacing w:line="520" w:lineRule="exact"/>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3、公共卫生事件。</w:t>
      </w:r>
      <w:r>
        <w:rPr>
          <w:rFonts w:hint="eastAsia" w:ascii="仿宋_GB2312" w:hAnsi="仿宋_GB2312" w:eastAsia="仿宋_GB2312" w:cs="仿宋_GB2312"/>
          <w:sz w:val="32"/>
          <w:szCs w:val="32"/>
        </w:rPr>
        <w:t>主要包括传染病疫情、群体性不明原因疾病、食品安全和职业危害，动物疫情、饮用水安全以及其他严重影响公众健康和生命安全的事件。</w:t>
      </w:r>
    </w:p>
    <w:p w14:paraId="77E9CB1E">
      <w:pPr>
        <w:spacing w:line="520" w:lineRule="exact"/>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4、社会安全事件。</w:t>
      </w:r>
      <w:r>
        <w:rPr>
          <w:rFonts w:hint="eastAsia" w:ascii="仿宋_GB2312" w:hAnsi="仿宋_GB2312" w:eastAsia="仿宋_GB2312" w:cs="仿宋_GB2312"/>
          <w:sz w:val="32"/>
          <w:szCs w:val="32"/>
        </w:rPr>
        <w:t>主要包括恐怖袭击事件、群体性事件、金融安全事件、涉外突发事件、重大刑事案件（引发或可能引发影响社会公共安全）、民族宗教事件、经济安全事件、网络与信息安全事件等。</w:t>
      </w:r>
    </w:p>
    <w:p w14:paraId="527516C1">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上述各类事件往往相互交叉和关联，某类突发事件可能和其他类型的事件同时发生，或引发次生、衍生事件，应当具体分析，统筹应对。</w:t>
      </w:r>
    </w:p>
    <w:p w14:paraId="22A65D5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（三）适应突发事件的级别</w:t>
      </w:r>
    </w:p>
    <w:p w14:paraId="26E0E429">
      <w:pPr>
        <w:snapToGrid w:val="0"/>
        <w:spacing w:line="52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按照突发事件可能造成的危害程度、涉及范围、影响力大小、人员及财产损失等情况，结合公司实际，将突发事件由低至高划分以下四个等级：I级（特别重大）、II级（重大）、Ⅲ级（较大）和IV级（一般），代表色分别为红色、橙色、黄色、蓝色。</w:t>
      </w:r>
    </w:p>
    <w:p w14:paraId="03362776">
      <w:pPr>
        <w:spacing w:line="520" w:lineRule="exact"/>
        <w:ind w:firstLine="732" w:firstLineChars="228"/>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1、一般突发事件（IV级）</w:t>
      </w:r>
    </w:p>
    <w:p w14:paraId="562F916F">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（1）造成2人死亡，或者5人以上10人以下重伤，或者300万元以上500万元以下直接经济损失的安全生产事故（包括火灾事故、建筑物坍塌等，下同），或造成一定社会负面影响的舆情事件和其他事件。</w:t>
      </w:r>
    </w:p>
    <w:p w14:paraId="0330A851">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（2）造成当地20%以下公交线路停运，或城区长途客运站发生300人以上500人以下延时、超时滞留的旅客输送事件。</w:t>
      </w:r>
    </w:p>
    <w:p w14:paraId="12FBF4A7">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（3）造成5人以上10人以下食物中毒未出现死亡病例，或突发3人以下传染病疫情，或其它可能对公众健康和生命安全造成一定影响的公共卫生事件。</w:t>
      </w:r>
    </w:p>
    <w:p w14:paraId="11CF3C1C">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（4）突发3人以上5人以下赴京，或5人以上10以下赴省，或10人以上30人以下赴市，阻碍公共交通，扰乱公共秩序，非正常反映诉求，有过激行为的群体性事件。</w:t>
      </w:r>
    </w:p>
    <w:p w14:paraId="73DF1BB7">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（5）国家相关政府职能部门发布地质灾害、气象灾害等涉及属地的蓝色预警。</w:t>
      </w:r>
    </w:p>
    <w:p w14:paraId="2CFDAA3E">
      <w:pPr>
        <w:spacing w:line="520" w:lineRule="exact"/>
        <w:ind w:firstLine="732" w:firstLineChars="228"/>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2、较大突发事件（Ⅲ级）</w:t>
      </w:r>
    </w:p>
    <w:p w14:paraId="77073D42">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（1）造成3人以上10人以下死亡，或者10人以上50人以下重伤，或者500万元以上</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000万元以下直接经济损失的安全生产事故，或造成较大社会负面影响的舆情事件和其他事件。</w:t>
      </w:r>
    </w:p>
    <w:p w14:paraId="48766DF9">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（2）造成当地20%至50%公交线路停运，或城区长途客运站造成500人以上1000人以下延时、超时滞留的旅客输送事件。</w:t>
      </w:r>
    </w:p>
    <w:p w14:paraId="3CF4C16C">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（3）造成10人以上50人以下食物中毒未出现死亡病例，或突发小范围的群体传染病疫情，或其它可能对公众健康和生命安全造成较大影响的公共卫生事件。</w:t>
      </w:r>
    </w:p>
    <w:p w14:paraId="2BCCEDC5">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（4）突发5人以上20人以下赴京，或10人以上30人以下赴省，或30人以上50人以下赴市，阻碍公共交通，扰乱公共秩序，非正常反映诉求，有过激行为的群体性事件。</w:t>
      </w:r>
    </w:p>
    <w:p w14:paraId="72D597C7">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（5）国家相关政府职能部门发布地质灾害、气象灾害等涉及属地的黄色预警。</w:t>
      </w:r>
    </w:p>
    <w:p w14:paraId="0C2CE8BB">
      <w:pPr>
        <w:spacing w:line="520" w:lineRule="exact"/>
        <w:ind w:firstLine="732" w:firstLineChars="228"/>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3、重大突发事件（II级）</w:t>
      </w:r>
    </w:p>
    <w:p w14:paraId="1BC50B7C">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（1）造成10人以上30人以下死亡，或者50人以上100人以下重伤，或者1000万元以上5000万元以下直接经济损失的安全生产事故，或造成重大社会负面影响的舆情事件和其他事件。</w:t>
      </w:r>
    </w:p>
    <w:p w14:paraId="2E41914F">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（2）造成当地50%以上公交线路停运，或城区长途客运站造成1000人及以上延时、超时滞留的旅客输送事件。</w:t>
      </w:r>
    </w:p>
    <w:p w14:paraId="152FBC0E">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（3）造成50人以上100人以下食物中毒或出现死亡病例，或突发较大范围的群体性传染病疫情，或其它可能严重影响公众健康和生命安全的公共卫生事件。</w:t>
      </w:r>
    </w:p>
    <w:p w14:paraId="48C7F4D1">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（4）突发20人及以上赴京，或30人及以上赴省，或50人及以上赴市，阻碍公共交通，扰乱公共秩序，非正常反映诉求，有过激行为的群体性事件。 </w:t>
      </w:r>
    </w:p>
    <w:p w14:paraId="38E7AD08">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（5）国家相关政府职能部门发布地质灾害、气象灾害等涉及属地的橙色预警。</w:t>
      </w:r>
    </w:p>
    <w:p w14:paraId="05F0B66E">
      <w:pPr>
        <w:spacing w:line="520" w:lineRule="exact"/>
        <w:ind w:firstLine="732" w:firstLineChars="228"/>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4、特别重大突发事件（I级）</w:t>
      </w:r>
    </w:p>
    <w:p w14:paraId="35660BD4">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（1）造成30人以上，或者100人以上重伤，或者5000万元以上直接经济损失的安全生产事故，或造成特别重大社会负面影响的舆情事件和其他事件。</w:t>
      </w:r>
    </w:p>
    <w:p w14:paraId="6873B761">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（2）造成当地90%以上公交线路或城区长途客运班线停运，旅客运输中断事件。</w:t>
      </w:r>
    </w:p>
    <w:p w14:paraId="6D972FE0">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（3）造成100人以上食物中毒或出现死亡病例，或突发重大范围的群体性传染病疫情，或其它可能重大影响公众健康和生命安全的公共卫生事件。</w:t>
      </w:r>
    </w:p>
    <w:p w14:paraId="34C8E4F1">
      <w:pPr>
        <w:spacing w:line="520" w:lineRule="exact"/>
        <w:ind w:firstLine="524" w:firstLineChars="164"/>
        <w:rPr>
          <w:rFonts w:ascii="仿宋_GB2312" w:hAnsi="仿宋_GB2312" w:eastAsia="仿宋_GB2312" w:cs="仿宋_GB2312"/>
          <w:sz w:val="32"/>
          <w:szCs w:val="32"/>
        </w:rPr>
      </w:pPr>
      <w:r>
        <w:rPr>
          <w:rFonts w:hint="eastAsia" w:ascii="仿宋_GB2312" w:hAnsi="仿宋_GB2312" w:eastAsia="仿宋_GB2312" w:cs="仿宋_GB2312"/>
          <w:sz w:val="32"/>
          <w:szCs w:val="32"/>
        </w:rPr>
        <w:t>（4）国家相关政府职能部门发布地质灾害、气象灾害、公共卫生事件等涉及属地的红色预警。</w:t>
      </w:r>
    </w:p>
    <w:p w14:paraId="3A605A9C">
      <w:pPr>
        <w:pStyle w:val="14"/>
        <w:spacing w:beforeLines="50" w:afterLines="50" w:line="520" w:lineRule="exact"/>
        <w:ind w:left="0" w:leftChars="0" w:firstLine="640" w:firstLineChars="200"/>
        <w:rPr>
          <w:rFonts w:ascii="黑体" w:hAnsi="黑体" w:eastAsia="黑体" w:cs="黑体"/>
          <w:b w:val="0"/>
          <w:bCs/>
          <w:sz w:val="32"/>
          <w:szCs w:val="32"/>
        </w:rPr>
      </w:pPr>
      <w:bookmarkStart w:id="4" w:name="_Toc12361"/>
      <w:r>
        <w:rPr>
          <w:rFonts w:hint="eastAsia" w:ascii="黑体" w:hAnsi="黑体" w:eastAsia="黑体" w:cs="黑体"/>
          <w:b w:val="0"/>
          <w:bCs/>
          <w:sz w:val="32"/>
          <w:szCs w:val="32"/>
        </w:rPr>
        <w:t>四、应急预案体系</w:t>
      </w:r>
      <w:bookmarkEnd w:id="4"/>
    </w:p>
    <w:p w14:paraId="6F9E8C8E">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根据江西景德镇长运的经营特点，应急预案体系包括江西景德镇长运突发事件综合应急预案，各子公司综合应急预案、专项应急预案及现场处置方案构成。</w:t>
      </w:r>
    </w:p>
    <w:p w14:paraId="4F89CB04">
      <w:pPr>
        <w:numPr>
          <w:ilvl w:val="0"/>
          <w:numId w:val="2"/>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本预案是江西景德镇长运突发事件应急管理综合要求和基本规范，是指导各单位、子公司编制综合应急预案、专项应急预案以及现场处置方案的准则。</w:t>
      </w:r>
    </w:p>
    <w:p w14:paraId="2050FCC7">
      <w:pPr>
        <w:numPr>
          <w:ilvl w:val="0"/>
          <w:numId w:val="2"/>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各单位、子公司应根据本预案的要求和自身实际，编制本公司的综合应急预案、专项应急预案以及现场处置方案并予以实施，作为本预案的补充和完善。</w:t>
      </w:r>
    </w:p>
    <w:p w14:paraId="7B69A1FC">
      <w:pPr>
        <w:numPr>
          <w:ilvl w:val="0"/>
          <w:numId w:val="2"/>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江西景德镇长运各级应急预案体系由各子公司综合应急预案、专项应急预案以及现场处置方案构成。（附件1：江西景德镇长运应急预案登记表）</w:t>
      </w:r>
    </w:p>
    <w:p w14:paraId="770DF096">
      <w:pPr>
        <w:numPr>
          <w:ilvl w:val="0"/>
          <w:numId w:val="2"/>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各级应急预案应保证要素全面、操作性强、应急体系完善并相互衔接，并根据实际情况变化不断补充完善。</w:t>
      </w:r>
    </w:p>
    <w:p w14:paraId="09F6E1B2">
      <w:pPr>
        <w:pStyle w:val="14"/>
        <w:spacing w:beforeLines="50" w:afterLines="50" w:line="520" w:lineRule="exact"/>
        <w:ind w:left="0" w:leftChars="0" w:firstLine="640" w:firstLineChars="200"/>
        <w:rPr>
          <w:rFonts w:ascii="黑体" w:hAnsi="黑体" w:eastAsia="黑体" w:cs="黑体"/>
          <w:b w:val="0"/>
          <w:bCs/>
          <w:sz w:val="32"/>
          <w:szCs w:val="32"/>
        </w:rPr>
      </w:pPr>
      <w:bookmarkStart w:id="5" w:name="_Toc4409"/>
      <w:r>
        <w:rPr>
          <w:rFonts w:hint="eastAsia" w:ascii="黑体" w:hAnsi="黑体" w:eastAsia="黑体" w:cs="黑体"/>
          <w:b w:val="0"/>
          <w:bCs/>
          <w:sz w:val="32"/>
          <w:szCs w:val="32"/>
        </w:rPr>
        <w:t>五、应急工作原则</w:t>
      </w:r>
      <w:bookmarkEnd w:id="5"/>
    </w:p>
    <w:p w14:paraId="6EE22C7E">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（一）以人为本，安全第一。突发事件应急处置要始终把保障生命安全和身体健康放在首位，切实加强应急救援人员的安全防护，最大限度减少人员伤亡和危害。</w:t>
      </w:r>
    </w:p>
    <w:p w14:paraId="7DA13AFA">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二）统一领导，分级管理。江西景德镇长运应急管理委员会，对各单位、子公司的应急管理工作进行监督考核，统一指挥协调江西景德镇长运范围内突发事件的应对与处置工作。各单位、子公司是突发事件预防和处置工作的责任主体，党政主要领导是第一责任人。</w:t>
      </w:r>
    </w:p>
    <w:p w14:paraId="671E3183">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三）条块结合，属地为主。突发事件现场指挥以涉事单位为主，事发单位是突发事件应急救援的第一响应者和现场处置者。涉事单位应充分发挥自救作用，并向上级部门及所属地方政府寻求援助，接受上级主管部门及属地政府的协调指挥。</w:t>
      </w:r>
    </w:p>
    <w:p w14:paraId="4EED5DD5">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（四）科技助力，依法规范。不断改进和完善应急的装备、设施和手段，采用先进的监测、预警、预防和应急处置技术及设施，</w:t>
      </w:r>
      <w:r>
        <w:rPr>
          <w:rFonts w:hint="eastAsia" w:ascii="宋体" w:hAnsi="宋体" w:eastAsia="宋体" w:cs="宋体"/>
          <w:sz w:val="32"/>
          <w:szCs w:val="32"/>
          <w:shd w:val="clear" w:color="auto" w:fill="FFFFFF"/>
        </w:rPr>
        <w:t>提</w:t>
      </w:r>
      <w:r>
        <w:rPr>
          <w:rFonts w:hint="eastAsia" w:ascii="仿宋_GB2312" w:hAnsi="仿宋_GB2312" w:eastAsia="仿宋_GB2312" w:cs="仿宋_GB2312"/>
          <w:sz w:val="32"/>
          <w:szCs w:val="32"/>
        </w:rPr>
        <w:t>高应对突发公共事件的科技水平和指挥能力。依法规范应急救援工作，确保预案的科学性、权威性和可操作性。</w:t>
      </w:r>
    </w:p>
    <w:p w14:paraId="2B3B41A7">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五）预防为主，练战结合。贯彻落实“安全第一、预防为主、以人为本”的方针，加强兼职应急队伍建设和演练，坚持突发事件预防和处置相结合，坚持与属地应急救援单位的联动协调，做好应对突发事件的各项准备工作。</w:t>
      </w:r>
    </w:p>
    <w:p w14:paraId="7B9E3365">
      <w:pPr>
        <w:pStyle w:val="14"/>
        <w:spacing w:beforeLines="50" w:afterLines="50" w:line="520" w:lineRule="exact"/>
        <w:ind w:left="0" w:leftChars="0" w:firstLine="640" w:firstLineChars="200"/>
        <w:rPr>
          <w:rFonts w:ascii="黑体" w:hAnsi="黑体" w:eastAsia="黑体" w:cs="黑体"/>
          <w:b w:val="0"/>
          <w:bCs/>
          <w:sz w:val="32"/>
          <w:szCs w:val="32"/>
        </w:rPr>
      </w:pPr>
      <w:bookmarkStart w:id="6" w:name="_Toc23039"/>
      <w:r>
        <w:rPr>
          <w:rFonts w:hint="eastAsia" w:ascii="黑体" w:hAnsi="黑体" w:eastAsia="黑体" w:cs="黑体"/>
          <w:b w:val="0"/>
          <w:bCs/>
          <w:sz w:val="32"/>
          <w:szCs w:val="32"/>
        </w:rPr>
        <w:t>六、应急预案启动条件</w:t>
      </w:r>
      <w:bookmarkEnd w:id="6"/>
    </w:p>
    <w:p w14:paraId="2FB24128">
      <w:p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符合下列条件之一，可启动本预案：</w:t>
      </w:r>
    </w:p>
    <w:p w14:paraId="2B5A7865">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发生较大及以上突发事件。</w:t>
      </w:r>
    </w:p>
    <w:p w14:paraId="066BF245">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超出下属单位、子公司处置能力的突发性事件。</w:t>
      </w:r>
    </w:p>
    <w:p w14:paraId="09187B9D">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下属单位、子公司需要江西景德镇长运本部提供应急救援支持、帮助时。</w:t>
      </w:r>
    </w:p>
    <w:p w14:paraId="75CEF3F2">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需要江西景德镇长运本部应急管理机构处置的突发性事件。</w:t>
      </w:r>
    </w:p>
    <w:p w14:paraId="7376966D">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国家、省或市级人民政府已经启动相关应急预案。</w:t>
      </w:r>
    </w:p>
    <w:p w14:paraId="72D8CE08">
      <w:pPr>
        <w:numPr>
          <w:ilvl w:val="0"/>
          <w:numId w:val="3"/>
        </w:numPr>
        <w:spacing w:line="520" w:lineRule="exact"/>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rPr>
        <w:t>各级人民政府要求江西景德镇长运启动应急预案。</w:t>
      </w:r>
    </w:p>
    <w:p w14:paraId="3C8D9992">
      <w:pPr>
        <w:pStyle w:val="2"/>
        <w:numPr>
          <w:ilvl w:val="0"/>
          <w:numId w:val="1"/>
        </w:numPr>
        <w:spacing w:beforeLines="50" w:afterLines="50" w:line="520" w:lineRule="exact"/>
        <w:jc w:val="center"/>
        <w:rPr>
          <w:rFonts w:ascii="方正小标宋简体" w:hAnsi="方正小标宋简体" w:eastAsia="方正小标宋简体" w:cs="方正小标宋简体"/>
          <w:b w:val="0"/>
          <w:bCs/>
          <w:sz w:val="32"/>
          <w:szCs w:val="32"/>
        </w:rPr>
      </w:pPr>
      <w:bookmarkStart w:id="7" w:name="_Toc21405"/>
      <w:r>
        <w:rPr>
          <w:rFonts w:hint="eastAsia" w:ascii="方正小标宋简体" w:hAnsi="方正小标宋简体" w:eastAsia="方正小标宋简体" w:cs="方正小标宋简体"/>
          <w:b w:val="0"/>
          <w:bCs/>
          <w:sz w:val="32"/>
          <w:szCs w:val="32"/>
        </w:rPr>
        <w:t>应急组织机构及工作职责</w:t>
      </w:r>
      <w:bookmarkEnd w:id="7"/>
    </w:p>
    <w:p w14:paraId="2AF3B5B0">
      <w:pPr>
        <w:spacing w:beforeLines="50" w:afterLines="50" w:line="520" w:lineRule="exact"/>
        <w:ind w:firstLine="681" w:firstLineChars="213"/>
        <w:rPr>
          <w:rFonts w:ascii="黑体" w:hAnsi="黑体" w:eastAsia="黑体" w:cs="黑体"/>
          <w:sz w:val="32"/>
          <w:szCs w:val="32"/>
        </w:rPr>
      </w:pPr>
      <w:r>
        <w:rPr>
          <w:rFonts w:hint="eastAsia" w:ascii="黑体" w:hAnsi="黑体" w:eastAsia="黑体" w:cs="黑体"/>
          <w:sz w:val="32"/>
          <w:szCs w:val="32"/>
        </w:rPr>
        <w:t>一、组织机构</w:t>
      </w:r>
    </w:p>
    <w:p w14:paraId="1FB5BC1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应急管理委员会是公司突发事件预防与处置工作的最高组织领导机构，下设办公室。应急管理委员会由主任、常务副主任、专职副主任、副主任、成员组成。其中，主任由江西景德镇长运董事长担任，常务副主任总经理担任，专职副主任由负责分管综治、信访、安全、消防、防恐工作的高管担任，副主任由公司其他领导班子成员担任，成员由江西景德镇长运下属单位、部门负责人、各子公司主要领导组成。（附件2：江西景德镇长运应急管理委员会组织架构图）</w:t>
      </w:r>
    </w:p>
    <w:p w14:paraId="37A4226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应急管理办公室是江西长运应急管理委员会的日常办事机构，简称 “应急办”。办公室设在安全生产部，办公室主任由安全生产部部长兼任，成员由安全生产部人员组成。</w:t>
      </w:r>
    </w:p>
    <w:p w14:paraId="60277E93">
      <w:pPr>
        <w:spacing w:beforeLines="50" w:afterLines="50" w:line="520" w:lineRule="exact"/>
        <w:ind w:firstLine="681" w:firstLineChars="213"/>
        <w:rPr>
          <w:rFonts w:ascii="黑体" w:hAnsi="黑体" w:eastAsia="黑体" w:cs="黑体"/>
          <w:sz w:val="32"/>
          <w:szCs w:val="32"/>
        </w:rPr>
      </w:pPr>
      <w:bookmarkStart w:id="8" w:name="_Toc26343"/>
      <w:r>
        <w:rPr>
          <w:rFonts w:hint="eastAsia" w:ascii="黑体" w:hAnsi="黑体" w:eastAsia="黑体" w:cs="黑体"/>
          <w:sz w:val="32"/>
          <w:szCs w:val="32"/>
        </w:rPr>
        <w:t>二、机构职责</w:t>
      </w:r>
      <w:bookmarkEnd w:id="8"/>
    </w:p>
    <w:p w14:paraId="7278257A">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（一）应急管理委员会</w:t>
      </w:r>
    </w:p>
    <w:p w14:paraId="06FD7CF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1、贯彻落实国家、省、市应急管理方针政策及有关法律法规和决策部署，研究制定江西景德镇长运突发事件综合应急预案，建立江西景德镇长运应急管理体系机制和工作制度。</w:t>
      </w:r>
    </w:p>
    <w:p w14:paraId="77BC776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2、定期分析江西景德镇长运应急管理工作形势，研究部署江西景德镇长运应急管理工作重要决策，指挥处置各类重大突发事件。</w:t>
      </w:r>
    </w:p>
    <w:p w14:paraId="5A7C837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3、监督、指导各单位、子公司建立完善各类突发事件应急预案，开展应急培训和演练。</w:t>
      </w:r>
    </w:p>
    <w:p w14:paraId="5E40D5B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4、指导各单位、子公司落实突发事件预防和处置措施，科学有效应对各类突发事件，组织应急抢险救援行动和善后处理工作。</w:t>
      </w:r>
    </w:p>
    <w:p w14:paraId="517A70A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5、完成政府及上级有关部门和江西长运赋予的急难险重任务。</w:t>
      </w:r>
    </w:p>
    <w:p w14:paraId="0A9E886C">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（二）应急管理办公室</w:t>
      </w:r>
    </w:p>
    <w:p w14:paraId="27F6BCE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1、负责做好江西景德镇长运应急管理委员会日常工作事务。</w:t>
      </w:r>
    </w:p>
    <w:p w14:paraId="4A221FA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2、负责组织江西景德镇长运应急管理工作体系机制建设。</w:t>
      </w:r>
    </w:p>
    <w:p w14:paraId="26014B4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3、负责组织编制、修订江西景德镇长运突发事件综合应急预案。</w:t>
      </w:r>
    </w:p>
    <w:p w14:paraId="7903172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4、负责突发事件预警信息的签发和报告工作。</w:t>
      </w:r>
    </w:p>
    <w:p w14:paraId="1F59C36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5、参与突发事件的应对处置和调查处理工作。</w:t>
      </w:r>
    </w:p>
    <w:p w14:paraId="0F1A315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6、检查、督导各单位、子公司开展应急演练、应急保障工作。</w:t>
      </w:r>
    </w:p>
    <w:p w14:paraId="5FBDC29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7、负责各单位、子公司应急管理工作的考核工作。</w:t>
      </w:r>
    </w:p>
    <w:p w14:paraId="317F783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8、完成江西景德镇长运应急管理委员会交办的其他工作。</w:t>
      </w:r>
    </w:p>
    <w:p w14:paraId="1AA146C9">
      <w:pPr>
        <w:spacing w:beforeLines="50" w:afterLines="50" w:line="520" w:lineRule="exact"/>
        <w:ind w:firstLine="681" w:firstLineChars="213"/>
        <w:rPr>
          <w:rFonts w:ascii="黑体" w:hAnsi="黑体" w:eastAsia="黑体" w:cs="黑体"/>
          <w:sz w:val="32"/>
          <w:szCs w:val="32"/>
        </w:rPr>
      </w:pPr>
      <w:bookmarkStart w:id="9" w:name="_Toc30920"/>
      <w:r>
        <w:rPr>
          <w:rFonts w:hint="eastAsia" w:ascii="黑体" w:hAnsi="黑体" w:eastAsia="黑体" w:cs="黑体"/>
          <w:sz w:val="32"/>
          <w:szCs w:val="32"/>
        </w:rPr>
        <w:t>三、领导职责</w:t>
      </w:r>
      <w:bookmarkEnd w:id="9"/>
    </w:p>
    <w:p w14:paraId="7F71F96C">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（一）应急管理委员会主任</w:t>
      </w:r>
    </w:p>
    <w:p w14:paraId="1611048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应急管理委员会主任，是江西景德镇长运应急管理工作的主要负责人和“第一责任人”，对公司应急管理工作负全面责任。主要职责：</w:t>
      </w:r>
    </w:p>
    <w:p w14:paraId="2F61C36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1、认真学习贯彻国家、省、市及上级部门和江西长运关于应急管理工作的方针政策，落实企业应急管理工作主体责任。 </w:t>
      </w:r>
    </w:p>
    <w:p w14:paraId="1DC0E71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2、研究决策江西景德镇长运应急管理工作重要事项，进行全面部署和监督考核，落实各级责任。</w:t>
      </w:r>
    </w:p>
    <w:p w14:paraId="2AD6DA8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3、负责审定、签发江西景德镇长运突发事件总体应急预案、应急管理规章制度和有关重要文件通知。</w:t>
      </w:r>
    </w:p>
    <w:p w14:paraId="0AB753D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4、负责指挥重大以上突发事件的应对与处置工作。</w:t>
      </w:r>
    </w:p>
    <w:p w14:paraId="63630158">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（二）应急管理委员会常务副主任</w:t>
      </w:r>
    </w:p>
    <w:p w14:paraId="60AAED9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应急管理委员会常务副主任，是江西景德镇长运应急管理工作主要负责人，与“第一责任人”负有同等重要的责任，履行相应工作职责，领导应急管理委员会日常工作事务。</w:t>
      </w:r>
    </w:p>
    <w:p w14:paraId="43439DD2">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（三）应急管理委员会专职副主任</w:t>
      </w:r>
    </w:p>
    <w:p w14:paraId="1E75531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应急管理委员会专职副主任，是江西景德镇长运应急管理工作的分管领导，对江西景德镇长运应急管理工作负有监督管理责任。主要职责：</w:t>
      </w:r>
    </w:p>
    <w:p w14:paraId="2CBC597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1、协助主任、常务副主任处理应急管理工作日常事务，学习传达并贯彻落实上级指示精神和工作部署，协调有关事项。</w:t>
      </w:r>
    </w:p>
    <w:p w14:paraId="2B761A3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2、负责组织建立江西景德镇长运应急管理体系，完善各类应急预案，并组织实施。</w:t>
      </w:r>
    </w:p>
    <w:p w14:paraId="4F4989F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3、负责江西景德镇长运应急管理工作的监督管理工作，组织开展监督检查，落实考核奖惩措施。</w:t>
      </w:r>
    </w:p>
    <w:p w14:paraId="7F6D3D4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4、负责分管江西景德镇长运应急管理部门，做好突发事件的预防处置和指挥调度工作。</w:t>
      </w:r>
    </w:p>
    <w:p w14:paraId="42B234E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5、负责审定、签发突发事件预警信息，指导各单位、子公司开展预警行动。</w:t>
      </w:r>
    </w:p>
    <w:p w14:paraId="251B108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6、负责组织指挥或协调处理一般及较大突发事件的应对与处置工作，协助配合主任、常务副主任应对重大突发事件。</w:t>
      </w:r>
    </w:p>
    <w:p w14:paraId="6A7F32D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7、提出江西景德镇长运应急管理工作重要议事议程，参与研究决策。</w:t>
      </w:r>
    </w:p>
    <w:p w14:paraId="1D49B20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8、完成江西景德镇长运应急管理委员会交办的其它任务。</w:t>
      </w:r>
    </w:p>
    <w:p w14:paraId="6D90A43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（四）应急管理委员会副主任</w:t>
      </w:r>
    </w:p>
    <w:p w14:paraId="79A250E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应急管理委员会副主任，对具体分管的公司、业务部门的应急管理工作负有领导责任。主要职责：</w:t>
      </w:r>
    </w:p>
    <w:p w14:paraId="01FC838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1、协助主任、常务副主任监督指导所分管的单位、子公司、业务部门做好应急管理工作。</w:t>
      </w:r>
    </w:p>
    <w:p w14:paraId="2930ECE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2、负责组织指挥或协调处理所分管的单位、子公司发生的一般或较大突发事件的应对与处置工作，协助配合主任、常务副主任应对重大突发事件，开展应急救援。</w:t>
      </w:r>
    </w:p>
    <w:p w14:paraId="12214A2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3、参与江西景德镇长运应急管理工作研究决策，并提出建议意见。</w:t>
      </w:r>
    </w:p>
    <w:p w14:paraId="7E076B3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4、积极支持专职副主任妥善处置和应对各项突发事件。</w:t>
      </w:r>
    </w:p>
    <w:p w14:paraId="23214FF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5、完成江西景德镇长运应急管理委员会交办的其它任务。</w:t>
      </w:r>
    </w:p>
    <w:p w14:paraId="6693A22F">
      <w:pPr>
        <w:spacing w:beforeLines="50" w:afterLines="50" w:line="520" w:lineRule="exact"/>
        <w:ind w:firstLine="681" w:firstLineChars="213"/>
        <w:rPr>
          <w:rFonts w:ascii="黑体" w:hAnsi="黑体" w:eastAsia="黑体" w:cs="黑体"/>
          <w:sz w:val="32"/>
          <w:szCs w:val="32"/>
        </w:rPr>
      </w:pPr>
      <w:bookmarkStart w:id="10" w:name="_Toc15189"/>
      <w:r>
        <w:rPr>
          <w:rFonts w:hint="eastAsia" w:ascii="黑体" w:hAnsi="黑体" w:eastAsia="黑体" w:cs="黑体"/>
          <w:sz w:val="32"/>
          <w:szCs w:val="32"/>
        </w:rPr>
        <w:t>四、成员职责</w:t>
      </w:r>
      <w:bookmarkEnd w:id="10"/>
    </w:p>
    <w:p w14:paraId="30CD28E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江西景德镇长运本部各单位负责人、各部门负责人、各子公司党政主要领导是本部门、本公司应急管理工作的“第一责任人”，对本单位、本部门、本公司的应急管理工作负全面责任。</w:t>
      </w:r>
    </w:p>
    <w:p w14:paraId="5869160B">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（一）安全生产部</w:t>
      </w:r>
    </w:p>
    <w:p w14:paraId="50E4185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做好应急管理委员会和本部机关的应急保障工作，上传下达市委、市政府、上级有关部门、江西长运、景德镇长运领导有关应急管理工作指示，承办、传阅、转办重要文件，报告协调有关领导参加有关会议。</w:t>
      </w:r>
    </w:p>
    <w:p w14:paraId="5F2FA0A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2、负责统筹规划江西景德镇长运应急管理信息化建设，监督指导各子公司网络信息安全，并提供技术支持。</w:t>
      </w:r>
    </w:p>
    <w:p w14:paraId="42C05BE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3、负责引进和改造升级监测、预警等先进的电子信息设备，不断提升技防水平和能力。</w:t>
      </w:r>
    </w:p>
    <w:p w14:paraId="35229BA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4、负责引进和更新先进的机务检测技术，不断对车辆技术装备进行升级换代。</w:t>
      </w:r>
    </w:p>
    <w:p w14:paraId="352A1E1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（二）综合管理部</w:t>
      </w:r>
    </w:p>
    <w:p w14:paraId="5123AE7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1、负责将应急管理工作纳入江西景德镇长运工作规划。</w:t>
      </w:r>
    </w:p>
    <w:p w14:paraId="37984E4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2、负责本部机关的防灾减灾、公共卫生、火灾防范等突发事件的防范和应对工作。</w:t>
      </w:r>
    </w:p>
    <w:p w14:paraId="1B88D47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3、负责审核江西景德镇长运应急管理规章制度、应急预案的合法性，并为应急管理工作提供法律支持。</w:t>
      </w:r>
    </w:p>
    <w:p w14:paraId="6248930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4、负责应急管理建设项目、抢险救援物资、重要设施设备、技术装备的招标评审工作。</w:t>
      </w:r>
    </w:p>
    <w:p w14:paraId="0BE5723B">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5、参与突发事件的其它相关应对处置和调查处理工作。</w:t>
      </w:r>
    </w:p>
    <w:p w14:paraId="110E93FF">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（三）党群工作部</w:t>
      </w:r>
    </w:p>
    <w:p w14:paraId="4E073CD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1、负责在党群部门开展关于中央有关精神的学习；</w:t>
      </w:r>
    </w:p>
    <w:p w14:paraId="09069C6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2、负责做好突发事件应急宣传工作，开展新闻发言人培训。</w:t>
      </w:r>
    </w:p>
    <w:p w14:paraId="04565EC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3、应急状态下，做好突发事件舆情监测，按照规定召开新闻发布会，审核新闻稿件，指导涉事单位做好新闻报道和宣传引导工作，消除负面影响。</w:t>
      </w:r>
    </w:p>
    <w:p w14:paraId="0865A0F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4、参与突发事件的其它相关应对处置和调查处理工作。</w:t>
      </w:r>
    </w:p>
    <w:p w14:paraId="34C2FFE7">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（四）财务管理部</w:t>
      </w:r>
    </w:p>
    <w:p w14:paraId="50387D2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1、按照规定提取安全生产专项费用，并负责审核江西景德镇长运本部应急管理经费预算，核销日常业务经费。</w:t>
      </w:r>
    </w:p>
    <w:p w14:paraId="3C0E2ED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2、对各单位、子公司安全生产专项费用预算进行监督，突发事件紧急情况下为涉事单位、子公司的抢险救援、善后处置工作提供必要的资金支持和财务指导。</w:t>
      </w:r>
    </w:p>
    <w:p w14:paraId="3F8F8A7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3、参与突发事件的其它相关应对处置和调查处理工作。</w:t>
      </w:r>
    </w:p>
    <w:p w14:paraId="4E879220">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（五）监察审计部</w:t>
      </w:r>
    </w:p>
    <w:p w14:paraId="2BF9F86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1、负责对各单位、各子公司、各部门的应急管理经费进行审计核查。</w:t>
      </w:r>
    </w:p>
    <w:p w14:paraId="5273496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2、参与突发事件的其它相关应对处置和调查处理工作。</w:t>
      </w:r>
    </w:p>
    <w:p w14:paraId="4FF4D289">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（六）各单位、子公司职责</w:t>
      </w:r>
    </w:p>
    <w:p w14:paraId="56A98A6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各单位、子公司是预防和处置各类突发事件的责任主体，在江西景德镇长运应急管理委员会的领导下，依法履行预防和处置突发事件主体责任。主要职责：</w:t>
      </w:r>
    </w:p>
    <w:p w14:paraId="5E46EEE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1、认真贯彻执行国家、省、市及上级部门应急管理政策、法律法规和江西景德镇长运各项应急规章制度，建立应急管理工作体系，健全组织领导机构。 </w:t>
      </w:r>
    </w:p>
    <w:p w14:paraId="0F5C4CF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2、负责编制、修订、完善本公司综合应急预案，督促相关单位建立完善各类专项应急预案和现场处置方案，落实预防和处置措施，定期开展培训和演练，并持续改善。</w:t>
      </w:r>
    </w:p>
    <w:p w14:paraId="4052E5C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3、负责对本公司范围内各类突发事件的应对与处置工作，做好突发事件的信息报送、预警监测、预警行动、应急响应、抢险救援、舆情监测、信息披露、新闻危机和善后处置工作。</w:t>
      </w:r>
    </w:p>
    <w:p w14:paraId="5CD08FE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4、加强兼职应急救援队伍和应急平台建设，强化应急保障，主动与属地人民政府应急管理体系建立联动工作机制，积极参与社会突发事件的应急救援行动。　　</w:t>
      </w:r>
    </w:p>
    <w:p w14:paraId="11F718C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5、完成江西景德镇长运应急管理委员会交办的其它任务。</w:t>
      </w:r>
    </w:p>
    <w:p w14:paraId="37614A32">
      <w:pPr>
        <w:pStyle w:val="2"/>
        <w:numPr>
          <w:ilvl w:val="0"/>
          <w:numId w:val="1"/>
        </w:numPr>
        <w:spacing w:beforeLines="50" w:afterLines="50" w:line="520" w:lineRule="exact"/>
        <w:jc w:val="center"/>
        <w:rPr>
          <w:rFonts w:ascii="方正小标宋简体" w:hAnsi="方正小标宋简体" w:eastAsia="方正小标宋简体" w:cs="方正小标宋简体"/>
          <w:b w:val="0"/>
          <w:bCs/>
          <w:sz w:val="32"/>
          <w:szCs w:val="32"/>
        </w:rPr>
      </w:pPr>
      <w:bookmarkStart w:id="11" w:name="_Toc14544"/>
      <w:r>
        <w:rPr>
          <w:rFonts w:hint="eastAsia" w:ascii="方正小标宋简体" w:hAnsi="方正小标宋简体" w:eastAsia="方正小标宋简体" w:cs="方正小标宋简体"/>
          <w:b w:val="0"/>
          <w:bCs/>
          <w:sz w:val="32"/>
          <w:szCs w:val="32"/>
        </w:rPr>
        <w:t>风险、危险源评估分析</w:t>
      </w:r>
      <w:bookmarkEnd w:id="11"/>
    </w:p>
    <w:p w14:paraId="697E5988">
      <w:pPr>
        <w:pStyle w:val="14"/>
        <w:spacing w:beforeLines="50" w:afterLines="50" w:line="520" w:lineRule="exact"/>
        <w:ind w:left="0" w:leftChars="0" w:firstLine="640" w:firstLineChars="200"/>
        <w:rPr>
          <w:rFonts w:ascii="黑体" w:hAnsi="黑体" w:eastAsia="黑体" w:cs="黑体"/>
          <w:b w:val="0"/>
          <w:bCs/>
          <w:sz w:val="32"/>
          <w:szCs w:val="32"/>
        </w:rPr>
      </w:pPr>
      <w:bookmarkStart w:id="12" w:name="_Toc10219"/>
      <w:r>
        <w:rPr>
          <w:rFonts w:hint="eastAsia" w:ascii="黑体" w:hAnsi="黑体" w:eastAsia="黑体" w:cs="黑体"/>
          <w:b w:val="0"/>
          <w:bCs/>
          <w:sz w:val="32"/>
          <w:szCs w:val="32"/>
        </w:rPr>
        <w:t>一、风险评估分析</w:t>
      </w:r>
      <w:bookmarkEnd w:id="12"/>
    </w:p>
    <w:p w14:paraId="4A5CB914">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基于对各单位、子公司危险源的辨识和分析，当前及今后一段时期，江西景德镇长运可能面临的风险主要来自于以下四个方面：</w:t>
      </w:r>
    </w:p>
    <w:p w14:paraId="7387038E">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（一）自然灾害方面</w:t>
      </w:r>
    </w:p>
    <w:p w14:paraId="2B4BBDB9">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1、气象灾害风险。受大风、暴雨、暴雪、冻雨、寒潮、结冰、高温、雷电、冰雹、大雾等恶劣天气影响，可能造成城市公交、客运班线大范围的停运、旅客滞留，可能引发人员伤亡和财产损失。</w:t>
      </w:r>
    </w:p>
    <w:p w14:paraId="521BCE60">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2、地质灾害风险。受泥石流、山体滑坡等地质灾害的影响，可能造成公交“四涉线路”、长途客运受阻，临山、临水、临江建筑物严重受损，引发群死群伤坍塌事故或重大交通安全事故。</w:t>
      </w:r>
    </w:p>
    <w:p w14:paraId="3537FB52">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（二）事故灾难方面</w:t>
      </w:r>
    </w:p>
    <w:p w14:paraId="29AC1E61">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1、安全事故风险。江西景德镇长运安全生产点多、线长、面广，重点要害部位、各类工种岗位众多。任何岗位人员违章指挥、违规操作、违反劳动纪律的行为，或生产设施、机械设备的不安全状态，或生产生活环境的不良因素，或组织领导不到位、制度不完善、措施不到位、都有可能发生安全事故。如：物体打击、车辆伤害、机械伤害、起重伤害、触电、火灾、高处坠落、油气泄漏等等事故。</w:t>
      </w:r>
    </w:p>
    <w:p w14:paraId="63AB95C3">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2、交通运输风险。任何一名驾驶员如违章违规或操作不当，任何一辆车辆突发机械故障，或受其他外部不良因素的影响，均有可能造成交通安全事故。</w:t>
      </w:r>
    </w:p>
    <w:p w14:paraId="5436A7BD">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3、消防安全风险。江西长运下属各子公司的充电站多处于办公城所附近，若生产过程中违章违规操作，有可能造成火灾、爆炸等消防安全事故或其它次生、衍生事故；此外，还有诸多消防安全重点部位，一旦发生火灾，均有可能造成重大人员伤亡、财产损失和恶劣社会影响。</w:t>
      </w:r>
    </w:p>
    <w:p w14:paraId="0757E46F">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（三）公共卫生方面</w:t>
      </w:r>
    </w:p>
    <w:p w14:paraId="3121B118">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1、食品卫生风险。江西景德镇长运及下属各子公司，多数自营或出租物业的厨房、食堂，如在食品生产、采购、储存、清洗、制作或环境卫生某个环节不达标，均有可能导致一定范围内的食物中毒事故，影响职工、群众生命安全和健康。</w:t>
      </w:r>
    </w:p>
    <w:p w14:paraId="654A7A25">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2、疾病疫情风险。公司的客运站场等公共聚集场所，社会接触面广，人员流动性大，若局部或个别发生不明原因疾病或疫情，有可能在一定范围传播扩散，影响职工、公众健康和生命安全。</w:t>
      </w:r>
    </w:p>
    <w:p w14:paraId="65E31836">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3、饮用水安全风险。公司范围内的所有办公场所、作业场所、公共服务场所均会采取直接或间接提供生活饮用水的保障服务，此类场所的供水管道、饮水设备、过虑装置如无加装上锁专人管理，未及时清洗、消毒、更换，或被恶意投毒，有可能造成群体性疾病感染或发生中毒事故。</w:t>
      </w:r>
    </w:p>
    <w:p w14:paraId="3176D70F">
      <w:pPr>
        <w:spacing w:line="520" w:lineRule="exact"/>
        <w:ind w:firstLine="710" w:firstLineChars="221"/>
        <w:rPr>
          <w:rFonts w:ascii="仿宋_GB2312" w:hAnsi="仿宋_GB2312" w:eastAsia="仿宋_GB2312" w:cs="仿宋_GB2312"/>
          <w:sz w:val="32"/>
          <w:szCs w:val="32"/>
        </w:rPr>
      </w:pPr>
      <w:r>
        <w:rPr>
          <w:rFonts w:hint="eastAsia" w:ascii="楷体_GB2312" w:hAnsi="楷体_GB2312" w:eastAsia="楷体_GB2312" w:cs="楷体_GB2312"/>
          <w:b/>
          <w:bCs/>
          <w:sz w:val="32"/>
          <w:szCs w:val="32"/>
        </w:rPr>
        <w:t>（四）社会安全方面</w:t>
      </w:r>
    </w:p>
    <w:p w14:paraId="352176A2">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社会安全风险具有不确定性，风险因素各异，来自各方面的不利因素，如未得到有效控制，都有可能引发社会安全事件。就江西景德镇长运而言，社会安全风险主要来自于内部的安全稳定因素和外部风险隐患两个重要方面：</w:t>
      </w:r>
    </w:p>
    <w:p w14:paraId="1F05691F">
      <w:pPr>
        <w:spacing w:line="520" w:lineRule="exact"/>
        <w:ind w:firstLine="710" w:firstLineChars="221"/>
        <w:rPr>
          <w:rFonts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1、安全稳定因素。一是江西景德镇长运范围内任何一起重大自然灾害事件、事故灾难事件、公共卫生事件，如未得到妥善处置或协调安置，或相关人员诉求过高政策无法满足，都有可能引发群体性突发事件，影响社会公共安全。二是江西景德镇长运下属的乐平公交、浮梁公交、鄱阳弘鑫公司历史遗留问题、内部矛盾纠纷复杂多样，随着公司各项发展决策的施行，新情况新问题新矛盾也会不断出现，如遇到行业领域利益效益缩减、国家政策改革调整、管理模式转型升级等涉及相关群体利益的矛盾纠纷未及时妥善处理，有可能引发群体性突发事件，影响社会公共安全。</w:t>
      </w:r>
    </w:p>
    <w:p w14:paraId="6A6CD4F5">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2、外部风险隐患。一是重点部位安全风险。如：公交车、营运客车、客运场站、充电区域、油罐车等重点要害部位遭遇恐怖袭击、恶意纵火、蓄意投毒等，可能发生重大人员伤亡或财产损失，危害社会公共安全事件。二是网络系统安全风险。如：生产调度、财务金融、客户信息、网上支付等系统遭网络“黑客”或病毒攻击，可能发生网络泄密，扰乱公共秩序、侵占公私财产，危害国家安全或公众信息安全的事件。</w:t>
      </w:r>
    </w:p>
    <w:p w14:paraId="4742B70D">
      <w:pPr>
        <w:pStyle w:val="14"/>
        <w:spacing w:beforeLines="50" w:afterLines="50" w:line="520" w:lineRule="exact"/>
        <w:ind w:left="0" w:leftChars="0" w:firstLine="640" w:firstLineChars="200"/>
        <w:rPr>
          <w:rFonts w:ascii="黑体" w:hAnsi="黑体" w:eastAsia="黑体" w:cs="黑体"/>
          <w:b w:val="0"/>
          <w:bCs/>
          <w:sz w:val="32"/>
          <w:szCs w:val="32"/>
        </w:rPr>
      </w:pPr>
      <w:bookmarkStart w:id="13" w:name="_Toc16164"/>
      <w:r>
        <w:rPr>
          <w:rFonts w:hint="eastAsia" w:ascii="黑体" w:hAnsi="黑体" w:eastAsia="黑体" w:cs="黑体"/>
          <w:b w:val="0"/>
          <w:bCs/>
          <w:sz w:val="32"/>
          <w:szCs w:val="32"/>
        </w:rPr>
        <w:t>二、危险源评估分析</w:t>
      </w:r>
      <w:bookmarkEnd w:id="13"/>
    </w:p>
    <w:p w14:paraId="3C6ABCB7">
      <w:pPr>
        <w:spacing w:line="520" w:lineRule="exact"/>
        <w:ind w:firstLine="707" w:firstLineChars="221"/>
        <w:rPr>
          <w:rFonts w:ascii="仿宋_GB2312" w:hAnsi="仿宋_GB2312" w:eastAsia="仿宋_GB2312" w:cs="仿宋_GB2312"/>
          <w:sz w:val="32"/>
          <w:szCs w:val="32"/>
        </w:rPr>
      </w:pPr>
      <w:r>
        <w:rPr>
          <w:rFonts w:hint="eastAsia" w:ascii="仿宋_GB2312" w:hAnsi="仿宋_GB2312" w:eastAsia="仿宋_GB2312" w:cs="仿宋_GB2312"/>
          <w:sz w:val="32"/>
          <w:szCs w:val="32"/>
        </w:rPr>
        <w:t>各类突发事件的发生主要来自对各类危险源管控不到位而产生的，如何有效预防和控制这些突发事件，就必须了解这些危险源。</w:t>
      </w:r>
    </w:p>
    <w:p w14:paraId="6CCCE4A2">
      <w:pPr>
        <w:spacing w:line="520" w:lineRule="exact"/>
        <w:ind w:firstLine="710" w:firstLineChars="222"/>
        <w:rPr>
          <w:rFonts w:ascii="仿宋_GB2312" w:hAnsi="仿宋_GB2312" w:eastAsia="仿宋_GB2312" w:cs="仿宋_GB2312"/>
          <w:sz w:val="32"/>
          <w:szCs w:val="32"/>
        </w:rPr>
      </w:pPr>
      <w:r>
        <w:rPr>
          <w:rFonts w:hint="eastAsia" w:ascii="仿宋_GB2312" w:hAnsi="仿宋_GB2312" w:eastAsia="仿宋_GB2312" w:cs="仿宋_GB2312"/>
          <w:sz w:val="32"/>
          <w:szCs w:val="32"/>
        </w:rPr>
        <w:t>（一）运输类。危险源主要分布在营运客车、旅游车、公交车、货车、油罐车等车辆，以及驾驶员的违法违规行为存在发生或可能发生交通安全事故、车辆自燃或爆炸事故，或恐怖分子蓄意纵火、恐怖袭击以及乘客干扰驾驶员安全驾驶等危害公共安全事件的风险。</w:t>
      </w:r>
    </w:p>
    <w:p w14:paraId="79CEEC45">
      <w:pPr>
        <w:spacing w:line="520" w:lineRule="exact"/>
        <w:ind w:firstLine="710" w:firstLineChars="222"/>
        <w:rPr>
          <w:rFonts w:ascii="仿宋_GB2312" w:hAnsi="仿宋_GB2312" w:eastAsia="仿宋_GB2312" w:cs="仿宋_GB2312"/>
          <w:sz w:val="32"/>
          <w:szCs w:val="32"/>
        </w:rPr>
      </w:pPr>
      <w:r>
        <w:rPr>
          <w:rFonts w:hint="eastAsia" w:ascii="仿宋_GB2312" w:hAnsi="仿宋_GB2312" w:eastAsia="仿宋_GB2312" w:cs="仿宋_GB2312"/>
          <w:sz w:val="32"/>
          <w:szCs w:val="32"/>
        </w:rPr>
        <w:t>（二）客运站场类。危险源主要分布在进出口、候车室、停车场、车辆检测台等，存在“三不进站、六不出站”执行不到位、安全设施设备损害等，造成危险品、无关人员或恐怖分子进站、不合格车辆出站等，从而可能导致火灾事故、爆炸事故、交通事故，或突发蓄意纵火、恶意破坏、暴力、恐怖袭击等危害公共安全的事件。</w:t>
      </w:r>
    </w:p>
    <w:p w14:paraId="5606522F">
      <w:pPr>
        <w:spacing w:line="520" w:lineRule="exact"/>
        <w:ind w:firstLine="710" w:firstLineChars="222"/>
        <w:rPr>
          <w:rFonts w:ascii="仿宋_GB2312" w:hAnsi="仿宋_GB2312" w:eastAsia="仿宋_GB2312" w:cs="仿宋_GB2312"/>
          <w:sz w:val="32"/>
          <w:szCs w:val="32"/>
        </w:rPr>
      </w:pPr>
      <w:r>
        <w:rPr>
          <w:rFonts w:hint="eastAsia" w:ascii="仿宋_GB2312" w:hAnsi="仿宋_GB2312" w:eastAsia="仿宋_GB2312" w:cs="仿宋_GB2312"/>
          <w:sz w:val="32"/>
          <w:szCs w:val="32"/>
        </w:rPr>
        <w:t>（三）办公大楼、商贸市场、物业类。危险源主要分布在市场、租赁店面、后厨、餐厅、高空广告牌等，存在发生或可能发生火灾事故、爆炸事故、高处坠物、食物中毒事故或突发蓄意纵火、恶意破坏、暴力、恐怖袭击等危害公共安全事件的风险。</w:t>
      </w:r>
    </w:p>
    <w:p w14:paraId="2903C038">
      <w:pPr>
        <w:spacing w:line="520" w:lineRule="exact"/>
        <w:ind w:firstLine="710" w:firstLineChars="222"/>
        <w:rPr>
          <w:rFonts w:ascii="仿宋_GB2312" w:hAnsi="仿宋_GB2312" w:eastAsia="仿宋_GB2312" w:cs="仿宋_GB2312"/>
          <w:sz w:val="32"/>
          <w:szCs w:val="32"/>
        </w:rPr>
      </w:pPr>
      <w:r>
        <w:rPr>
          <w:rFonts w:hint="eastAsia" w:ascii="仿宋_GB2312" w:hAnsi="仿宋_GB2312" w:eastAsia="仿宋_GB2312" w:cs="仿宋_GB2312"/>
          <w:sz w:val="32"/>
          <w:szCs w:val="32"/>
        </w:rPr>
        <w:t>（四）油罐车、充电站（桩）类。危险源主要分布在加油机、充电桩、变压器等，存在或可能发生违规违章操作，造成油泄露事件、触电事件、火灾事故、爆炸事故，或突发蓄意纵火、恐怖袭击等危害公共安全的事件。</w:t>
      </w:r>
    </w:p>
    <w:p w14:paraId="3B8D50A2">
      <w:pPr>
        <w:spacing w:line="520" w:lineRule="exact"/>
        <w:ind w:firstLine="710" w:firstLineChars="222"/>
        <w:rPr>
          <w:rFonts w:ascii="仿宋_GB2312" w:hAnsi="仿宋_GB2312" w:eastAsia="仿宋_GB2312" w:cs="仿宋_GB2312"/>
          <w:sz w:val="32"/>
          <w:szCs w:val="32"/>
        </w:rPr>
      </w:pPr>
      <w:r>
        <w:rPr>
          <w:rFonts w:hint="eastAsia" w:ascii="仿宋_GB2312" w:hAnsi="仿宋_GB2312" w:eastAsia="仿宋_GB2312" w:cs="仿宋_GB2312"/>
          <w:sz w:val="32"/>
          <w:szCs w:val="32"/>
        </w:rPr>
        <w:t>（五）车辆检测、修理类。危险源主要分布在检测台、修理间、辅助机械设备等，存在或可能发生溜车事故、高处坠落、物体打击、触电、中暑等事件的风险。</w:t>
      </w:r>
    </w:p>
    <w:p w14:paraId="6E0E4860">
      <w:pPr>
        <w:pStyle w:val="2"/>
        <w:numPr>
          <w:ilvl w:val="0"/>
          <w:numId w:val="1"/>
        </w:numPr>
        <w:spacing w:beforeLines="50" w:afterLines="50" w:line="520" w:lineRule="exact"/>
        <w:jc w:val="center"/>
        <w:rPr>
          <w:rFonts w:ascii="黑体" w:hAnsi="黑体" w:eastAsia="黑体" w:cs="黑体"/>
          <w:b w:val="0"/>
          <w:bCs/>
          <w:kern w:val="2"/>
          <w:sz w:val="32"/>
          <w:szCs w:val="32"/>
        </w:rPr>
      </w:pPr>
      <w:bookmarkStart w:id="14" w:name="_Toc14925"/>
      <w:r>
        <w:rPr>
          <w:rFonts w:hint="eastAsia" w:ascii="黑体" w:hAnsi="黑体" w:eastAsia="黑体" w:cs="黑体"/>
          <w:b w:val="0"/>
          <w:bCs/>
          <w:kern w:val="2"/>
          <w:sz w:val="32"/>
          <w:szCs w:val="32"/>
        </w:rPr>
        <w:t>监测与预警</w:t>
      </w:r>
      <w:bookmarkEnd w:id="14"/>
    </w:p>
    <w:p w14:paraId="44CFBEBD">
      <w:pPr>
        <w:pStyle w:val="14"/>
        <w:spacing w:beforeLines="50" w:afterLines="50" w:line="520" w:lineRule="exact"/>
        <w:ind w:left="0" w:leftChars="0" w:firstLine="640" w:firstLineChars="200"/>
        <w:rPr>
          <w:rFonts w:ascii="黑体" w:hAnsi="黑体" w:eastAsia="黑体" w:cs="黑体"/>
          <w:b w:val="0"/>
          <w:bCs/>
          <w:sz w:val="32"/>
          <w:szCs w:val="32"/>
        </w:rPr>
      </w:pPr>
      <w:bookmarkStart w:id="15" w:name="_Toc31490"/>
      <w:r>
        <w:rPr>
          <w:rFonts w:hint="eastAsia" w:ascii="黑体" w:hAnsi="黑体" w:eastAsia="黑体" w:cs="黑体"/>
          <w:b w:val="0"/>
          <w:bCs/>
          <w:sz w:val="32"/>
          <w:szCs w:val="32"/>
        </w:rPr>
        <w:t>一、突发事件的监测</w:t>
      </w:r>
      <w:bookmarkEnd w:id="15"/>
    </w:p>
    <w:p w14:paraId="0CA2432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突发事件的监测对象主要限于可能引发的自然灾害、事故灾难和公共卫生事件等危险源、风险隐患及重点防护目标，不包括社会安全事件。各单位、子公司需搭建突发事件监测系统，可通过各种监测手段实现，根据突发事件的性质和种类，长期、连续地收集、核对、分析监测目标的动态分布，对可能引起突发事件的各种因素和发生前的各种征兆，进行观察、捕捉和预测，并将信息及时上报和反馈。</w:t>
      </w:r>
    </w:p>
    <w:p w14:paraId="4988C971">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（一）系统搭建</w:t>
      </w:r>
    </w:p>
    <w:p w14:paraId="3DD6C8F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1、车辆单位搭建生产调度系统、4G视频车辆动态监控、卫星定位等系统，对各自的生产环节、驾驶人员、营运车辆等进行在线实时监测。</w:t>
      </w:r>
    </w:p>
    <w:p w14:paraId="54E2D8F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2、拥有大量建筑的单位搭建视频监控系统和消防控制系统，对各自的办公区域、经营场所、社会公共区域进行在线监测。</w:t>
      </w:r>
    </w:p>
    <w:p w14:paraId="32556012">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（二）监测方式</w:t>
      </w:r>
    </w:p>
    <w:p w14:paraId="3F5939F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1、各单位、子公司建立监测制度，采取分层分级常规监测、特殊监测和随机监测的方式对本公司范围内的危险源进行定量监测或定性监测。</w:t>
      </w:r>
    </w:p>
    <w:p w14:paraId="32BE47E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2、江西景德镇长运应急办将持续收集、核对、分析各类正在发生或可能发生的突发事件动态信息，及时推送或发布预警信息。</w:t>
      </w:r>
      <w:bookmarkStart w:id="16" w:name="_Toc1092"/>
    </w:p>
    <w:p w14:paraId="4E7A7347">
      <w:pPr>
        <w:spacing w:beforeLines="50" w:afterLines="50" w:line="520" w:lineRule="exact"/>
        <w:ind w:firstLine="681" w:firstLineChars="213"/>
        <w:rPr>
          <w:rFonts w:ascii="黑体" w:hAnsi="黑体" w:eastAsia="黑体" w:cs="黑体"/>
          <w:bCs/>
          <w:sz w:val="32"/>
          <w:szCs w:val="32"/>
        </w:rPr>
      </w:pPr>
      <w:r>
        <w:rPr>
          <w:rFonts w:hint="eastAsia" w:ascii="黑体" w:hAnsi="黑体" w:eastAsia="黑体" w:cs="黑体"/>
          <w:bCs/>
          <w:sz w:val="32"/>
          <w:szCs w:val="32"/>
        </w:rPr>
        <w:t>二、突发事件的预警</w:t>
      </w:r>
      <w:bookmarkEnd w:id="16"/>
    </w:p>
    <w:p w14:paraId="7E3ED67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预警是指在突发亊件即将发生，或发生的可能性增大时，政府、相关部门、企业根据有关突发事件过去和现在的数据、情报和资料，通过监测监控、逻辑推理和科学预测的方法和技术，对突发事件未来发展趋势和演变规律作出推断，并发出准确的警示信号，使政府、相关部门和民众提前了解事态发展状态，以便及时采取应对措施，减少或消除不利后果的一系列活动。</w:t>
      </w:r>
    </w:p>
    <w:p w14:paraId="6FF7B1B6">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（一）预警分级原则</w:t>
      </w:r>
    </w:p>
    <w:p w14:paraId="61A27B26">
      <w:pPr>
        <w:widowControl/>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在预防监测的基础上，对可以预警的自然灾害、事故灾难和公共卫生事件的预警级别，按照突发事件发生的紧急程度、发展势态和可能造成的危害程度按从高到低分为Ⅰ级、Ⅱ级、Ⅲ级、IV级，分别用红色、橙色、、蓝色标示，Ⅰ级（红色）为最高级别。</w:t>
      </w:r>
    </w:p>
    <w:p w14:paraId="5CCF4F3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1、Ⅰ级（红色）预警，是指预计将要发生特别重大突发事件，或已濒临事件发生边缘，或重大突发事件的事态正在逐步扩大。</w:t>
      </w:r>
    </w:p>
    <w:p w14:paraId="6E19D0C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2、Ⅱ级（橙色）预警，是指预计将要发生重大突发事件，或已濒临事件发生边缘，较大突发事件的事态有扩大的趋势。</w:t>
      </w:r>
    </w:p>
    <w:p w14:paraId="3C98864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3、Ⅲ级（黄色）预警，是指预计将要发生较大突发事件，或已濒临事件发生边缘，一般突发事件的事态呈发展扩大趋势。</w:t>
      </w:r>
    </w:p>
    <w:p w14:paraId="7F46995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4、IV级（蓝色）预警，是指预计将要发生一般突发事件，或已临近事件的发生边缘。</w:t>
      </w:r>
    </w:p>
    <w:p w14:paraId="1AAD0D68">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（二）预警信息发布</w:t>
      </w:r>
    </w:p>
    <w:p w14:paraId="64C3F3D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预警信息是基于公司内部的预防监测、分析研判，或在国家、省、市或县区发布预警信息后，结合公司的性质、特点、分布范围，向公司内部管理对象发布的警示信息，或是向服务对象、市民公众发出的提示信息。</w:t>
      </w:r>
    </w:p>
    <w:p w14:paraId="73736D6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公司预警信息的发布，按照分级审批、分级负责、分类发布的方式进行。</w:t>
      </w:r>
    </w:p>
    <w:p w14:paraId="3913FE64">
      <w:pPr>
        <w:spacing w:line="520" w:lineRule="exact"/>
        <w:ind w:firstLine="710" w:firstLineChars="22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1、预警信息内容</w:t>
      </w:r>
    </w:p>
    <w:p w14:paraId="1EF4F87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预警信息主要内容为：信息发布单位、发布时间、可能发生突发事件的类别、预警级别、起始时间、可能的影响范围、警示事项、事态发展、采取的措施和发布机关等。</w:t>
      </w:r>
    </w:p>
    <w:p w14:paraId="0AEF436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（附件3：江西景德镇长运预警信息规范格式）</w:t>
      </w:r>
    </w:p>
    <w:p w14:paraId="061EE498">
      <w:pPr>
        <w:spacing w:line="520" w:lineRule="exact"/>
        <w:ind w:firstLine="710" w:firstLineChars="22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2、预警信息审批</w:t>
      </w:r>
    </w:p>
    <w:p w14:paraId="19BE73F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Ⅰ级（红色）预警信息：由江西景德镇长运应急办负责拟定，应急管理委员会专职副主任、常务副主任审核，应急管理委员会批准，应急管理委员会主任决定发布、响应或终止。</w:t>
      </w:r>
    </w:p>
    <w:p w14:paraId="4F165CA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Ⅱ级（橙色）预警信息：由江西景德镇长运应急办负责拟定，应急管理委员会专职副主任、常务副主任审核，应急管理委员会主任批准、决定发布、响应或终止。</w:t>
      </w:r>
    </w:p>
    <w:p w14:paraId="24CFACB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Ⅲ级（黄色）预警信息：由江西景德镇长运应急办负责拟定，报请应急管理委员会专职副主任审核，应急管理委员会常务副主任批准、决定发布、响应或终止。</w:t>
      </w:r>
    </w:p>
    <w:p w14:paraId="2ED4109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IV级（蓝色）预警信息：由江西景德镇长运应急办负责拟定、审核、应急管理委员会专职副主任批准、决定发布、响应或终止。</w:t>
      </w:r>
    </w:p>
    <w:p w14:paraId="2AAF40A1">
      <w:pPr>
        <w:spacing w:line="520" w:lineRule="exact"/>
        <w:ind w:firstLine="710" w:firstLineChars="22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3、预警信息发布</w:t>
      </w:r>
    </w:p>
    <w:p w14:paraId="37345C2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江西景德镇长运各类预警信息统一由公司应急办负责发布，按照突发事件性质、类型、等级，进行分类推送和分级发布。</w:t>
      </w:r>
    </w:p>
    <w:p w14:paraId="1A80D74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（1）国家、省、市、县（区）通过预警信息平台发布的各类预警信息、警示信息、提示信息，统一由应急办负责收集，即时推送，各子公司即收即推，广而告知，并根据提示采取相应措施。</w:t>
      </w:r>
    </w:p>
    <w:p w14:paraId="7BE9BAA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（2）公司内部各类预警信息，按级审批后，由应急办通过应急管理平台即时发布，各单位、子公司负责推送，按照应急预案要求，采取积极应对措施。</w:t>
      </w:r>
    </w:p>
    <w:p w14:paraId="6ED2231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（3）各单位、子公司向服务对象、公众群体发出的提示信息（如：停运、停业信息），由各单位、子公司负责通过有关渠道推送，各自采取针对性措施，并报公司应急办。</w:t>
      </w:r>
    </w:p>
    <w:p w14:paraId="428A504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（4）各单位、子公司应建立本级预警信息发布系统，对各类预警信息、警示信息、提示信息，可根据事件性质、类型、涉及范围，结合实际情况，采取全域、定向或定点的方式进行发布或推送。</w:t>
      </w:r>
    </w:p>
    <w:p w14:paraId="5F775F8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（附件4：江西景德镇长运预警信息审批、发布流程）</w:t>
      </w:r>
    </w:p>
    <w:p w14:paraId="31B241DC">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（三）预警响应行动</w:t>
      </w:r>
    </w:p>
    <w:p w14:paraId="442F642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Ⅰ级（红色）预警行动：</w:t>
      </w:r>
      <w:r>
        <w:rPr>
          <w:rFonts w:hint="eastAsia" w:ascii="仿宋_GB2312" w:hAnsi="仿宋_GB2312" w:eastAsia="仿宋_GB2312" w:cs="仿宋_GB2312"/>
          <w:sz w:val="32"/>
          <w:szCs w:val="32"/>
        </w:rPr>
        <w:t>江西景德镇长运及相关子公司立即启动应急预案。公司总指挥部立即启动Ⅰ级响应（见应急响应相关章节，以下同），各级应急领导机构、指挥机构进入Ⅰ级战备状态。行动要求：</w:t>
      </w:r>
    </w:p>
    <w:p w14:paraId="3C9853B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1、公司应急总指挥部总指挥、常务副总指挥前移，深入基层视察，并指导相关单位、子公司防御状态。</w:t>
      </w:r>
    </w:p>
    <w:p w14:paraId="2AF45D2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2、公司应急办和相关单位、子公司应急指挥机构进入24小时值班调度，及时收集信息，保持通讯畅通，做好各项信息的上传下达。</w:t>
      </w:r>
    </w:p>
    <w:p w14:paraId="03D9F19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3、公司前方指挥部领导与江西景德镇长运应急管理委员会专职副主任下沉一线掌握情况，指挥一线做好各项防御措施和对现状的处置，并研判事件的发展趋势，为总指挥提供决策依据。</w:t>
      </w:r>
    </w:p>
    <w:p w14:paraId="2CEC59A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4、相关单位、子公司严格执行总指挥部的指令和本级应急预案，分工负责，相互配合，稳妥地处置已发生事件，有效地控制外溢或继续发展态势，直至本级预警行动结束。</w:t>
      </w:r>
    </w:p>
    <w:p w14:paraId="667449CB">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Ⅱ级（橙色）预警行动：</w:t>
      </w:r>
      <w:r>
        <w:rPr>
          <w:rFonts w:hint="eastAsia" w:ascii="仿宋_GB2312" w:hAnsi="仿宋_GB2312" w:eastAsia="仿宋_GB2312" w:cs="仿宋_GB2312"/>
          <w:sz w:val="32"/>
          <w:szCs w:val="32"/>
        </w:rPr>
        <w:t>江西景德镇长运及各相关单位、子公司启动应急预案。公司总指挥部相应启动Ⅱ级响应（见应急响应相关章节，以下同），各级应急领导机构、指挥机构进入Ⅱ级战备状态。行动要求：</w:t>
      </w:r>
    </w:p>
    <w:p w14:paraId="31C3990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1、公司应急总指挥部总指挥、常务副总指挥适时前移，视察指导各相关单位、子公司防御状态。</w:t>
      </w:r>
    </w:p>
    <w:p w14:paraId="13C01BA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2、公司应急办加强值班调度，各相关单位、子公司应急指挥机构进入24小时领导带班、值班状态，及时收集、报告信息。</w:t>
      </w:r>
    </w:p>
    <w:p w14:paraId="75367E6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3、公司前方指挥部化整为零，根据需要分成若干个行动小组，由公司总指挥部各相关副总指挥担任组长，深入各自分管领域、单位部门，督促落实应对防御措施。</w:t>
      </w:r>
    </w:p>
    <w:p w14:paraId="406244D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4、相关单位、子公司根据本级应急预案，各级领导分工负责，全天候、全过程进驻一线单位部门，分兵把口，强化组织领导和现场指挥调度，直至本级预警行动结束。</w:t>
      </w:r>
    </w:p>
    <w:p w14:paraId="0D9B667E">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Ⅲ级（黄色）预警行动：</w:t>
      </w:r>
      <w:r>
        <w:rPr>
          <w:rFonts w:hint="eastAsia" w:ascii="仿宋_GB2312" w:hAnsi="仿宋_GB2312" w:eastAsia="仿宋_GB2312" w:cs="仿宋_GB2312"/>
          <w:sz w:val="32"/>
          <w:szCs w:val="32"/>
        </w:rPr>
        <w:t>江西景德镇长运及各相关单位、子公司启动应急预案。公司总指挥部相应启动Ⅲ级响应，各级应急领导机构、指挥机构进入Ⅲ级战备状态。行动要求：</w:t>
      </w:r>
    </w:p>
    <w:p w14:paraId="2077539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1、公司应急总指挥部总指挥、常务副总指挥坐阵指挥，根据事态发展变化，视情前移指导。</w:t>
      </w:r>
    </w:p>
    <w:p w14:paraId="6F4F910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2、公司前方指挥部，根据预警范围，相应成立若干行动小组，由分管涉事单位、子公司的公司总指挥部副总指挥担任组长，视情深入相关单位部门，检查督导应对防御工作。</w:t>
      </w:r>
    </w:p>
    <w:p w14:paraId="4EADE72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相关单位、子公司根据本级应急预案，按照领导分工，深入现场加强现场指导，密切关注事态进展，及时报告信息。各公司分（子）公司、一线部门负责人、管理人员到岗在位，重点要害部位、重要工作岗位落实24小领导带班，双人值班，直至本级预警行动结束。</w:t>
      </w:r>
    </w:p>
    <w:p w14:paraId="6FC6A97E">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IV级（蓝色）预警行动：</w:t>
      </w:r>
      <w:r>
        <w:rPr>
          <w:rFonts w:hint="eastAsia" w:ascii="仿宋_GB2312" w:hAnsi="仿宋_GB2312" w:eastAsia="仿宋_GB2312" w:cs="仿宋_GB2312"/>
          <w:sz w:val="32"/>
          <w:szCs w:val="32"/>
        </w:rPr>
        <w:t>江西景德镇长运及各相关单位、子公司启动应急预案。公司总指挥部相应启动IV级响应，各级应急领导机构、指挥机构进入IV级战备状态。行动要求：</w:t>
      </w:r>
    </w:p>
    <w:p w14:paraId="5998F4C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1、公司总指挥部、基本指挥部、前方指挥部处于待命状态，保持通讯联络，密切关注事态变化，实施远程指挥。</w:t>
      </w:r>
    </w:p>
    <w:p w14:paraId="5F26E15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2、公司有关部门，视情成立专项行动组，深入有关单位、部门、基层一线专门检查督导应对防范措施，通报有关情况。</w:t>
      </w:r>
    </w:p>
    <w:p w14:paraId="1075668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3、相关单位、子公司结合企业实际，进行研究部署，落实各级责任，采取针对性措施，控制重大危险源，消除不安全不稳定因素，及时通报信息。</w:t>
      </w:r>
    </w:p>
    <w:p w14:paraId="15209F48">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（四）预警防御措施</w:t>
      </w:r>
    </w:p>
    <w:p w14:paraId="0BD34AB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江西景德镇长运及各单位、子公司在突发事件预警行动中，除采取上述行动外，还应根据预警的类别、性质、级别，采取相应的防御措施，有关要求应随同预警信息一同发布。</w:t>
      </w:r>
    </w:p>
    <w:p w14:paraId="07D3BCC3">
      <w:pPr>
        <w:pStyle w:val="2"/>
        <w:numPr>
          <w:ilvl w:val="0"/>
          <w:numId w:val="1"/>
        </w:numPr>
        <w:spacing w:beforeLines="50" w:afterLines="50" w:line="520" w:lineRule="exact"/>
        <w:jc w:val="center"/>
        <w:rPr>
          <w:rFonts w:ascii="黑体" w:hAnsi="黑体" w:eastAsia="黑体" w:cs="黑体"/>
          <w:b w:val="0"/>
          <w:bCs/>
          <w:sz w:val="32"/>
          <w:szCs w:val="32"/>
        </w:rPr>
      </w:pPr>
      <w:bookmarkStart w:id="17" w:name="_Toc8332"/>
      <w:r>
        <w:rPr>
          <w:rFonts w:hint="eastAsia" w:ascii="黑体" w:hAnsi="黑体" w:eastAsia="黑体" w:cs="黑体"/>
          <w:b w:val="0"/>
          <w:bCs/>
          <w:sz w:val="32"/>
          <w:szCs w:val="32"/>
        </w:rPr>
        <w:t>组织指挥与应急处置</w:t>
      </w:r>
      <w:bookmarkEnd w:id="17"/>
    </w:p>
    <w:p w14:paraId="607F8DB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江西景德镇长运突发事件的应对与处置工作，在公司应急管理委员会的统一领导下，实行分级响应和分类处置。组织指挥机构由总指挥部、基本指挥部（暨：应急指挥中心）、前方指挥部和现场指挥部四个部分组成。 </w:t>
      </w:r>
    </w:p>
    <w:p w14:paraId="3A43D16C">
      <w:pPr>
        <w:pStyle w:val="14"/>
        <w:spacing w:beforeLines="50" w:afterLines="50" w:line="520" w:lineRule="exact"/>
        <w:ind w:left="0" w:leftChars="0" w:firstLine="640" w:firstLineChars="200"/>
        <w:rPr>
          <w:rFonts w:ascii="黑体" w:hAnsi="黑体" w:eastAsia="黑体" w:cs="黑体"/>
          <w:b w:val="0"/>
          <w:bCs/>
          <w:sz w:val="32"/>
          <w:szCs w:val="32"/>
        </w:rPr>
      </w:pPr>
      <w:bookmarkStart w:id="18" w:name="_Toc5372"/>
      <w:r>
        <w:rPr>
          <w:rFonts w:hint="eastAsia" w:ascii="黑体" w:hAnsi="黑体" w:eastAsia="黑体" w:cs="黑体"/>
          <w:b w:val="0"/>
          <w:bCs/>
          <w:sz w:val="32"/>
          <w:szCs w:val="32"/>
        </w:rPr>
        <w:t>一、指挥机构及职责任务</w:t>
      </w:r>
      <w:bookmarkEnd w:id="18"/>
    </w:p>
    <w:p w14:paraId="2BC5AD73">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（一）总指挥部</w:t>
      </w:r>
      <w:r>
        <w:rPr>
          <w:rFonts w:hint="eastAsia" w:ascii="仿宋_GB2312" w:hAnsi="仿宋_GB2312" w:eastAsia="仿宋_GB2312" w:cs="仿宋_GB2312"/>
          <w:sz w:val="32"/>
          <w:szCs w:val="32"/>
        </w:rPr>
        <w:t>。是江西景德镇长运应对和处置各类突发事件的最高指挥机构。负责统一指挥调度江西景德镇长运范围内发生的各类突发事件。总指挥由江西景德镇长运董事长担任，常务副总指挥由总经理担任，副总指挥由江西景德镇长运领导班子成员担任，成员由江西景德镇长运有关部门负责人、各单位、子公司主要领导担任。职责任务：</w:t>
      </w:r>
    </w:p>
    <w:p w14:paraId="0C4F5C3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1、贯彻落实市委、市政府、上级有关部门的决策部署，承担江西景德镇长运范围内各类突发事件的应对和处置工作。</w:t>
      </w:r>
    </w:p>
    <w:p w14:paraId="63241B7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2、研究制定重大突发事件的应急处置方案，指挥抢险救援行动，指导善后处置和恢复重建。</w:t>
      </w:r>
    </w:p>
    <w:p w14:paraId="3D4674F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3、指挥调度各单位、子公司科学有效应对一般及较大突发事件。</w:t>
      </w:r>
    </w:p>
    <w:p w14:paraId="59D852A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4、完成市委、市政府、上级有关部门、江西长运交办的其他应急响应任务。</w:t>
      </w:r>
    </w:p>
    <w:p w14:paraId="3182060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（附件5：江西景德镇长运突发事件指挥体系图）</w:t>
      </w:r>
    </w:p>
    <w:p w14:paraId="2EA78CDD">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（二）基本指挥部（应急指挥中心）。</w:t>
      </w:r>
      <w:r>
        <w:rPr>
          <w:rFonts w:hint="eastAsia" w:ascii="仿宋_GB2312" w:hAnsi="仿宋_GB2312" w:eastAsia="仿宋_GB2312" w:cs="仿宋_GB2312"/>
          <w:sz w:val="32"/>
          <w:szCs w:val="32"/>
        </w:rPr>
        <w:t>是总指挥部在应对和处置各类突发事件期间的值班留守机构。指挥部设在应急办，指挥长通常由负责当日值班的公司领导担任，当班领导分管范围内发生突发事件的，按值班顺序顺延，其它领导即时接任值班调度。成员由公司安生部、综合部、党工部、监审部、财务部等相关工作人员组成。下设指挥调度组、综合保障组、舆情监测组。职责任务：</w:t>
      </w:r>
    </w:p>
    <w:p w14:paraId="1E258EF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1、负责加强重大以上突发事件应急处理、橙色以上预警行动期间的值班调度工作，进入24小时领导带班、值班、调度状态。</w:t>
      </w:r>
    </w:p>
    <w:p w14:paraId="462352F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2、负责传达总指挥部的决策部署和工作指示，交办、督办、落实有关重要事项。</w:t>
      </w:r>
    </w:p>
    <w:p w14:paraId="08CBC6A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3、负责接收、记录、核实、整理前方指挥部、现场指挥部及有关方面即时反馈的突发事件动态信息，按规定流程报告总指挥部及上级有关部门。</w:t>
      </w:r>
    </w:p>
    <w:p w14:paraId="2D4870D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4、按照上级指示，做好资源调度和信息保障工作，提供后方支援。</w:t>
      </w:r>
    </w:p>
    <w:p w14:paraId="3BC4818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5、完成总指挥部交办的其它工作任务。</w:t>
      </w:r>
    </w:p>
    <w:p w14:paraId="3389DF06">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指挥调度组：</w:t>
      </w:r>
      <w:r>
        <w:rPr>
          <w:rFonts w:hint="eastAsia" w:ascii="仿宋_GB2312" w:hAnsi="仿宋_GB2312" w:eastAsia="仿宋_GB2312" w:cs="仿宋_GB2312"/>
          <w:sz w:val="32"/>
          <w:szCs w:val="32"/>
        </w:rPr>
        <w:t>组长由公司安生部部长担任，成员由该部人员组成。负责对接属地应急管理部门和现场指挥部，研究应急处置方案。调度公司应急队伍和技术装备、物资器材等资源参与联动处置，指导抢险救援行动和恢复重建工作。</w:t>
      </w:r>
    </w:p>
    <w:p w14:paraId="2919D9DC">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综合保障组：</w:t>
      </w:r>
      <w:r>
        <w:rPr>
          <w:rFonts w:hint="eastAsia" w:ascii="仿宋_GB2312" w:hAnsi="仿宋_GB2312" w:eastAsia="仿宋_GB2312" w:cs="仿宋_GB2312"/>
          <w:sz w:val="32"/>
          <w:szCs w:val="32"/>
        </w:rPr>
        <w:t>组长由综合部部长担任，成员由该部人员组成。负责对接事发单位和现场有关部门保障前方指挥部的正常运作，协调调度总部部门、相关单位提供人员、财物、车辆、办公、生活等必要保障。</w:t>
      </w:r>
    </w:p>
    <w:p w14:paraId="535FE23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舆情监测组：</w:t>
      </w:r>
      <w:r>
        <w:rPr>
          <w:rFonts w:hint="eastAsia" w:ascii="仿宋_GB2312" w:hAnsi="仿宋_GB2312" w:eastAsia="仿宋_GB2312" w:cs="仿宋_GB2312"/>
          <w:sz w:val="32"/>
          <w:szCs w:val="32"/>
        </w:rPr>
        <w:t>组长由公司党工部部长担任，成员由该部人员组成。负责对接上级宣传部门和外部媒体，按照新闻发布制度，统一口径发布事态信息，监测社会舆情动态，及时有效应对，指导涉事单位做好新闻报道和宣传引导工作。</w:t>
      </w:r>
    </w:p>
    <w:p w14:paraId="52F2C1C4">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（三）前方指挥部</w:t>
      </w:r>
      <w:r>
        <w:rPr>
          <w:rFonts w:hint="eastAsia" w:ascii="仿宋_GB2312" w:hAnsi="仿宋_GB2312" w:eastAsia="仿宋_GB2312" w:cs="仿宋_GB2312"/>
          <w:sz w:val="32"/>
          <w:szCs w:val="32"/>
        </w:rPr>
        <w:t>。是总指挥部在应对和处置各类突发事件的靠前指挥机构。根据事件的性质、等级、影响、涉及范围由总指挥部派出，指挥部设在涉事单位或突发事件现场。指挥长通常由涉事单位的江西景德镇长运分管领导或其它副总指挥担任，副指挥长由涉事单位现场总指挥担任。职责任务：</w:t>
      </w:r>
    </w:p>
    <w:p w14:paraId="120B00B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1、初步查明突发事件产生的原因、性质，评估已经或可能造成的人员伤亡、经济损失、事件影响，采取控制措施，并向应急指挥中心报告。</w:t>
      </w:r>
    </w:p>
    <w:p w14:paraId="7543BB5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2、组织指挥涉事责任单位开展先期处置，确定应急处置工作方案，组织抢险救援行动，根据现场情况向总指挥部提出响应升级或终止行动的报告或建议。</w:t>
      </w:r>
    </w:p>
    <w:p w14:paraId="482A784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指导涉事责任单位成立指挥调度组、综合保障组、舆情监测组，并按照任务分工，联动处置突发事件，对接现场有关单位、部门加强指挥调度、应急保障和舆情监测工作，将事件影响、人员伤亡、经济损失降至最低。</w:t>
      </w:r>
    </w:p>
    <w:p w14:paraId="44D3E687">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（四）现场指挥部：</w:t>
      </w:r>
      <w:r>
        <w:rPr>
          <w:rFonts w:hint="eastAsia" w:ascii="仿宋_GB2312" w:hAnsi="仿宋_GB2312" w:eastAsia="仿宋_GB2312" w:cs="仿宋_GB2312"/>
          <w:sz w:val="32"/>
          <w:szCs w:val="32"/>
        </w:rPr>
        <w:t>是涉事单位在突发事件处置过程中的现场指挥机构，接受江西景德镇长运总指挥部、前方指挥部、属地政府及有关部门的领导，主导突发事件的现场处置工作。指挥长通常由涉事单位主要领导或现场负责人担任。职责任务：</w:t>
      </w:r>
    </w:p>
    <w:p w14:paraId="5A21DDD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1、负责组织先期处置，控制危险源，救护危重伤病员，疏散无关人员，转移重要物资。</w:t>
      </w:r>
    </w:p>
    <w:p w14:paraId="55145BB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2、负责拟定应急处置方案，组织抢险救援行动，开展恢复重建。</w:t>
      </w:r>
    </w:p>
    <w:p w14:paraId="35BA392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3、持续监测事件发展动态，开展事件评估，为后期处置提供决策建议。</w:t>
      </w:r>
    </w:p>
    <w:p w14:paraId="1DEACD7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各单位、子公司应结合企业实际，完善本级综合应急预案，区分事件性质、事件类型、事件等级，明确现场指挥部具体职责任务，分组分工，责任明确。</w:t>
      </w:r>
    </w:p>
    <w:p w14:paraId="1DE2EC67">
      <w:pPr>
        <w:pStyle w:val="14"/>
        <w:spacing w:beforeLines="50" w:afterLines="50" w:line="520" w:lineRule="exact"/>
        <w:ind w:left="0" w:leftChars="0" w:firstLine="640" w:firstLineChars="200"/>
        <w:rPr>
          <w:rFonts w:ascii="黑体" w:hAnsi="黑体" w:eastAsia="黑体" w:cs="黑体"/>
          <w:b w:val="0"/>
          <w:bCs/>
          <w:sz w:val="32"/>
          <w:szCs w:val="32"/>
        </w:rPr>
      </w:pPr>
      <w:bookmarkStart w:id="19" w:name="_Toc18308"/>
      <w:r>
        <w:rPr>
          <w:rFonts w:hint="eastAsia" w:ascii="黑体" w:hAnsi="黑体" w:eastAsia="黑体" w:cs="黑体"/>
          <w:b w:val="0"/>
          <w:bCs/>
          <w:sz w:val="32"/>
          <w:szCs w:val="32"/>
        </w:rPr>
        <w:t>二、应急响应与处置措施</w:t>
      </w:r>
      <w:bookmarkEnd w:id="19"/>
    </w:p>
    <w:p w14:paraId="32D21F7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江西景德镇长运突发事件的应急处置流程主要包括：信息报告、先期处置、分级响应、现场处置、信息发布、响应终止、后期处置等环节。</w:t>
      </w:r>
    </w:p>
    <w:p w14:paraId="4BE89D9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（一）信息报告</w:t>
      </w:r>
    </w:p>
    <w:p w14:paraId="15E869C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信息报告是突发事件应急处置的重要环节，贯穿于应急响应与处置的全过程。</w:t>
      </w:r>
    </w:p>
    <w:p w14:paraId="38DE590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1、江西景德镇长运应急办是突发事件紧急信息的归口管理单位，负责接收、采集、汇总、上报、通报各类突发事件紧急信息。</w:t>
      </w:r>
    </w:p>
    <w:p w14:paraId="31351A3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2、各单位、子公司应明确本公司突发事件紧急信息的归口管理部门和责任人员，对接江西景德镇长运应急办。</w:t>
      </w:r>
    </w:p>
    <w:p w14:paraId="36DEF60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3、各单位、子公司突发事件的信息报送工作应按照“快报信息，缓报原因”的原则，及时准确报告。</w:t>
      </w:r>
    </w:p>
    <w:p w14:paraId="7D79372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（1）突发事件发生后，无论事件类型、事件大小，各单位、子公司现场负责人或“第一发现人”应在“第一时间”报警，逐级报告，或直报江西景德镇长运应急办。</w:t>
      </w:r>
    </w:p>
    <w:p w14:paraId="40C9DE4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重大以下突发事件发生后，涉事单位接到报告后应在15分钟内通过电话、短信、微信、OA等方式向江西景德镇长运应急办快报基本信息，同时按照属地要求报上级政府部门；重大以上突发事件或涉及国家安全和社会稳定的重要紧急情况，各单位、子公司应在接到事件报告后5分钟内电话报告江西景德镇长运应急办，同时可直报属地县级以上人民政府，并在10分钟内通过微信、QQ、OA等方式向江西景德镇长运应急办快报基本信息，报告内容按照《江西长运生产安全事故报告和调查处理暂行规定》文件要求填写，并附带现场图像资料。事发后1小时内未报送信息的，视为迟报。事发后2小时内未报，或其他渠道已报或媒体披露之后再报的,视为瞒报。</w:t>
      </w:r>
    </w:p>
    <w:p w14:paraId="4855AEB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突发事件初报完成后，涉事单位或现场指挥机构应根据现场情况，续报事件发展变化和处理情况。原则上一般突发事件每6个小时，较大突发事件每3小时，重大突发事件每2小时，特别重大突发事件每1小时通过OA、QQ或微信等方式报告1次突发事件续报，直至事件处理结束。</w:t>
      </w:r>
    </w:p>
    <w:p w14:paraId="0B54192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4、江西景德镇长运应急办在接到突发事件快报后，应立即向公司应急总指挥部报告，并按江西长运股份有限公司的相关规定或要求向江西长运应急指挥中心或安全管理部报告。</w:t>
      </w:r>
    </w:p>
    <w:p w14:paraId="6FB4B6E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（附件6：江西景德镇长运突发事件信息报告流程图）</w:t>
      </w:r>
    </w:p>
    <w:p w14:paraId="45C5F19D">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（二）先期处置</w:t>
      </w:r>
    </w:p>
    <w:p w14:paraId="756D6B7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突发事件发生后，涉事单位现场指挥部或现场“第一发现人”在报警报告的同时，应立即启动应急预案进行先期处置，采取下列一项或者多项应急处置措施：</w:t>
      </w:r>
    </w:p>
    <w:p w14:paraId="4AB2392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1、组织营救和救治受害人员，疏散、撤离并妥善安置受到威胁的人员以及采取其他救助措施。</w:t>
      </w:r>
    </w:p>
    <w:p w14:paraId="5A643A3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2、迅速控制危险源，标明危险区域，封锁危险场所，划定警戒区，限制无关人员及车辆进入危险区域，采取防止危害扩大的必要控制措施。</w:t>
      </w:r>
    </w:p>
    <w:p w14:paraId="64F4F24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3、禁止或者限制使用有关设施设备，关闭或者限制使用有关场所，终止人员密集的活动或者可能导致危害扩大的生产经营活动及其它保护措施。</w:t>
      </w:r>
    </w:p>
    <w:p w14:paraId="16AD24F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4、启用本单位设置的应急预备费和储备的应急救援物资，必要时调用其它急需物资、设备、设施、工具。</w:t>
      </w:r>
    </w:p>
    <w:p w14:paraId="6F9117D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5、现场设置专人进行宣传动员，维护社会秩序，控制事态发展。</w:t>
      </w:r>
    </w:p>
    <w:p w14:paraId="250D9C6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6、采取防止发生次生、衍生事件的必要措施。</w:t>
      </w:r>
    </w:p>
    <w:p w14:paraId="4E124A1C">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（三）应急响应</w:t>
      </w:r>
    </w:p>
    <w:p w14:paraId="0FC14A3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应急办接到突发事件紧急信息的报告后，应迅速核实信息来源及其准确性，区分事件类型，判断事件等级，按级报告江西景德镇长运应急总指挥部领导及成员，并提出应急响应建议，按照上级指示拟定、发布应急响应信息。</w:t>
      </w:r>
    </w:p>
    <w:p w14:paraId="3DCB503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江西景德镇长运突发事件应急响应按照事件类型、事件等级从高到低分为三级响应：Ⅰ级响应（特别重大突发事件）、Ⅱ级响应（重大以上突发事件）、Ⅲ级响应（较大突发事件）、IV级响应（一般突发事件）。</w:t>
      </w:r>
    </w:p>
    <w:p w14:paraId="6246EB8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Ⅰ级响应：</w:t>
      </w:r>
      <w:r>
        <w:rPr>
          <w:rFonts w:hint="eastAsia" w:ascii="仿宋_GB2312" w:hAnsi="仿宋_GB2312" w:eastAsia="仿宋_GB2312" w:cs="仿宋_GB2312"/>
          <w:sz w:val="32"/>
          <w:szCs w:val="32"/>
        </w:rPr>
        <w:t>发生特别重大突发事件，由公司应急管理委员会决定启动、终止Ⅰ响应。响应行动如下：</w:t>
      </w:r>
    </w:p>
    <w:p w14:paraId="66DF3DF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1、总指挥下达Ⅰ级响应指令，并召集紧急会议，通报情况，奔赴前方指挥部进行现场指挥。</w:t>
      </w:r>
    </w:p>
    <w:p w14:paraId="4B04BAD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2、应急办按照指令发布Ⅰ级响应号令（附件7：Ⅰ级响应号令）。 </w:t>
      </w:r>
    </w:p>
    <w:p w14:paraId="47A0785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3、应急指挥中心加强指挥调度工作，进入Ⅰ级战备值班状态，并向上级有关部门快报信息。</w:t>
      </w:r>
    </w:p>
    <w:p w14:paraId="443E4F2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4、总指挥部主要成员立即赶赴涉事单位或事发现场（景德镇市城区45分钟内、县区90分钟内到达指定位置），并向应急办反馈现场情况。</w:t>
      </w:r>
    </w:p>
    <w:p w14:paraId="7B7DAF5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5、涉事单位启动本级相应应急响应，成立现场指挥部，开展先期处置和抢险救援行动，并向公司应急办报告。</w:t>
      </w:r>
    </w:p>
    <w:p w14:paraId="6AD2F9D8">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Ⅱ级响应：</w:t>
      </w:r>
      <w:r>
        <w:rPr>
          <w:rFonts w:hint="eastAsia" w:ascii="仿宋_GB2312" w:hAnsi="仿宋_GB2312" w:eastAsia="仿宋_GB2312" w:cs="仿宋_GB2312"/>
          <w:sz w:val="32"/>
          <w:szCs w:val="32"/>
        </w:rPr>
        <w:t>发生重大突发事件，由公司应急总指挥部总指挥决定启动、终止Ⅱ级响应。响应行动如下：</w:t>
      </w:r>
    </w:p>
    <w:p w14:paraId="79ED892A">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1、总指挥下达Ⅱ级响应指令，视情召集紧急会议，通报情况，施行靠前指挥。</w:t>
      </w:r>
    </w:p>
    <w:p w14:paraId="05856DA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2、应急办按照指令发布Ⅱ级响应号令（附件8：Ⅱ级响应号令）。 </w:t>
      </w:r>
    </w:p>
    <w:p w14:paraId="12FA7A8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3、应急指挥中心加强指挥调度工作，进入Ⅱ级战备值班状态，并向上级有关部门快报信息。</w:t>
      </w:r>
    </w:p>
    <w:p w14:paraId="56AAD14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4、前方指挥部全体成员立即赶赴涉事单位或事发现场（景德镇市城区45分钟内、县区90分钟内到达指定位置），并向应急办反馈现场情况。</w:t>
      </w:r>
    </w:p>
    <w:p w14:paraId="647D875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5、涉事单位启动本级相应应急响应，成立现场指挥部，开展先期处置和抢险救援行动，并向公司应急办报告。</w:t>
      </w:r>
    </w:p>
    <w:p w14:paraId="67089B20">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Ⅲ级响应：</w:t>
      </w:r>
      <w:r>
        <w:rPr>
          <w:rFonts w:hint="eastAsia" w:ascii="仿宋_GB2312" w:hAnsi="仿宋_GB2312" w:eastAsia="仿宋_GB2312" w:cs="仿宋_GB2312"/>
          <w:sz w:val="32"/>
          <w:szCs w:val="32"/>
        </w:rPr>
        <w:t>发生较大突发事件，由江西景德镇长运应急总指挥部常务副总指挥决定启动、终止Ⅲ级响应，或响应升级。响应行动如下：</w:t>
      </w:r>
    </w:p>
    <w:p w14:paraId="4F1663C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1、常务副总指挥下达Ⅲ级响应指令，视情召集紧急会议，通报情况，施行靠前指挥。</w:t>
      </w:r>
    </w:p>
    <w:p w14:paraId="5C7D891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2、应急办按照指令发布Ⅲ级响应号令（附件9：Ⅲ级响应号令）。 </w:t>
      </w:r>
    </w:p>
    <w:p w14:paraId="2CF5C2C9">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3、应急指挥中心加强指挥调度，进入Ⅲ级战备值班状态，并向上级有关部门快报信息。</w:t>
      </w:r>
    </w:p>
    <w:p w14:paraId="083932C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4、前方指挥部主要成员立即赶赴涉事单位或事发现场（景德镇市城区60分钟内、县区120分钟内到达指定位置。），并向应急办反馈现场情况。</w:t>
      </w:r>
    </w:p>
    <w:p w14:paraId="5674DE0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5、涉事单位启动本级相应应急响应，成立现场指挥部，开展先期处置和抢险救援行动，并向公司应急办报告。</w:t>
      </w:r>
    </w:p>
    <w:p w14:paraId="0C721DBF">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IV级响应：</w:t>
      </w:r>
      <w:r>
        <w:rPr>
          <w:rFonts w:hint="eastAsia" w:ascii="仿宋_GB2312" w:hAnsi="仿宋_GB2312" w:eastAsia="仿宋_GB2312" w:cs="仿宋_GB2312"/>
          <w:sz w:val="32"/>
          <w:szCs w:val="32"/>
        </w:rPr>
        <w:t>发生一般突发事件，由江西景德镇长运应急总指挥部副总指挥决定启动、终止IV级响应，或报请响应升级。响应行动如下：</w:t>
      </w:r>
    </w:p>
    <w:p w14:paraId="6352814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1、副总指挥下达IV级响应指令，视情召集紧急会议，通报情况，施行靠前指挥。</w:t>
      </w:r>
    </w:p>
    <w:p w14:paraId="3F75D5C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2、应急办按照指令发布IV级响应号令（附件10：IV级响应号令）。 </w:t>
      </w:r>
    </w:p>
    <w:p w14:paraId="031A2AA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3、应急指挥中心加强指挥调度，保持常态化值班状态，做好提升响应战备值班的准备工作，并向上级有关部门快报信息。</w:t>
      </w:r>
    </w:p>
    <w:p w14:paraId="59EE2B4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4、前方指挥部成员在岗在家待命，保持通讯联络，密切关注事件动态，视情派出指挥调度组前往涉事单位或事发现场，监督指导涉事单位科学有效应对。</w:t>
      </w:r>
    </w:p>
    <w:p w14:paraId="1978230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5、涉事单位启动本级相应应急响应，成立现场指挥部，开展先期处置和抢险救援行动，并向应急办报告。</w:t>
      </w:r>
    </w:p>
    <w:p w14:paraId="36C558F9">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（四）现场处置</w:t>
      </w:r>
    </w:p>
    <w:p w14:paraId="70D50C8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自然灾害、事故灾难或者公共卫生事件发生后，履行统一领导职责的应急领导机构、指挥机构要立即组织调动应急救援队伍和力量开展应急处置工作，并视情况采取下列措施：</w:t>
      </w:r>
    </w:p>
    <w:p w14:paraId="47F5567D">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1、指挥协调。</w:t>
      </w:r>
      <w:r>
        <w:rPr>
          <w:rFonts w:hint="eastAsia" w:ascii="仿宋_GB2312" w:hAnsi="仿宋_GB2312" w:eastAsia="仿宋_GB2312" w:cs="仿宋_GB2312"/>
          <w:sz w:val="32"/>
          <w:szCs w:val="32"/>
        </w:rPr>
        <w:t>参与事件处置的应急工作部门，在应急指挥机构的统一指挥下，调动有关力量和资源，迅速组织实施现场应急处置，控制事态发展；组织协调有关单位负责人、专家和应急队伍参与应急救援；协调有关单位提供应急保障，包括协调应急联动机构和调度各公司救援资源等。</w:t>
      </w:r>
    </w:p>
    <w:p w14:paraId="43E14B78">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2、人员救护。</w:t>
      </w:r>
      <w:r>
        <w:rPr>
          <w:rFonts w:hint="eastAsia" w:ascii="仿宋_GB2312" w:hAnsi="仿宋_GB2312" w:eastAsia="仿宋_GB2312" w:cs="仿宋_GB2312"/>
          <w:sz w:val="32"/>
          <w:szCs w:val="32"/>
        </w:rPr>
        <w:t>组织营救、救治受伤人员，转移、疏散、撤离、安置受威胁人员，提供生活必需品、临时安置场所等保障公众生活措施。</w:t>
      </w:r>
    </w:p>
    <w:p w14:paraId="5A67CA29">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3、现场管控。</w:t>
      </w:r>
      <w:r>
        <w:rPr>
          <w:rFonts w:hint="eastAsia" w:ascii="仿宋_GB2312" w:hAnsi="仿宋_GB2312" w:eastAsia="仿宋_GB2312" w:cs="仿宋_GB2312"/>
          <w:sz w:val="32"/>
          <w:szCs w:val="32"/>
        </w:rPr>
        <w:t>部署做好维护现场治安秩序和社会稳定工作，按照有关程序决定采取封闭、隔离或者限制使用有关场所等措施。</w:t>
      </w:r>
    </w:p>
    <w:p w14:paraId="25C53BDF">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4、事态评估。</w:t>
      </w:r>
      <w:r>
        <w:rPr>
          <w:rFonts w:hint="eastAsia" w:ascii="仿宋_GB2312" w:hAnsi="仿宋_GB2312" w:eastAsia="仿宋_GB2312" w:cs="仿宋_GB2312"/>
          <w:sz w:val="32"/>
          <w:szCs w:val="32"/>
        </w:rPr>
        <w:t>收集相关信息，掌握现场处置工作状态，分析事件发展趋势，组织有关人员和专家对事件信息进行分析、评估，提出处置方案和建议，并及时向应急指挥机构报告情况等。</w:t>
      </w:r>
    </w:p>
    <w:p w14:paraId="1F06CCC5">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5、监控防范。</w:t>
      </w:r>
      <w:r>
        <w:rPr>
          <w:rFonts w:hint="eastAsia" w:ascii="仿宋_GB2312" w:hAnsi="仿宋_GB2312" w:eastAsia="仿宋_GB2312" w:cs="仿宋_GB2312"/>
          <w:sz w:val="32"/>
          <w:szCs w:val="32"/>
        </w:rPr>
        <w:t>加强现场监测，防止疫病、环境污染等事件发生，防止引发次生、衍生事件。</w:t>
      </w:r>
    </w:p>
    <w:p w14:paraId="7D06E4BD">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6、降低风险。</w:t>
      </w:r>
      <w:r>
        <w:rPr>
          <w:rFonts w:hint="eastAsia" w:ascii="仿宋_GB2312" w:hAnsi="仿宋_GB2312" w:eastAsia="仿宋_GB2312" w:cs="仿宋_GB2312"/>
          <w:sz w:val="32"/>
          <w:szCs w:val="32"/>
        </w:rPr>
        <w:t>组织力量全面查清危险源情况，采取封堵、加固、拆除、消除危险源等措施，降低风险隐患，迅速排除险情。 </w:t>
      </w:r>
    </w:p>
    <w:p w14:paraId="261A8280">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7、抢险抢修。</w:t>
      </w:r>
      <w:r>
        <w:rPr>
          <w:rFonts w:hint="eastAsia" w:ascii="仿宋_GB2312" w:hAnsi="仿宋_GB2312" w:eastAsia="仿宋_GB2312" w:cs="仿宋_GB2312"/>
          <w:sz w:val="32"/>
          <w:szCs w:val="32"/>
        </w:rPr>
        <w:t>加强抢险抢修工作，尽快恢复受损的基础设施正常运转。</w:t>
      </w:r>
    </w:p>
    <w:p w14:paraId="2745087F">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8、资源保障。</w:t>
      </w:r>
      <w:r>
        <w:rPr>
          <w:rFonts w:hint="eastAsia" w:ascii="仿宋_GB2312" w:hAnsi="仿宋_GB2312" w:eastAsia="仿宋_GB2312" w:cs="仿宋_GB2312"/>
          <w:sz w:val="32"/>
          <w:szCs w:val="32"/>
        </w:rPr>
        <w:t>调集和配置公司及各子公司应急储备物资和其他资源，协调发放援助资源。</w:t>
      </w:r>
    </w:p>
    <w:p w14:paraId="5CD5EB9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社会公共安全突发事件发生后，履行统一领导职责的应急领导机构、指挥机构应当报公安机关并立即组织有关力量，针对事件的性质和特点，依照有关法律、法规和国家其他有关规定，采取下列一项或者多项应急处置措施：</w:t>
      </w:r>
    </w:p>
    <w:p w14:paraId="3C4B5B2D">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1、遏止事态。</w:t>
      </w:r>
      <w:r>
        <w:rPr>
          <w:rFonts w:hint="eastAsia" w:ascii="仿宋_GB2312" w:hAnsi="仿宋_GB2312" w:eastAsia="仿宋_GB2312" w:cs="仿宋_GB2312"/>
          <w:sz w:val="32"/>
          <w:szCs w:val="32"/>
        </w:rPr>
        <w:t>强制隔离使用器械相互对抗或者以暴力行为参与冲突的当事人，妥善解决现场纠纷和争端，控制事态发展。</w:t>
      </w:r>
    </w:p>
    <w:p w14:paraId="02AD90E3">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2、控制现场。</w:t>
      </w:r>
      <w:r>
        <w:rPr>
          <w:rFonts w:hint="eastAsia" w:ascii="仿宋_GB2312" w:hAnsi="仿宋_GB2312" w:eastAsia="仿宋_GB2312" w:cs="仿宋_GB2312"/>
          <w:sz w:val="32"/>
          <w:szCs w:val="32"/>
        </w:rPr>
        <w:t>对特定区域内的建筑物、交通工具、设备、设施以及燃料、电力、水等供应进行控制。</w:t>
      </w:r>
    </w:p>
    <w:p w14:paraId="480ED29A">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3、封锁警戒。</w:t>
      </w:r>
      <w:r>
        <w:rPr>
          <w:rFonts w:hint="eastAsia" w:ascii="仿宋_GB2312" w:hAnsi="仿宋_GB2312" w:eastAsia="仿宋_GB2312" w:cs="仿宋_GB2312"/>
          <w:sz w:val="32"/>
          <w:szCs w:val="32"/>
        </w:rPr>
        <w:t>合法的封锁有关场所、道路，加强对易受冲击的重要部位的警戒，在存放危险物品、易燃易爆品的场所附近设置临时警戒线。</w:t>
      </w:r>
    </w:p>
    <w:p w14:paraId="2EB41A2E">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4、依法处置。</w:t>
      </w:r>
      <w:r>
        <w:rPr>
          <w:rFonts w:hint="eastAsia" w:ascii="仿宋_GB2312" w:hAnsi="仿宋_GB2312" w:eastAsia="仿宋_GB2312" w:cs="仿宋_GB2312"/>
          <w:sz w:val="32"/>
          <w:szCs w:val="32"/>
        </w:rPr>
        <w:t>采取法律、法规和国务院规定的其他必要措施，严重危害社会治安秩序的事件发生时，应立即报请公安机关出动警力，依法采取相应的强制性措施，尽快恢复正常社会秩序。</w:t>
      </w:r>
    </w:p>
    <w:p w14:paraId="1DE20EB7">
      <w:pPr>
        <w:spacing w:line="52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（五）信息发布</w:t>
      </w:r>
    </w:p>
    <w:p w14:paraId="7C5C19B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突发事件发生后，江西景德镇长运及各子公司应急领导机构、指挥机构，各级宣传部门，应立即组织开展突发事件新闻处置工作，按照《南昌市交通投资集团有限公司新闻宣传工作管理办法（暂行）》（洪交投字[2023]41号）的规定对外公开披露突发事件信息，及时准确地向新闻媒体介绍事件进展和处置措施，表明企业态度。</w:t>
      </w:r>
    </w:p>
    <w:p w14:paraId="0F74EB43">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1、有序发布。</w:t>
      </w:r>
      <w:r>
        <w:rPr>
          <w:rFonts w:hint="eastAsia" w:ascii="仿宋_GB2312" w:hAnsi="仿宋_GB2312" w:eastAsia="仿宋_GB2312" w:cs="仿宋_GB2312"/>
          <w:sz w:val="32"/>
          <w:szCs w:val="32"/>
        </w:rPr>
        <w:t>应急信息发布坚持依法、及时、准确、全面、客观的原则，按照国家、省、市及上级部门有关规定和程序有序开展，在不涉及国家秘密、商业机密、个人隐私的条件下，按规定第一时间通过授权发布、散发新闻稿、组织报道、接受记者采访、举行新闻发布会等方式先向社会发布简要信息，随后发布初步核实情况和有关方面的应对措施，并根据事件处置情况，做好后续信息发布工作。无论哪种方式的信息发布，均应通过宣传部门、指挥机构和上级领导的审核批准。</w:t>
      </w:r>
    </w:p>
    <w:p w14:paraId="2B361B98">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2、加强引导。</w:t>
      </w:r>
      <w:r>
        <w:rPr>
          <w:rFonts w:hint="eastAsia" w:ascii="仿宋_GB2312" w:hAnsi="仿宋_GB2312" w:eastAsia="仿宋_GB2312" w:cs="仿宋_GB2312"/>
          <w:sz w:val="32"/>
          <w:szCs w:val="32"/>
        </w:rPr>
        <w:t>充分重视并发挥主流媒体导向作用，运用新媒体等平台的交流功能和政府门户网站的互动功能，做好分众化、对象化传播，密切关注国内外关于事件的新闻报道和自媒体传播，及时消除不正确信息及其影响，做好舆论引导。</w:t>
      </w:r>
    </w:p>
    <w:p w14:paraId="6171289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新闻发言人原则上由公司副总经理、新闻宣传部门负责人担任。特殊情况下，可由公司主要领导指定临时新闻发布人。其他人员未经企业主要领导同意，不得接受新闻媒体采访。</w:t>
      </w:r>
    </w:p>
    <w:p w14:paraId="144A86E4">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（六）响应终止</w:t>
      </w:r>
    </w:p>
    <w:p w14:paraId="166DEF1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突发事件现场得以控制，不安全不稳定因素消除后，由现场指挥部确认，经上一级指挥机构批准，现场应急处置工作结束，宣布解除应急状态，转入常态管理，非常设应急指挥机构予以撤销。</w:t>
      </w:r>
    </w:p>
    <w:p w14:paraId="7B74F47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1、一般及较大突发事件，原则上由现场指挥部提出，前方指挥部批准后宣布应急响应终止。</w:t>
      </w:r>
    </w:p>
    <w:p w14:paraId="14043C2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2、重大及以上突发事件，由前方指挥部提出，江西景德镇长运总指挥部批准后宣布应急响应终止。</w:t>
      </w:r>
    </w:p>
    <w:p w14:paraId="7042E30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市级以上应急响应行动，按照上级有关部门的指示决定宣布应急响应终止。</w:t>
      </w:r>
    </w:p>
    <w:p w14:paraId="561E2850">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（七）后期处置</w:t>
      </w:r>
    </w:p>
    <w:p w14:paraId="058AE9E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1、善后处置。</w:t>
      </w:r>
      <w:r>
        <w:rPr>
          <w:rFonts w:hint="eastAsia" w:ascii="仿宋_GB2312" w:hAnsi="仿宋_GB2312" w:eastAsia="仿宋_GB2312" w:cs="仿宋_GB2312"/>
          <w:sz w:val="32"/>
          <w:szCs w:val="32"/>
        </w:rPr>
        <w:t>突发事件善后处置工作由涉事单位具体负责，应及时组织人员安置、风险控制、恢复生产、保险理赔等工作，江西景德镇长运各有关部门提供必要的人员、技术、物资装备和资金等方面的支持和指导。</w:t>
      </w:r>
    </w:p>
    <w:p w14:paraId="4C78739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（1）人员安置。</w:t>
      </w:r>
      <w:r>
        <w:rPr>
          <w:rFonts w:hint="eastAsia" w:ascii="仿宋_GB2312" w:hAnsi="仿宋_GB2312" w:eastAsia="仿宋_GB2312" w:cs="仿宋_GB2312"/>
          <w:sz w:val="32"/>
          <w:szCs w:val="32"/>
        </w:rPr>
        <w:t>迅速调查、核实受损情况，制定人员救助、抚慰、抚恤、安置等善后工作计划并组织实施，积极消除事件负面影响。</w:t>
      </w:r>
    </w:p>
    <w:p w14:paraId="0C407E8A">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（2）风险控制。</w:t>
      </w:r>
      <w:r>
        <w:rPr>
          <w:rFonts w:hint="eastAsia" w:ascii="仿宋_GB2312" w:hAnsi="仿宋_GB2312" w:eastAsia="仿宋_GB2312" w:cs="仿宋_GB2312"/>
          <w:sz w:val="32"/>
          <w:szCs w:val="32"/>
        </w:rPr>
        <w:t>做好突发事件现场的卫生消毒、疫情监测等卫生监督、清理清除污染物工作，防止次生、衍生和耦合事件发生。</w:t>
      </w:r>
    </w:p>
    <w:p w14:paraId="0E9ACCB9">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（3）恢复生产。</w:t>
      </w:r>
      <w:r>
        <w:rPr>
          <w:rFonts w:hint="eastAsia" w:ascii="仿宋_GB2312" w:hAnsi="仿宋_GB2312" w:eastAsia="仿宋_GB2312" w:cs="仿宋_GB2312"/>
          <w:sz w:val="32"/>
          <w:szCs w:val="32"/>
        </w:rPr>
        <w:t>评估受损情况，制订重建和恢复生产等计划并向江西景德镇长运应急办报告，及时组织相关单位采取措施，尽快修复被破坏部位和设施恢复生产。</w:t>
      </w:r>
    </w:p>
    <w:p w14:paraId="063E8D04">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（4）保险理赔。</w:t>
      </w:r>
      <w:r>
        <w:rPr>
          <w:rFonts w:hint="eastAsia" w:ascii="仿宋_GB2312" w:hAnsi="仿宋_GB2312" w:eastAsia="仿宋_GB2312" w:cs="仿宋_GB2312"/>
          <w:sz w:val="32"/>
          <w:szCs w:val="32"/>
        </w:rPr>
        <w:t>及时向保险公司通报情况，要求保险公司赶赴现场提供定损理赔等保险服务。</w:t>
      </w:r>
    </w:p>
    <w:p w14:paraId="046E851F">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2、调查评估。</w:t>
      </w:r>
      <w:r>
        <w:rPr>
          <w:rFonts w:hint="eastAsia" w:ascii="仿宋_GB2312" w:hAnsi="仿宋_GB2312" w:eastAsia="仿宋_GB2312" w:cs="仿宋_GB2312"/>
          <w:sz w:val="32"/>
          <w:szCs w:val="32"/>
        </w:rPr>
        <w:t>应急响应结束后，江西景德镇长运及各子公司应急管理机构应组织有关人员和专家，对突发事件发生的起因、性质、影响、后果、责任和应急决策能力、现场处置能力、保障能力、恢复生产能力等进行调查评估，总结经验教训，提出防范和改进措施，并向江西长运应急办提交事件调查报告。</w:t>
      </w:r>
    </w:p>
    <w:p w14:paraId="7F208B8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一般突发事件，原则上由事件责任单位成立事件调查组组织调查评估，主要领导任组长，分管领导任副组长。从事发之日起7日内提交事件调查报告，江西景德镇长运应急管理部门负责审核，分管领导作出批示，并于10日内报江西长运应急管理部门。</w:t>
      </w:r>
    </w:p>
    <w:p w14:paraId="0414280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较大突发事件，由江西景德镇长运应急管理委员会成立事件调查组,在江西长运的督导下组织调查评估，事件责任单位配合，由分管副总经理任组长，安生部及有关部门负责人任副组长。从事发之日起10日内形成事件调查报告，江西景德镇长运分管领导负责审核，主要领导作出批示，并按规定报告上级有关部门。</w:t>
      </w:r>
    </w:p>
    <w:p w14:paraId="3075C35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重大以上突发事件，由江西景德镇长运应急管理委员会成立事件调查组，配合江西长运工作组开展内部调查评估，事件责任单位配合，由江西景德镇长运主要领导任组长，分管领导任副组长。从事发之日起10日内形成事件调查报告，江西景德镇长运应急管理委员会负责审议，按规定报告上级有关部门。</w:t>
      </w:r>
    </w:p>
    <w:p w14:paraId="7643124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（4）突发事件调查程序应严格遵守法律、法规和国家、省、市有关突发事件调查、报告和处理的有关规定。事件调查报告应包括以下内容：</w:t>
      </w:r>
    </w:p>
    <w:p w14:paraId="7A827AB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①事件发生单位概况。</w:t>
      </w:r>
    </w:p>
    <w:p w14:paraId="6014E86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②事件发生经过和事故救援情况。</w:t>
      </w:r>
    </w:p>
    <w:p w14:paraId="3763A29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③事件造成的人员伤亡和直接经济损失。</w:t>
      </w:r>
    </w:p>
    <w:p w14:paraId="329EAF8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④事件发生的原因和事件性质。</w:t>
      </w:r>
    </w:p>
    <w:p w14:paraId="78F4CC6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⑤事件责任的认定以及对事件责任者的处理建议；</w:t>
      </w:r>
    </w:p>
    <w:p w14:paraId="487A06D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⑥事件防范和整改措施。</w:t>
      </w:r>
    </w:p>
    <w:p w14:paraId="789CF3D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事件调查报告应当附具有关证据材料。事件调查组成员应当在事件调查报告上签名。事件调查的有关资料应当归档并永久保存。</w:t>
      </w:r>
    </w:p>
    <w:p w14:paraId="0D3536FE">
      <w:pPr>
        <w:pStyle w:val="2"/>
        <w:numPr>
          <w:ilvl w:val="0"/>
          <w:numId w:val="1"/>
        </w:numPr>
        <w:spacing w:beforeLines="50" w:afterLines="50" w:line="520" w:lineRule="exact"/>
        <w:jc w:val="center"/>
        <w:rPr>
          <w:rFonts w:ascii="方正小标宋简体" w:hAnsi="方正小标宋简体" w:eastAsia="方正小标宋简体" w:cs="方正小标宋简体"/>
          <w:b w:val="0"/>
          <w:bCs/>
          <w:sz w:val="32"/>
          <w:szCs w:val="32"/>
        </w:rPr>
      </w:pPr>
      <w:bookmarkStart w:id="20" w:name="_Toc32077"/>
      <w:r>
        <w:rPr>
          <w:rFonts w:hint="eastAsia" w:ascii="方正小标宋简体" w:hAnsi="方正小标宋简体" w:eastAsia="方正小标宋简体" w:cs="方正小标宋简体"/>
          <w:b w:val="0"/>
          <w:bCs/>
          <w:sz w:val="32"/>
          <w:szCs w:val="32"/>
        </w:rPr>
        <w:t>应急保障措施</w:t>
      </w:r>
      <w:bookmarkEnd w:id="20"/>
    </w:p>
    <w:p w14:paraId="51E51BEC">
      <w:pPr>
        <w:pStyle w:val="14"/>
        <w:spacing w:beforeLines="50" w:afterLines="50" w:line="520" w:lineRule="exact"/>
        <w:ind w:left="0" w:leftChars="0" w:firstLine="640" w:firstLineChars="200"/>
        <w:rPr>
          <w:rFonts w:ascii="黑体" w:hAnsi="黑体" w:eastAsia="黑体" w:cs="黑体"/>
          <w:b w:val="0"/>
          <w:bCs/>
          <w:sz w:val="32"/>
          <w:szCs w:val="32"/>
        </w:rPr>
      </w:pPr>
      <w:bookmarkStart w:id="21" w:name="_Toc15617"/>
      <w:r>
        <w:rPr>
          <w:rFonts w:hint="eastAsia" w:ascii="黑体" w:hAnsi="黑体" w:eastAsia="黑体" w:cs="黑体"/>
          <w:b w:val="0"/>
          <w:bCs/>
          <w:sz w:val="32"/>
          <w:szCs w:val="32"/>
        </w:rPr>
        <w:t>一、应急通信保障</w:t>
      </w:r>
      <w:bookmarkEnd w:id="21"/>
    </w:p>
    <w:p w14:paraId="4E38BA9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江西景德镇长运应急通信保障，依托移动通信、网络、微信视频会议等构建江西景德镇长运与各子公司的应急指挥通信系统，实现信息互通，资源共享，为应急指挥决策提供信息支持。</w:t>
      </w:r>
    </w:p>
    <w:p w14:paraId="1984888D">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（一）日常办公系统</w:t>
      </w:r>
      <w:r>
        <w:rPr>
          <w:rFonts w:hint="eastAsia" w:ascii="仿宋_GB2312" w:hAnsi="仿宋_GB2312" w:eastAsia="仿宋_GB2312" w:cs="仿宋_GB2312"/>
          <w:sz w:val="32"/>
          <w:szCs w:val="32"/>
        </w:rPr>
        <w:t>：主要为OA办公系统、手机等，主要保障各级应急管理机构上传下达政务指令，保持工作联系。</w:t>
      </w:r>
    </w:p>
    <w:p w14:paraId="6930542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（附件11：江西景德镇长运应急管理委员会人员通讯联络表）</w:t>
      </w:r>
    </w:p>
    <w:p w14:paraId="51CED2D1">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（二）值班调度系统</w:t>
      </w:r>
      <w:r>
        <w:rPr>
          <w:rFonts w:hint="eastAsia" w:ascii="仿宋_GB2312" w:hAnsi="仿宋_GB2312" w:eastAsia="仿宋_GB2312" w:cs="仿宋_GB2312"/>
          <w:sz w:val="32"/>
          <w:szCs w:val="32"/>
        </w:rPr>
        <w:t>：主要为各公司综合值班室、生产调度中心、重点要害部位、24小时值班调度电话等，主要保障突发事件应急处置过程中的上下联系沟通。</w:t>
      </w:r>
    </w:p>
    <w:p w14:paraId="34D23D3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（附件12：江西景德镇长运值班调度系统通讯联络表）</w:t>
      </w:r>
    </w:p>
    <w:p w14:paraId="3536D319">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（三）应急管理平台</w:t>
      </w:r>
      <w:r>
        <w:rPr>
          <w:rFonts w:hint="eastAsia" w:ascii="仿宋_GB2312" w:hAnsi="仿宋_GB2312" w:eastAsia="仿宋_GB2312" w:cs="仿宋_GB2312"/>
          <w:sz w:val="32"/>
          <w:szCs w:val="32"/>
        </w:rPr>
        <w:t>：包括视频监控系统、视频会议系统和移动通讯系统、OA办公系统等等。主要保障开展应急管理业务，召开远程会议会商，开展预防监测，发布预警信息，监督预警行动。应急状态下，即时发布响应信息，保障总指挥部、前方指挥部实施靠前指挥，对接江西景德镇长运应急办和上级有关部门，反馈现场处置情况。</w:t>
      </w:r>
    </w:p>
    <w:p w14:paraId="1DD0F908">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（四）外部通信系统</w:t>
      </w:r>
      <w:r>
        <w:rPr>
          <w:rFonts w:hint="eastAsia" w:ascii="仿宋_GB2312" w:hAnsi="仿宋_GB2312" w:eastAsia="仿宋_GB2312" w:cs="仿宋_GB2312"/>
          <w:sz w:val="32"/>
          <w:szCs w:val="32"/>
        </w:rPr>
        <w:t>：包括当地政府、上级应急部门及值班室、各类应急资源报警联系电话（传真）、公司网站、电子邮箱、QQ（微信）工作群、微信微博公众平台等互联网公众信息平台。主要用于公司及各级应急管理领导机构、指挥机构、职能部门的对外沟通联系，传输与国家安全、社会稳定、商业机密无关的一般信息，对外发布突发事件新闻动态。</w:t>
      </w:r>
    </w:p>
    <w:p w14:paraId="7BFE91B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（附件13：江西景德镇长运突发事件外部通讯联络表）</w:t>
      </w:r>
    </w:p>
    <w:p w14:paraId="62A67D0F">
      <w:pPr>
        <w:pStyle w:val="14"/>
        <w:spacing w:beforeLines="50" w:afterLines="50" w:line="520" w:lineRule="exact"/>
        <w:ind w:left="0" w:leftChars="0" w:firstLine="640" w:firstLineChars="200"/>
        <w:rPr>
          <w:rFonts w:ascii="黑体" w:hAnsi="黑体" w:eastAsia="黑体" w:cs="黑体"/>
          <w:b w:val="0"/>
          <w:bCs/>
          <w:sz w:val="32"/>
          <w:szCs w:val="32"/>
        </w:rPr>
      </w:pPr>
      <w:bookmarkStart w:id="22" w:name="_Toc16170"/>
      <w:r>
        <w:rPr>
          <w:rFonts w:hint="eastAsia" w:ascii="黑体" w:hAnsi="黑体" w:eastAsia="黑体" w:cs="黑体"/>
          <w:b w:val="0"/>
          <w:bCs/>
          <w:sz w:val="32"/>
          <w:szCs w:val="32"/>
        </w:rPr>
        <w:t>二、应急救援队伍</w:t>
      </w:r>
      <w:bookmarkEnd w:id="22"/>
    </w:p>
    <w:p w14:paraId="158184E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江西景德镇长运应急救援队伍由综合应急救援队伍组成，队员均为兼职。遇突发事件，江西景德镇长运有权调度各子公司应急救援队伍相互支援，协同事发单位共同处置。</w:t>
      </w:r>
    </w:p>
    <w:p w14:paraId="51EEA407">
      <w:pPr>
        <w:spacing w:line="520" w:lineRule="exact"/>
        <w:ind w:firstLine="732" w:firstLineChars="228"/>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综合应急队伍</w:t>
      </w:r>
    </w:p>
    <w:p w14:paraId="0C66538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1、江西景德镇长运及各子公司结合实际，组建一支管理规范、纪律严明、规模适当，能“招之即来、来之能战、战之必胜”的综合应急队伍，由江西景德镇长运及各子公司安全管理部门负责培训与管理。</w:t>
      </w:r>
    </w:p>
    <w:p w14:paraId="19554FB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江西景德镇长运及各子公司综合应急队伍在遇有突发事件的情况下，应在公司及上级的指挥调度下，发挥“第一梯队”的作用，开展先期处置，组织群众自救互救、参与抢险救灾、人员转移安置、维护公共秩序，配合专业应急救援队伍做好各项保障，协助有关方面做好善后处置、物资发放等工作。</w:t>
      </w:r>
    </w:p>
    <w:p w14:paraId="6312A52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（附件14：江西景德镇长运综合应急队伍联络表）</w:t>
      </w:r>
    </w:p>
    <w:p w14:paraId="58C52CAA">
      <w:pPr>
        <w:pStyle w:val="14"/>
        <w:spacing w:beforeLines="50" w:afterLines="50" w:line="520" w:lineRule="exact"/>
        <w:ind w:left="0" w:leftChars="0" w:firstLine="640" w:firstLineChars="200"/>
        <w:rPr>
          <w:rFonts w:ascii="黑体" w:hAnsi="黑体" w:eastAsia="黑体" w:cs="黑体"/>
          <w:b w:val="0"/>
          <w:bCs/>
          <w:sz w:val="32"/>
          <w:szCs w:val="32"/>
        </w:rPr>
      </w:pPr>
      <w:bookmarkStart w:id="23" w:name="_Toc1935"/>
      <w:r>
        <w:rPr>
          <w:rFonts w:hint="eastAsia" w:ascii="黑体" w:hAnsi="黑体" w:eastAsia="黑体" w:cs="黑体"/>
          <w:b w:val="0"/>
          <w:bCs/>
          <w:sz w:val="32"/>
          <w:szCs w:val="32"/>
        </w:rPr>
        <w:t>三、应急物资保障</w:t>
      </w:r>
      <w:bookmarkEnd w:id="23"/>
    </w:p>
    <w:p w14:paraId="781CDFD6">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各单位、子公司应建立应急救援设施、设备、救治药品、医疗器械等储备机制，储备必要的应急物资和装备并做好日常的维护与检查工作。各应急救援机构根据实际情况，负责监督和掌握应急物资的储备情况。</w:t>
      </w:r>
    </w:p>
    <w:p w14:paraId="476A0DC6">
      <w:pPr>
        <w:spacing w:line="520" w:lineRule="exact"/>
        <w:ind w:firstLine="732" w:firstLineChars="228"/>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（一）生产物资储备。</w:t>
      </w:r>
      <w:r>
        <w:rPr>
          <w:rFonts w:hint="eastAsia" w:ascii="仿宋_GB2312" w:hAnsi="仿宋_GB2312" w:eastAsia="仿宋_GB2312" w:cs="仿宋_GB2312"/>
          <w:sz w:val="32"/>
          <w:szCs w:val="32"/>
        </w:rPr>
        <w:t>各单位、子公司应做好重要生产物资的储备，尤其重要和关键物资应按一定比例充足储备。</w:t>
      </w:r>
    </w:p>
    <w:p w14:paraId="737A02CA">
      <w:pPr>
        <w:spacing w:line="520" w:lineRule="exact"/>
        <w:ind w:firstLine="732" w:firstLineChars="228"/>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（二）运行系统备份。</w:t>
      </w:r>
      <w:r>
        <w:rPr>
          <w:rFonts w:hint="eastAsia" w:ascii="仿宋_GB2312" w:hAnsi="仿宋_GB2312" w:eastAsia="仿宋_GB2312" w:cs="仿宋_GB2312"/>
          <w:sz w:val="32"/>
          <w:szCs w:val="32"/>
        </w:rPr>
        <w:t>各单位、子公司应做好生产运行系统、财务系统等重要信息系统的备份工作，应尽可能做到软件、硬件双备份，确保不中断。</w:t>
      </w:r>
    </w:p>
    <w:p w14:paraId="22E30A19">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（三）救援物资储备。</w:t>
      </w:r>
      <w:r>
        <w:rPr>
          <w:rFonts w:hint="eastAsia" w:ascii="仿宋_GB2312" w:hAnsi="仿宋_GB2312" w:eastAsia="仿宋_GB2312" w:cs="仿宋_GB2312"/>
          <w:sz w:val="32"/>
          <w:szCs w:val="32"/>
        </w:rPr>
        <w:t>各单位、子公司及专业应急救援队伍责任单位在做好重要应急救援物资、设备的储备的同时，应根据单位的性质、任务，或其它重要任务的需要，相应做好应急救援物的储备，做到有备无患。</w:t>
      </w:r>
    </w:p>
    <w:p w14:paraId="62795F88">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（四）医药物资配备。</w:t>
      </w:r>
      <w:r>
        <w:rPr>
          <w:rFonts w:hint="eastAsia" w:ascii="仿宋_GB2312" w:hAnsi="仿宋_GB2312" w:eastAsia="仿宋_GB2312" w:cs="仿宋_GB2312"/>
          <w:sz w:val="32"/>
          <w:szCs w:val="32"/>
        </w:rPr>
        <w:t>各单位、子公司在人员密集场所、重点要害部位应根据需要每个场所至少配备1套医疗急救箱，备齐消毒、消暑、止血、包扎、供氧、救治药品等。</w:t>
      </w:r>
    </w:p>
    <w:p w14:paraId="5A131054">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（五）消防物资配备。</w:t>
      </w:r>
      <w:r>
        <w:rPr>
          <w:rFonts w:hint="eastAsia" w:ascii="仿宋_GB2312" w:hAnsi="仿宋_GB2312" w:eastAsia="仿宋_GB2312" w:cs="仿宋_GB2312"/>
          <w:sz w:val="32"/>
          <w:szCs w:val="32"/>
        </w:rPr>
        <w:t>各单位、子公司应按规定设置消防安全设施，并确保正常运行。各类场所应按要求配备消防灭火器材，保证消防应急通道畅通，重点消防单位、部位应设置微型消防站。</w:t>
      </w:r>
    </w:p>
    <w:p w14:paraId="54A47A55">
      <w:pPr>
        <w:pStyle w:val="14"/>
        <w:spacing w:beforeLines="50" w:afterLines="50" w:line="520" w:lineRule="exact"/>
        <w:ind w:left="0" w:leftChars="0" w:firstLine="640" w:firstLineChars="200"/>
        <w:rPr>
          <w:rFonts w:ascii="黑体" w:hAnsi="黑体" w:eastAsia="黑体" w:cs="黑体"/>
          <w:b w:val="0"/>
          <w:bCs/>
          <w:sz w:val="32"/>
          <w:szCs w:val="32"/>
        </w:rPr>
      </w:pPr>
      <w:bookmarkStart w:id="24" w:name="_Toc18861"/>
      <w:r>
        <w:rPr>
          <w:rFonts w:hint="eastAsia" w:ascii="黑体" w:hAnsi="黑体" w:eastAsia="黑体" w:cs="黑体"/>
          <w:b w:val="0"/>
          <w:bCs/>
          <w:sz w:val="32"/>
          <w:szCs w:val="32"/>
        </w:rPr>
        <w:t>四、应急经费保障</w:t>
      </w:r>
      <w:bookmarkEnd w:id="24"/>
    </w:p>
    <w:p w14:paraId="15B18922">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（一）应急专项经费。</w:t>
      </w:r>
      <w:r>
        <w:rPr>
          <w:rFonts w:hint="eastAsia" w:ascii="仿宋_GB2312" w:hAnsi="仿宋_GB2312" w:eastAsia="仿宋_GB2312" w:cs="仿宋_GB2312"/>
          <w:sz w:val="32"/>
          <w:szCs w:val="32"/>
        </w:rPr>
        <w:t xml:space="preserve">各单位、子公司必须按比例提取年度安全生产专项经费，并将部分经费列为突发事件应急救援必要的资金准备，保障应急管理和应急救援开支，保证在应对突发事件时有足够的应急资金。用于配备必要的应急救援器材、设备，完善、改造和维护安全设施、设备，配备职工安全防护用品和装置，职工安全生产教育培训、应急救援演练、突发事件善后处置或其他应急救援等费用的支出。    </w:t>
      </w:r>
    </w:p>
    <w:p w14:paraId="1F244D37">
      <w:pPr>
        <w:spacing w:line="520" w:lineRule="exact"/>
        <w:ind w:firstLine="684" w:firstLineChars="213"/>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（二）风险防控经费。</w:t>
      </w:r>
      <w:r>
        <w:rPr>
          <w:rFonts w:hint="eastAsia" w:ascii="仿宋_GB2312" w:hAnsi="仿宋_GB2312" w:eastAsia="仿宋_GB2312" w:cs="仿宋_GB2312"/>
          <w:sz w:val="32"/>
          <w:szCs w:val="32"/>
        </w:rPr>
        <w:t>各单位、子公司应建立完善风险预防与控制制度，科学评估企业可能面临的各类风险，加大责任保险投入，通过投保固定资产险、职业健康险、意外伤害险、事故责任险、自然灾害险等险种，转移或减少突发事件造成的经济损失，同时通过保险机构的规范技术服务，提升在安全生产标准化建设、安全教育培训、安全风险辨识、评估和安全评价、生产安全事故隐患排查、应急预案编制和演练、安全生产科技推广应用的水平，进而全面提升风险预防和控制的能力。</w:t>
      </w:r>
    </w:p>
    <w:p w14:paraId="5D6BD58B">
      <w:pPr>
        <w:pStyle w:val="2"/>
        <w:numPr>
          <w:ilvl w:val="0"/>
          <w:numId w:val="1"/>
        </w:numPr>
        <w:spacing w:beforeLines="50" w:afterLines="50" w:line="520" w:lineRule="exact"/>
        <w:jc w:val="center"/>
        <w:rPr>
          <w:rFonts w:ascii="方正小标宋简体" w:hAnsi="方正小标宋简体" w:eastAsia="方正小标宋简体" w:cs="方正小标宋简体"/>
          <w:b w:val="0"/>
          <w:bCs/>
          <w:sz w:val="32"/>
          <w:szCs w:val="32"/>
        </w:rPr>
      </w:pPr>
      <w:bookmarkStart w:id="25" w:name="_Toc22943"/>
      <w:r>
        <w:rPr>
          <w:rFonts w:hint="eastAsia" w:ascii="方正小标宋简体" w:hAnsi="方正小标宋简体" w:eastAsia="方正小标宋简体" w:cs="方正小标宋简体"/>
          <w:b w:val="0"/>
          <w:bCs/>
          <w:sz w:val="32"/>
          <w:szCs w:val="32"/>
        </w:rPr>
        <w:t>应急预案的管理</w:t>
      </w:r>
      <w:bookmarkEnd w:id="25"/>
    </w:p>
    <w:p w14:paraId="6DD3B7BF">
      <w:pPr>
        <w:pStyle w:val="14"/>
        <w:spacing w:beforeLines="50" w:afterLines="50" w:line="520" w:lineRule="exact"/>
        <w:ind w:left="0" w:leftChars="0" w:firstLine="640" w:firstLineChars="200"/>
        <w:rPr>
          <w:rFonts w:ascii="黑体" w:hAnsi="黑体" w:eastAsia="黑体" w:cs="黑体"/>
          <w:b w:val="0"/>
          <w:bCs/>
          <w:sz w:val="32"/>
          <w:szCs w:val="32"/>
        </w:rPr>
      </w:pPr>
      <w:bookmarkStart w:id="26" w:name="_Toc28246"/>
      <w:r>
        <w:rPr>
          <w:rFonts w:hint="eastAsia" w:ascii="黑体" w:hAnsi="黑体" w:eastAsia="黑体" w:cs="黑体"/>
          <w:b w:val="0"/>
          <w:bCs/>
          <w:sz w:val="32"/>
          <w:szCs w:val="32"/>
        </w:rPr>
        <w:t>一、预案培训</w:t>
      </w:r>
      <w:bookmarkEnd w:id="26"/>
    </w:p>
    <w:p w14:paraId="0C40490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一）江西景德镇长运安生部负责本预案的培训。原则上每2年进行1次培训，遇预案修订、修改、调整或重新发布应在预案发布3个月内组织培训。培训对象为：公司应急管理委员会全体成员及各单位、子公司应急管理分管领导、部门负责人。</w:t>
      </w:r>
    </w:p>
    <w:p w14:paraId="7AACCF8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二）各单位、子公司负责对本公司的综合应急预案、专项应急预案和现场处置方案定期组织培训。原则上综合应急预案每年、专项应急预案每半年、现场处置方案每季度应组织1次培训。培训对象为：本公司各级管理人员及相关从业人员。</w:t>
      </w:r>
    </w:p>
    <w:p w14:paraId="0639396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（三）各单位、子公司应对从业人员进行应急教育和培训，保证从业人员具备必要的应急知识，掌握风险防范技能和事故应急措施。</w:t>
      </w:r>
    </w:p>
    <w:p w14:paraId="5ED4A5D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（四）各类应急预案的要点和程序应当张贴在应急地点和应急指挥场所，并设有明显的标志。</w:t>
      </w:r>
    </w:p>
    <w:p w14:paraId="7266F8D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五）公司及各子公司宣传、文化等有关部门应通过图书、报刊、影音制品和电子出版物、网络、微信、QQ、微博等形式，广泛宣传突发公共事件应急法律法规和预防、避险、自救、互救、减灾等常识，增强公众的忧患意识、社会责任意识和自救、互救能力。</w:t>
      </w:r>
      <w:bookmarkStart w:id="27" w:name="_Toc19510"/>
    </w:p>
    <w:p w14:paraId="309AA01F">
      <w:pPr>
        <w:spacing w:beforeLines="50" w:afterLines="50" w:line="520" w:lineRule="exact"/>
        <w:ind w:firstLine="681" w:firstLineChars="213"/>
        <w:rPr>
          <w:rFonts w:ascii="黑体" w:hAnsi="黑体" w:eastAsia="黑体" w:cs="黑体"/>
          <w:bCs/>
          <w:sz w:val="32"/>
          <w:szCs w:val="32"/>
        </w:rPr>
      </w:pPr>
      <w:r>
        <w:rPr>
          <w:rFonts w:hint="eastAsia" w:ascii="黑体" w:hAnsi="黑体" w:eastAsia="黑体" w:cs="黑体"/>
          <w:bCs/>
          <w:sz w:val="32"/>
          <w:szCs w:val="32"/>
        </w:rPr>
        <w:t>二、应急演练</w:t>
      </w:r>
      <w:bookmarkEnd w:id="27"/>
    </w:p>
    <w:p w14:paraId="1D0DCFD7">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各单位应依据《生产安全事故应急预案管理办法》、《生产安全事故应急预案演练基本规范》等相关的法律、法规、规范的规定组织实施演练。</w:t>
      </w:r>
    </w:p>
    <w:p w14:paraId="58F289C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一）公司安生部按照相关规定组织制定本预案的演练计划，报上级部门备案并组织实施演练。公司每年组织或指导相关企业开展1次单个类型、多个类型或专项应急预案演练，并随机检查、检验现场处置相关演练。</w:t>
      </w:r>
    </w:p>
    <w:p w14:paraId="21A4D25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二）各单位、子公司应在每年年初制定应急演练计划，报江西景德镇长运应急办备案并组织实施演练。各单位、子公司根据本单位的事故风险特点，每年至少组织一次综合应急预案演练或者专项应急预案演练，每半年至少组织一次现场处置方案演练；客运站等消防重点单位至少每半年开展一次灭火和疏散应急演练，单位内部的有关部门应结合实际适时组织专项演练（宜每年开展一次疏散演练）。</w:t>
      </w:r>
    </w:p>
    <w:p w14:paraId="4256312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三）公司及各单位、子公司应根据应急预案的类别、性质、条件，采取桌面演练、模拟演练、实战演练的方式，相应开展综合演练、专项演练和现场处置演练，检验应急预案的科学性、合理性和可操作性。应急演练结束后，应对应急演练的效果进行评估，撰写《应急预案演练评估报告》，分析存在的问题，并对应急预案提出修订意见。</w:t>
      </w:r>
    </w:p>
    <w:p w14:paraId="02843E07">
      <w:pPr>
        <w:spacing w:beforeLines="50" w:afterLines="50" w:line="520" w:lineRule="exact"/>
        <w:ind w:firstLine="681" w:firstLineChars="213"/>
        <w:rPr>
          <w:rFonts w:ascii="黑体" w:hAnsi="黑体" w:eastAsia="黑体" w:cs="黑体"/>
          <w:bCs/>
          <w:sz w:val="32"/>
          <w:szCs w:val="32"/>
        </w:rPr>
      </w:pPr>
      <w:bookmarkStart w:id="28" w:name="_Toc24956"/>
      <w:r>
        <w:rPr>
          <w:rFonts w:hint="eastAsia" w:ascii="黑体" w:hAnsi="黑体" w:eastAsia="黑体" w:cs="黑体"/>
          <w:bCs/>
          <w:sz w:val="32"/>
          <w:szCs w:val="32"/>
        </w:rPr>
        <w:t>三、预案评估和修订</w:t>
      </w:r>
      <w:bookmarkEnd w:id="28"/>
    </w:p>
    <w:p w14:paraId="19AFC0D0">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（一）本预案的适用性评估由公司应急办负责实施。应急办发现应急预案存在问题和不足时，对是否修订做出结论和修订建议，并提交应急管理委员会决策；本预案原则上自发布日起，每4年组织1次评估和修订。</w:t>
      </w:r>
    </w:p>
    <w:p w14:paraId="2A0FEEB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二）本预案发布之后，各单位、子公司应根据《生产经营单位突发事件事故应急预案编制导则》、《社会单位灭火和应急疏散预案编制及实施导则》以及本预案，并结合实际对各自的综合应急预案、专项应急预案、现场处置方案进行修订；同时，应根据《生产经营单位生产安全事故应急预案评估指南》以及《生产安全事故应急预案管理办法》第二十一条规定的“矿山、金属冶炼企业和易燃易爆物品、危险化学品的生产、经营（带储存设施的，下同）、储存、运输企业，以及使用危险化学品达到国家规定数量的化工企业、烟花爆竹生产、批发经营企业和中型规模以上的其他生产经营单位，应当对本单位编制的应急预案进行评审，并形成书面评审纪要；其他生产经营单位可以根据自身需要，对本单位编制的应急预案进行论证”的要求落实各项工作。</w:t>
      </w:r>
    </w:p>
    <w:p w14:paraId="33F8F92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（三）有下列情形之一的，公司及各单位、子公司应急预案应当及时修订:</w:t>
      </w:r>
    </w:p>
    <w:p w14:paraId="635DCBB1">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1、生产经营单位因兼并、重组、转制等导致隶属关系、经营方式、法定代表人发生变化的。</w:t>
      </w:r>
    </w:p>
    <w:p w14:paraId="49AC896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2、生产经营单位生产工艺和技术发生变化的。</w:t>
      </w:r>
    </w:p>
    <w:p w14:paraId="40C7327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3、企业面临的风险发生重大变化。</w:t>
      </w:r>
    </w:p>
    <w:p w14:paraId="4C1DD39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4、应急指挥机构及其职责发生调整。</w:t>
      </w:r>
    </w:p>
    <w:p w14:paraId="52614F2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5、制定预案所依据的法律、法规、规章、标准发生重大变化。</w:t>
      </w:r>
    </w:p>
    <w:p w14:paraId="2EF6D39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6、应急预案演练评估报告要求修订的。</w:t>
      </w:r>
    </w:p>
    <w:p w14:paraId="6DB0F12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7、应急预案管理部门要求修订的。</w:t>
      </w:r>
    </w:p>
    <w:p w14:paraId="3C47243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8、重要应急资源发生重大变化。</w:t>
      </w:r>
    </w:p>
    <w:p w14:paraId="49851CF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9、在预案演练或者应急救援中发现需要修订预案的重大问题。</w:t>
      </w:r>
    </w:p>
    <w:p w14:paraId="044EC05E">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10、其他应当修订的情形。</w:t>
      </w:r>
    </w:p>
    <w:p w14:paraId="086697F8">
      <w:pPr>
        <w:spacing w:beforeLines="50" w:afterLines="50" w:line="520" w:lineRule="exact"/>
        <w:ind w:firstLine="681" w:firstLineChars="213"/>
        <w:rPr>
          <w:rFonts w:ascii="黑体" w:hAnsi="黑体" w:eastAsia="黑体" w:cs="黑体"/>
          <w:bCs/>
          <w:sz w:val="32"/>
          <w:szCs w:val="32"/>
        </w:rPr>
      </w:pPr>
      <w:bookmarkStart w:id="29" w:name="_Toc19502"/>
      <w:r>
        <w:rPr>
          <w:rFonts w:hint="eastAsia" w:ascii="黑体" w:hAnsi="黑体" w:eastAsia="黑体" w:cs="黑体"/>
          <w:bCs/>
          <w:sz w:val="32"/>
          <w:szCs w:val="32"/>
        </w:rPr>
        <w:t>四、预案备案</w:t>
      </w:r>
      <w:bookmarkEnd w:id="29"/>
    </w:p>
    <w:p w14:paraId="6B56A678">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（一）本预案根据政府及上级有关部门的要求按照规定备案。</w:t>
      </w:r>
    </w:p>
    <w:p w14:paraId="7228D4AD">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（二）本预案发布之日起6个月内，各单位、子公司综合应急预案、专项应急预案应报江西景德镇长运应急办备案。往后，各单位、子公司应急预案有修订的情况，应在修订完毕后1个月内报备。</w:t>
      </w:r>
    </w:p>
    <w:p w14:paraId="347CFA13">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（三）各公司负责本公司各类应急预案备案管理，应按照预案的类别，逐级备案。需要报政府及有关部门备案的，应按照上级有关部门的要求及时报备。</w:t>
      </w:r>
    </w:p>
    <w:p w14:paraId="52D85F02">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（四）预案备案应提交以下材料:</w:t>
      </w:r>
    </w:p>
    <w:p w14:paraId="0AC49A4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1、应急预案备案申请表（附件15）。</w:t>
      </w:r>
    </w:p>
    <w:p w14:paraId="4CD4F35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2、应急预案评审或者论证意见。</w:t>
      </w:r>
    </w:p>
    <w:p w14:paraId="61CB8495">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3、应急预案文本及电子文档。</w:t>
      </w:r>
    </w:p>
    <w:p w14:paraId="0904EF7E">
      <w:pPr>
        <w:pStyle w:val="2"/>
        <w:numPr>
          <w:ilvl w:val="0"/>
          <w:numId w:val="1"/>
        </w:numPr>
        <w:spacing w:beforeLines="50" w:afterLines="50" w:line="520" w:lineRule="exact"/>
        <w:jc w:val="center"/>
        <w:rPr>
          <w:rFonts w:ascii="方正小标宋简体" w:hAnsi="方正小标宋简体" w:eastAsia="方正小标宋简体" w:cs="方正小标宋简体"/>
          <w:sz w:val="32"/>
          <w:szCs w:val="32"/>
        </w:rPr>
      </w:pPr>
      <w:bookmarkStart w:id="30" w:name="_Toc9978"/>
      <w:r>
        <w:rPr>
          <w:rFonts w:hint="eastAsia" w:ascii="方正小标宋简体" w:hAnsi="方正小标宋简体" w:eastAsia="方正小标宋简体" w:cs="方正小标宋简体"/>
          <w:sz w:val="32"/>
          <w:szCs w:val="32"/>
        </w:rPr>
        <w:t>附则与附件</w:t>
      </w:r>
      <w:bookmarkEnd w:id="30"/>
    </w:p>
    <w:p w14:paraId="71E2B77B">
      <w:pPr>
        <w:pStyle w:val="14"/>
        <w:spacing w:beforeLines="50" w:afterLines="50" w:line="520" w:lineRule="exact"/>
        <w:ind w:left="0" w:leftChars="0" w:firstLine="640" w:firstLineChars="200"/>
        <w:rPr>
          <w:rFonts w:ascii="黑体" w:hAnsi="黑体" w:eastAsia="黑体" w:cs="黑体"/>
          <w:b w:val="0"/>
          <w:bCs/>
          <w:sz w:val="32"/>
          <w:szCs w:val="32"/>
        </w:rPr>
      </w:pPr>
      <w:bookmarkStart w:id="31" w:name="_Toc13976"/>
      <w:r>
        <w:rPr>
          <w:rFonts w:hint="eastAsia" w:ascii="黑体" w:hAnsi="黑体" w:eastAsia="黑体" w:cs="黑体"/>
          <w:b w:val="0"/>
          <w:bCs/>
          <w:sz w:val="32"/>
          <w:szCs w:val="32"/>
        </w:rPr>
        <w:t>一、附则</w:t>
      </w:r>
      <w:bookmarkEnd w:id="31"/>
    </w:p>
    <w:p w14:paraId="458903A0">
      <w:pPr>
        <w:spacing w:line="520" w:lineRule="exact"/>
        <w:ind w:firstLine="684" w:firstLineChars="21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（一）术语与定义</w:t>
      </w:r>
    </w:p>
    <w:p w14:paraId="1B4B3333">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1、突发事件：</w:t>
      </w:r>
      <w:r>
        <w:rPr>
          <w:rFonts w:hint="eastAsia" w:ascii="仿宋_GB2312" w:hAnsi="仿宋_GB2312" w:eastAsia="仿宋_GB2312" w:cs="仿宋_GB2312"/>
          <w:sz w:val="32"/>
          <w:szCs w:val="32"/>
        </w:rPr>
        <w:t>是指突然发生，造成或者可能造成严重社会危害，需要采取应急处置措施予以应对的自然灾害、事故灾难、公共卫生事件和社会安全事件。</w:t>
      </w:r>
    </w:p>
    <w:p w14:paraId="3DED3234">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2、应急预案：</w:t>
      </w:r>
      <w:r>
        <w:rPr>
          <w:rFonts w:hint="eastAsia" w:ascii="仿宋_GB2312" w:hAnsi="仿宋_GB2312" w:eastAsia="仿宋_GB2312" w:cs="仿宋_GB2312"/>
          <w:sz w:val="32"/>
          <w:szCs w:val="32"/>
        </w:rPr>
        <w:t>针对可能发生的事件，为迅速、有序地开展应急行动而预先制定的行动方案。</w:t>
      </w:r>
    </w:p>
    <w:p w14:paraId="62724188">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3、应急准备：</w:t>
      </w:r>
      <w:r>
        <w:rPr>
          <w:rFonts w:hint="eastAsia" w:ascii="仿宋_GB2312" w:hAnsi="仿宋_GB2312" w:eastAsia="仿宋_GB2312" w:cs="仿宋_GB2312"/>
          <w:sz w:val="32"/>
          <w:szCs w:val="32"/>
        </w:rPr>
        <w:t>针对可能发生的事件，为迅速、有序地开展应急行动而预先进行的组织准备和应急保障。</w:t>
      </w:r>
    </w:p>
    <w:p w14:paraId="55B76B67">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4、应急响应：</w:t>
      </w:r>
      <w:r>
        <w:rPr>
          <w:rFonts w:hint="eastAsia" w:ascii="仿宋_GB2312" w:hAnsi="仿宋_GB2312" w:eastAsia="仿宋_GB2312" w:cs="仿宋_GB2312"/>
          <w:sz w:val="32"/>
          <w:szCs w:val="32"/>
        </w:rPr>
        <w:t>事件发生后，有关组织或人员采取的应急行动。</w:t>
      </w:r>
    </w:p>
    <w:p w14:paraId="511EA88A">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5、应急救援：</w:t>
      </w:r>
      <w:r>
        <w:rPr>
          <w:rFonts w:hint="eastAsia" w:ascii="仿宋_GB2312" w:hAnsi="仿宋_GB2312" w:eastAsia="仿宋_GB2312" w:cs="仿宋_GB2312"/>
          <w:sz w:val="32"/>
          <w:szCs w:val="32"/>
        </w:rPr>
        <w:t>在应急响应过程中，为消除、减少事件危害，防止事故扩大或恶化，最大限度地降低事故造成的损失或危害而采取的救援措施或行动。</w:t>
      </w:r>
    </w:p>
    <w:p w14:paraId="71AF448F">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6、恢复：</w:t>
      </w:r>
      <w:r>
        <w:rPr>
          <w:rFonts w:hint="eastAsia" w:ascii="仿宋_GB2312" w:hAnsi="仿宋_GB2312" w:eastAsia="仿宋_GB2312" w:cs="仿宋_GB2312"/>
          <w:sz w:val="32"/>
          <w:szCs w:val="32"/>
        </w:rPr>
        <w:t>事件的影响得到初步控制后，为使生产、工作、生活和生态环境尽快恢复到正常状态而采取的措施或行动。</w:t>
      </w:r>
    </w:p>
    <w:p w14:paraId="2390B4CB">
      <w:pPr>
        <w:spacing w:line="520" w:lineRule="exact"/>
        <w:ind w:firstLine="684" w:firstLineChars="213"/>
        <w:rPr>
          <w:rFonts w:ascii="仿宋_GB2312" w:hAnsi="仿宋_GB2312" w:eastAsia="仿宋_GB2312" w:cs="仿宋_GB2312"/>
          <w:sz w:val="32"/>
          <w:szCs w:val="32"/>
        </w:rPr>
      </w:pPr>
      <w:r>
        <w:rPr>
          <w:rFonts w:hint="eastAsia" w:ascii="仿宋_GB2312" w:hAnsi="仿宋_GB2312" w:eastAsia="仿宋_GB2312" w:cs="仿宋_GB2312"/>
          <w:b/>
          <w:bCs/>
          <w:sz w:val="32"/>
          <w:szCs w:val="32"/>
        </w:rPr>
        <w:t>7、次生、衍生、耦合事故：</w:t>
      </w:r>
      <w:r>
        <w:rPr>
          <w:rFonts w:hint="eastAsia" w:ascii="仿宋_GB2312" w:hAnsi="仿宋_GB2312" w:eastAsia="仿宋_GB2312" w:cs="仿宋_GB2312"/>
          <w:sz w:val="32"/>
          <w:szCs w:val="32"/>
        </w:rPr>
        <w:t>次生事故是指在突发事件的灾害链中，由原生事故诱导的、第二次生成的、间接造成的事故。衍生事故是指由原生事故派生出来的、第三次生成的、因繁衍变化而发生的一系列事故。耦合事故是指在同一地区、同一时段内发生的两个以上相互关联的安全生产事故。</w:t>
      </w:r>
    </w:p>
    <w:p w14:paraId="2821D495">
      <w:pPr>
        <w:spacing w:line="520" w:lineRule="exact"/>
        <w:ind w:firstLine="684" w:firstLineChars="21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（二）维护和更新</w:t>
      </w:r>
    </w:p>
    <w:p w14:paraId="10D6E10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江西景德镇长运应急管理委员会办公室根据应急救援相关法律法规的制定、修改和完善，组织机构、部门职责或应急资源发生变化，以及实施过程中发现存在问题或出现新的情况，及时修订完善本预案。</w:t>
      </w:r>
    </w:p>
    <w:p w14:paraId="400AC133">
      <w:pPr>
        <w:spacing w:line="520" w:lineRule="exact"/>
        <w:ind w:firstLine="684" w:firstLineChars="213"/>
        <w:rPr>
          <w:rFonts w:ascii="楷体_GB2312" w:hAnsi="楷体_GB2312" w:eastAsia="楷体_GB2312" w:cs="楷体_GB2312"/>
          <w:sz w:val="32"/>
          <w:szCs w:val="32"/>
        </w:rPr>
      </w:pPr>
      <w:r>
        <w:rPr>
          <w:rFonts w:hint="eastAsia" w:ascii="楷体_GB2312" w:hAnsi="楷体_GB2312" w:eastAsia="楷体_GB2312" w:cs="楷体_GB2312"/>
          <w:b/>
          <w:bCs/>
          <w:sz w:val="32"/>
          <w:szCs w:val="32"/>
        </w:rPr>
        <w:t>（三）预案编制与修改历史</w:t>
      </w:r>
    </w:p>
    <w:tbl>
      <w:tblPr>
        <w:tblStyle w:val="11"/>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410"/>
        <w:gridCol w:w="1440"/>
        <w:gridCol w:w="3180"/>
        <w:gridCol w:w="1317"/>
      </w:tblGrid>
      <w:tr w14:paraId="5972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85" w:type="dxa"/>
            <w:vAlign w:val="center"/>
          </w:tcPr>
          <w:p w14:paraId="5D76DCB7">
            <w:pPr>
              <w:snapToGrid w:val="0"/>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版本号</w:t>
            </w:r>
          </w:p>
        </w:tc>
        <w:tc>
          <w:tcPr>
            <w:tcW w:w="1410" w:type="dxa"/>
            <w:vAlign w:val="center"/>
          </w:tcPr>
          <w:p w14:paraId="07FDF1CC">
            <w:pPr>
              <w:snapToGrid w:val="0"/>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拟制/修改责任人</w:t>
            </w:r>
          </w:p>
        </w:tc>
        <w:tc>
          <w:tcPr>
            <w:tcW w:w="1440" w:type="dxa"/>
            <w:vAlign w:val="center"/>
          </w:tcPr>
          <w:p w14:paraId="6340AD2A">
            <w:pPr>
              <w:snapToGrid w:val="0"/>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拟制/修改日期</w:t>
            </w:r>
          </w:p>
        </w:tc>
        <w:tc>
          <w:tcPr>
            <w:tcW w:w="3180" w:type="dxa"/>
            <w:vAlign w:val="center"/>
          </w:tcPr>
          <w:p w14:paraId="73ED06DB">
            <w:pPr>
              <w:snapToGrid w:val="0"/>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修改内容及理由</w:t>
            </w:r>
          </w:p>
        </w:tc>
        <w:tc>
          <w:tcPr>
            <w:tcW w:w="1317" w:type="dxa"/>
            <w:vAlign w:val="center"/>
          </w:tcPr>
          <w:p w14:paraId="5AA63210">
            <w:pPr>
              <w:snapToGrid w:val="0"/>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批准者</w:t>
            </w:r>
          </w:p>
        </w:tc>
      </w:tr>
      <w:tr w14:paraId="3CE4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jc w:val="center"/>
        </w:trPr>
        <w:tc>
          <w:tcPr>
            <w:tcW w:w="1185" w:type="dxa"/>
            <w:vAlign w:val="center"/>
          </w:tcPr>
          <w:p w14:paraId="6CAA62B5">
            <w:pPr>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2023版</w:t>
            </w:r>
          </w:p>
        </w:tc>
        <w:tc>
          <w:tcPr>
            <w:tcW w:w="1410" w:type="dxa"/>
            <w:vAlign w:val="center"/>
          </w:tcPr>
          <w:p w14:paraId="6FB27AC0">
            <w:pPr>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陈默</w:t>
            </w:r>
          </w:p>
        </w:tc>
        <w:tc>
          <w:tcPr>
            <w:tcW w:w="1440" w:type="dxa"/>
            <w:vAlign w:val="center"/>
          </w:tcPr>
          <w:p w14:paraId="4FF5FB19">
            <w:pPr>
              <w:snapToGrid w:val="0"/>
              <w:spacing w:line="520" w:lineRule="exact"/>
              <w:jc w:val="left"/>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2023年7月至2023年8月</w:t>
            </w:r>
          </w:p>
        </w:tc>
        <w:tc>
          <w:tcPr>
            <w:tcW w:w="3180" w:type="dxa"/>
            <w:vAlign w:val="center"/>
          </w:tcPr>
          <w:p w14:paraId="1FE53F06">
            <w:pPr>
              <w:snapToGrid w:val="0"/>
              <w:spacing w:line="520" w:lineRule="exact"/>
              <w:ind w:firstLine="560" w:firstLineChars="200"/>
              <w:jc w:val="left"/>
              <w:rPr>
                <w:rFonts w:ascii="仿宋_GB2312" w:hAnsi="仿宋_GB2312" w:eastAsia="仿宋_GB2312" w:cs="仿宋_GB2312"/>
                <w:color w:val="000000" w:themeColor="text1"/>
                <w:sz w:val="28"/>
                <w:szCs w:val="28"/>
              </w:rPr>
            </w:pPr>
            <w:bookmarkStart w:id="32" w:name="OLE_LINK6"/>
            <w:bookmarkStart w:id="33" w:name="OLE_LINK5"/>
            <w:r>
              <w:rPr>
                <w:rFonts w:hint="eastAsia" w:ascii="仿宋_GB2312" w:hAnsi="仿宋_GB2312" w:eastAsia="仿宋_GB2312" w:cs="仿宋_GB2312"/>
                <w:color w:val="000000" w:themeColor="text1"/>
                <w:sz w:val="28"/>
                <w:szCs w:val="28"/>
              </w:rPr>
              <w:t>鉴于上级主管单位发生变更为南昌市交通投资集团公司，并结合公</w:t>
            </w:r>
            <w:bookmarkStart w:id="35" w:name="_GoBack"/>
            <w:bookmarkEnd w:id="35"/>
            <w:r>
              <w:rPr>
                <w:rFonts w:hint="eastAsia" w:ascii="仿宋_GB2312" w:hAnsi="仿宋_GB2312" w:eastAsia="仿宋_GB2312" w:cs="仿宋_GB2312"/>
                <w:color w:val="000000" w:themeColor="text1"/>
                <w:sz w:val="28"/>
                <w:szCs w:val="28"/>
              </w:rPr>
              <w:t>司实际工作对《江西长运突发事件总体应急预案》（2022版）进行修订。</w:t>
            </w:r>
            <w:bookmarkEnd w:id="32"/>
            <w:bookmarkEnd w:id="33"/>
          </w:p>
        </w:tc>
        <w:tc>
          <w:tcPr>
            <w:tcW w:w="1317" w:type="dxa"/>
            <w:vAlign w:val="center"/>
          </w:tcPr>
          <w:p w14:paraId="3903231F">
            <w:pPr>
              <w:spacing w:line="520" w:lineRule="exact"/>
              <w:jc w:val="center"/>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程鹏</w:t>
            </w:r>
          </w:p>
        </w:tc>
      </w:tr>
    </w:tbl>
    <w:p w14:paraId="6013AE9C">
      <w:pPr>
        <w:spacing w:line="520" w:lineRule="exact"/>
        <w:ind w:firstLine="681" w:firstLineChars="213"/>
        <w:rPr>
          <w:rFonts w:ascii="楷体_GB2312" w:hAnsi="楷体_GB2312" w:eastAsia="楷体_GB2312" w:cs="楷体_GB2312"/>
          <w:b/>
          <w:bCs/>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b/>
          <w:bCs/>
          <w:sz w:val="32"/>
          <w:szCs w:val="32"/>
        </w:rPr>
        <w:t>四）制定与解释</w:t>
      </w:r>
    </w:p>
    <w:p w14:paraId="3466663F">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本预案由江西景德镇长运安生部负责制定和解释。</w:t>
      </w:r>
    </w:p>
    <w:p w14:paraId="4A423754">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本预案有关数量的表述中，“以上”含本数，“以下”不含本数。</w:t>
      </w:r>
    </w:p>
    <w:p w14:paraId="0D020F11">
      <w:pPr>
        <w:spacing w:line="520" w:lineRule="exact"/>
        <w:ind w:firstLine="684" w:firstLineChars="21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（五）发布与实施</w:t>
      </w:r>
    </w:p>
    <w:p w14:paraId="5CD28DEC">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1、本预案经江西景德镇长运应急管理委员会审议通过后，由应急管理委员会主任签署发布，自发布之日起实施。</w:t>
      </w:r>
    </w:p>
    <w:p w14:paraId="13D05F5B">
      <w:pPr>
        <w:spacing w:line="520" w:lineRule="exact"/>
        <w:ind w:firstLine="681" w:firstLineChars="213"/>
        <w:rPr>
          <w:rFonts w:ascii="仿宋_GB2312" w:hAnsi="仿宋_GB2312" w:eastAsia="仿宋_GB2312" w:cs="仿宋_GB2312"/>
          <w:sz w:val="32"/>
          <w:szCs w:val="32"/>
        </w:rPr>
      </w:pPr>
      <w:r>
        <w:rPr>
          <w:rFonts w:hint="eastAsia" w:ascii="仿宋_GB2312" w:hAnsi="仿宋_GB2312" w:eastAsia="仿宋_GB2312" w:cs="仿宋_GB2312"/>
          <w:sz w:val="32"/>
          <w:szCs w:val="32"/>
        </w:rPr>
        <w:t>2、自本预案发布之日起，停止使用《江西景德镇长运有限公司突发事件综合应急预案》（2022版）。</w:t>
      </w:r>
      <w:bookmarkStart w:id="34" w:name="_Toc5543"/>
    </w:p>
    <w:p w14:paraId="1C1EC1A0">
      <w:pPr>
        <w:spacing w:beforeLines="50" w:afterLines="50" w:line="52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二、附件</w:t>
      </w:r>
      <w:bookmarkEnd w:id="34"/>
    </w:p>
    <w:p w14:paraId="2A36ABCF">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附件1:江西景德镇长运应急预案登记表</w:t>
      </w:r>
    </w:p>
    <w:p w14:paraId="41EFA6E1">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附件2:江西景德镇长运应急管理委员会组织架构图</w:t>
      </w:r>
    </w:p>
    <w:p w14:paraId="423B98B1">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附件3:江西景德镇长运预警信息规范格式</w:t>
      </w:r>
    </w:p>
    <w:p w14:paraId="6C65FF78">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附件4:江西景德镇长运预警信息审批、发布流程</w:t>
      </w:r>
    </w:p>
    <w:p w14:paraId="1A3F68E1">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附件5:江西景德镇长运突发事件指挥体系图</w:t>
      </w:r>
    </w:p>
    <w:p w14:paraId="2A874442">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附件6:江西景德镇长运突发事件信息报告流程图</w:t>
      </w:r>
    </w:p>
    <w:p w14:paraId="01AB9670">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附件7:Ⅰ级响应号令（模版）</w:t>
      </w:r>
    </w:p>
    <w:p w14:paraId="086E7119">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附件8:Ⅱ级响应号令（模版）</w:t>
      </w:r>
    </w:p>
    <w:p w14:paraId="08EEF6E6">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附件9:Ⅲ级响应号令（模版）</w:t>
      </w:r>
    </w:p>
    <w:p w14:paraId="77368BCE">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附件10：</w:t>
      </w:r>
      <w:r>
        <w:rPr>
          <w:rFonts w:hint="eastAsia" w:ascii="仿宋_GB2312" w:hAnsi="仿宋_GB2312" w:cs="仿宋_GB2312"/>
          <w:b w:val="0"/>
          <w:sz w:val="32"/>
          <w:szCs w:val="32"/>
        </w:rPr>
        <w:t>IV</w:t>
      </w:r>
      <w:r>
        <w:rPr>
          <w:rFonts w:hint="eastAsia" w:ascii="仿宋_GB2312" w:hAnsi="仿宋_GB2312" w:cs="仿宋_GB2312"/>
          <w:b w:val="0"/>
          <w:bCs/>
          <w:sz w:val="32"/>
          <w:szCs w:val="32"/>
        </w:rPr>
        <w:t>级响应号令（模版）</w:t>
      </w:r>
    </w:p>
    <w:p w14:paraId="149AD14C">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附件11:江西景德镇长运应急管理委员会、总指挥部人员通信联络表</w:t>
      </w:r>
    </w:p>
    <w:p w14:paraId="1FB05456">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附件12:江西景德镇长运值班调度系统通信联络表</w:t>
      </w:r>
    </w:p>
    <w:p w14:paraId="36C96F5C">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附件13:江西景德镇长运外部通信联络表</w:t>
      </w:r>
    </w:p>
    <w:p w14:paraId="50F0B858">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附件14:江西景德镇长运综合应急队伍联络表</w:t>
      </w:r>
    </w:p>
    <w:p w14:paraId="372BC658">
      <w:pPr>
        <w:pStyle w:val="17"/>
        <w:spacing w:line="520" w:lineRule="exact"/>
        <w:ind w:left="0" w:leftChars="0" w:firstLine="640" w:firstLineChars="200"/>
        <w:rPr>
          <w:rFonts w:ascii="仿宋_GB2312" w:hAnsi="仿宋_GB2312" w:cs="仿宋_GB2312"/>
          <w:b w:val="0"/>
          <w:bCs/>
          <w:sz w:val="32"/>
          <w:szCs w:val="32"/>
        </w:rPr>
      </w:pPr>
      <w:r>
        <w:rPr>
          <w:rFonts w:hint="eastAsia" w:ascii="仿宋_GB2312" w:hAnsi="仿宋_GB2312" w:cs="仿宋_GB2312"/>
          <w:b w:val="0"/>
          <w:bCs/>
          <w:sz w:val="32"/>
          <w:szCs w:val="32"/>
        </w:rPr>
        <w:t>附件15:江西景德镇长运应急预案备案申请表</w:t>
      </w:r>
    </w:p>
    <w:sectPr>
      <w:footerReference r:id="rId5" w:type="default"/>
      <w:pgSz w:w="11906" w:h="16838"/>
      <w:pgMar w:top="1440" w:right="1797" w:bottom="1440" w:left="1797"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0EDC4">
    <w:pPr>
      <w:pStyle w:val="6"/>
    </w:pPr>
  </w:p>
  <w:p w14:paraId="447C17A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957D">
    <w:pPr>
      <w:pStyle w:val="6"/>
    </w:pPr>
  </w:p>
  <w:p w14:paraId="16671D0C">
    <w:pPr>
      <w:pStyle w:val="6"/>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374B46A1">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E0B29">
    <w:pPr>
      <w:pStyle w:val="6"/>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14:paraId="14022680">
                <w:pPr>
                  <w:pStyle w:val="6"/>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243F8"/>
    <w:multiLevelType w:val="singleLevel"/>
    <w:tmpl w:val="D9F243F8"/>
    <w:lvl w:ilvl="0" w:tentative="0">
      <w:start w:val="1"/>
      <w:numFmt w:val="chineseCounting"/>
      <w:suff w:val="space"/>
      <w:lvlText w:val="第%1章"/>
      <w:lvlJc w:val="left"/>
      <w:rPr>
        <w:rFonts w:hint="eastAsia"/>
      </w:rPr>
    </w:lvl>
  </w:abstractNum>
  <w:abstractNum w:abstractNumId="1">
    <w:nsid w:val="EE0A280B"/>
    <w:multiLevelType w:val="singleLevel"/>
    <w:tmpl w:val="EE0A280B"/>
    <w:lvl w:ilvl="0" w:tentative="0">
      <w:start w:val="1"/>
      <w:numFmt w:val="chineseCounting"/>
      <w:suff w:val="nothing"/>
      <w:lvlText w:val="（%1）"/>
      <w:lvlJc w:val="left"/>
      <w:rPr>
        <w:rFonts w:hint="eastAsia"/>
      </w:rPr>
    </w:lvl>
  </w:abstractNum>
  <w:abstractNum w:abstractNumId="2">
    <w:nsid w:val="618ABE9C"/>
    <w:multiLevelType w:val="singleLevel"/>
    <w:tmpl w:val="618ABE9C"/>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9"/>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NWI0NDdjYmUzZWU1N2FlNTAyNTdiNzQ2ZGFlOTcifQ=="/>
  </w:docVars>
  <w:rsids>
    <w:rsidRoot w:val="007F0CD3"/>
    <w:rsid w:val="00007780"/>
    <w:rsid w:val="0006423E"/>
    <w:rsid w:val="00066E13"/>
    <w:rsid w:val="000B4B05"/>
    <w:rsid w:val="000C2EFD"/>
    <w:rsid w:val="001209BF"/>
    <w:rsid w:val="00182812"/>
    <w:rsid w:val="001A646A"/>
    <w:rsid w:val="001D4986"/>
    <w:rsid w:val="002078A9"/>
    <w:rsid w:val="0022134A"/>
    <w:rsid w:val="00224D0F"/>
    <w:rsid w:val="00237A23"/>
    <w:rsid w:val="00280F47"/>
    <w:rsid w:val="002A17D6"/>
    <w:rsid w:val="002C6473"/>
    <w:rsid w:val="00331E50"/>
    <w:rsid w:val="00334160"/>
    <w:rsid w:val="003532D6"/>
    <w:rsid w:val="0037295F"/>
    <w:rsid w:val="003A39E6"/>
    <w:rsid w:val="003D248D"/>
    <w:rsid w:val="004123B7"/>
    <w:rsid w:val="004861FD"/>
    <w:rsid w:val="004B0517"/>
    <w:rsid w:val="004C45E9"/>
    <w:rsid w:val="00502A77"/>
    <w:rsid w:val="00541B9D"/>
    <w:rsid w:val="005519F3"/>
    <w:rsid w:val="005562F8"/>
    <w:rsid w:val="00557DF4"/>
    <w:rsid w:val="00577CD8"/>
    <w:rsid w:val="005B1F4E"/>
    <w:rsid w:val="005D4FD8"/>
    <w:rsid w:val="00603E3C"/>
    <w:rsid w:val="00604C9E"/>
    <w:rsid w:val="00617DA0"/>
    <w:rsid w:val="006255EC"/>
    <w:rsid w:val="00631119"/>
    <w:rsid w:val="006956B9"/>
    <w:rsid w:val="006B538E"/>
    <w:rsid w:val="006C1EF7"/>
    <w:rsid w:val="007009BD"/>
    <w:rsid w:val="00703D17"/>
    <w:rsid w:val="0071702E"/>
    <w:rsid w:val="00720C21"/>
    <w:rsid w:val="007A1021"/>
    <w:rsid w:val="007D3599"/>
    <w:rsid w:val="007F0CD3"/>
    <w:rsid w:val="00812BD2"/>
    <w:rsid w:val="008373B6"/>
    <w:rsid w:val="00864111"/>
    <w:rsid w:val="00871649"/>
    <w:rsid w:val="008B4724"/>
    <w:rsid w:val="008E09C7"/>
    <w:rsid w:val="00910434"/>
    <w:rsid w:val="00910BBA"/>
    <w:rsid w:val="00914C43"/>
    <w:rsid w:val="00942488"/>
    <w:rsid w:val="0095681E"/>
    <w:rsid w:val="00984260"/>
    <w:rsid w:val="009B4406"/>
    <w:rsid w:val="009D57FF"/>
    <w:rsid w:val="009D76F2"/>
    <w:rsid w:val="009F1939"/>
    <w:rsid w:val="00A134A9"/>
    <w:rsid w:val="00A43590"/>
    <w:rsid w:val="00A44DD9"/>
    <w:rsid w:val="00AC64D5"/>
    <w:rsid w:val="00AE0CD4"/>
    <w:rsid w:val="00AE6D87"/>
    <w:rsid w:val="00AF515C"/>
    <w:rsid w:val="00B04FD1"/>
    <w:rsid w:val="00B25AC0"/>
    <w:rsid w:val="00B658C4"/>
    <w:rsid w:val="00BE4818"/>
    <w:rsid w:val="00C144C2"/>
    <w:rsid w:val="00C771A6"/>
    <w:rsid w:val="00C870CF"/>
    <w:rsid w:val="00CC1335"/>
    <w:rsid w:val="00CE1915"/>
    <w:rsid w:val="00D079A1"/>
    <w:rsid w:val="00D2124D"/>
    <w:rsid w:val="00D467A8"/>
    <w:rsid w:val="00D73521"/>
    <w:rsid w:val="00DB2DD8"/>
    <w:rsid w:val="00DC541D"/>
    <w:rsid w:val="00E30E8A"/>
    <w:rsid w:val="00E57154"/>
    <w:rsid w:val="00EA7D53"/>
    <w:rsid w:val="00ED7D07"/>
    <w:rsid w:val="00F24B71"/>
    <w:rsid w:val="00F416A9"/>
    <w:rsid w:val="00F5025A"/>
    <w:rsid w:val="00F62510"/>
    <w:rsid w:val="00F85D0D"/>
    <w:rsid w:val="00FF6592"/>
    <w:rsid w:val="017327A4"/>
    <w:rsid w:val="01A30CA6"/>
    <w:rsid w:val="01BF7223"/>
    <w:rsid w:val="01E50342"/>
    <w:rsid w:val="025F05D8"/>
    <w:rsid w:val="05FC366D"/>
    <w:rsid w:val="06BC5EB6"/>
    <w:rsid w:val="06F3795F"/>
    <w:rsid w:val="07DB2CA5"/>
    <w:rsid w:val="0846016D"/>
    <w:rsid w:val="093C2415"/>
    <w:rsid w:val="09881530"/>
    <w:rsid w:val="09AC415A"/>
    <w:rsid w:val="09D301F7"/>
    <w:rsid w:val="09DF1220"/>
    <w:rsid w:val="0A797494"/>
    <w:rsid w:val="0AB5604C"/>
    <w:rsid w:val="0B5A2570"/>
    <w:rsid w:val="0C836CAE"/>
    <w:rsid w:val="0C8F1706"/>
    <w:rsid w:val="0CB50F0D"/>
    <w:rsid w:val="0CB97026"/>
    <w:rsid w:val="0CC83351"/>
    <w:rsid w:val="0CCB2F62"/>
    <w:rsid w:val="0E2C2AA1"/>
    <w:rsid w:val="0F0258D6"/>
    <w:rsid w:val="0F3E24D2"/>
    <w:rsid w:val="10757746"/>
    <w:rsid w:val="11CF612C"/>
    <w:rsid w:val="11FC14B2"/>
    <w:rsid w:val="123C6158"/>
    <w:rsid w:val="12677C09"/>
    <w:rsid w:val="12D81165"/>
    <w:rsid w:val="12ED647E"/>
    <w:rsid w:val="13EB6581"/>
    <w:rsid w:val="144A3F1B"/>
    <w:rsid w:val="154A1355"/>
    <w:rsid w:val="15985840"/>
    <w:rsid w:val="16322249"/>
    <w:rsid w:val="168A1FF8"/>
    <w:rsid w:val="17AC65B0"/>
    <w:rsid w:val="17AE32DD"/>
    <w:rsid w:val="17AF79B8"/>
    <w:rsid w:val="182A0A0D"/>
    <w:rsid w:val="18AD032B"/>
    <w:rsid w:val="18D3238F"/>
    <w:rsid w:val="1992117C"/>
    <w:rsid w:val="19E02DC3"/>
    <w:rsid w:val="1AA324C4"/>
    <w:rsid w:val="1AB509F5"/>
    <w:rsid w:val="1B5C3925"/>
    <w:rsid w:val="1B937889"/>
    <w:rsid w:val="1BC12806"/>
    <w:rsid w:val="1BC66C13"/>
    <w:rsid w:val="1CE62431"/>
    <w:rsid w:val="1D4B748B"/>
    <w:rsid w:val="1DA14F72"/>
    <w:rsid w:val="1DAA148C"/>
    <w:rsid w:val="1EC12234"/>
    <w:rsid w:val="1FAA0B95"/>
    <w:rsid w:val="1FF92354"/>
    <w:rsid w:val="21E5777D"/>
    <w:rsid w:val="227F513C"/>
    <w:rsid w:val="22E849F4"/>
    <w:rsid w:val="264E0B49"/>
    <w:rsid w:val="28397580"/>
    <w:rsid w:val="290B4DC5"/>
    <w:rsid w:val="29F745EF"/>
    <w:rsid w:val="2A9F23B4"/>
    <w:rsid w:val="2B8A0830"/>
    <w:rsid w:val="2B94273A"/>
    <w:rsid w:val="2BE70D7D"/>
    <w:rsid w:val="2C711A4D"/>
    <w:rsid w:val="2E2A1009"/>
    <w:rsid w:val="2FA56504"/>
    <w:rsid w:val="2FF0100C"/>
    <w:rsid w:val="303D5967"/>
    <w:rsid w:val="303F38D9"/>
    <w:rsid w:val="31401B09"/>
    <w:rsid w:val="322E5CFA"/>
    <w:rsid w:val="325A7E06"/>
    <w:rsid w:val="33AC2F03"/>
    <w:rsid w:val="33D92EE4"/>
    <w:rsid w:val="349128E0"/>
    <w:rsid w:val="34B35CB7"/>
    <w:rsid w:val="34B603C1"/>
    <w:rsid w:val="357B36FB"/>
    <w:rsid w:val="36DA25DE"/>
    <w:rsid w:val="36FB3BCE"/>
    <w:rsid w:val="39987EFE"/>
    <w:rsid w:val="39E4016E"/>
    <w:rsid w:val="3A307EEB"/>
    <w:rsid w:val="3CA15F43"/>
    <w:rsid w:val="3CAB1C76"/>
    <w:rsid w:val="3CB60391"/>
    <w:rsid w:val="3CE858DD"/>
    <w:rsid w:val="3DDE3422"/>
    <w:rsid w:val="3E50768A"/>
    <w:rsid w:val="3F1810B8"/>
    <w:rsid w:val="41DD4565"/>
    <w:rsid w:val="42D81AFA"/>
    <w:rsid w:val="42FE61D5"/>
    <w:rsid w:val="4301688A"/>
    <w:rsid w:val="4368230C"/>
    <w:rsid w:val="43F4224A"/>
    <w:rsid w:val="4456696C"/>
    <w:rsid w:val="44741B7B"/>
    <w:rsid w:val="447A27D2"/>
    <w:rsid w:val="44FC6044"/>
    <w:rsid w:val="467D3DEB"/>
    <w:rsid w:val="47FA53A6"/>
    <w:rsid w:val="4B8C4341"/>
    <w:rsid w:val="4BCD7A79"/>
    <w:rsid w:val="4EF42D33"/>
    <w:rsid w:val="4F284820"/>
    <w:rsid w:val="4FFA3D12"/>
    <w:rsid w:val="50913C6F"/>
    <w:rsid w:val="52F265C7"/>
    <w:rsid w:val="54E62162"/>
    <w:rsid w:val="54ED0C26"/>
    <w:rsid w:val="55264138"/>
    <w:rsid w:val="554A7E27"/>
    <w:rsid w:val="57362922"/>
    <w:rsid w:val="574D38C2"/>
    <w:rsid w:val="586C2E9D"/>
    <w:rsid w:val="58AC2BA6"/>
    <w:rsid w:val="598A1A20"/>
    <w:rsid w:val="5A1C1DA5"/>
    <w:rsid w:val="5AF27583"/>
    <w:rsid w:val="5B8C11BB"/>
    <w:rsid w:val="5C4D26E5"/>
    <w:rsid w:val="5CEE0485"/>
    <w:rsid w:val="5D9261A9"/>
    <w:rsid w:val="5E451AD3"/>
    <w:rsid w:val="601B3BC3"/>
    <w:rsid w:val="61AB64AD"/>
    <w:rsid w:val="638C0197"/>
    <w:rsid w:val="64394551"/>
    <w:rsid w:val="643B018E"/>
    <w:rsid w:val="657A4DD8"/>
    <w:rsid w:val="66C33418"/>
    <w:rsid w:val="67B478F2"/>
    <w:rsid w:val="68153C82"/>
    <w:rsid w:val="68F12AAA"/>
    <w:rsid w:val="6A045B37"/>
    <w:rsid w:val="6B00125C"/>
    <w:rsid w:val="6B115EAD"/>
    <w:rsid w:val="6C79441E"/>
    <w:rsid w:val="6CE95D1F"/>
    <w:rsid w:val="6D5D0B68"/>
    <w:rsid w:val="6F01717C"/>
    <w:rsid w:val="6F161A5F"/>
    <w:rsid w:val="6F6B68F6"/>
    <w:rsid w:val="6FBA05C5"/>
    <w:rsid w:val="6FEC42EB"/>
    <w:rsid w:val="727E3DA3"/>
    <w:rsid w:val="73550BD6"/>
    <w:rsid w:val="73567CD8"/>
    <w:rsid w:val="74577A3D"/>
    <w:rsid w:val="747F3854"/>
    <w:rsid w:val="74CE7718"/>
    <w:rsid w:val="756723D6"/>
    <w:rsid w:val="765B0C57"/>
    <w:rsid w:val="77B9061D"/>
    <w:rsid w:val="77EF51DE"/>
    <w:rsid w:val="77F62C59"/>
    <w:rsid w:val="7A7B129B"/>
    <w:rsid w:val="7AB2494F"/>
    <w:rsid w:val="7C8647F4"/>
    <w:rsid w:val="7D384744"/>
    <w:rsid w:val="7F09449F"/>
    <w:rsid w:val="7F0E18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line="413"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样式1"/>
    <w:basedOn w:val="3"/>
    <w:next w:val="1"/>
    <w:qFormat/>
    <w:uiPriority w:val="0"/>
    <w:pPr>
      <w:spacing w:line="360" w:lineRule="auto"/>
      <w:ind w:left="300" w:leftChars="300"/>
      <w:jc w:val="left"/>
    </w:pPr>
    <w:rPr>
      <w:rFonts w:eastAsia="楷体_GB2312"/>
      <w:sz w:val="28"/>
    </w:rPr>
  </w:style>
  <w:style w:type="paragraph" w:customStyle="1" w:styleId="14">
    <w:name w:val="样式2"/>
    <w:basedOn w:val="13"/>
    <w:qFormat/>
    <w:uiPriority w:val="0"/>
    <w:pPr>
      <w:spacing w:line="240" w:lineRule="auto"/>
    </w:pPr>
  </w:style>
  <w:style w:type="paragraph" w:customStyle="1" w:styleId="15">
    <w:name w:val="WPSOffice手动目录 1"/>
    <w:qFormat/>
    <w:uiPriority w:val="0"/>
    <w:rPr>
      <w:rFonts w:ascii="Calibri" w:hAnsi="Calibri" w:eastAsia="宋体" w:cs="Times New Roman"/>
      <w:lang w:val="en-US" w:eastAsia="zh-CN" w:bidi="ar-SA"/>
    </w:rPr>
  </w:style>
  <w:style w:type="paragraph" w:customStyle="1" w:styleId="16">
    <w:name w:val="WPSOffice手动目录 2"/>
    <w:qFormat/>
    <w:uiPriority w:val="0"/>
    <w:pPr>
      <w:ind w:left="200" w:leftChars="200"/>
    </w:pPr>
    <w:rPr>
      <w:rFonts w:ascii="Calibri" w:hAnsi="Calibri" w:eastAsia="宋体" w:cs="Times New Roman"/>
      <w:lang w:val="en-US" w:eastAsia="zh-CN" w:bidi="ar-SA"/>
    </w:rPr>
  </w:style>
  <w:style w:type="paragraph" w:customStyle="1" w:styleId="17">
    <w:name w:val="样式3"/>
    <w:basedOn w:val="4"/>
    <w:next w:val="1"/>
    <w:qFormat/>
    <w:uiPriority w:val="0"/>
    <w:pPr>
      <w:spacing w:line="240" w:lineRule="auto"/>
      <w:ind w:left="300" w:leftChars="300"/>
      <w:jc w:val="left"/>
    </w:pPr>
    <w:rPr>
      <w:rFonts w:eastAsia="仿宋_GB2312"/>
      <w:sz w:val="28"/>
    </w:rPr>
  </w:style>
  <w:style w:type="character" w:customStyle="1" w:styleId="18">
    <w:name w:val="批注框文本 Char"/>
    <w:basedOn w:val="12"/>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48</Pages>
  <Words>23694</Words>
  <Characters>23990</Characters>
  <Lines>184</Lines>
  <Paragraphs>51</Paragraphs>
  <TotalTime>7553</TotalTime>
  <ScaleCrop>false</ScaleCrop>
  <LinksUpToDate>false</LinksUpToDate>
  <CharactersWithSpaces>24136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anguanbu</dc:creator>
  <cp:lastModifiedBy>L</cp:lastModifiedBy>
  <cp:lastPrinted>2023-08-11T01:05:00Z</cp:lastPrinted>
  <dcterms:modified xsi:type="dcterms:W3CDTF">2025-06-30T08:59:31Z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303408498A704D08BAFB31350CCE0A34_13</vt:lpwstr>
  </property>
  <property fmtid="{D5CDD505-2E9C-101B-9397-08002B2CF9AE}" pid="4" name="KSOTemplateDocerSaveRecord">
    <vt:lpwstr>eyJoZGlkIjoiMjE2YWY5NzI1MThhZDljY2U3MzkwYzYyOTljZjg5ZmIiLCJ1c2VySWQiOiI0OTI4NTc5NzEifQ==</vt:lpwstr>
  </property>
</Properties>
</file>