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67CC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  <w:lang w:eastAsia="zh-CN"/>
        </w:rPr>
        <w:t>景德镇市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  <w:t>公共交通工具禁止携带的</w:t>
      </w:r>
    </w:p>
    <w:p w14:paraId="43F29A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  <w:t>物品目录</w:t>
      </w:r>
    </w:p>
    <w:p w14:paraId="2FE756CA"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</w:p>
    <w:p w14:paraId="5C411AC6"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</w:p>
    <w:p w14:paraId="34019759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962910"/>
            <wp:effectExtent l="0" t="0" r="10160" b="8890"/>
            <wp:docPr id="1" name="图片 1" descr="36c7ce71f6a9f2583a442d61cbe09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6c7ce71f6a9f2583a442d61cbe098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06B2D"/>
    <w:rsid w:val="2F631C4A"/>
    <w:rsid w:val="7C10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2024-12-19T03:06:00Z</dcterms:created>
  <dc:creator>雨中</dc:creator>
  <cp:lastModifiedBy>雨中</cp:lastModifiedBy>
  <dcterms:modified xsi:type="dcterms:W3CDTF">2024-12-19T03:09:12Z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9F12AAEB1BBD4DF394B5CE9EC9D122D7_11</vt:lpwstr>
  </property>
</Properties>
</file>