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附件2</w:t>
      </w:r>
    </w:p>
    <w:p>
      <w:pPr>
        <w:adjustRightInd w:val="0"/>
        <w:snapToGrid w:val="0"/>
        <w:spacing w:after="156" w:afterLines="50"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  <w:t>未办理施工许可手续擅自施工项目一览表</w:t>
      </w:r>
      <w:bookmarkEnd w:id="0"/>
    </w:p>
    <w:tbl>
      <w:tblPr>
        <w:tblStyle w:val="8"/>
        <w:tblW w:w="12967" w:type="dxa"/>
        <w:jc w:val="center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157"/>
        <w:gridCol w:w="3557"/>
        <w:gridCol w:w="2755"/>
        <w:gridCol w:w="2449"/>
        <w:gridCol w:w="2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设区市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工程项目名称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施工单位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监理单位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建设单位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000000"/>
                <w:spacing w:val="0"/>
                <w:kern w:val="0"/>
                <w:sz w:val="21"/>
                <w:szCs w:val="21"/>
                <w:highlight w:val="none"/>
              </w:rPr>
              <w:t>南昌市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南昌市社区嵌入式体育场馆工程（南昌东湖区馆）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联合体牵头单位：中建三局集团有限公司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联合体成员单位：南昌市第二建筑工程有限公司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中昌新智国际工程咨询有限公司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南昌市交通投资集团有限公司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  <w:t>赣州市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蓉江御府项目三期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江西六通工程建设有限公司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赣州海联工程建设监理有限公司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赣州众盈房地产开发有限公司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吉安市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吉州区马铺前路（井冈山大道-安居路）改造提升工程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江西华振建设有限公司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江西腾建工程咨询有限公司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吉安鑫石阳实业有限公司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  <w:t>上饶市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上饶市弋阳县中心城区排水防涝建设改造工程式平大道及学府路段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温州市龙湾区市政工程公司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浙江天工工程管理有限公司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弋阳县城市管理局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  <w:t>景德镇市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景德镇半山云墅项目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赣州鼎泓建设工程有限公司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景德镇市景建建设监理有限公司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江西嘉创置业有限公司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  <w:t>景德镇市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景德镇大观项目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赣州鼎泓建设工程有限公司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九江市建设监理有限公司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江西景辰置业有限公司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  <w:t>景德镇市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乐平市万达广场建设项目5#楼（商业及相应地下室）、6-A#楼（万达广场及相应地下室）、7-B#楼（金街）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赣抚东（江西）建设集团有限公司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浙江好逑工程管理咨询有限公司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江西万春房地产开发有限公司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9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萍乡市</w:t>
            </w:r>
          </w:p>
        </w:tc>
        <w:tc>
          <w:tcPr>
            <w:tcW w:w="3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萍乡市星座S电竞酒店装修项目</w:t>
            </w:r>
          </w:p>
        </w:tc>
        <w:tc>
          <w:tcPr>
            <w:tcW w:w="2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江西畅通工程科技有限公司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江西智杰工程管理有限公司</w:t>
            </w:r>
          </w:p>
        </w:tc>
        <w:tc>
          <w:tcPr>
            <w:tcW w:w="2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萍乡众行企业管理有限公司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5440"/>
    <w:multiLevelType w:val="multilevel"/>
    <w:tmpl w:val="3CEF5440"/>
    <w:lvl w:ilvl="0" w:tentative="0">
      <w:start w:val="1"/>
      <w:numFmt w:val="decimal"/>
      <w:suff w:val="nothing"/>
      <w:lvlText w:val="%1"/>
      <w:lvlJc w:val="center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C93755"/>
    <w:rsid w:val="7ABD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99"/>
    <w:pPr>
      <w:spacing w:after="120" w:afterLines="0" w:afterAutospacing="0"/>
    </w:pPr>
    <w:rPr>
      <w:rFonts w:ascii="Calibri" w:hAnsi="Calibri" w:eastAsia="宋体" w:cs="仿宋_GB2312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paragraph" w:styleId="9">
    <w:name w:val="List Paragraph"/>
    <w:basedOn w:val="1"/>
    <w:qFormat/>
    <w:uiPriority w:val="34"/>
    <w:pPr>
      <w:widowControl/>
      <w:ind w:left="720"/>
      <w:contextualSpacing/>
      <w:jc w:val="left"/>
    </w:pPr>
    <w:rPr>
      <w:rFonts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SGJJ-CFR</dc:creator>
  <cp:lastModifiedBy>Aether</cp:lastModifiedBy>
  <dcterms:modified xsi:type="dcterms:W3CDTF">2026-02-14T03:30:21Z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