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b w:val="0"/>
          <w:bCs w:val="0"/>
          <w:i w:val="0"/>
          <w:iCs w:val="0"/>
          <w:sz w:val="30"/>
          <w:szCs w:val="30"/>
          <w:highlight w:val="none"/>
          <w:lang w:val="en-US" w:eastAsia="zh-CN"/>
        </w:rPr>
      </w:pPr>
      <w:r>
        <w:rPr>
          <w:rFonts w:hint="eastAsia" w:ascii="仿宋" w:hAnsi="仿宋" w:eastAsia="仿宋" w:cs="仿宋"/>
          <w:b w:val="0"/>
          <w:bCs w:val="0"/>
          <w:i w:val="0"/>
          <w:iCs w:val="0"/>
          <w:sz w:val="30"/>
          <w:szCs w:val="30"/>
          <w:highlight w:val="none"/>
          <w:lang w:val="en-US" w:eastAsia="zh-CN"/>
        </w:rPr>
        <w:t>编号：景昌征地(2023)第11号</w:t>
      </w:r>
    </w:p>
    <w:p>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i w:val="0"/>
          <w:iCs w:val="0"/>
          <w:kern w:val="2"/>
          <w:sz w:val="36"/>
          <w:szCs w:val="36"/>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i w:val="0"/>
          <w:iCs w:val="0"/>
          <w:kern w:val="2"/>
          <w:sz w:val="44"/>
          <w:szCs w:val="44"/>
          <w:highlight w:val="none"/>
          <w:lang w:val="en-US" w:eastAsia="zh-CN" w:bidi="ar-SA"/>
        </w:rPr>
      </w:pPr>
      <w:r>
        <w:rPr>
          <w:rFonts w:hint="eastAsia" w:ascii="宋体" w:hAnsi="宋体" w:eastAsia="宋体" w:cs="宋体"/>
          <w:b/>
          <w:bCs/>
          <w:i w:val="0"/>
          <w:iCs w:val="0"/>
          <w:kern w:val="2"/>
          <w:sz w:val="44"/>
          <w:szCs w:val="44"/>
          <w:highlight w:val="none"/>
          <w:lang w:val="en-US" w:eastAsia="zh-CN" w:bidi="ar-SA"/>
        </w:rPr>
        <w:t>集体土地地上青苗、树木、坟墓及地上附着物、其他建筑物、构筑物等征收补偿</w:t>
      </w:r>
    </w:p>
    <w:p>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i w:val="0"/>
          <w:iCs w:val="0"/>
          <w:kern w:val="2"/>
          <w:sz w:val="44"/>
          <w:szCs w:val="44"/>
          <w:highlight w:val="none"/>
          <w:lang w:val="en-US" w:eastAsia="zh-CN" w:bidi="ar-SA"/>
        </w:rPr>
      </w:pPr>
      <w:r>
        <w:rPr>
          <w:rFonts w:hint="eastAsia" w:ascii="宋体" w:hAnsi="宋体" w:eastAsia="宋体" w:cs="宋体"/>
          <w:b/>
          <w:bCs/>
          <w:i w:val="0"/>
          <w:iCs w:val="0"/>
          <w:kern w:val="2"/>
          <w:sz w:val="44"/>
          <w:szCs w:val="44"/>
          <w:highlight w:val="none"/>
          <w:lang w:val="en-US" w:eastAsia="zh-CN" w:bidi="ar-SA"/>
        </w:rPr>
        <w:t>安置协议书</w:t>
      </w:r>
    </w:p>
    <w:p>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i w:val="0"/>
          <w:iCs w:val="0"/>
          <w:kern w:val="2"/>
          <w:sz w:val="44"/>
          <w:szCs w:val="44"/>
          <w:highlight w:val="none"/>
          <w:lang w:val="en-US" w:eastAsia="zh-CN" w:bidi="ar-SA"/>
        </w:rPr>
      </w:pPr>
    </w:p>
    <w:p>
      <w:pPr>
        <w:autoSpaceDN w:val="0"/>
        <w:spacing w:before="156" w:beforeLines="50" w:line="520" w:lineRule="exact"/>
        <w:ind w:right="210" w:rightChars="100"/>
        <w:rPr>
          <w:rFonts w:hint="default" w:ascii="仿宋_GB2312" w:eastAsia="仿宋_GB2312"/>
          <w:sz w:val="32"/>
          <w:szCs w:val="32"/>
          <w:highlight w:val="none"/>
          <w:lang w:val="en-US" w:eastAsia="zh-CN"/>
        </w:rPr>
      </w:pPr>
      <w:r>
        <w:rPr>
          <w:rFonts w:hint="eastAsia" w:ascii="仿宋_GB2312" w:hAnsi="Times New Roman" w:eastAsia="仿宋_GB2312" w:cs="Times New Roman"/>
          <w:kern w:val="2"/>
          <w:sz w:val="32"/>
          <w:szCs w:val="32"/>
          <w:highlight w:val="none"/>
          <w:lang w:val="en-US" w:eastAsia="zh-CN" w:bidi="ar-SA"/>
        </w:rPr>
        <w:t>甲方：</w:t>
      </w:r>
      <w:r>
        <w:rPr>
          <w:rFonts w:hint="eastAsia" w:ascii="仿宋_GB2312" w:eastAsia="仿宋_GB2312"/>
          <w:b w:val="0"/>
          <w:bCs w:val="0"/>
          <w:sz w:val="32"/>
          <w:szCs w:val="32"/>
          <w:highlight w:val="none"/>
          <w:lang w:val="en-US" w:eastAsia="zh-CN"/>
        </w:rPr>
        <w:t>市自然资源和规划局昌江分局（以下简称甲方）</w:t>
      </w:r>
    </w:p>
    <w:p>
      <w:pPr>
        <w:spacing w:line="520" w:lineRule="exact"/>
        <w:ind w:left="318" w:leftChars="1" w:hanging="316" w:hangingChars="99"/>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rPr>
        <w:t>乙方：</w:t>
      </w:r>
      <w:r>
        <w:rPr>
          <w:rFonts w:hint="eastAsia" w:ascii="仿宋_GB2312" w:eastAsia="仿宋_GB2312"/>
          <w:b w:val="0"/>
          <w:bCs w:val="0"/>
          <w:sz w:val="32"/>
          <w:szCs w:val="32"/>
          <w:highlight w:val="none"/>
          <w:lang w:val="en-US" w:eastAsia="zh-CN"/>
        </w:rPr>
        <w:t>吕蒙街道历尧村委会（以下简称乙方）</w:t>
      </w:r>
    </w:p>
    <w:p>
      <w:pPr>
        <w:pStyle w:val="3"/>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宋体" w:eastAsia="仿宋_GB2312"/>
          <w:sz w:val="32"/>
          <w:szCs w:val="32"/>
          <w:highlight w:val="none"/>
          <w:lang w:val="en"/>
        </w:rPr>
      </w:pPr>
      <w:r>
        <w:rPr>
          <w:rFonts w:hint="eastAsia" w:ascii="仿宋_GB2312" w:eastAsia="仿宋_GB2312"/>
          <w:sz w:val="32"/>
          <w:szCs w:val="32"/>
          <w:highlight w:val="none"/>
        </w:rPr>
        <w:t>因公共利益的需要，经</w:t>
      </w:r>
      <w:r>
        <w:rPr>
          <w:rFonts w:hint="eastAsia" w:ascii="仿宋_GB2312" w:eastAsia="仿宋_GB2312"/>
          <w:sz w:val="32"/>
          <w:szCs w:val="32"/>
          <w:highlight w:val="none"/>
          <w:lang w:val="en-US" w:eastAsia="zh-CN"/>
        </w:rPr>
        <w:t>昌江区</w:t>
      </w:r>
      <w:r>
        <w:rPr>
          <w:rFonts w:hint="eastAsia" w:ascii="仿宋_GB2312" w:eastAsia="仿宋_GB2312"/>
          <w:sz w:val="32"/>
          <w:szCs w:val="32"/>
          <w:highlight w:val="none"/>
        </w:rPr>
        <w:t>政府研究决定，拟征收位于</w:t>
      </w:r>
      <w:r>
        <w:rPr>
          <w:rFonts w:hint="eastAsia" w:ascii="仿宋_GB2312" w:eastAsia="仿宋_GB2312"/>
          <w:b w:val="0"/>
          <w:bCs w:val="0"/>
          <w:sz w:val="32"/>
          <w:szCs w:val="32"/>
          <w:highlight w:val="none"/>
          <w:lang w:val="en-US" w:eastAsia="zh-CN"/>
        </w:rPr>
        <w:t>吕蒙街道历尧村委会</w:t>
      </w:r>
      <w:r>
        <w:rPr>
          <w:rFonts w:hint="eastAsia" w:ascii="仿宋_GB2312" w:eastAsia="仿宋_GB2312"/>
          <w:sz w:val="32"/>
          <w:szCs w:val="32"/>
          <w:highlight w:val="none"/>
        </w:rPr>
        <w:t>范围内的土地。依照《中华人民共和国土地管理法》《中华人民共和国土地管理法实施条例》《江西省征收土地管理办法》等规定</w:t>
      </w:r>
      <w:r>
        <w:rPr>
          <w:rFonts w:hint="eastAsia" w:ascii="仿宋_GB2312" w:hAnsi="宋体" w:eastAsia="仿宋_GB2312"/>
          <w:sz w:val="32"/>
          <w:szCs w:val="32"/>
          <w:highlight w:val="none"/>
        </w:rPr>
        <w:t>，经甲、乙双方协商，就拟征收土地范围内的青苗、树木</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坟墓及地上附着物、其他建筑物、构筑物</w:t>
      </w:r>
      <w:r>
        <w:rPr>
          <w:rFonts w:hint="eastAsia" w:ascii="仿宋_GB2312" w:hAnsi="宋体" w:eastAsia="仿宋_GB2312"/>
          <w:sz w:val="32"/>
          <w:szCs w:val="32"/>
          <w:highlight w:val="none"/>
        </w:rPr>
        <w:t>等补偿的有关事项达成如下协议</w:t>
      </w:r>
      <w:r>
        <w:rPr>
          <w:rFonts w:hint="default" w:ascii="仿宋_GB2312" w:hAnsi="宋体" w:eastAsia="仿宋_GB2312"/>
          <w:sz w:val="32"/>
          <w:szCs w:val="32"/>
          <w:highlight w:val="none"/>
          <w:lang w:val="en"/>
        </w:rPr>
        <w:t>：</w:t>
      </w:r>
    </w:p>
    <w:p>
      <w:pPr>
        <w:keepNext w:val="0"/>
        <w:keepLines w:val="0"/>
        <w:pageBreakBefore w:val="0"/>
        <w:widowControl w:val="0"/>
        <w:kinsoku/>
        <w:wordWrap/>
        <w:overflowPunct/>
        <w:topLinePunct w:val="0"/>
        <w:autoSpaceDE/>
        <w:autoSpaceDN/>
        <w:bidi w:val="0"/>
        <w:adjustRightInd/>
        <w:spacing w:line="560" w:lineRule="exact"/>
        <w:textAlignment w:val="auto"/>
        <w:outlineLvl w:val="0"/>
        <w:rPr>
          <w:rFonts w:ascii="黑体" w:hAnsi="宋体" w:eastAsia="黑体"/>
          <w:bCs/>
          <w:sz w:val="32"/>
          <w:szCs w:val="32"/>
          <w:highlight w:val="none"/>
        </w:rPr>
      </w:pPr>
      <w:bookmarkStart w:id="0" w:name="_Toc109029793"/>
      <w:r>
        <w:rPr>
          <w:rFonts w:hint="eastAsia" w:ascii="黑体" w:hAnsi="宋体" w:eastAsia="黑体"/>
          <w:bCs/>
          <w:sz w:val="32"/>
          <w:szCs w:val="32"/>
          <w:highlight w:val="none"/>
        </w:rPr>
        <w:t xml:space="preserve">    一、征收土地范围</w:t>
      </w:r>
      <w:bookmarkEnd w:id="0"/>
    </w:p>
    <w:p>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 xml:space="preserve">    甲方拟征收乙方的集体土地征地范围内的青苗、树木</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坟墓及地上附着物、其他建筑物、构筑物</w:t>
      </w:r>
      <w:r>
        <w:rPr>
          <w:rFonts w:hint="eastAsia" w:ascii="仿宋_GB2312" w:hAnsi="宋体" w:eastAsia="仿宋_GB2312"/>
          <w:sz w:val="32"/>
          <w:szCs w:val="32"/>
          <w:highlight w:val="none"/>
        </w:rPr>
        <w:t>等的权属、种类、数量及其相应的补偿标准已经双方一致确认</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位置</w:t>
      </w:r>
      <w:r>
        <w:rPr>
          <w:rFonts w:hint="eastAsia" w:ascii="仿宋_GB2312" w:hAnsi="宋体" w:eastAsia="仿宋_GB2312"/>
          <w:sz w:val="32"/>
          <w:szCs w:val="32"/>
          <w:highlight w:val="none"/>
        </w:rPr>
        <w:t>见拟征地红线图。</w:t>
      </w:r>
    </w:p>
    <w:p>
      <w:pPr>
        <w:keepNext w:val="0"/>
        <w:keepLines w:val="0"/>
        <w:pageBreakBefore w:val="0"/>
        <w:widowControl w:val="0"/>
        <w:numPr>
          <w:ilvl w:val="0"/>
          <w:numId w:val="1"/>
        </w:numPr>
        <w:kinsoku/>
        <w:wordWrap/>
        <w:overflowPunct/>
        <w:topLinePunct w:val="0"/>
        <w:autoSpaceDE/>
        <w:autoSpaceDN/>
        <w:bidi w:val="0"/>
        <w:adjustRightInd/>
        <w:spacing w:line="560" w:lineRule="exact"/>
        <w:ind w:left="640" w:leftChars="0" w:firstLine="0" w:firstLineChars="0"/>
        <w:textAlignment w:val="auto"/>
        <w:outlineLvl w:val="0"/>
        <w:rPr>
          <w:rFonts w:hint="eastAsia" w:ascii="黑体" w:hAnsi="宋体" w:eastAsia="黑体"/>
          <w:bCs/>
          <w:sz w:val="32"/>
          <w:szCs w:val="32"/>
          <w:highlight w:val="none"/>
        </w:rPr>
      </w:pPr>
      <w:bookmarkStart w:id="1" w:name="_Toc109029794"/>
      <w:r>
        <w:rPr>
          <w:rFonts w:hint="eastAsia" w:ascii="黑体" w:hAnsi="宋体" w:eastAsia="黑体"/>
          <w:bCs/>
          <w:sz w:val="32"/>
          <w:szCs w:val="32"/>
          <w:highlight w:val="none"/>
        </w:rPr>
        <w:t>青苗、</w:t>
      </w:r>
      <w:r>
        <w:rPr>
          <w:rFonts w:hint="eastAsia" w:ascii="黑体" w:hAnsi="黑体" w:eastAsia="黑体" w:cs="黑体"/>
          <w:bCs/>
          <w:sz w:val="32"/>
          <w:szCs w:val="32"/>
          <w:highlight w:val="none"/>
        </w:rPr>
        <w:t>树木</w:t>
      </w:r>
      <w:r>
        <w:rPr>
          <w:rFonts w:hint="eastAsia" w:ascii="黑体" w:hAnsi="黑体" w:eastAsia="黑体" w:cs="黑体"/>
          <w:bCs/>
          <w:sz w:val="32"/>
          <w:szCs w:val="32"/>
          <w:highlight w:val="none"/>
          <w:lang w:eastAsia="zh-CN"/>
        </w:rPr>
        <w:t>、</w:t>
      </w:r>
      <w:r>
        <w:rPr>
          <w:rFonts w:hint="eastAsia" w:ascii="黑体" w:hAnsi="黑体" w:eastAsia="黑体" w:cs="黑体"/>
          <w:bCs/>
          <w:sz w:val="32"/>
          <w:szCs w:val="32"/>
          <w:highlight w:val="none"/>
          <w:lang w:val="en-US" w:eastAsia="zh-CN"/>
        </w:rPr>
        <w:t>坟墓</w:t>
      </w:r>
      <w:r>
        <w:rPr>
          <w:rFonts w:hint="eastAsia" w:ascii="黑体" w:hAnsi="黑体" w:eastAsia="黑体" w:cs="黑体"/>
          <w:sz w:val="32"/>
          <w:szCs w:val="32"/>
          <w:highlight w:val="none"/>
          <w:lang w:val="en-US" w:eastAsia="zh-CN"/>
        </w:rPr>
        <w:t>及地上附着物、其他建筑物、构</w:t>
      </w: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outlineLvl w:val="0"/>
        <w:rPr>
          <w:rFonts w:hint="eastAsia" w:ascii="黑体" w:hAnsi="宋体" w:eastAsia="黑体"/>
          <w:bCs/>
          <w:sz w:val="32"/>
          <w:szCs w:val="32"/>
          <w:highlight w:val="none"/>
        </w:rPr>
      </w:pPr>
      <w:r>
        <w:rPr>
          <w:rFonts w:hint="eastAsia" w:ascii="黑体" w:hAnsi="黑体" w:eastAsia="黑体" w:cs="黑体"/>
          <w:sz w:val="32"/>
          <w:szCs w:val="32"/>
          <w:highlight w:val="none"/>
          <w:lang w:val="en-US" w:eastAsia="zh-CN"/>
        </w:rPr>
        <w:t>筑物</w:t>
      </w:r>
      <w:r>
        <w:rPr>
          <w:rFonts w:hint="eastAsia" w:ascii="黑体" w:hAnsi="黑体" w:eastAsia="黑体" w:cs="黑体"/>
          <w:bCs/>
          <w:sz w:val="32"/>
          <w:szCs w:val="32"/>
          <w:highlight w:val="none"/>
        </w:rPr>
        <w:t>补偿</w:t>
      </w:r>
      <w:r>
        <w:rPr>
          <w:rFonts w:hint="eastAsia" w:ascii="黑体" w:hAnsi="宋体" w:eastAsia="黑体"/>
          <w:bCs/>
          <w:sz w:val="32"/>
          <w:szCs w:val="32"/>
          <w:highlight w:val="none"/>
        </w:rPr>
        <w:t>标准和</w:t>
      </w:r>
      <w:bookmarkEnd w:id="1"/>
      <w:r>
        <w:rPr>
          <w:rFonts w:hint="eastAsia" w:ascii="黑体" w:hAnsi="宋体" w:eastAsia="黑体"/>
          <w:bCs/>
          <w:sz w:val="32"/>
          <w:szCs w:val="32"/>
          <w:highlight w:val="none"/>
        </w:rPr>
        <w:t>补偿金额</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outlineLvl w:val="0"/>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地上青苗、</w:t>
      </w:r>
      <w:r>
        <w:rPr>
          <w:rFonts w:hint="eastAsia" w:ascii="仿宋" w:hAnsi="仿宋" w:eastAsia="仿宋" w:cs="仿宋"/>
          <w:b w:val="0"/>
          <w:bCs/>
          <w:sz w:val="32"/>
          <w:szCs w:val="32"/>
          <w:highlight w:val="none"/>
        </w:rPr>
        <w:t>树木</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坟墓及地上附着物、其他建筑物、构筑物等</w:t>
      </w:r>
      <w:r>
        <w:rPr>
          <w:rFonts w:hint="eastAsia" w:ascii="仿宋" w:hAnsi="仿宋" w:eastAsia="仿宋" w:cs="仿宋"/>
          <w:b w:val="0"/>
          <w:bCs/>
          <w:sz w:val="32"/>
          <w:szCs w:val="32"/>
          <w:highlight w:val="none"/>
        </w:rPr>
        <w:t>补偿标准</w:t>
      </w:r>
      <w:r>
        <w:rPr>
          <w:rFonts w:hint="eastAsia" w:ascii="仿宋" w:hAnsi="仿宋" w:eastAsia="仿宋" w:cs="仿宋"/>
          <w:b w:val="0"/>
          <w:bCs/>
          <w:sz w:val="32"/>
          <w:szCs w:val="32"/>
          <w:highlight w:val="none"/>
          <w:lang w:val="en-US" w:eastAsia="zh-CN"/>
        </w:rPr>
        <w:t>和补偿费用表</w:t>
      </w:r>
    </w:p>
    <w:tbl>
      <w:tblPr>
        <w:tblStyle w:val="4"/>
        <w:tblW w:w="8548" w:type="dxa"/>
        <w:jc w:val="center"/>
        <w:tblLayout w:type="fixed"/>
        <w:tblCellMar>
          <w:top w:w="0" w:type="dxa"/>
          <w:left w:w="108" w:type="dxa"/>
          <w:bottom w:w="0" w:type="dxa"/>
          <w:right w:w="108" w:type="dxa"/>
        </w:tblCellMar>
      </w:tblPr>
      <w:tblGrid>
        <w:gridCol w:w="757"/>
        <w:gridCol w:w="2190"/>
        <w:gridCol w:w="1461"/>
        <w:gridCol w:w="2070"/>
        <w:gridCol w:w="2070"/>
      </w:tblGrid>
      <w:tr>
        <w:tblPrEx>
          <w:tblCellMar>
            <w:top w:w="0" w:type="dxa"/>
            <w:left w:w="108" w:type="dxa"/>
            <w:bottom w:w="0" w:type="dxa"/>
            <w:right w:w="108" w:type="dxa"/>
          </w:tblCellMar>
        </w:tblPrEx>
        <w:trPr>
          <w:trHeight w:val="1576" w:hRule="exac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rPr>
            </w:pPr>
            <w:r>
              <w:rPr>
                <w:rFonts w:hint="eastAsia" w:ascii="仿宋" w:hAnsi="仿宋" w:eastAsia="仿宋" w:cs="仿宋"/>
                <w:bCs/>
                <w:sz w:val="24"/>
                <w:szCs w:val="24"/>
                <w:lang w:val="en-US" w:eastAsia="zh-CN"/>
              </w:rPr>
              <w:t>序号</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24"/>
                <w:szCs w:val="24"/>
                <w:lang w:val="en-US"/>
              </w:rPr>
            </w:pPr>
            <w:r>
              <w:rPr>
                <w:rFonts w:hint="eastAsia" w:ascii="仿宋" w:hAnsi="仿宋" w:eastAsia="仿宋" w:cs="仿宋"/>
                <w:sz w:val="24"/>
                <w:szCs w:val="24"/>
                <w:highlight w:val="none"/>
              </w:rPr>
              <w:t>青苗、树木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坟墓及地上附着物、其他建筑物、构筑物</w:t>
            </w:r>
            <w:r>
              <w:rPr>
                <w:rFonts w:hint="eastAsia" w:ascii="仿宋" w:hAnsi="仿宋" w:eastAsia="仿宋" w:cs="仿宋"/>
                <w:bCs/>
                <w:sz w:val="24"/>
                <w:szCs w:val="24"/>
                <w:lang w:val="en-US" w:eastAsia="zh-CN"/>
              </w:rPr>
              <w:t>等名称</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bCs/>
                <w:sz w:val="24"/>
                <w:szCs w:val="24"/>
                <w:lang w:val="en-US" w:eastAsia="zh-CN"/>
              </w:rPr>
              <w:t>数量</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补偿标准（万元/亩）</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rPr>
              <w:t>补偿</w:t>
            </w:r>
            <w:r>
              <w:rPr>
                <w:rFonts w:hint="eastAsia" w:ascii="仿宋" w:hAnsi="仿宋" w:eastAsia="仿宋" w:cs="仿宋"/>
                <w:bCs/>
                <w:sz w:val="24"/>
                <w:szCs w:val="24"/>
                <w:lang w:val="en-US" w:eastAsia="zh-CN"/>
              </w:rPr>
              <w:t>金额</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万</w:t>
            </w:r>
            <w:r>
              <w:rPr>
                <w:rFonts w:hint="eastAsia" w:ascii="仿宋" w:hAnsi="仿宋" w:eastAsia="仿宋" w:cs="仿宋"/>
                <w:bCs/>
                <w:sz w:val="24"/>
                <w:szCs w:val="24"/>
              </w:rPr>
              <w:t>元）</w:t>
            </w:r>
          </w:p>
        </w:tc>
      </w:tr>
      <w:tr>
        <w:tblPrEx>
          <w:tblCellMar>
            <w:top w:w="0" w:type="dxa"/>
            <w:left w:w="108" w:type="dxa"/>
            <w:bottom w:w="0" w:type="dxa"/>
            <w:right w:w="108" w:type="dxa"/>
          </w:tblCellMar>
        </w:tblPrEx>
        <w:trPr>
          <w:trHeight w:val="820" w:hRule="exac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sz w:val="24"/>
                <w:szCs w:val="24"/>
                <w:lang w:val="en-US" w:eastAsia="zh-CN"/>
              </w:rPr>
              <w:t>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苗木、坟</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17" w:firstLineChars="49"/>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赣天禄资评[2023]字第0474号</w:t>
            </w:r>
          </w:p>
          <w:p>
            <w:pPr>
              <w:keepNext w:val="0"/>
              <w:keepLines w:val="0"/>
              <w:pageBreakBefore w:val="0"/>
              <w:widowControl w:val="0"/>
              <w:kinsoku/>
              <w:wordWrap/>
              <w:overflowPunct/>
              <w:topLinePunct w:val="0"/>
              <w:autoSpaceDE/>
              <w:autoSpaceDN/>
              <w:bidi w:val="0"/>
              <w:adjustRightInd/>
              <w:snapToGrid/>
              <w:spacing w:line="400" w:lineRule="exact"/>
              <w:ind w:firstLine="117" w:firstLineChars="49"/>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资产评估报告</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17" w:firstLineChars="49"/>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sz w:val="24"/>
                <w:szCs w:val="24"/>
                <w:lang w:val="en-US" w:eastAsia="zh-CN"/>
              </w:rPr>
              <w:t>21.2</w:t>
            </w:r>
          </w:p>
        </w:tc>
      </w:tr>
      <w:tr>
        <w:tblPrEx>
          <w:tblCellMar>
            <w:top w:w="0" w:type="dxa"/>
            <w:left w:w="108" w:type="dxa"/>
            <w:bottom w:w="0" w:type="dxa"/>
            <w:right w:w="108" w:type="dxa"/>
          </w:tblCellMar>
        </w:tblPrEx>
        <w:trPr>
          <w:trHeight w:val="560" w:hRule="exac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szCs w:val="24"/>
                <w:lang w:val="en-US" w:eastAsia="zh-CN"/>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center"/>
              <w:textAlignment w:val="auto"/>
              <w:rPr>
                <w:rFonts w:hint="default" w:ascii="仿宋" w:hAnsi="仿宋" w:eastAsia="仿宋" w:cs="仿宋"/>
                <w:color w:val="auto"/>
                <w:sz w:val="24"/>
                <w:szCs w:val="24"/>
                <w:lang w:val="en-US" w:eastAsia="zh-CN"/>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17" w:firstLineChars="49"/>
              <w:jc w:val="center"/>
              <w:textAlignment w:val="auto"/>
              <w:rPr>
                <w:rFonts w:hint="eastAsia" w:ascii="仿宋" w:hAnsi="仿宋" w:eastAsia="仿宋" w:cs="仿宋"/>
                <w:sz w:val="24"/>
                <w:szCs w:val="24"/>
                <w:lang w:val="en-US" w:eastAsia="zh-CN"/>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17" w:firstLineChars="49"/>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sz w:val="24"/>
                <w:szCs w:val="24"/>
                <w:lang w:val="en-US" w:eastAsia="zh-CN"/>
              </w:rPr>
              <w:t>21.2</w:t>
            </w:r>
          </w:p>
        </w:tc>
      </w:tr>
    </w:tbl>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宋体" w:eastAsia="仿宋_GB2312"/>
          <w:bCs/>
          <w:sz w:val="32"/>
          <w:szCs w:val="32"/>
          <w:highlight w:val="none"/>
        </w:rPr>
      </w:pPr>
      <w:r>
        <w:rPr>
          <w:rFonts w:hint="eastAsia" w:ascii="仿宋_GB2312" w:hAnsi="黑体" w:eastAsia="仿宋_GB2312"/>
          <w:bCs/>
          <w:sz w:val="32"/>
          <w:szCs w:val="32"/>
          <w:highlight w:val="none"/>
          <w:lang w:val="en-US" w:eastAsia="zh-CN"/>
        </w:rPr>
        <w:t>经评估公司评估和甲乙双方确认，</w:t>
      </w:r>
      <w:r>
        <w:rPr>
          <w:rFonts w:hint="eastAsia" w:ascii="仿宋_GB2312" w:hAnsi="宋体" w:eastAsia="仿宋_GB2312"/>
          <w:bCs/>
          <w:sz w:val="32"/>
          <w:szCs w:val="32"/>
          <w:highlight w:val="none"/>
        </w:rPr>
        <w:t>本次</w:t>
      </w:r>
      <w:r>
        <w:rPr>
          <w:rFonts w:hint="eastAsia" w:ascii="仿宋_GB2312" w:hAnsi="宋体" w:eastAsia="仿宋_GB2312"/>
          <w:sz w:val="32"/>
          <w:szCs w:val="32"/>
          <w:highlight w:val="none"/>
        </w:rPr>
        <w:t>拟</w:t>
      </w:r>
      <w:r>
        <w:rPr>
          <w:rFonts w:hint="eastAsia" w:ascii="仿宋_GB2312" w:hAnsi="宋体" w:eastAsia="仿宋_GB2312"/>
          <w:bCs/>
          <w:sz w:val="32"/>
          <w:szCs w:val="32"/>
          <w:highlight w:val="none"/>
        </w:rPr>
        <w:t>征收土地青苗、</w:t>
      </w:r>
      <w:r>
        <w:rPr>
          <w:rFonts w:hint="eastAsia" w:ascii="仿宋_GB2312" w:hAnsi="宋体" w:eastAsia="仿宋_GB2312"/>
          <w:bCs/>
          <w:sz w:val="32"/>
          <w:szCs w:val="32"/>
          <w:highlight w:val="none"/>
          <w:lang w:val="en-US" w:eastAsia="zh-CN"/>
        </w:rPr>
        <w:t>树</w:t>
      </w:r>
      <w:r>
        <w:rPr>
          <w:rFonts w:hint="eastAsia" w:ascii="仿宋_GB2312" w:hAnsi="宋体" w:eastAsia="仿宋_GB2312"/>
          <w:bCs/>
          <w:sz w:val="32"/>
          <w:szCs w:val="32"/>
          <w:highlight w:val="none"/>
        </w:rPr>
        <w:t>木</w:t>
      </w:r>
      <w:r>
        <w:rPr>
          <w:rFonts w:hint="eastAsia" w:ascii="仿宋_GB2312" w:hAnsi="宋体" w:eastAsia="仿宋_GB2312"/>
          <w:bCs/>
          <w:sz w:val="32"/>
          <w:szCs w:val="32"/>
          <w:highlight w:val="none"/>
          <w:lang w:eastAsia="zh-CN"/>
        </w:rPr>
        <w:t>、</w:t>
      </w:r>
      <w:r>
        <w:rPr>
          <w:rFonts w:hint="eastAsia" w:ascii="仿宋_GB2312" w:hAnsi="宋体" w:eastAsia="仿宋_GB2312"/>
          <w:bCs/>
          <w:sz w:val="32"/>
          <w:szCs w:val="32"/>
          <w:highlight w:val="none"/>
          <w:lang w:val="en-US" w:eastAsia="zh-CN"/>
        </w:rPr>
        <w:t>坟墓及地上附着物、其他建筑物、构筑物</w:t>
      </w:r>
      <w:r>
        <w:rPr>
          <w:rFonts w:hint="eastAsia" w:ascii="仿宋_GB2312" w:hAnsi="宋体" w:eastAsia="仿宋_GB2312"/>
          <w:bCs/>
          <w:sz w:val="32"/>
          <w:szCs w:val="32"/>
          <w:highlight w:val="none"/>
        </w:rPr>
        <w:t>等补偿费共计人民币大写：</w:t>
      </w:r>
      <w:r>
        <w:rPr>
          <w:rFonts w:hint="eastAsia" w:ascii="仿宋_GB2312" w:hAnsi="宋体" w:eastAsia="仿宋_GB2312"/>
          <w:bCs/>
          <w:sz w:val="32"/>
          <w:szCs w:val="32"/>
          <w:highlight w:val="none"/>
          <w:lang w:val="en-US" w:eastAsia="zh-CN"/>
        </w:rPr>
        <w:t>贰拾壹万贰仟元整</w:t>
      </w:r>
      <w:r>
        <w:rPr>
          <w:rFonts w:hint="eastAsia" w:ascii="仿宋_GB2312" w:hAnsi="宋体" w:eastAsia="仿宋_GB2312"/>
          <w:bCs/>
          <w:sz w:val="32"/>
          <w:szCs w:val="32"/>
          <w:highlight w:val="none"/>
        </w:rPr>
        <w:t>（小写：</w:t>
      </w:r>
      <w:r>
        <w:rPr>
          <w:rFonts w:hint="eastAsia" w:ascii="仿宋_GB2312" w:hAnsi="宋体" w:eastAsia="仿宋_GB2312"/>
          <w:bCs/>
          <w:sz w:val="32"/>
          <w:szCs w:val="32"/>
          <w:highlight w:val="none"/>
          <w:lang w:val="en-US" w:eastAsia="zh-CN"/>
        </w:rPr>
        <w:t>21.2万</w:t>
      </w:r>
      <w:r>
        <w:rPr>
          <w:rFonts w:hint="eastAsia" w:ascii="仿宋_GB2312" w:hAnsi="宋体" w:eastAsia="仿宋_GB2312"/>
          <w:bCs/>
          <w:sz w:val="32"/>
          <w:szCs w:val="32"/>
          <w:highlight w:val="none"/>
        </w:rPr>
        <w:t>元）。</w:t>
      </w:r>
    </w:p>
    <w:p>
      <w:pPr>
        <w:keepNext w:val="0"/>
        <w:keepLines w:val="0"/>
        <w:pageBreakBefore w:val="0"/>
        <w:widowControl w:val="0"/>
        <w:kinsoku/>
        <w:wordWrap/>
        <w:overflowPunct/>
        <w:topLinePunct w:val="0"/>
        <w:autoSpaceDE/>
        <w:autoSpaceDN/>
        <w:bidi w:val="0"/>
        <w:adjustRightInd/>
        <w:spacing w:line="560" w:lineRule="exact"/>
        <w:ind w:firstLine="633" w:firstLineChars="198"/>
        <w:textAlignment w:val="auto"/>
        <w:outlineLvl w:val="0"/>
        <w:rPr>
          <w:rFonts w:ascii="黑体" w:hAnsi="宋体" w:eastAsia="黑体"/>
          <w:bCs/>
          <w:sz w:val="32"/>
          <w:szCs w:val="32"/>
          <w:highlight w:val="none"/>
        </w:rPr>
      </w:pPr>
      <w:r>
        <w:rPr>
          <w:rFonts w:hint="eastAsia" w:ascii="黑体" w:hAnsi="宋体" w:eastAsia="黑体"/>
          <w:bCs/>
          <w:sz w:val="32"/>
          <w:szCs w:val="32"/>
          <w:highlight w:val="none"/>
        </w:rPr>
        <w:t>三</w:t>
      </w:r>
      <w:bookmarkStart w:id="2" w:name="_Toc109029795"/>
      <w:r>
        <w:rPr>
          <w:rFonts w:hint="eastAsia" w:ascii="黑体" w:hAnsi="宋体" w:eastAsia="黑体"/>
          <w:bCs/>
          <w:sz w:val="32"/>
          <w:szCs w:val="32"/>
          <w:highlight w:val="none"/>
        </w:rPr>
        <w:t>、支付</w:t>
      </w:r>
      <w:bookmarkEnd w:id="2"/>
      <w:r>
        <w:rPr>
          <w:rFonts w:hint="eastAsia" w:ascii="黑体" w:hAnsi="宋体" w:eastAsia="黑体"/>
          <w:bCs/>
          <w:sz w:val="32"/>
          <w:szCs w:val="32"/>
          <w:highlight w:val="none"/>
        </w:rPr>
        <w:t>方式、期限</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甲方</w:t>
      </w:r>
      <w:r>
        <w:rPr>
          <w:rFonts w:hint="eastAsia" w:ascii="仿宋_GB2312" w:hAnsi="仿宋_GB2312" w:eastAsia="仿宋_GB2312" w:cs="仿宋_GB2312"/>
          <w:sz w:val="32"/>
          <w:szCs w:val="32"/>
          <w:highlight w:val="none"/>
        </w:rPr>
        <w:t>将在征收土地公告发布之日起六十日内将</w:t>
      </w:r>
      <w:r>
        <w:rPr>
          <w:rFonts w:hint="eastAsia" w:ascii="仿宋_GB2312" w:hAnsi="宋体" w:eastAsia="仿宋_GB2312"/>
          <w:sz w:val="32"/>
          <w:szCs w:val="32"/>
          <w:highlight w:val="none"/>
        </w:rPr>
        <w:t>补偿</w:t>
      </w:r>
      <w:r>
        <w:rPr>
          <w:rFonts w:hint="eastAsia" w:ascii="仿宋_GB2312" w:hAnsi="宋体" w:eastAsia="仿宋_GB2312"/>
          <w:sz w:val="32"/>
          <w:szCs w:val="32"/>
          <w:highlight w:val="none"/>
          <w:lang w:val="en-US" w:eastAsia="zh-CN"/>
        </w:rPr>
        <w:t>等</w:t>
      </w:r>
      <w:r>
        <w:rPr>
          <w:rFonts w:hint="eastAsia" w:ascii="仿宋_GB2312" w:hAnsi="宋体" w:eastAsia="仿宋_GB2312"/>
          <w:sz w:val="32"/>
          <w:szCs w:val="32"/>
          <w:highlight w:val="none"/>
        </w:rPr>
        <w:t>费用以银行转账方式</w:t>
      </w:r>
      <w:r>
        <w:rPr>
          <w:rFonts w:hint="eastAsia" w:ascii="仿宋_GB2312" w:hAnsi="仿宋_GB2312" w:eastAsia="仿宋_GB2312" w:cs="仿宋_GB2312"/>
          <w:sz w:val="32"/>
          <w:szCs w:val="32"/>
          <w:highlight w:val="none"/>
        </w:rPr>
        <w:t>足额支</w:t>
      </w:r>
      <w:r>
        <w:rPr>
          <w:rFonts w:hint="eastAsia" w:ascii="仿宋_GB2312" w:hAnsi="宋体" w:eastAsia="仿宋_GB2312"/>
          <w:sz w:val="32"/>
          <w:szCs w:val="32"/>
          <w:highlight w:val="none"/>
        </w:rPr>
        <w:t>付给乙方。</w:t>
      </w:r>
    </w:p>
    <w:p>
      <w:pPr>
        <w:pStyle w:val="3"/>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乙方收取征收住宅补偿安置费用的银行账户：</w:t>
      </w:r>
    </w:p>
    <w:p>
      <w:pPr>
        <w:pStyle w:val="3"/>
        <w:ind w:firstLine="640" w:firstLineChars="200"/>
        <w:rPr>
          <w:rFonts w:hint="default" w:ascii="仿宋_GB2312" w:hAnsi="宋体" w:eastAsia="仿宋_GB2312"/>
          <w:sz w:val="32"/>
          <w:szCs w:val="32"/>
          <w:highlight w:val="none"/>
          <w:u w:val="single"/>
          <w:lang w:val="en-US" w:eastAsia="zh-CN"/>
        </w:rPr>
      </w:pPr>
      <w:r>
        <w:rPr>
          <w:rFonts w:hint="eastAsia" w:ascii="仿宋_GB2312" w:hAnsi="宋体" w:eastAsia="仿宋_GB2312"/>
          <w:sz w:val="32"/>
          <w:szCs w:val="32"/>
          <w:highlight w:val="none"/>
          <w:lang w:val="en-US" w:eastAsia="zh-CN"/>
        </w:rPr>
        <w:t>开户名：</w:t>
      </w:r>
      <w:bookmarkStart w:id="3" w:name="_Toc109029796"/>
      <w:r>
        <w:rPr>
          <w:rFonts w:hint="eastAsia" w:ascii="仿宋_GB2312" w:hAnsi="宋体" w:eastAsia="仿宋_GB2312"/>
          <w:sz w:val="32"/>
          <w:szCs w:val="32"/>
          <w:highlight w:val="none"/>
          <w:u w:val="single"/>
          <w:lang w:val="en-US" w:eastAsia="zh-CN"/>
        </w:rPr>
        <w:t xml:space="preserve">景德镇市昌江区吕蒙乡历尧村民委员会                       </w:t>
      </w:r>
    </w:p>
    <w:p>
      <w:pPr>
        <w:pStyle w:val="3"/>
        <w:ind w:firstLine="640" w:firstLineChars="20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开户银行：</w:t>
      </w:r>
      <w:r>
        <w:rPr>
          <w:rFonts w:hint="eastAsia" w:ascii="仿宋_GB2312" w:hAnsi="宋体" w:eastAsia="仿宋_GB2312"/>
          <w:sz w:val="32"/>
          <w:szCs w:val="32"/>
          <w:highlight w:val="none"/>
          <w:u w:val="single"/>
          <w:lang w:val="en-US" w:eastAsia="zh-CN"/>
        </w:rPr>
        <w:t xml:space="preserve">   农商银行高新支行                   </w:t>
      </w:r>
      <w:r>
        <w:rPr>
          <w:rFonts w:hint="eastAsia" w:ascii="仿宋_GB2312" w:hAnsi="宋体" w:eastAsia="仿宋_GB2312"/>
          <w:sz w:val="32"/>
          <w:szCs w:val="32"/>
          <w:highlight w:val="none"/>
          <w:lang w:val="en-US" w:eastAsia="zh-CN"/>
        </w:rPr>
        <w:t xml:space="preserve">                    </w:t>
      </w:r>
    </w:p>
    <w:p>
      <w:pPr>
        <w:pStyle w:val="3"/>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宋体" w:eastAsia="黑体"/>
          <w:bCs/>
          <w:sz w:val="32"/>
          <w:szCs w:val="32"/>
          <w:highlight w:val="none"/>
        </w:rPr>
      </w:pPr>
      <w:r>
        <w:rPr>
          <w:rFonts w:hint="eastAsia" w:ascii="仿宋_GB2312" w:hAnsi="宋体" w:eastAsia="仿宋_GB2312"/>
          <w:sz w:val="32"/>
          <w:szCs w:val="32"/>
          <w:highlight w:val="none"/>
          <w:lang w:val="en-US" w:eastAsia="zh-CN"/>
        </w:rPr>
        <w:t xml:space="preserve">账   号： </w:t>
      </w:r>
      <w:r>
        <w:rPr>
          <w:rFonts w:hint="eastAsia" w:ascii="仿宋_GB2312" w:hAnsi="宋体" w:eastAsia="仿宋_GB2312"/>
          <w:sz w:val="32"/>
          <w:szCs w:val="32"/>
          <w:highlight w:val="none"/>
          <w:u w:val="single"/>
          <w:lang w:val="en-US" w:eastAsia="zh-CN"/>
        </w:rPr>
        <w:t xml:space="preserve"> 310289100000014294                   </w:t>
      </w:r>
      <w:r>
        <w:rPr>
          <w:rFonts w:hint="eastAsia" w:ascii="仿宋_GB2312" w:hAnsi="宋体" w:eastAsia="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ascii="黑体" w:hAnsi="宋体" w:eastAsia="黑体"/>
          <w:bCs/>
          <w:sz w:val="32"/>
          <w:szCs w:val="32"/>
          <w:highlight w:val="none"/>
        </w:rPr>
      </w:pPr>
      <w:r>
        <w:rPr>
          <w:rFonts w:hint="eastAsia" w:ascii="黑体" w:hAnsi="宋体" w:eastAsia="黑体"/>
          <w:bCs/>
          <w:sz w:val="32"/>
          <w:szCs w:val="32"/>
          <w:highlight w:val="none"/>
        </w:rPr>
        <w:t>四、土地交付方式及期限</w:t>
      </w:r>
      <w:bookmarkEnd w:id="3"/>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征收土地公告发布后且已足额支付补偿费用后，乙方应当自收到征地补偿款之日起</w:t>
      </w:r>
      <w:r>
        <w:rPr>
          <w:rFonts w:hint="eastAsia" w:ascii="仿宋_GB2312" w:hAnsi="宋体" w:eastAsia="仿宋_GB2312"/>
          <w:sz w:val="32"/>
          <w:szCs w:val="32"/>
          <w:highlight w:val="none"/>
          <w:lang w:val="en-US" w:eastAsia="zh-CN"/>
        </w:rPr>
        <w:t>90</w:t>
      </w:r>
      <w:r>
        <w:rPr>
          <w:rFonts w:hint="eastAsia" w:ascii="仿宋_GB2312" w:hAnsi="宋体" w:eastAsia="仿宋_GB2312"/>
          <w:sz w:val="32"/>
          <w:szCs w:val="32"/>
          <w:highlight w:val="none"/>
        </w:rPr>
        <w:t>日内做好青苗、林木等的腾退工作，并将土地交付给甲方。对于即将收获的</w:t>
      </w:r>
      <w:r>
        <w:rPr>
          <w:rFonts w:hint="eastAsia" w:ascii="仿宋_GB2312" w:hAnsi="宋体" w:eastAsia="仿宋_GB2312"/>
          <w:sz w:val="32"/>
          <w:szCs w:val="32"/>
          <w:highlight w:val="none"/>
          <w:lang w:val="en-US" w:eastAsia="zh-CN"/>
        </w:rPr>
        <w:t>粮食等</w:t>
      </w:r>
      <w:r>
        <w:rPr>
          <w:rFonts w:hint="eastAsia" w:ascii="仿宋_GB2312" w:hAnsi="宋体" w:eastAsia="仿宋_GB2312"/>
          <w:sz w:val="32"/>
          <w:szCs w:val="32"/>
          <w:highlight w:val="none"/>
        </w:rPr>
        <w:t>农作物，待农作物收获后再腾退土地。</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ascii="黑体" w:hAnsi="宋体" w:eastAsia="黑体"/>
          <w:bCs/>
          <w:sz w:val="32"/>
          <w:szCs w:val="32"/>
          <w:highlight w:val="none"/>
        </w:rPr>
      </w:pPr>
      <w:r>
        <w:rPr>
          <w:rFonts w:hint="eastAsia" w:ascii="黑体" w:hAnsi="宋体" w:eastAsia="黑体"/>
          <w:bCs/>
          <w:sz w:val="32"/>
          <w:szCs w:val="32"/>
          <w:highlight w:val="none"/>
        </w:rPr>
        <w:t>五、违约责任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市自然资源储备利用中心应及时足额一次性支付以上款项，逾期不支付，乙方有权不交付土地。</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乙方</w:t>
      </w:r>
      <w:r>
        <w:rPr>
          <w:rFonts w:hint="eastAsia" w:ascii="仿宋_GB2312" w:hAnsi="宋体" w:eastAsia="仿宋_GB2312"/>
          <w:sz w:val="32"/>
          <w:szCs w:val="32"/>
          <w:highlight w:val="none"/>
          <w:lang w:val="en-US" w:eastAsia="zh-CN"/>
        </w:rPr>
        <w:t>收到以上额款后，</w:t>
      </w:r>
      <w:r>
        <w:rPr>
          <w:rFonts w:hint="eastAsia" w:ascii="仿宋_GB2312" w:hAnsi="宋体" w:eastAsia="仿宋_GB2312"/>
          <w:sz w:val="32"/>
          <w:szCs w:val="32"/>
          <w:highlight w:val="none"/>
        </w:rPr>
        <w:t>逾期不交付土地的，甲方有权依照法定程序实施征收，</w:t>
      </w:r>
      <w:r>
        <w:rPr>
          <w:rFonts w:hint="eastAsia" w:ascii="仿宋_GB2312" w:hAnsi="仿宋_GB2312" w:eastAsia="仿宋_GB2312"/>
          <w:sz w:val="32"/>
          <w:highlight w:val="none"/>
        </w:rPr>
        <w:t>乙方不得以任何理由干涉</w:t>
      </w:r>
      <w:r>
        <w:rPr>
          <w:rFonts w:hint="eastAsia" w:ascii="仿宋_GB2312" w:hAnsi="宋体" w:eastAsia="仿宋_GB2312"/>
          <w:sz w:val="32"/>
          <w:szCs w:val="32"/>
          <w:highlight w:val="none"/>
        </w:rPr>
        <w:t>。</w:t>
      </w:r>
    </w:p>
    <w:p>
      <w:pPr>
        <w:pStyle w:val="3"/>
        <w:keepNext w:val="0"/>
        <w:keepLines w:val="0"/>
        <w:pageBreakBefore w:val="0"/>
        <w:widowControl w:val="0"/>
        <w:numPr>
          <w:ilvl w:val="0"/>
          <w:numId w:val="0"/>
        </w:numPr>
        <w:kinsoku/>
        <w:wordWrap/>
        <w:overflowPunct/>
        <w:topLinePunct w:val="0"/>
        <w:autoSpaceDE/>
        <w:autoSpaceDN/>
        <w:bidi w:val="0"/>
        <w:adjustRightInd/>
        <w:spacing w:line="560" w:lineRule="exact"/>
        <w:ind w:left="630" w:firstLine="0" w:firstLineChars="0"/>
        <w:textAlignment w:val="auto"/>
        <w:rPr>
          <w:rFonts w:hint="eastAsia" w:ascii="黑体" w:hAnsi="宋体" w:eastAsia="黑体"/>
          <w:bCs/>
          <w:sz w:val="32"/>
          <w:szCs w:val="32"/>
          <w:highlight w:val="none"/>
          <w:lang w:val="en-US" w:eastAsia="zh-CN"/>
        </w:rPr>
      </w:pPr>
      <w:r>
        <w:rPr>
          <w:rFonts w:hint="eastAsia" w:ascii="黑体" w:hAnsi="宋体" w:eastAsia="黑体"/>
          <w:bCs/>
          <w:sz w:val="32"/>
          <w:szCs w:val="32"/>
          <w:highlight w:val="none"/>
          <w:lang w:val="en-US" w:eastAsia="zh-CN"/>
        </w:rPr>
        <w:t>六、其他约定</w:t>
      </w:r>
    </w:p>
    <w:p>
      <w:pPr>
        <w:pStyle w:val="3"/>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 xml:space="preserve">   （一）乙方签订本协议前已充分知晓此前发布的征收土地预公告、调查结果公告和征地补偿安置公告及乙方所享有的权力和应该承担的义务。</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 xml:space="preserve">   </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二</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本协议双方必须共同遵守</w:t>
      </w:r>
      <w:r>
        <w:rPr>
          <w:rFonts w:hint="default" w:ascii="仿宋_GB2312" w:hAnsi="仿宋_GB2312" w:eastAsia="仿宋_GB2312" w:cs="仿宋_GB2312"/>
          <w:b w:val="0"/>
          <w:bCs/>
          <w:sz w:val="32"/>
          <w:szCs w:val="32"/>
          <w:highlight w:val="none"/>
          <w:lang w:val="en"/>
        </w:rPr>
        <w:t>，</w:t>
      </w:r>
      <w:r>
        <w:rPr>
          <w:rFonts w:hint="eastAsia" w:ascii="仿宋_GB2312" w:hAnsi="仿宋_GB2312" w:eastAsia="仿宋_GB2312" w:cs="仿宋_GB2312"/>
          <w:b w:val="0"/>
          <w:bCs/>
          <w:sz w:val="32"/>
          <w:szCs w:val="32"/>
          <w:highlight w:val="none"/>
        </w:rPr>
        <w:t>经双方代表签字，征地经依法批准后该协议生效。</w:t>
      </w:r>
      <w:r>
        <w:rPr>
          <w:rFonts w:hint="eastAsia" w:ascii="仿宋_GB2312" w:hAnsi="仿宋_GB2312" w:eastAsia="仿宋_GB2312" w:cs="仿宋_GB2312"/>
          <w:b w:val="0"/>
          <w:bCs/>
          <w:sz w:val="32"/>
          <w:szCs w:val="32"/>
          <w:highlight w:val="none"/>
          <w:lang w:val="en-US" w:eastAsia="zh-CN"/>
        </w:rPr>
        <w:t>本协议关于补偿的约定适用征收土地申请依法批准之日有效的标准，法律、法规、规章另有规定的除外。</w:t>
      </w:r>
      <w:r>
        <w:rPr>
          <w:rFonts w:hint="eastAsia" w:ascii="仿宋_GB2312" w:hAnsi="仿宋_GB2312" w:eastAsia="仿宋_GB2312" w:cs="仿宋_GB2312"/>
          <w:b w:val="0"/>
          <w:bCs/>
          <w:sz w:val="32"/>
          <w:szCs w:val="32"/>
          <w:highlight w:val="none"/>
        </w:rPr>
        <w:t>批准范围涉及协议部分内容的，</w:t>
      </w:r>
      <w:r>
        <w:rPr>
          <w:rFonts w:hint="eastAsia" w:ascii="仿宋_GB2312" w:hAnsi="仿宋_GB2312" w:eastAsia="仿宋_GB2312" w:cs="仿宋_GB2312"/>
          <w:b w:val="0"/>
          <w:bCs/>
          <w:sz w:val="32"/>
          <w:szCs w:val="32"/>
          <w:highlight w:val="none"/>
          <w:lang w:val="en-US" w:eastAsia="zh-CN"/>
        </w:rPr>
        <w:t>以批准范围为准</w:t>
      </w:r>
      <w:r>
        <w:rPr>
          <w:rFonts w:hint="eastAsia" w:ascii="仿宋_GB2312" w:hAnsi="仿宋_GB2312" w:eastAsia="仿宋_GB2312" w:cs="仿宋_GB2312"/>
          <w:b w:val="0"/>
          <w:bCs/>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 xml:space="preserve">   </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三</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其它未尽事宜</w:t>
      </w:r>
      <w:r>
        <w:rPr>
          <w:rFonts w:hint="default" w:ascii="仿宋_GB2312" w:hAnsi="仿宋_GB2312" w:eastAsia="仿宋_GB2312" w:cs="仿宋_GB2312"/>
          <w:b w:val="0"/>
          <w:bCs/>
          <w:sz w:val="32"/>
          <w:szCs w:val="32"/>
          <w:highlight w:val="none"/>
          <w:lang w:val="en"/>
        </w:rPr>
        <w:t>，</w:t>
      </w:r>
      <w:r>
        <w:rPr>
          <w:rFonts w:hint="eastAsia" w:ascii="仿宋_GB2312" w:hAnsi="仿宋_GB2312" w:eastAsia="仿宋_GB2312" w:cs="仿宋_GB2312"/>
          <w:b w:val="0"/>
          <w:bCs/>
          <w:sz w:val="32"/>
          <w:szCs w:val="32"/>
          <w:highlight w:val="none"/>
        </w:rPr>
        <w:t>由甲、乙双方另行协商解决。本协议一式</w:t>
      </w:r>
      <w:r>
        <w:rPr>
          <w:rFonts w:hint="eastAsia" w:ascii="仿宋_GB2312" w:hAnsi="仿宋_GB2312" w:eastAsia="仿宋_GB2312" w:cs="仿宋_GB2312"/>
          <w:b w:val="0"/>
          <w:bCs/>
          <w:sz w:val="32"/>
          <w:szCs w:val="32"/>
          <w:highlight w:val="none"/>
          <w:lang w:val="en-US" w:eastAsia="zh-CN"/>
        </w:rPr>
        <w:t>伍</w:t>
      </w:r>
      <w:r>
        <w:rPr>
          <w:rFonts w:hint="eastAsia" w:ascii="仿宋_GB2312" w:hAnsi="仿宋_GB2312" w:eastAsia="仿宋_GB2312" w:cs="仿宋_GB2312"/>
          <w:b w:val="0"/>
          <w:bCs/>
          <w:sz w:val="32"/>
          <w:szCs w:val="32"/>
          <w:highlight w:val="none"/>
        </w:rPr>
        <w:t>份</w:t>
      </w:r>
      <w:r>
        <w:rPr>
          <w:rFonts w:hint="default" w:ascii="仿宋_GB2312" w:hAnsi="仿宋_GB2312" w:eastAsia="仿宋_GB2312" w:cs="仿宋_GB2312"/>
          <w:b w:val="0"/>
          <w:bCs/>
          <w:sz w:val="32"/>
          <w:szCs w:val="32"/>
          <w:highlight w:val="none"/>
          <w:lang w:val="en"/>
        </w:rPr>
        <w:t>，</w:t>
      </w:r>
      <w:r>
        <w:rPr>
          <w:rFonts w:hint="eastAsia" w:ascii="仿宋_GB2312" w:hAnsi="仿宋_GB2312" w:eastAsia="仿宋_GB2312" w:cs="仿宋_GB2312"/>
          <w:b w:val="0"/>
          <w:bCs/>
          <w:sz w:val="32"/>
          <w:szCs w:val="32"/>
          <w:highlight w:val="none"/>
        </w:rPr>
        <w:t>甲、乙双方各执</w:t>
      </w:r>
      <w:r>
        <w:rPr>
          <w:rFonts w:hint="eastAsia" w:ascii="仿宋_GB2312" w:hAnsi="仿宋_GB2312" w:eastAsia="仿宋_GB2312" w:cs="仿宋_GB2312"/>
          <w:b w:val="0"/>
          <w:bCs/>
          <w:sz w:val="32"/>
          <w:szCs w:val="32"/>
          <w:highlight w:val="none"/>
          <w:lang w:val="en-US" w:eastAsia="zh-CN"/>
        </w:rPr>
        <w:t>贰</w:t>
      </w:r>
      <w:r>
        <w:rPr>
          <w:rFonts w:hint="eastAsia" w:ascii="仿宋_GB2312" w:hAnsi="仿宋_GB2312" w:eastAsia="仿宋_GB2312" w:cs="仿宋_GB2312"/>
          <w:b w:val="0"/>
          <w:bCs/>
          <w:sz w:val="32"/>
          <w:szCs w:val="32"/>
          <w:highlight w:val="none"/>
        </w:rPr>
        <w:t>份</w:t>
      </w:r>
      <w:r>
        <w:rPr>
          <w:rFonts w:hint="default" w:ascii="仿宋_GB2312" w:hAnsi="仿宋_GB2312" w:eastAsia="仿宋_GB2312" w:cs="仿宋_GB2312"/>
          <w:b w:val="0"/>
          <w:bCs/>
          <w:sz w:val="32"/>
          <w:szCs w:val="32"/>
          <w:highlight w:val="none"/>
          <w:lang w:val="en"/>
        </w:rPr>
        <w:t>，</w:t>
      </w:r>
      <w:r>
        <w:rPr>
          <w:rFonts w:hint="eastAsia" w:ascii="仿宋_GB2312" w:hAnsi="仿宋_GB2312" w:eastAsia="仿宋_GB2312" w:cs="仿宋_GB2312"/>
          <w:b w:val="0"/>
          <w:bCs/>
          <w:sz w:val="32"/>
          <w:szCs w:val="32"/>
          <w:highlight w:val="none"/>
        </w:rPr>
        <w:t>参加单位各</w:t>
      </w:r>
      <w:r>
        <w:rPr>
          <w:rFonts w:hint="eastAsia" w:ascii="仿宋_GB2312" w:hAnsi="仿宋_GB2312" w:eastAsia="仿宋_GB2312" w:cs="仿宋_GB2312"/>
          <w:b w:val="0"/>
          <w:bCs/>
          <w:sz w:val="32"/>
          <w:szCs w:val="32"/>
          <w:highlight w:val="none"/>
          <w:lang w:val="en-US" w:eastAsia="zh-CN"/>
        </w:rPr>
        <w:t>壹</w:t>
      </w:r>
      <w:r>
        <w:rPr>
          <w:rFonts w:hint="eastAsia" w:ascii="仿宋_GB2312" w:hAnsi="仿宋_GB2312" w:eastAsia="仿宋_GB2312" w:cs="仿宋_GB2312"/>
          <w:b w:val="0"/>
          <w:bCs/>
          <w:sz w:val="32"/>
          <w:szCs w:val="32"/>
          <w:highlight w:val="none"/>
        </w:rPr>
        <w:t>份</w:t>
      </w:r>
      <w:r>
        <w:rPr>
          <w:rFonts w:hint="default" w:ascii="仿宋_GB2312" w:hAnsi="仿宋_GB2312" w:eastAsia="仿宋_GB2312" w:cs="仿宋_GB2312"/>
          <w:b w:val="0"/>
          <w:bCs/>
          <w:sz w:val="32"/>
          <w:szCs w:val="32"/>
          <w:highlight w:val="none"/>
          <w:lang w:val="en"/>
        </w:rPr>
        <w:t>，</w:t>
      </w:r>
      <w:r>
        <w:rPr>
          <w:rFonts w:hint="eastAsia" w:ascii="仿宋_GB2312" w:hAnsi="仿宋_GB2312" w:eastAsia="仿宋_GB2312" w:cs="仿宋_GB2312"/>
          <w:b w:val="0"/>
          <w:bCs/>
          <w:sz w:val="32"/>
          <w:szCs w:val="32"/>
          <w:highlight w:val="none"/>
        </w:rPr>
        <w:t>并报有关单位存查。</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四</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因履行协议发生的争议，由双方协商解决，协商不成的，依法向人民法院起诉。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default" w:ascii="仿宋_GB2312" w:hAnsi="宋体" w:eastAsia="仿宋_GB2312"/>
          <w:sz w:val="32"/>
          <w:szCs w:val="32"/>
          <w:highlight w:val="none"/>
          <w:lang w:val="en-US" w:eastAsia="zh-CN"/>
        </w:rPr>
      </w:pPr>
      <w:bookmarkStart w:id="4" w:name="_Toc109029798"/>
      <w:r>
        <w:rPr>
          <w:rFonts w:hint="eastAsia" w:ascii="仿宋_GB2312" w:hAnsi="宋体" w:eastAsia="仿宋_GB2312"/>
          <w:sz w:val="32"/>
          <w:szCs w:val="32"/>
          <w:highlight w:val="none"/>
        </w:rPr>
        <w:t>附件：</w:t>
      </w:r>
      <w:bookmarkEnd w:id="4"/>
      <w:r>
        <w:rPr>
          <w:rFonts w:hint="eastAsia" w:ascii="仿宋_GB2312" w:hAnsi="宋体" w:eastAsia="仿宋_GB2312"/>
          <w:sz w:val="32"/>
          <w:szCs w:val="32"/>
          <w:highlight w:val="none"/>
          <w:lang w:val="en-US" w:eastAsia="zh-CN"/>
        </w:rPr>
        <w:t>征地红线图</w:t>
      </w:r>
    </w:p>
    <w:p>
      <w:pPr>
        <w:pStyle w:val="3"/>
        <w:keepNext w:val="0"/>
        <w:keepLines w:val="0"/>
        <w:pageBreakBefore w:val="0"/>
        <w:widowControl w:val="0"/>
        <w:kinsoku/>
        <w:wordWrap/>
        <w:overflowPunct/>
        <w:topLinePunct w:val="0"/>
        <w:autoSpaceDE/>
        <w:autoSpaceDN/>
        <w:bidi w:val="0"/>
        <w:adjustRightInd/>
        <w:spacing w:line="560" w:lineRule="exact"/>
        <w:textAlignment w:val="auto"/>
        <w:rPr>
          <w:highlight w:val="none"/>
        </w:rPr>
      </w:pPr>
    </w:p>
    <w:p>
      <w:pPr>
        <w:pStyle w:val="2"/>
        <w:spacing w:line="360" w:lineRule="auto"/>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 xml:space="preserve">甲  方（盖章）：                 乙  方（盖章）：     </w:t>
      </w:r>
    </w:p>
    <w:p>
      <w:pPr>
        <w:pStyle w:val="2"/>
        <w:spacing w:line="360" w:lineRule="auto"/>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代表签字：                      村委会代表签字：</w:t>
      </w:r>
    </w:p>
    <w:p>
      <w:pPr>
        <w:pStyle w:val="2"/>
        <w:spacing w:line="360" w:lineRule="auto"/>
        <w:rPr>
          <w:rFonts w:hint="default"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 xml:space="preserve">                                村小组代表签字：</w:t>
      </w:r>
    </w:p>
    <w:p>
      <w:pPr>
        <w:pStyle w:val="2"/>
        <w:spacing w:line="360" w:lineRule="auto"/>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自然资源和规划所（签字）：</w:t>
      </w:r>
    </w:p>
    <w:p>
      <w:pPr>
        <w:pStyle w:val="2"/>
        <w:spacing w:line="360" w:lineRule="auto"/>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 xml:space="preserve"> 代表签字：  </w:t>
      </w:r>
      <w:bookmarkStart w:id="5" w:name="_GoBack"/>
      <w:bookmarkEnd w:id="5"/>
    </w:p>
    <w:p>
      <w:pPr>
        <w:pStyle w:val="2"/>
        <w:spacing w:line="360" w:lineRule="auto"/>
        <w:rPr>
          <w:rFonts w:hint="default"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 xml:space="preserve">参加单位：吕蒙街道（盖章）：  </w:t>
      </w:r>
    </w:p>
    <w:p>
      <w:pPr>
        <w:pStyle w:val="2"/>
        <w:spacing w:line="360" w:lineRule="auto"/>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 xml:space="preserve">代表签字：                 </w:t>
      </w:r>
    </w:p>
    <w:p>
      <w:pPr>
        <w:pStyle w:val="2"/>
        <w:spacing w:line="360" w:lineRule="auto"/>
        <w:jc w:val="right"/>
      </w:pPr>
      <w:r>
        <w:rPr>
          <w:rFonts w:hint="eastAsia" w:ascii="仿宋_GB2312" w:hAnsi="宋体" w:eastAsia="仿宋_GB2312" w:cs="Times New Roman"/>
          <w:kern w:val="2"/>
          <w:sz w:val="32"/>
          <w:szCs w:val="32"/>
          <w:highlight w:val="none"/>
          <w:lang w:val="en-US" w:eastAsia="zh-CN" w:bidi="ar-SA"/>
        </w:rPr>
        <w:t>签订日期</w:t>
      </w:r>
      <w:r>
        <w:rPr>
          <w:rFonts w:hint="default" w:ascii="仿宋_GB2312" w:hAnsi="宋体" w:eastAsia="仿宋_GB2312" w:cs="Times New Roman"/>
          <w:kern w:val="2"/>
          <w:sz w:val="32"/>
          <w:szCs w:val="32"/>
          <w:highlight w:val="none"/>
          <w:lang w:val="en" w:eastAsia="zh-CN" w:bidi="ar-SA"/>
        </w:rPr>
        <w:t>：</w:t>
      </w:r>
      <w:r>
        <w:rPr>
          <w:rFonts w:hint="eastAsia" w:ascii="仿宋_GB2312" w:hAnsi="宋体" w:eastAsia="仿宋_GB2312" w:cs="Times New Roman"/>
          <w:kern w:val="2"/>
          <w:sz w:val="32"/>
          <w:szCs w:val="32"/>
          <w:highlight w:val="none"/>
          <w:lang w:val="en-US" w:eastAsia="zh-CN" w:bidi="ar-SA"/>
        </w:rPr>
        <w:t xml:space="preserve"> 2023 年11月14日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eastAsia" w:eastAsia="宋体"/>
                        <w:lang w:val="en-US"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E06F6"/>
    <w:multiLevelType w:val="singleLevel"/>
    <w:tmpl w:val="13EE06F6"/>
    <w:lvl w:ilvl="0" w:tentative="0">
      <w:start w:val="2"/>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5MDBiZDVkNWU5M2ZjOGMxNTlmYWI5NDEwOGE0MWYifQ=="/>
  </w:docVars>
  <w:rsids>
    <w:rsidRoot w:val="1857339A"/>
    <w:rsid w:val="03642635"/>
    <w:rsid w:val="1857339A"/>
    <w:rsid w:val="22E15A58"/>
    <w:rsid w:val="45734020"/>
    <w:rsid w:val="51D81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sz w:val="18"/>
      <w:szCs w:val="18"/>
    </w:rPr>
  </w:style>
  <w:style w:type="paragraph" w:styleId="3">
    <w:name w:val="footnote text"/>
    <w:basedOn w:val="1"/>
    <w:unhideWhenUsed/>
    <w:qFormat/>
    <w:uiPriority w:val="99"/>
    <w:pPr>
      <w:snapToGrid w:val="0"/>
      <w:jc w:val="left"/>
    </w:pPr>
    <w:rPr>
      <w:sz w:val="18"/>
    </w:rPr>
  </w:style>
  <w:style w:type="paragraph" w:styleId="6">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2023-11-09T05:01:00Z</dcterms:created>
  <dc:creator>ikaros</dc:creator>
  <cp:lastModifiedBy>Lumia。</cp:lastModifiedBy>
  <cp:lastPrinted>2023-11-09T08:38:00Z</cp:lastPrinted>
  <dcterms:modified xsi:type="dcterms:W3CDTF">2023-12-13T07:52:07Z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4F043383E33543D0A42A4764982DB4CD_13</vt:lpwstr>
  </property>
</Properties>
</file>