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hint="eastAsia" w:ascii="华文中宋" w:hAnsi="华文中宋" w:eastAsia="华文中宋"/>
          <w:b/>
          <w:spacing w:val="20"/>
          <w:sz w:val="44"/>
          <w:szCs w:val="44"/>
        </w:rPr>
      </w:pPr>
      <w:bookmarkStart w:id="0" w:name="_Toc419186633"/>
      <w:r>
        <w:rPr>
          <w:rFonts w:hint="eastAsia" w:ascii="华文中宋" w:hAnsi="华文中宋" w:eastAsia="华文中宋"/>
          <w:b/>
          <w:spacing w:val="20"/>
          <w:sz w:val="44"/>
          <w:szCs w:val="44"/>
          <w:lang w:val="en-US" w:eastAsia="zh-CN"/>
        </w:rPr>
        <w:t>昌江区</w:t>
      </w:r>
      <w:r>
        <w:rPr>
          <w:rFonts w:hint="eastAsia" w:ascii="华文中宋" w:hAnsi="华文中宋" w:eastAsia="华文中宋"/>
          <w:b/>
          <w:spacing w:val="20"/>
          <w:sz w:val="44"/>
          <w:szCs w:val="44"/>
        </w:rPr>
        <w:t>人民政府关于</w:t>
      </w:r>
      <w:r>
        <w:rPr>
          <w:rFonts w:hint="eastAsia" w:ascii="华文中宋" w:hAnsi="华文中宋" w:eastAsia="华文中宋"/>
          <w:b/>
          <w:spacing w:val="20"/>
          <w:sz w:val="44"/>
          <w:szCs w:val="44"/>
          <w:lang w:val="en-US" w:eastAsia="zh-CN"/>
        </w:rPr>
        <w:t>义城路地块</w:t>
      </w:r>
      <w:r>
        <w:rPr>
          <w:rFonts w:hint="eastAsia" w:ascii="华文中宋" w:hAnsi="华文中宋" w:eastAsia="华文中宋"/>
          <w:b/>
          <w:spacing w:val="20"/>
          <w:sz w:val="44"/>
          <w:szCs w:val="44"/>
        </w:rPr>
        <w:t>(项目用地)征收土地补偿安置方案公告</w:t>
      </w:r>
      <w:bookmarkEnd w:id="0"/>
    </w:p>
    <w:p>
      <w:pPr>
        <w:pStyle w:val="2"/>
        <w:keepNext/>
        <w:keepLines/>
        <w:pageBreakBefore w:val="0"/>
        <w:widowControl w:val="0"/>
        <w:kinsoku/>
        <w:wordWrap/>
        <w:overflowPunct/>
        <w:topLinePunct w:val="0"/>
        <w:autoSpaceDE/>
        <w:autoSpaceDN/>
        <w:bidi w:val="0"/>
        <w:adjustRightInd/>
        <w:snapToGrid/>
        <w:spacing w:line="120" w:lineRule="auto"/>
        <w:textAlignment w:val="auto"/>
        <w:rPr>
          <w:sz w:val="22"/>
          <w:szCs w:val="15"/>
        </w:rPr>
      </w:pPr>
    </w:p>
    <w:p>
      <w:pPr>
        <w:spacing w:line="600" w:lineRule="exact"/>
        <w:rPr>
          <w:rFonts w:hint="eastAsia" w:ascii="仿宋" w:hAnsi="仿宋" w:eastAsia="仿宋" w:cs="仿宋"/>
          <w:sz w:val="32"/>
          <w:szCs w:val="32"/>
        </w:rPr>
      </w:pPr>
      <w:r>
        <w:rPr>
          <w:rFonts w:hint="eastAsia" w:ascii="仿宋_GB2312" w:eastAsia="仿宋_GB2312"/>
          <w:b/>
          <w:bCs/>
          <w:sz w:val="32"/>
          <w:szCs w:val="32"/>
        </w:rPr>
        <w:t xml:space="preserve">   </w:t>
      </w:r>
      <w:r>
        <w:rPr>
          <w:rFonts w:ascii="仿宋_GB2312" w:eastAsia="仿宋_GB2312"/>
          <w:sz w:val="32"/>
          <w:szCs w:val="32"/>
        </w:rPr>
        <w:t xml:space="preserve"> </w:t>
      </w:r>
      <w:r>
        <w:rPr>
          <w:rFonts w:hint="eastAsia" w:ascii="仿宋_GB2312" w:eastAsia="仿宋_GB2312"/>
          <w:sz w:val="32"/>
          <w:szCs w:val="32"/>
        </w:rPr>
        <w:t>根</w:t>
      </w:r>
      <w:r>
        <w:rPr>
          <w:rFonts w:hint="eastAsia" w:ascii="仿宋" w:hAnsi="仿宋" w:eastAsia="仿宋" w:cs="仿宋"/>
          <w:sz w:val="32"/>
          <w:szCs w:val="32"/>
        </w:rPr>
        <w:t>据《土地管理法》</w:t>
      </w:r>
      <w:r>
        <w:rPr>
          <w:rFonts w:hint="eastAsia" w:ascii="仿宋" w:hAnsi="仿宋" w:eastAsia="仿宋" w:cs="仿宋"/>
          <w:sz w:val="32"/>
          <w:szCs w:val="32"/>
          <w:lang w:eastAsia="zh-CN"/>
        </w:rPr>
        <w:t>、</w:t>
      </w:r>
      <w:r>
        <w:rPr>
          <w:rFonts w:hint="eastAsia" w:ascii="仿宋" w:hAnsi="仿宋" w:eastAsia="仿宋" w:cs="仿宋"/>
          <w:sz w:val="32"/>
          <w:szCs w:val="32"/>
        </w:rPr>
        <w:t>《土地管理法实施条例》</w:t>
      </w:r>
      <w:r>
        <w:rPr>
          <w:rFonts w:hint="eastAsia" w:ascii="仿宋" w:hAnsi="仿宋" w:eastAsia="仿宋" w:cs="仿宋"/>
          <w:sz w:val="32"/>
          <w:szCs w:val="32"/>
          <w:lang w:eastAsia="zh-CN"/>
        </w:rPr>
        <w:t>、</w:t>
      </w:r>
      <w:r>
        <w:rPr>
          <w:rFonts w:hint="eastAsia" w:ascii="仿宋" w:hAnsi="仿宋" w:eastAsia="仿宋" w:cs="仿宋"/>
          <w:sz w:val="32"/>
          <w:szCs w:val="32"/>
        </w:rPr>
        <w:t>《江西省征收土地管理办法》</w:t>
      </w:r>
      <w:r>
        <w:rPr>
          <w:rFonts w:hint="eastAsia" w:ascii="仿宋" w:hAnsi="仿宋" w:eastAsia="仿宋" w:cs="仿宋"/>
          <w:sz w:val="32"/>
          <w:szCs w:val="32"/>
          <w:lang w:eastAsia="zh-CN"/>
        </w:rPr>
        <w:t>、</w:t>
      </w:r>
      <w:r>
        <w:rPr>
          <w:rFonts w:hint="eastAsia" w:ascii="仿宋" w:hAnsi="仿宋" w:eastAsia="仿宋" w:cs="仿宋"/>
          <w:sz w:val="32"/>
          <w:szCs w:val="32"/>
        </w:rPr>
        <w:t>《江西省人民政府关于公布全省征地区片综合地价的通知》（赣府字〔2020〕9号）</w:t>
      </w:r>
      <w:r>
        <w:rPr>
          <w:rFonts w:hint="eastAsia" w:ascii="仿宋" w:hAnsi="仿宋" w:eastAsia="仿宋" w:cs="仿宋"/>
          <w:sz w:val="32"/>
          <w:szCs w:val="32"/>
          <w:lang w:eastAsia="zh-CN"/>
        </w:rPr>
        <w:t>、</w:t>
      </w:r>
      <w:r>
        <w:rPr>
          <w:rFonts w:hint="eastAsia" w:ascii="仿宋" w:hAnsi="仿宋" w:eastAsia="仿宋" w:cs="仿宋"/>
          <w:sz w:val="32"/>
          <w:szCs w:val="32"/>
        </w:rPr>
        <w:t>《江西省人民政府办公厅转发省人社厅等部门关于进一步完善被征地农民基本养老保险政策意见的通知》（赣府厅发〔2014〕12号）等规定。</w:t>
      </w:r>
      <w:bookmarkStart w:id="1" w:name="_Hlk104462003"/>
      <w:r>
        <w:rPr>
          <w:rFonts w:hint="eastAsia" w:ascii="仿宋" w:hAnsi="仿宋" w:eastAsia="仿宋" w:cs="仿宋"/>
          <w:sz w:val="32"/>
          <w:szCs w:val="32"/>
        </w:rPr>
        <w:t>在前期工作基础上，依据社会稳定风险评估结果，结合土地现状调查情况，拟订了</w:t>
      </w:r>
      <w:r>
        <w:rPr>
          <w:rFonts w:hint="eastAsia" w:ascii="仿宋" w:hAnsi="仿宋" w:eastAsia="仿宋" w:cs="仿宋"/>
          <w:sz w:val="32"/>
          <w:szCs w:val="32"/>
          <w:lang w:val="en-US" w:eastAsia="zh-CN"/>
        </w:rPr>
        <w:t>义城路地块</w:t>
      </w:r>
      <w:r>
        <w:rPr>
          <w:rFonts w:hint="eastAsia" w:ascii="仿宋" w:hAnsi="仿宋" w:eastAsia="仿宋" w:cs="仿宋"/>
          <w:sz w:val="32"/>
          <w:szCs w:val="32"/>
        </w:rPr>
        <w:t>（项目用地）征收土地补偿安置方案</w:t>
      </w:r>
      <w:bookmarkEnd w:id="1"/>
      <w:r>
        <w:rPr>
          <w:rFonts w:hint="eastAsia" w:ascii="仿宋" w:hAnsi="仿宋" w:eastAsia="仿宋" w:cs="仿宋"/>
          <w:sz w:val="32"/>
          <w:szCs w:val="32"/>
        </w:rPr>
        <w:t>。现公告如下:</w:t>
      </w:r>
    </w:p>
    <w:p>
      <w:pPr>
        <w:spacing w:line="60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一、征收范围</w:t>
      </w:r>
    </w:p>
    <w:p>
      <w:pPr>
        <w:spacing w:line="600" w:lineRule="exact"/>
        <w:ind w:firstLine="640" w:firstLineChars="200"/>
        <w:rPr>
          <w:rFonts w:hint="eastAsia" w:ascii="仿宋" w:hAnsi="仿宋" w:eastAsia="仿宋" w:cs="仿宋"/>
          <w:bCs/>
          <w:sz w:val="32"/>
          <w:szCs w:val="32"/>
        </w:rPr>
      </w:pPr>
      <w:bookmarkStart w:id="2" w:name="_Hlk104462159"/>
      <w:r>
        <w:rPr>
          <w:rFonts w:hint="eastAsia" w:ascii="仿宋" w:hAnsi="仿宋" w:eastAsia="仿宋" w:cs="仿宋"/>
          <w:bCs/>
          <w:sz w:val="32"/>
          <w:szCs w:val="32"/>
        </w:rPr>
        <w:t>（</w:t>
      </w:r>
      <w:r>
        <w:rPr>
          <w:rFonts w:hint="eastAsia" w:ascii="仿宋" w:hAnsi="仿宋" w:eastAsia="仿宋" w:cs="仿宋"/>
          <w:bCs/>
          <w:sz w:val="32"/>
          <w:szCs w:val="32"/>
          <w:lang w:val="en-US" w:eastAsia="zh-CN"/>
        </w:rPr>
        <w:t>一</w:t>
      </w:r>
      <w:r>
        <w:rPr>
          <w:rFonts w:hint="eastAsia" w:ascii="仿宋" w:hAnsi="仿宋" w:eastAsia="仿宋" w:cs="仿宋"/>
          <w:bCs/>
          <w:sz w:val="32"/>
          <w:szCs w:val="32"/>
        </w:rPr>
        <w:t>）</w:t>
      </w:r>
      <w:r>
        <w:rPr>
          <w:rFonts w:hint="eastAsia" w:ascii="仿宋" w:hAnsi="仿宋" w:eastAsia="仿宋" w:cs="仿宋"/>
          <w:sz w:val="32"/>
          <w:szCs w:val="32"/>
        </w:rPr>
        <w:t>经土地现状调查确认,本次拟征地</w:t>
      </w:r>
      <w:r>
        <w:rPr>
          <w:rFonts w:hint="eastAsia" w:ascii="仿宋" w:hAnsi="仿宋" w:eastAsia="仿宋" w:cs="仿宋"/>
          <w:bCs/>
          <w:sz w:val="32"/>
          <w:szCs w:val="32"/>
        </w:rPr>
        <w:t>四至范围</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详见附件1</w:t>
      </w:r>
      <w:r>
        <w:rPr>
          <w:rFonts w:hint="eastAsia" w:ascii="仿宋" w:hAnsi="仿宋" w:eastAsia="仿宋" w:cs="仿宋"/>
          <w:bCs/>
          <w:sz w:val="32"/>
          <w:szCs w:val="32"/>
        </w:rPr>
        <w:t>。</w:t>
      </w:r>
    </w:p>
    <w:p>
      <w:pPr>
        <w:spacing w:line="6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w:t>
      </w:r>
      <w:r>
        <w:rPr>
          <w:rFonts w:hint="eastAsia" w:ascii="仿宋" w:hAnsi="仿宋" w:eastAsia="仿宋" w:cs="仿宋"/>
          <w:bCs/>
          <w:sz w:val="32"/>
          <w:szCs w:val="32"/>
          <w:lang w:val="en-US" w:eastAsia="zh-CN"/>
        </w:rPr>
        <w:t>二</w:t>
      </w:r>
      <w:r>
        <w:rPr>
          <w:rFonts w:hint="eastAsia" w:ascii="仿宋" w:hAnsi="仿宋" w:eastAsia="仿宋" w:cs="仿宋"/>
          <w:bCs/>
          <w:sz w:val="32"/>
          <w:szCs w:val="32"/>
        </w:rPr>
        <w:t>）</w:t>
      </w:r>
      <w:r>
        <w:rPr>
          <w:rFonts w:hint="eastAsia" w:ascii="仿宋" w:hAnsi="仿宋" w:eastAsia="仿宋" w:cs="仿宋"/>
          <w:sz w:val="32"/>
          <w:szCs w:val="32"/>
        </w:rPr>
        <w:t>经土地现状调查确认,本次拟征地涉及地块，所有宗地已登记发证，土地产权明晰，界址清楚，没有争议。拟征收</w:t>
      </w:r>
      <w:r>
        <w:rPr>
          <w:rFonts w:hint="eastAsia" w:ascii="仿宋" w:hAnsi="仿宋" w:eastAsia="仿宋" w:cs="仿宋"/>
          <w:sz w:val="32"/>
          <w:szCs w:val="32"/>
          <w:lang w:val="en-US" w:eastAsia="zh-CN"/>
        </w:rPr>
        <w:t>鲇鱼山镇新桥村涉及地块红线图范围内的集体土地</w:t>
      </w:r>
      <w:r>
        <w:rPr>
          <w:rFonts w:hint="eastAsia" w:ascii="仿宋" w:hAnsi="仿宋" w:eastAsia="仿宋" w:cs="仿宋"/>
          <w:sz w:val="32"/>
          <w:szCs w:val="32"/>
        </w:rPr>
        <w:t>。</w:t>
      </w:r>
    </w:p>
    <w:bookmarkEnd w:id="2"/>
    <w:p>
      <w:pPr>
        <w:spacing w:line="60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二、土地现状</w:t>
      </w:r>
    </w:p>
    <w:p>
      <w:pPr>
        <w:spacing w:line="600" w:lineRule="exact"/>
        <w:ind w:firstLine="640" w:firstLineChars="200"/>
        <w:jc w:val="both"/>
        <w:rPr>
          <w:rFonts w:hint="eastAsia" w:ascii="仿宋" w:hAnsi="仿宋" w:eastAsia="仿宋" w:cs="仿宋"/>
          <w:sz w:val="32"/>
          <w:szCs w:val="32"/>
          <w:lang w:val="en-US"/>
        </w:rPr>
      </w:pPr>
      <w:bookmarkStart w:id="3" w:name="_Hlk104462131"/>
      <w:r>
        <w:rPr>
          <w:rFonts w:hint="eastAsia" w:ascii="仿宋" w:hAnsi="仿宋" w:eastAsia="仿宋" w:cs="仿宋"/>
          <w:sz w:val="32"/>
          <w:szCs w:val="32"/>
        </w:rPr>
        <w:t>经调查确认，</w:t>
      </w:r>
      <w:r>
        <w:rPr>
          <w:rFonts w:hint="eastAsia" w:ascii="仿宋" w:hAnsi="仿宋" w:eastAsia="仿宋" w:cs="仿宋"/>
          <w:sz w:val="32"/>
          <w:szCs w:val="32"/>
          <w:lang w:val="en-US" w:eastAsia="zh-CN"/>
        </w:rPr>
        <w:t>本次拟征地总面积30.237亩，其中：林地22.62亩，坑塘水面：6.852亩，村庄：0.765亩，详见附件2；青苗、树木及地上附着物等，详见附件3。</w:t>
      </w:r>
    </w:p>
    <w:bookmarkEnd w:id="3"/>
    <w:p>
      <w:pPr>
        <w:spacing w:line="60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三、征收目的</w:t>
      </w:r>
    </w:p>
    <w:p>
      <w:pPr>
        <w:spacing w:line="600" w:lineRule="exact"/>
        <w:ind w:firstLine="640" w:firstLineChars="200"/>
        <w:rPr>
          <w:rFonts w:hint="eastAsia" w:ascii="仿宋" w:hAnsi="仿宋" w:eastAsia="仿宋" w:cs="仿宋"/>
          <w:sz w:val="32"/>
          <w:szCs w:val="32"/>
        </w:rPr>
      </w:pPr>
      <w:bookmarkStart w:id="4" w:name="_Hlk104462118"/>
      <w:r>
        <w:rPr>
          <w:rFonts w:hint="eastAsia" w:ascii="仿宋" w:hAnsi="仿宋" w:eastAsia="仿宋" w:cs="仿宋"/>
          <w:sz w:val="32"/>
          <w:szCs w:val="32"/>
        </w:rPr>
        <w:t>因公共利益的需要，此次拟征收土地规划用途为</w:t>
      </w:r>
      <w:r>
        <w:rPr>
          <w:rFonts w:hint="eastAsia" w:ascii="仿宋" w:hAnsi="仿宋" w:eastAsia="仿宋" w:cs="仿宋"/>
          <w:sz w:val="32"/>
          <w:szCs w:val="32"/>
          <w:lang w:val="en-US" w:eastAsia="zh-CN"/>
        </w:rPr>
        <w:t>道路用地</w:t>
      </w:r>
      <w:r>
        <w:rPr>
          <w:rFonts w:hint="eastAsia" w:ascii="仿宋" w:hAnsi="仿宋" w:eastAsia="仿宋" w:cs="仿宋"/>
          <w:sz w:val="32"/>
          <w:szCs w:val="32"/>
        </w:rPr>
        <w:t>，拟用于</w:t>
      </w:r>
      <w:r>
        <w:rPr>
          <w:rFonts w:hint="eastAsia" w:ascii="仿宋" w:hAnsi="仿宋" w:eastAsia="仿宋" w:cs="仿宋"/>
          <w:sz w:val="32"/>
          <w:szCs w:val="32"/>
          <w:lang w:val="en-US" w:eastAsia="zh-CN"/>
        </w:rPr>
        <w:t>义城路地块</w:t>
      </w:r>
      <w:r>
        <w:rPr>
          <w:rFonts w:hint="eastAsia" w:ascii="仿宋" w:hAnsi="仿宋" w:eastAsia="仿宋" w:cs="仿宋"/>
          <w:sz w:val="32"/>
          <w:szCs w:val="32"/>
        </w:rPr>
        <w:t>项目建设。</w:t>
      </w:r>
    </w:p>
    <w:bookmarkEnd w:id="4"/>
    <w:p>
      <w:pPr>
        <w:spacing w:line="600" w:lineRule="exact"/>
        <w:ind w:firstLine="643" w:firstLineChars="200"/>
        <w:rPr>
          <w:rFonts w:hint="eastAsia" w:ascii="仿宋" w:hAnsi="仿宋" w:eastAsia="仿宋" w:cs="仿宋"/>
          <w:sz w:val="32"/>
          <w:szCs w:val="32"/>
        </w:rPr>
      </w:pPr>
      <w:r>
        <w:rPr>
          <w:rFonts w:hint="eastAsia" w:ascii="宋体" w:hAnsi="宋体" w:eastAsia="宋体" w:cs="宋体"/>
          <w:b/>
          <w:bCs/>
          <w:sz w:val="32"/>
          <w:szCs w:val="32"/>
        </w:rPr>
        <w:t>四、征地补偿安置标准、支付对象和期限</w:t>
      </w:r>
    </w:p>
    <w:p>
      <w:pPr>
        <w:spacing w:line="600" w:lineRule="exact"/>
        <w:ind w:firstLine="640" w:firstLineChars="200"/>
        <w:rPr>
          <w:rFonts w:hint="eastAsia" w:ascii="仿宋" w:hAnsi="仿宋" w:eastAsia="仿宋" w:cs="仿宋"/>
          <w:sz w:val="32"/>
          <w:szCs w:val="32"/>
        </w:rPr>
      </w:pPr>
      <w:bookmarkStart w:id="5" w:name="_Hlk104462081"/>
      <w:r>
        <w:rPr>
          <w:rFonts w:hint="eastAsia" w:ascii="仿宋" w:hAnsi="仿宋" w:eastAsia="仿宋" w:cs="仿宋"/>
          <w:sz w:val="32"/>
          <w:szCs w:val="32"/>
        </w:rPr>
        <w:t>（一）征地补偿费用标准及补偿费用</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1、土地补偿费和安置补助费</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拟征地补偿费和安置补助费按照《江西省人民政府关于公布全省征地区片综合地价的通知》（赣府字〔2020〕9号）</w:t>
      </w:r>
      <w:r>
        <w:rPr>
          <w:rFonts w:hint="eastAsia" w:ascii="仿宋" w:hAnsi="仿宋" w:eastAsia="仿宋" w:cs="仿宋"/>
          <w:sz w:val="32"/>
          <w:szCs w:val="32"/>
          <w:lang w:val="en-US" w:eastAsia="zh-CN"/>
        </w:rPr>
        <w:t>等</w:t>
      </w:r>
      <w:r>
        <w:rPr>
          <w:rFonts w:hint="eastAsia" w:ascii="仿宋" w:hAnsi="仿宋" w:eastAsia="仿宋" w:cs="仿宋"/>
          <w:sz w:val="32"/>
          <w:szCs w:val="32"/>
        </w:rPr>
        <w:t>规定的标准执行，具体补偿情况如下：</w:t>
      </w:r>
    </w:p>
    <w:p>
      <w:pPr>
        <w:pStyle w:val="3"/>
        <w:spacing w:line="460" w:lineRule="exact"/>
        <w:ind w:left="0" w:leftChars="0"/>
        <w:jc w:val="center"/>
        <w:rPr>
          <w:rFonts w:hint="eastAsia" w:ascii="仿宋" w:hAnsi="仿宋" w:eastAsia="仿宋" w:cs="仿宋"/>
          <w:sz w:val="32"/>
          <w:szCs w:val="32"/>
        </w:rPr>
      </w:pPr>
      <w:r>
        <w:rPr>
          <w:rFonts w:hint="eastAsia" w:ascii="仿宋" w:hAnsi="仿宋" w:eastAsia="仿宋" w:cs="仿宋"/>
          <w:sz w:val="32"/>
          <w:szCs w:val="32"/>
        </w:rPr>
        <w:t>表1 土地补偿标准及补偿费用表</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1422"/>
        <w:gridCol w:w="1716"/>
        <w:gridCol w:w="3057"/>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27"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序号</w:t>
            </w:r>
          </w:p>
        </w:tc>
        <w:tc>
          <w:tcPr>
            <w:tcW w:w="737"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地类</w:t>
            </w:r>
          </w:p>
        </w:tc>
        <w:tc>
          <w:tcPr>
            <w:tcW w:w="89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面积（亩）</w:t>
            </w:r>
          </w:p>
        </w:tc>
        <w:tc>
          <w:tcPr>
            <w:tcW w:w="1587"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补偿标准（</w:t>
            </w:r>
            <w:r>
              <w:rPr>
                <w:rFonts w:hint="eastAsia" w:ascii="仿宋" w:hAnsi="仿宋" w:eastAsia="仿宋" w:cs="仿宋"/>
                <w:bCs/>
                <w:sz w:val="28"/>
                <w:szCs w:val="28"/>
                <w:lang w:val="en-US" w:eastAsia="zh-CN"/>
              </w:rPr>
              <w:t>万</w:t>
            </w:r>
            <w:r>
              <w:rPr>
                <w:rFonts w:hint="eastAsia" w:ascii="仿宋" w:hAnsi="仿宋" w:eastAsia="仿宋" w:cs="仿宋"/>
                <w:bCs/>
                <w:sz w:val="28"/>
                <w:szCs w:val="28"/>
              </w:rPr>
              <w:t>元/亩）</w:t>
            </w:r>
          </w:p>
        </w:tc>
        <w:tc>
          <w:tcPr>
            <w:tcW w:w="135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8"/>
                <w:szCs w:val="28"/>
              </w:rPr>
            </w:pPr>
            <w:r>
              <w:rPr>
                <w:rFonts w:hint="eastAsia" w:ascii="仿宋" w:hAnsi="仿宋" w:eastAsia="仿宋" w:cs="仿宋"/>
                <w:bCs/>
                <w:sz w:val="28"/>
                <w:szCs w:val="28"/>
              </w:rPr>
              <w:t>补偿金额（万元）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7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林地</w:t>
            </w:r>
          </w:p>
        </w:tc>
        <w:tc>
          <w:tcPr>
            <w:tcW w:w="8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40" w:firstLineChars="5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22.62</w:t>
            </w:r>
          </w:p>
        </w:tc>
        <w:tc>
          <w:tcPr>
            <w:tcW w:w="158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2.6</w:t>
            </w:r>
          </w:p>
        </w:tc>
        <w:tc>
          <w:tcPr>
            <w:tcW w:w="13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58.812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7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坑塘水面</w:t>
            </w:r>
          </w:p>
        </w:tc>
        <w:tc>
          <w:tcPr>
            <w:tcW w:w="8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40" w:firstLineChars="5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6.852</w:t>
            </w:r>
          </w:p>
        </w:tc>
        <w:tc>
          <w:tcPr>
            <w:tcW w:w="158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2.6</w:t>
            </w:r>
          </w:p>
        </w:tc>
        <w:tc>
          <w:tcPr>
            <w:tcW w:w="13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17.8152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7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村庄</w:t>
            </w:r>
          </w:p>
        </w:tc>
        <w:tc>
          <w:tcPr>
            <w:tcW w:w="8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40" w:firstLineChars="5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0.765</w:t>
            </w:r>
          </w:p>
        </w:tc>
        <w:tc>
          <w:tcPr>
            <w:tcW w:w="158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5.24</w:t>
            </w:r>
          </w:p>
        </w:tc>
        <w:tc>
          <w:tcPr>
            <w:tcW w:w="13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4.0086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65"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合计</w:t>
            </w:r>
          </w:p>
        </w:tc>
        <w:tc>
          <w:tcPr>
            <w:tcW w:w="8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40" w:firstLineChars="5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30.237</w:t>
            </w:r>
          </w:p>
        </w:tc>
        <w:tc>
          <w:tcPr>
            <w:tcW w:w="158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eastAsia" w:ascii="仿宋" w:hAnsi="仿宋" w:eastAsia="仿宋" w:cs="仿宋"/>
                <w:sz w:val="28"/>
                <w:szCs w:val="28"/>
                <w:lang w:val="en-US" w:eastAsia="zh-CN"/>
              </w:rPr>
            </w:pPr>
          </w:p>
        </w:tc>
        <w:tc>
          <w:tcPr>
            <w:tcW w:w="13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80.6358</w:t>
            </w:r>
          </w:p>
        </w:tc>
      </w:tr>
    </w:tbl>
    <w:p>
      <w:pPr>
        <w:spacing w:line="5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青苗、树木</w:t>
      </w:r>
      <w:r>
        <w:rPr>
          <w:rFonts w:hint="eastAsia" w:ascii="仿宋" w:hAnsi="仿宋" w:eastAsia="仿宋" w:cs="仿宋"/>
          <w:sz w:val="32"/>
          <w:szCs w:val="32"/>
          <w:lang w:val="en-US" w:eastAsia="zh-CN"/>
        </w:rPr>
        <w:t>及地上附着物等</w:t>
      </w:r>
      <w:r>
        <w:rPr>
          <w:rFonts w:hint="eastAsia" w:ascii="仿宋" w:hAnsi="仿宋" w:eastAsia="仿宋" w:cs="仿宋"/>
          <w:sz w:val="32"/>
          <w:szCs w:val="32"/>
        </w:rPr>
        <w:t>的补偿标准及费用</w:t>
      </w:r>
    </w:p>
    <w:p>
      <w:pPr>
        <w:pStyle w:val="2"/>
        <w:spacing w:line="500" w:lineRule="exact"/>
        <w:ind w:firstLine="640" w:firstLineChars="200"/>
        <w:jc w:val="left"/>
        <w:rPr>
          <w:rFonts w:hint="eastAsia" w:ascii="仿宋" w:hAnsi="仿宋" w:eastAsia="仿宋" w:cs="仿宋"/>
          <w:b w:val="0"/>
          <w:kern w:val="2"/>
          <w:sz w:val="32"/>
          <w:szCs w:val="32"/>
        </w:rPr>
      </w:pPr>
      <w:r>
        <w:rPr>
          <w:rFonts w:hint="eastAsia" w:ascii="仿宋" w:hAnsi="仿宋" w:eastAsia="仿宋" w:cs="仿宋"/>
          <w:b w:val="0"/>
          <w:kern w:val="2"/>
          <w:sz w:val="32"/>
          <w:szCs w:val="32"/>
        </w:rPr>
        <w:t>青苗、树木</w:t>
      </w:r>
      <w:r>
        <w:rPr>
          <w:rFonts w:hint="eastAsia" w:ascii="仿宋" w:hAnsi="仿宋" w:eastAsia="仿宋" w:cs="仿宋"/>
          <w:b w:val="0"/>
          <w:kern w:val="2"/>
          <w:sz w:val="32"/>
          <w:szCs w:val="32"/>
          <w:lang w:val="en-US" w:eastAsia="zh-CN"/>
        </w:rPr>
        <w:t>及地上附着物等</w:t>
      </w:r>
      <w:r>
        <w:rPr>
          <w:rFonts w:hint="eastAsia" w:ascii="仿宋" w:hAnsi="仿宋" w:eastAsia="仿宋" w:cs="仿宋"/>
          <w:b w:val="0"/>
          <w:kern w:val="2"/>
          <w:sz w:val="32"/>
          <w:szCs w:val="32"/>
        </w:rPr>
        <w:t>的补偿标准按照《江西省征收土地管理办法》第28条</w:t>
      </w:r>
      <w:r>
        <w:rPr>
          <w:rFonts w:hint="eastAsia" w:ascii="仿宋" w:hAnsi="仿宋" w:eastAsia="仿宋" w:cs="仿宋"/>
          <w:b w:val="0"/>
          <w:kern w:val="2"/>
          <w:sz w:val="32"/>
          <w:szCs w:val="32"/>
          <w:lang w:eastAsia="zh-CN"/>
        </w:rPr>
        <w:t>和</w:t>
      </w:r>
      <w:r>
        <w:rPr>
          <w:rFonts w:hint="eastAsia" w:ascii="仿宋" w:hAnsi="仿宋" w:eastAsia="仿宋" w:cs="仿宋"/>
          <w:b w:val="0"/>
          <w:kern w:val="2"/>
          <w:sz w:val="32"/>
          <w:szCs w:val="32"/>
          <w:lang w:val="en-US" w:eastAsia="zh-CN"/>
        </w:rPr>
        <w:t>有关政策</w:t>
      </w:r>
      <w:r>
        <w:rPr>
          <w:rFonts w:hint="eastAsia" w:ascii="仿宋" w:hAnsi="仿宋" w:eastAsia="仿宋" w:cs="仿宋"/>
          <w:b w:val="0"/>
          <w:kern w:val="2"/>
          <w:sz w:val="32"/>
          <w:szCs w:val="32"/>
        </w:rPr>
        <w:t>规定执行，具体补偿标准及金额如下：</w:t>
      </w:r>
    </w:p>
    <w:p>
      <w:pPr>
        <w:spacing w:line="500" w:lineRule="exact"/>
        <w:jc w:val="center"/>
        <w:rPr>
          <w:rFonts w:hint="eastAsia" w:ascii="仿宋" w:hAnsi="仿宋" w:eastAsia="仿宋" w:cs="仿宋"/>
          <w:sz w:val="32"/>
          <w:szCs w:val="32"/>
        </w:rPr>
      </w:pPr>
      <w:r>
        <w:rPr>
          <w:rFonts w:hint="eastAsia" w:ascii="仿宋" w:hAnsi="仿宋" w:eastAsia="仿宋" w:cs="仿宋"/>
          <w:sz w:val="32"/>
          <w:szCs w:val="32"/>
        </w:rPr>
        <w:t>表</w:t>
      </w: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 青苗、树木</w:t>
      </w:r>
      <w:r>
        <w:rPr>
          <w:rFonts w:hint="eastAsia" w:ascii="仿宋" w:hAnsi="仿宋" w:eastAsia="仿宋" w:cs="仿宋"/>
          <w:sz w:val="32"/>
          <w:szCs w:val="32"/>
          <w:lang w:val="en-US" w:eastAsia="zh-CN"/>
        </w:rPr>
        <w:t>及地上附着物</w:t>
      </w:r>
      <w:r>
        <w:rPr>
          <w:rFonts w:hint="eastAsia" w:ascii="仿宋" w:hAnsi="仿宋" w:eastAsia="仿宋" w:cs="仿宋"/>
          <w:sz w:val="32"/>
          <w:szCs w:val="32"/>
        </w:rPr>
        <w:t>等补偿标准及补偿费用表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2214"/>
        <w:gridCol w:w="1575"/>
        <w:gridCol w:w="1656"/>
        <w:gridCol w:w="1835"/>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9" w:type="pct"/>
            <w:shd w:val="clear" w:color="auto" w:fill="auto"/>
            <w:vAlign w:val="center"/>
          </w:tcPr>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序号</w:t>
            </w:r>
          </w:p>
        </w:tc>
        <w:tc>
          <w:tcPr>
            <w:tcW w:w="1149" w:type="pct"/>
            <w:shd w:val="clear" w:color="auto" w:fill="auto"/>
            <w:vAlign w:val="center"/>
          </w:tcPr>
          <w:p>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rPr>
              <w:t>青苗</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树木及地上附着物等名称</w:t>
            </w:r>
          </w:p>
        </w:tc>
        <w:tc>
          <w:tcPr>
            <w:tcW w:w="817" w:type="pct"/>
            <w:shd w:val="clear" w:color="auto" w:fill="auto"/>
            <w:vAlign w:val="center"/>
          </w:tcPr>
          <w:p>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地类</w:t>
            </w:r>
          </w:p>
        </w:tc>
        <w:tc>
          <w:tcPr>
            <w:tcW w:w="859" w:type="pct"/>
            <w:shd w:val="clear" w:color="auto" w:fill="auto"/>
            <w:vAlign w:val="center"/>
          </w:tcPr>
          <w:p>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rPr>
              <w:t>数量</w:t>
            </w:r>
            <w:r>
              <w:rPr>
                <w:rFonts w:hint="eastAsia" w:ascii="仿宋" w:hAnsi="仿宋" w:eastAsia="仿宋" w:cs="仿宋"/>
                <w:sz w:val="28"/>
                <w:szCs w:val="28"/>
                <w:lang w:val="en-US" w:eastAsia="zh-CN"/>
              </w:rPr>
              <w:t>或面积（亩）</w:t>
            </w:r>
          </w:p>
        </w:tc>
        <w:tc>
          <w:tcPr>
            <w:tcW w:w="952" w:type="pct"/>
            <w:shd w:val="clear" w:color="auto" w:fill="auto"/>
            <w:vAlign w:val="center"/>
          </w:tcPr>
          <w:p>
            <w:pPr>
              <w:spacing w:line="400" w:lineRule="exact"/>
              <w:jc w:val="center"/>
              <w:rPr>
                <w:rFonts w:hint="eastAsia" w:ascii="仿宋" w:hAnsi="仿宋" w:eastAsia="仿宋" w:cs="仿宋"/>
                <w:sz w:val="28"/>
                <w:szCs w:val="28"/>
                <w:lang w:eastAsia="zh-CN"/>
              </w:rPr>
            </w:pPr>
            <w:r>
              <w:rPr>
                <w:rFonts w:hint="eastAsia" w:ascii="仿宋" w:hAnsi="仿宋" w:eastAsia="仿宋" w:cs="仿宋"/>
                <w:sz w:val="28"/>
                <w:szCs w:val="28"/>
              </w:rPr>
              <w:t>补偿标准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万元/亩</w:t>
            </w:r>
            <w:r>
              <w:rPr>
                <w:rFonts w:hint="eastAsia" w:ascii="仿宋" w:hAnsi="仿宋" w:eastAsia="仿宋" w:cs="仿宋"/>
                <w:sz w:val="28"/>
                <w:szCs w:val="28"/>
                <w:lang w:eastAsia="zh-CN"/>
              </w:rPr>
              <w:t>）</w:t>
            </w:r>
          </w:p>
        </w:tc>
        <w:tc>
          <w:tcPr>
            <w:tcW w:w="901" w:type="pct"/>
            <w:shd w:val="clear" w:color="auto" w:fill="auto"/>
            <w:vAlign w:val="center"/>
          </w:tcPr>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补偿金额（万元）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9" w:type="pct"/>
            <w:shd w:val="clear" w:color="auto" w:fill="auto"/>
            <w:vAlign w:val="center"/>
          </w:tcPr>
          <w:p>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149" w:type="pct"/>
            <w:shd w:val="clear" w:color="auto" w:fill="auto"/>
            <w:vAlign w:val="center"/>
          </w:tcPr>
          <w:p>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林地及其他农用地青苗</w:t>
            </w:r>
          </w:p>
        </w:tc>
        <w:tc>
          <w:tcPr>
            <w:tcW w:w="817" w:type="pct"/>
            <w:shd w:val="clear" w:color="auto" w:fill="auto"/>
            <w:vAlign w:val="center"/>
          </w:tcPr>
          <w:p>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林地及其他农用地</w:t>
            </w:r>
          </w:p>
        </w:tc>
        <w:tc>
          <w:tcPr>
            <w:tcW w:w="859" w:type="pct"/>
            <w:shd w:val="clear" w:color="auto" w:fill="auto"/>
            <w:vAlign w:val="center"/>
          </w:tcPr>
          <w:p>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29.472</w:t>
            </w:r>
          </w:p>
        </w:tc>
        <w:tc>
          <w:tcPr>
            <w:tcW w:w="952" w:type="pct"/>
            <w:shd w:val="clear" w:color="auto" w:fill="auto"/>
            <w:vAlign w:val="center"/>
          </w:tcPr>
          <w:p>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0.2226</w:t>
            </w:r>
          </w:p>
        </w:tc>
        <w:tc>
          <w:tcPr>
            <w:tcW w:w="901" w:type="pct"/>
            <w:shd w:val="clear" w:color="auto" w:fill="auto"/>
            <w:vAlign w:val="center"/>
          </w:tcPr>
          <w:p>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6.5605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9" w:type="pct"/>
            <w:shd w:val="clear" w:color="auto" w:fill="auto"/>
            <w:vAlign w:val="center"/>
          </w:tcPr>
          <w:p>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149" w:type="pct"/>
            <w:shd w:val="clear" w:color="auto" w:fill="auto"/>
            <w:vAlign w:val="center"/>
          </w:tcPr>
          <w:p>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林地补助款</w:t>
            </w:r>
          </w:p>
        </w:tc>
        <w:tc>
          <w:tcPr>
            <w:tcW w:w="817" w:type="pct"/>
            <w:shd w:val="clear" w:color="auto" w:fill="auto"/>
            <w:vAlign w:val="center"/>
          </w:tcPr>
          <w:p>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林地</w:t>
            </w:r>
          </w:p>
        </w:tc>
        <w:tc>
          <w:tcPr>
            <w:tcW w:w="859" w:type="pct"/>
            <w:shd w:val="clear" w:color="auto" w:fill="auto"/>
            <w:vAlign w:val="center"/>
          </w:tcPr>
          <w:p>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22.62</w:t>
            </w:r>
          </w:p>
        </w:tc>
        <w:tc>
          <w:tcPr>
            <w:tcW w:w="952" w:type="pct"/>
            <w:shd w:val="clear" w:color="auto" w:fill="auto"/>
            <w:vAlign w:val="center"/>
          </w:tcPr>
          <w:p>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0.4</w:t>
            </w:r>
          </w:p>
        </w:tc>
        <w:tc>
          <w:tcPr>
            <w:tcW w:w="901" w:type="pct"/>
            <w:shd w:val="clear" w:color="auto" w:fill="auto"/>
            <w:vAlign w:val="center"/>
          </w:tcPr>
          <w:p>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9" w:type="pct"/>
            <w:shd w:val="clear" w:color="auto" w:fill="auto"/>
          </w:tcPr>
          <w:p>
            <w:pPr>
              <w:spacing w:line="400" w:lineRule="exact"/>
              <w:jc w:val="center"/>
              <w:rPr>
                <w:rFonts w:hint="eastAsia" w:ascii="仿宋" w:hAnsi="仿宋" w:eastAsia="仿宋" w:cs="仿宋"/>
                <w:sz w:val="28"/>
                <w:szCs w:val="28"/>
              </w:rPr>
            </w:pPr>
          </w:p>
        </w:tc>
        <w:tc>
          <w:tcPr>
            <w:tcW w:w="1149" w:type="pct"/>
            <w:shd w:val="clear" w:color="auto" w:fill="auto"/>
          </w:tcPr>
          <w:p>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合计</w:t>
            </w:r>
          </w:p>
        </w:tc>
        <w:tc>
          <w:tcPr>
            <w:tcW w:w="817" w:type="pct"/>
            <w:shd w:val="clear" w:color="auto" w:fill="auto"/>
          </w:tcPr>
          <w:p>
            <w:pPr>
              <w:spacing w:line="400" w:lineRule="exact"/>
              <w:jc w:val="center"/>
              <w:rPr>
                <w:rFonts w:hint="eastAsia" w:ascii="仿宋" w:hAnsi="仿宋" w:eastAsia="仿宋" w:cs="仿宋"/>
                <w:sz w:val="28"/>
                <w:szCs w:val="28"/>
              </w:rPr>
            </w:pPr>
          </w:p>
        </w:tc>
        <w:tc>
          <w:tcPr>
            <w:tcW w:w="859" w:type="pct"/>
            <w:shd w:val="clear" w:color="auto" w:fill="auto"/>
          </w:tcPr>
          <w:p>
            <w:pPr>
              <w:spacing w:line="400" w:lineRule="exact"/>
              <w:jc w:val="center"/>
              <w:rPr>
                <w:rFonts w:hint="eastAsia" w:ascii="仿宋" w:hAnsi="仿宋" w:eastAsia="仿宋" w:cs="仿宋"/>
                <w:sz w:val="28"/>
                <w:szCs w:val="28"/>
              </w:rPr>
            </w:pPr>
          </w:p>
        </w:tc>
        <w:tc>
          <w:tcPr>
            <w:tcW w:w="952" w:type="pct"/>
            <w:shd w:val="clear" w:color="auto" w:fill="auto"/>
          </w:tcPr>
          <w:p>
            <w:pPr>
              <w:spacing w:line="400" w:lineRule="exact"/>
              <w:jc w:val="center"/>
              <w:rPr>
                <w:rFonts w:hint="eastAsia" w:ascii="仿宋" w:hAnsi="仿宋" w:eastAsia="仿宋" w:cs="仿宋"/>
                <w:sz w:val="28"/>
                <w:szCs w:val="28"/>
              </w:rPr>
            </w:pPr>
          </w:p>
        </w:tc>
        <w:tc>
          <w:tcPr>
            <w:tcW w:w="901" w:type="pct"/>
            <w:shd w:val="clear" w:color="auto" w:fill="auto"/>
          </w:tcPr>
          <w:p>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15.6085</w:t>
            </w:r>
          </w:p>
        </w:tc>
      </w:tr>
    </w:tbl>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（二）支付对象:</w:t>
      </w:r>
    </w:p>
    <w:p>
      <w:pPr>
        <w:pStyle w:val="3"/>
        <w:spacing w:line="500" w:lineRule="exact"/>
        <w:ind w:left="0" w:leftChars="0"/>
        <w:rPr>
          <w:rFonts w:hint="eastAsia" w:ascii="仿宋" w:hAnsi="仿宋" w:eastAsia="仿宋" w:cs="仿宋"/>
          <w:sz w:val="32"/>
          <w:szCs w:val="32"/>
        </w:rPr>
      </w:pPr>
      <w:r>
        <w:rPr>
          <w:rFonts w:hint="eastAsia" w:ascii="仿宋" w:hAnsi="仿宋" w:eastAsia="仿宋" w:cs="仿宋"/>
          <w:sz w:val="32"/>
          <w:szCs w:val="32"/>
        </w:rPr>
        <w:t xml:space="preserve">    1、土地补偿费、安置补助费足额支付给被征地农村集体经济组织。</w:t>
      </w:r>
    </w:p>
    <w:p>
      <w:pPr>
        <w:pStyle w:val="3"/>
        <w:spacing w:line="500" w:lineRule="exact"/>
        <w:ind w:left="0" w:leftChars="0" w:firstLine="660"/>
        <w:rPr>
          <w:rFonts w:hint="eastAsia" w:ascii="仿宋" w:hAnsi="仿宋" w:eastAsia="仿宋" w:cs="仿宋"/>
          <w:sz w:val="32"/>
          <w:szCs w:val="32"/>
        </w:rPr>
      </w:pPr>
      <w:r>
        <w:rPr>
          <w:rFonts w:hint="eastAsia" w:ascii="仿宋" w:hAnsi="仿宋" w:eastAsia="仿宋" w:cs="仿宋"/>
          <w:sz w:val="32"/>
          <w:szCs w:val="32"/>
        </w:rPr>
        <w:t>2、属于拟被征地农村集体经济组织所有的</w:t>
      </w:r>
      <w:bookmarkStart w:id="6" w:name="_Hlk103866132"/>
      <w:r>
        <w:rPr>
          <w:rFonts w:hint="eastAsia" w:ascii="仿宋" w:hAnsi="仿宋" w:eastAsia="仿宋" w:cs="仿宋"/>
          <w:sz w:val="32"/>
          <w:szCs w:val="32"/>
        </w:rPr>
        <w:t>农村村民住宅、其他建筑物及构筑物</w:t>
      </w:r>
      <w:bookmarkEnd w:id="6"/>
      <w:r>
        <w:rPr>
          <w:rFonts w:hint="eastAsia" w:ascii="仿宋" w:hAnsi="仿宋" w:eastAsia="仿宋" w:cs="仿宋"/>
          <w:sz w:val="32"/>
          <w:szCs w:val="32"/>
        </w:rPr>
        <w:t>、青苗及树木等补偿费，支付给拟被征地农村集体经济组织；</w:t>
      </w:r>
    </w:p>
    <w:p>
      <w:pPr>
        <w:pStyle w:val="3"/>
        <w:spacing w:line="500" w:lineRule="exact"/>
        <w:ind w:left="0" w:leftChars="0" w:firstLine="660"/>
        <w:rPr>
          <w:rFonts w:hint="eastAsia" w:ascii="仿宋" w:hAnsi="仿宋" w:eastAsia="仿宋" w:cs="仿宋"/>
          <w:sz w:val="32"/>
          <w:szCs w:val="32"/>
        </w:rPr>
      </w:pPr>
      <w:r>
        <w:rPr>
          <w:rFonts w:hint="eastAsia" w:ascii="仿宋" w:hAnsi="仿宋" w:eastAsia="仿宋" w:cs="仿宋"/>
          <w:sz w:val="32"/>
          <w:szCs w:val="32"/>
        </w:rPr>
        <w:t>3、属于个人或承包经营者所有的农村村民住宅、其他建筑物及构筑物、青苗及树木等补偿费支付给个人或承包经营者。</w:t>
      </w:r>
    </w:p>
    <w:p>
      <w:pPr>
        <w:pStyle w:val="3"/>
        <w:spacing w:line="500" w:lineRule="exact"/>
        <w:ind w:left="0" w:leftChars="0"/>
        <w:rPr>
          <w:rFonts w:hint="eastAsia" w:ascii="仿宋" w:hAnsi="仿宋" w:eastAsia="仿宋" w:cs="仿宋"/>
          <w:sz w:val="32"/>
          <w:szCs w:val="32"/>
        </w:rPr>
      </w:pPr>
      <w:r>
        <w:rPr>
          <w:rFonts w:hint="eastAsia" w:ascii="仿宋" w:hAnsi="仿宋" w:eastAsia="仿宋" w:cs="仿宋"/>
          <w:sz w:val="32"/>
          <w:szCs w:val="32"/>
        </w:rPr>
        <w:t xml:space="preserve">    （三）支付期限：上述费用应当在征收土地公告发布之日起60日内足额支付。对个别未达成征地补偿安置协议的，支付期限自征收土地补偿安置决定作出之日起计算，即作出补偿安置决定之日起60日之内支付。</w:t>
      </w:r>
    </w:p>
    <w:p>
      <w:pPr>
        <w:spacing w:line="500" w:lineRule="exact"/>
        <w:ind w:firstLine="480"/>
        <w:rPr>
          <w:rFonts w:hint="eastAsia" w:ascii="仿宋" w:hAnsi="仿宋" w:eastAsia="仿宋" w:cs="仿宋"/>
          <w:sz w:val="32"/>
          <w:szCs w:val="32"/>
        </w:rPr>
      </w:pPr>
      <w:r>
        <w:rPr>
          <w:rFonts w:hint="eastAsia" w:ascii="宋体" w:hAnsi="宋体" w:eastAsia="宋体" w:cs="宋体"/>
          <w:b/>
          <w:bCs/>
          <w:sz w:val="32"/>
          <w:szCs w:val="32"/>
        </w:rPr>
        <w:t>五、安置对象及方式</w:t>
      </w:r>
    </w:p>
    <w:p>
      <w:pPr>
        <w:spacing w:line="500" w:lineRule="exact"/>
        <w:ind w:firstLine="48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b w:val="0"/>
          <w:bCs/>
          <w:sz w:val="32"/>
          <w:szCs w:val="32"/>
        </w:rPr>
        <w:t>社会保障安置</w:t>
      </w:r>
      <w:r>
        <w:rPr>
          <w:rFonts w:hint="eastAsia" w:ascii="仿宋" w:hAnsi="仿宋" w:eastAsia="仿宋" w:cs="仿宋"/>
          <w:b w:val="0"/>
          <w:bCs/>
          <w:sz w:val="32"/>
          <w:szCs w:val="32"/>
          <w:lang w:eastAsia="zh-CN"/>
        </w:rPr>
        <w:t>。</w:t>
      </w:r>
      <w:r>
        <w:rPr>
          <w:rFonts w:hint="eastAsia" w:ascii="仿宋" w:hAnsi="仿宋" w:eastAsia="仿宋" w:cs="仿宋"/>
          <w:sz w:val="32"/>
          <w:szCs w:val="32"/>
        </w:rPr>
        <w:t>拟被征地农业人口，符合《江西省人民政府办公厅转发省人社厅等部门关于进一步完善被征地农民基本养老保险政策意见的通知》（赣府厅发〔2014〕12号）等有关政策规定的，给予社保安置。</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2、就业保障安置。将被征地农民纳入就业失业登记范围和公共就业服务体系，按照国家和省有关规定免费为被征地农民提供劳动技能培训。具备条件的，应当安排一定的公益岗位，扶持被征地农民就业。</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留用地安置。建立留用地安置制度，根据当地实际情况预留一定比例的建设留用地给予被征地农村集体经济组织安排用于发展生产、安置就业。农村集体经济组织申请使用建设留用地应当依法办理有关报批手续。</w:t>
      </w:r>
      <w:bookmarkEnd w:id="5"/>
    </w:p>
    <w:p>
      <w:pPr>
        <w:spacing w:line="50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六、公告期限</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本公告期限自</w:t>
      </w:r>
      <w:r>
        <w:rPr>
          <w:rFonts w:hint="eastAsia" w:ascii="仿宋" w:hAnsi="仿宋" w:eastAsia="仿宋" w:cs="仿宋"/>
          <w:sz w:val="32"/>
          <w:szCs w:val="32"/>
          <w:u w:val="single"/>
          <w:lang w:val="en-US" w:eastAsia="zh-CN"/>
        </w:rPr>
        <w:t>2023</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2</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3</w:t>
      </w:r>
      <w:r>
        <w:rPr>
          <w:rFonts w:hint="eastAsia" w:ascii="仿宋" w:hAnsi="仿宋" w:eastAsia="仿宋" w:cs="仿宋"/>
          <w:sz w:val="32"/>
          <w:szCs w:val="32"/>
        </w:rPr>
        <w:t>日至</w:t>
      </w:r>
      <w:r>
        <w:rPr>
          <w:rFonts w:hint="eastAsia" w:ascii="仿宋" w:hAnsi="仿宋" w:eastAsia="仿宋" w:cs="仿宋"/>
          <w:sz w:val="32"/>
          <w:szCs w:val="32"/>
          <w:u w:val="single"/>
          <w:lang w:val="en-US" w:eastAsia="zh-CN"/>
        </w:rPr>
        <w:t>2023</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3</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8</w:t>
      </w:r>
      <w:r>
        <w:rPr>
          <w:rFonts w:hint="eastAsia" w:ascii="仿宋" w:hAnsi="仿宋" w:eastAsia="仿宋" w:cs="仿宋"/>
          <w:sz w:val="32"/>
          <w:szCs w:val="32"/>
        </w:rPr>
        <w:t>日。</w:t>
      </w:r>
    </w:p>
    <w:p>
      <w:pPr>
        <w:spacing w:line="50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七、补偿登记</w:t>
      </w:r>
    </w:p>
    <w:p>
      <w:pPr>
        <w:spacing w:line="500" w:lineRule="exact"/>
        <w:rPr>
          <w:rFonts w:hint="eastAsia" w:ascii="仿宋" w:hAnsi="仿宋" w:eastAsia="仿宋" w:cs="仿宋"/>
          <w:sz w:val="32"/>
          <w:szCs w:val="32"/>
        </w:rPr>
      </w:pPr>
      <w:r>
        <w:rPr>
          <w:rFonts w:hint="eastAsia" w:ascii="仿宋" w:hAnsi="仿宋" w:eastAsia="仿宋" w:cs="仿宋"/>
          <w:sz w:val="32"/>
          <w:szCs w:val="32"/>
        </w:rPr>
        <w:t xml:space="preserve">    自公告发布后，被征收土地所有权人、使用权人请于本公告期满前，持不动产权属证明材料前往</w:t>
      </w:r>
      <w:r>
        <w:rPr>
          <w:rFonts w:hint="eastAsia" w:ascii="仿宋" w:hAnsi="仿宋" w:eastAsia="仿宋" w:cs="仿宋"/>
          <w:sz w:val="32"/>
          <w:szCs w:val="32"/>
          <w:lang w:val="en-US" w:eastAsia="zh-CN"/>
        </w:rPr>
        <w:t>市自然资源和规划局昌江分局</w:t>
      </w:r>
      <w:r>
        <w:rPr>
          <w:rFonts w:hint="eastAsia" w:ascii="仿宋" w:hAnsi="仿宋" w:eastAsia="仿宋" w:cs="仿宋"/>
          <w:sz w:val="32"/>
          <w:szCs w:val="32"/>
        </w:rPr>
        <w:t>办理补偿登记，未在规定期限内办理补偿登记的，相关信息按照土地现状调查公示结果确定。</w:t>
      </w:r>
    </w:p>
    <w:p>
      <w:pPr>
        <w:spacing w:line="500" w:lineRule="exact"/>
        <w:ind w:firstLine="643" w:firstLineChars="200"/>
        <w:rPr>
          <w:rFonts w:hint="eastAsia" w:ascii="仿宋" w:hAnsi="仿宋" w:eastAsia="仿宋" w:cs="仿宋"/>
          <w:bCs/>
          <w:sz w:val="32"/>
          <w:szCs w:val="32"/>
        </w:rPr>
      </w:pPr>
      <w:r>
        <w:rPr>
          <w:rFonts w:hint="eastAsia" w:ascii="宋体" w:hAnsi="宋体" w:eastAsia="宋体" w:cs="宋体"/>
          <w:b/>
          <w:bCs/>
          <w:sz w:val="32"/>
          <w:szCs w:val="32"/>
        </w:rPr>
        <w:t>八、异议反馈</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在拟被征收土地范围内，被征收土地所有权人、使用权人对补偿安置方案有异议的，在本公告期内提出。我区将根据异议反馈情况，适时组织听证。</w:t>
      </w:r>
    </w:p>
    <w:p>
      <w:pPr>
        <w:spacing w:line="500" w:lineRule="exact"/>
        <w:ind w:firstLine="643" w:firstLineChars="200"/>
        <w:rPr>
          <w:rFonts w:hint="eastAsia" w:ascii="仿宋" w:hAnsi="仿宋" w:eastAsia="仿宋" w:cs="仿宋"/>
          <w:bCs/>
          <w:sz w:val="32"/>
          <w:szCs w:val="32"/>
        </w:rPr>
      </w:pPr>
      <w:r>
        <w:rPr>
          <w:rFonts w:hint="eastAsia" w:ascii="宋体" w:hAnsi="宋体" w:eastAsia="宋体" w:cs="宋体"/>
          <w:b/>
          <w:bCs/>
          <w:sz w:val="32"/>
          <w:szCs w:val="32"/>
        </w:rPr>
        <w:t>九、听证事项</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拟</w:t>
      </w:r>
      <w:r>
        <w:rPr>
          <w:rFonts w:hint="eastAsia" w:ascii="仿宋" w:hAnsi="仿宋" w:eastAsia="仿宋" w:cs="仿宋"/>
          <w:sz w:val="32"/>
          <w:szCs w:val="32"/>
        </w:rPr>
        <w:t>被征地农村集体经济组织或者其成员、村民委员会或者其他利害关系人对本方案内容有不同意见的，应按照《自然资源听证规定》要求，于本公告之日起或者</w:t>
      </w:r>
      <w:r>
        <w:rPr>
          <w:rFonts w:hint="eastAsia" w:ascii="仿宋" w:hAnsi="仿宋" w:eastAsia="仿宋" w:cs="仿宋"/>
          <w:sz w:val="32"/>
          <w:szCs w:val="32"/>
          <w:u w:val="none"/>
        </w:rPr>
        <w:t>收到听证告知书5个工作日内</w:t>
      </w:r>
      <w:r>
        <w:rPr>
          <w:rFonts w:hint="eastAsia" w:ascii="仿宋" w:hAnsi="仿宋" w:eastAsia="仿宋" w:cs="仿宋"/>
          <w:sz w:val="32"/>
          <w:szCs w:val="32"/>
        </w:rPr>
        <w:t>提出书面申请,逾期未提出的,视为放弃听证。</w:t>
      </w:r>
    </w:p>
    <w:p>
      <w:pPr>
        <w:spacing w:line="48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特此公告</w:t>
      </w:r>
    </w:p>
    <w:p>
      <w:pPr>
        <w:pStyle w:val="2"/>
        <w:pageBreakBefore w:val="0"/>
        <w:widowControl w:val="0"/>
        <w:kinsoku/>
        <w:wordWrap/>
        <w:overflowPunct/>
        <w:topLinePunct w:val="0"/>
        <w:autoSpaceDE/>
        <w:autoSpaceDN/>
        <w:bidi w:val="0"/>
        <w:adjustRightInd/>
        <w:snapToGrid/>
        <w:spacing w:line="120" w:lineRule="auto"/>
        <w:textAlignment w:val="auto"/>
        <w:rPr>
          <w:rFonts w:hint="eastAsia" w:ascii="仿宋" w:hAnsi="仿宋" w:eastAsia="仿宋" w:cs="仿宋"/>
          <w:b w:val="0"/>
          <w:bCs/>
          <w:sz w:val="32"/>
          <w:szCs w:val="32"/>
          <w:lang w:val="en-US" w:eastAsia="zh-CN"/>
        </w:rPr>
      </w:pPr>
      <w:r>
        <w:rPr>
          <w:rFonts w:hint="eastAsia" w:ascii="仿宋" w:hAnsi="仿宋" w:eastAsia="仿宋" w:cs="仿宋"/>
          <w:sz w:val="32"/>
          <w:szCs w:val="32"/>
          <w:lang w:val="en-US" w:eastAsia="zh-CN"/>
        </w:rPr>
        <w:t>附件：</w:t>
      </w:r>
      <w:r>
        <w:rPr>
          <w:rFonts w:hint="eastAsia" w:ascii="仿宋" w:hAnsi="仿宋" w:eastAsia="仿宋" w:cs="仿宋"/>
          <w:b w:val="0"/>
          <w:bCs/>
          <w:sz w:val="32"/>
          <w:szCs w:val="32"/>
          <w:lang w:val="en-US" w:eastAsia="zh-CN"/>
        </w:rPr>
        <w:t>1.征地红线图</w:t>
      </w:r>
    </w:p>
    <w:p>
      <w:pPr>
        <w:pageBreakBefore w:val="0"/>
        <w:widowControl w:val="0"/>
        <w:numPr>
          <w:ilvl w:val="0"/>
          <w:numId w:val="0"/>
        </w:numPr>
        <w:kinsoku/>
        <w:wordWrap/>
        <w:overflowPunct/>
        <w:topLinePunct w:val="0"/>
        <w:autoSpaceDE/>
        <w:autoSpaceDN/>
        <w:bidi w:val="0"/>
        <w:adjustRightInd/>
        <w:snapToGrid/>
        <w:spacing w:line="120" w:lineRule="auto"/>
        <w:ind w:left="960" w:leftChars="0"/>
        <w:textAlignment w:val="auto"/>
        <w:rPr>
          <w:rFonts w:hint="eastAsia" w:ascii="仿宋" w:hAnsi="仿宋" w:eastAsia="仿宋" w:cs="仿宋"/>
          <w:sz w:val="32"/>
          <w:szCs w:val="32"/>
          <w:lang w:val="en-US" w:eastAsia="zh-CN"/>
        </w:rPr>
      </w:pPr>
      <w:r>
        <w:rPr>
          <w:rFonts w:hint="eastAsia" w:ascii="仿宋" w:hAnsi="仿宋" w:eastAsia="仿宋" w:cs="仿宋"/>
          <w:b w:val="0"/>
          <w:bCs/>
          <w:sz w:val="32"/>
          <w:szCs w:val="32"/>
          <w:lang w:val="en-US" w:eastAsia="zh-CN"/>
        </w:rPr>
        <w:t>2.征收土地现状调查确认表（权属、地类、面积）</w:t>
      </w:r>
    </w:p>
    <w:p>
      <w:pPr>
        <w:pStyle w:val="2"/>
        <w:pageBreakBefore w:val="0"/>
        <w:widowControl w:val="0"/>
        <w:kinsoku/>
        <w:wordWrap/>
        <w:overflowPunct/>
        <w:topLinePunct w:val="0"/>
        <w:autoSpaceDE/>
        <w:autoSpaceDN/>
        <w:bidi w:val="0"/>
        <w:adjustRightInd/>
        <w:snapToGrid/>
        <w:spacing w:line="120" w:lineRule="auto"/>
        <w:textAlignment w:val="auto"/>
        <w:rPr>
          <w:rFonts w:hint="eastAsia" w:ascii="仿宋" w:hAnsi="仿宋" w:eastAsia="仿宋" w:cs="仿宋"/>
          <w:sz w:val="32"/>
          <w:szCs w:val="32"/>
          <w:lang w:val="en-US" w:eastAsia="zh-CN"/>
        </w:rPr>
      </w:pPr>
      <w:r>
        <w:rPr>
          <w:rFonts w:hint="eastAsia" w:ascii="仿宋" w:hAnsi="仿宋" w:eastAsia="仿宋" w:cs="仿宋"/>
          <w:b w:val="0"/>
          <w:bCs/>
          <w:sz w:val="32"/>
          <w:szCs w:val="32"/>
          <w:lang w:val="en-US" w:eastAsia="zh-CN"/>
        </w:rPr>
        <w:t xml:space="preserve">      3.征收土地现状调查确认表（青苗、树木及地上附着物等）</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联系单位：</w:t>
      </w:r>
      <w:r>
        <w:rPr>
          <w:rFonts w:hint="eastAsia" w:ascii="仿宋" w:hAnsi="仿宋" w:eastAsia="仿宋" w:cs="仿宋"/>
          <w:sz w:val="32"/>
          <w:szCs w:val="32"/>
          <w:lang w:val="en-US" w:eastAsia="zh-CN"/>
        </w:rPr>
        <w:t>市自然资源和规划局昌江分局</w:t>
      </w:r>
    </w:p>
    <w:p>
      <w:pPr>
        <w:ind w:firstLine="627" w:firstLineChars="196"/>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联系电话：0798-8335819</w:t>
      </w:r>
    </w:p>
    <w:p>
      <w:pPr>
        <w:pStyle w:val="2"/>
        <w:rPr>
          <w:rFonts w:hint="eastAsia" w:ascii="仿宋" w:hAnsi="仿宋" w:eastAsia="仿宋" w:cs="仿宋"/>
          <w:sz w:val="32"/>
          <w:szCs w:val="32"/>
          <w:lang w:val="en-US" w:eastAsia="zh-CN"/>
        </w:rPr>
      </w:pPr>
    </w:p>
    <w:p>
      <w:pPr>
        <w:rPr>
          <w:rFonts w:hint="eastAsia"/>
          <w:lang w:val="en-US" w:eastAsia="zh-CN"/>
        </w:rPr>
      </w:pPr>
    </w:p>
    <w:p>
      <w:pPr>
        <w:ind w:firstLine="627" w:firstLineChars="196"/>
        <w:jc w:val="right"/>
        <w:rPr>
          <w:rFonts w:hint="eastAsia" w:ascii="仿宋" w:hAnsi="仿宋" w:eastAsia="仿宋" w:cs="仿宋"/>
          <w:b/>
          <w:sz w:val="32"/>
          <w:szCs w:val="32"/>
        </w:rPr>
      </w:pPr>
      <w:r>
        <w:rPr>
          <w:rFonts w:hint="eastAsia" w:ascii="仿宋" w:hAnsi="仿宋" w:eastAsia="仿宋" w:cs="仿宋"/>
          <w:sz w:val="32"/>
          <w:szCs w:val="32"/>
          <w:lang w:val="en-US" w:eastAsia="zh-CN"/>
        </w:rPr>
        <w:t>昌江区</w:t>
      </w:r>
      <w:r>
        <w:rPr>
          <w:rFonts w:hint="eastAsia" w:ascii="仿宋" w:hAnsi="仿宋" w:eastAsia="仿宋" w:cs="仿宋"/>
          <w:sz w:val="32"/>
          <w:szCs w:val="32"/>
        </w:rPr>
        <w:t>人民政府</w:t>
      </w:r>
    </w:p>
    <w:p>
      <w:pPr>
        <w:jc w:val="righ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2023</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3</w:t>
      </w:r>
      <w:bookmarkStart w:id="7" w:name="_GoBack"/>
      <w:bookmarkEnd w:id="7"/>
      <w:r>
        <w:rPr>
          <w:rFonts w:hint="eastAsia" w:ascii="仿宋" w:hAnsi="仿宋" w:eastAsia="仿宋" w:cs="仿宋"/>
          <w:sz w:val="32"/>
          <w:szCs w:val="32"/>
        </w:rPr>
        <w:t>日</w:t>
      </w:r>
    </w:p>
    <w:sectPr>
      <w:pgSz w:w="23811" w:h="16838" w:orient="landscape"/>
      <w:pgMar w:top="1800" w:right="1440" w:bottom="1800" w:left="1440" w:header="851" w:footer="992" w:gutter="0"/>
      <w:cols w:space="2100"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IwZmFjNTZlZjEzOTUwOWRkODU1Y2UwMzAyYzAzM2QifQ=="/>
  </w:docVars>
  <w:rsids>
    <w:rsidRoot w:val="0064121A"/>
    <w:rsid w:val="00023AAF"/>
    <w:rsid w:val="00027302"/>
    <w:rsid w:val="00036476"/>
    <w:rsid w:val="00037F7E"/>
    <w:rsid w:val="000551C8"/>
    <w:rsid w:val="00055F8E"/>
    <w:rsid w:val="0009008B"/>
    <w:rsid w:val="000A100D"/>
    <w:rsid w:val="000A7B78"/>
    <w:rsid w:val="000C0A20"/>
    <w:rsid w:val="000E390C"/>
    <w:rsid w:val="00105F46"/>
    <w:rsid w:val="00117215"/>
    <w:rsid w:val="00191989"/>
    <w:rsid w:val="001A633A"/>
    <w:rsid w:val="001B2450"/>
    <w:rsid w:val="001B46E4"/>
    <w:rsid w:val="001E059C"/>
    <w:rsid w:val="0022738D"/>
    <w:rsid w:val="002602B2"/>
    <w:rsid w:val="002649F5"/>
    <w:rsid w:val="00280167"/>
    <w:rsid w:val="00281239"/>
    <w:rsid w:val="00292888"/>
    <w:rsid w:val="002A00DF"/>
    <w:rsid w:val="002B291D"/>
    <w:rsid w:val="002C0BFC"/>
    <w:rsid w:val="002E31E3"/>
    <w:rsid w:val="00316757"/>
    <w:rsid w:val="0032010C"/>
    <w:rsid w:val="00334EAA"/>
    <w:rsid w:val="003372B5"/>
    <w:rsid w:val="00340576"/>
    <w:rsid w:val="003604E7"/>
    <w:rsid w:val="003638B8"/>
    <w:rsid w:val="00372DBF"/>
    <w:rsid w:val="0037372E"/>
    <w:rsid w:val="00380D12"/>
    <w:rsid w:val="00391BF0"/>
    <w:rsid w:val="0039608B"/>
    <w:rsid w:val="003A00F0"/>
    <w:rsid w:val="003A1A5E"/>
    <w:rsid w:val="003E18DE"/>
    <w:rsid w:val="004125F7"/>
    <w:rsid w:val="00425D56"/>
    <w:rsid w:val="0044307F"/>
    <w:rsid w:val="00455E35"/>
    <w:rsid w:val="00455E80"/>
    <w:rsid w:val="00485284"/>
    <w:rsid w:val="00491F19"/>
    <w:rsid w:val="004A7705"/>
    <w:rsid w:val="004E461B"/>
    <w:rsid w:val="004E6C84"/>
    <w:rsid w:val="004F360D"/>
    <w:rsid w:val="004F3A8D"/>
    <w:rsid w:val="00507532"/>
    <w:rsid w:val="00511D53"/>
    <w:rsid w:val="00516E4A"/>
    <w:rsid w:val="0052200C"/>
    <w:rsid w:val="00530100"/>
    <w:rsid w:val="00534745"/>
    <w:rsid w:val="00536B43"/>
    <w:rsid w:val="00555EA5"/>
    <w:rsid w:val="00562ED1"/>
    <w:rsid w:val="00595234"/>
    <w:rsid w:val="005965B0"/>
    <w:rsid w:val="005E7BB7"/>
    <w:rsid w:val="005F4AE8"/>
    <w:rsid w:val="00602753"/>
    <w:rsid w:val="00610D18"/>
    <w:rsid w:val="00613922"/>
    <w:rsid w:val="0064121A"/>
    <w:rsid w:val="00664FC3"/>
    <w:rsid w:val="006756D8"/>
    <w:rsid w:val="00675EBD"/>
    <w:rsid w:val="00681E1D"/>
    <w:rsid w:val="00682D59"/>
    <w:rsid w:val="006A0F07"/>
    <w:rsid w:val="006B3F77"/>
    <w:rsid w:val="006B43B3"/>
    <w:rsid w:val="006F3B3B"/>
    <w:rsid w:val="006F6EF0"/>
    <w:rsid w:val="00703135"/>
    <w:rsid w:val="00703DFD"/>
    <w:rsid w:val="007128A5"/>
    <w:rsid w:val="00715FF3"/>
    <w:rsid w:val="007228DF"/>
    <w:rsid w:val="00777DD3"/>
    <w:rsid w:val="007927A2"/>
    <w:rsid w:val="007C312B"/>
    <w:rsid w:val="007E6AC9"/>
    <w:rsid w:val="00820D68"/>
    <w:rsid w:val="00825300"/>
    <w:rsid w:val="00835A75"/>
    <w:rsid w:val="00843BCC"/>
    <w:rsid w:val="008B1BB4"/>
    <w:rsid w:val="008C29DF"/>
    <w:rsid w:val="008C5C34"/>
    <w:rsid w:val="008D61FA"/>
    <w:rsid w:val="008E66B8"/>
    <w:rsid w:val="008F4568"/>
    <w:rsid w:val="00917714"/>
    <w:rsid w:val="00920827"/>
    <w:rsid w:val="00941BF3"/>
    <w:rsid w:val="00945774"/>
    <w:rsid w:val="00953A8D"/>
    <w:rsid w:val="00991B8B"/>
    <w:rsid w:val="0099219E"/>
    <w:rsid w:val="009A5D49"/>
    <w:rsid w:val="009B65FE"/>
    <w:rsid w:val="009C67CB"/>
    <w:rsid w:val="009E5847"/>
    <w:rsid w:val="009E70B4"/>
    <w:rsid w:val="00A16AD4"/>
    <w:rsid w:val="00A239B1"/>
    <w:rsid w:val="00A408E9"/>
    <w:rsid w:val="00A436E8"/>
    <w:rsid w:val="00A47AAC"/>
    <w:rsid w:val="00A5149E"/>
    <w:rsid w:val="00A643B6"/>
    <w:rsid w:val="00A917D7"/>
    <w:rsid w:val="00AA259E"/>
    <w:rsid w:val="00AA56F4"/>
    <w:rsid w:val="00AB58C5"/>
    <w:rsid w:val="00AC4D5E"/>
    <w:rsid w:val="00AD310D"/>
    <w:rsid w:val="00AF7264"/>
    <w:rsid w:val="00B00084"/>
    <w:rsid w:val="00B05C68"/>
    <w:rsid w:val="00B21638"/>
    <w:rsid w:val="00B22461"/>
    <w:rsid w:val="00B31478"/>
    <w:rsid w:val="00B32F38"/>
    <w:rsid w:val="00B544BD"/>
    <w:rsid w:val="00B604BB"/>
    <w:rsid w:val="00BA4071"/>
    <w:rsid w:val="00BB07DD"/>
    <w:rsid w:val="00BB3B52"/>
    <w:rsid w:val="00BB6FAD"/>
    <w:rsid w:val="00BC6588"/>
    <w:rsid w:val="00BD0371"/>
    <w:rsid w:val="00BD0F90"/>
    <w:rsid w:val="00BF0C3A"/>
    <w:rsid w:val="00C01152"/>
    <w:rsid w:val="00C137D2"/>
    <w:rsid w:val="00C2122C"/>
    <w:rsid w:val="00C26B86"/>
    <w:rsid w:val="00C3168E"/>
    <w:rsid w:val="00C32AA2"/>
    <w:rsid w:val="00C50BE3"/>
    <w:rsid w:val="00C50F82"/>
    <w:rsid w:val="00C643CE"/>
    <w:rsid w:val="00C70730"/>
    <w:rsid w:val="00C76729"/>
    <w:rsid w:val="00CA533F"/>
    <w:rsid w:val="00CB2907"/>
    <w:rsid w:val="00CC1A64"/>
    <w:rsid w:val="00CF1BD5"/>
    <w:rsid w:val="00CF633A"/>
    <w:rsid w:val="00D2363A"/>
    <w:rsid w:val="00D31AEB"/>
    <w:rsid w:val="00D44295"/>
    <w:rsid w:val="00D47540"/>
    <w:rsid w:val="00D525C6"/>
    <w:rsid w:val="00D6001A"/>
    <w:rsid w:val="00D9624F"/>
    <w:rsid w:val="00DA3A72"/>
    <w:rsid w:val="00DB1821"/>
    <w:rsid w:val="00DB3DBA"/>
    <w:rsid w:val="00DB4BAB"/>
    <w:rsid w:val="00DD4AA0"/>
    <w:rsid w:val="00DD6027"/>
    <w:rsid w:val="00DE1472"/>
    <w:rsid w:val="00E00F6D"/>
    <w:rsid w:val="00E16ABF"/>
    <w:rsid w:val="00E25026"/>
    <w:rsid w:val="00E750D5"/>
    <w:rsid w:val="00EB1EDF"/>
    <w:rsid w:val="00EC37BE"/>
    <w:rsid w:val="00EE6EB3"/>
    <w:rsid w:val="00F052E9"/>
    <w:rsid w:val="00F52295"/>
    <w:rsid w:val="00F62AC1"/>
    <w:rsid w:val="00F700BA"/>
    <w:rsid w:val="00F9109E"/>
    <w:rsid w:val="00F96DC6"/>
    <w:rsid w:val="00FD0031"/>
    <w:rsid w:val="00FD2C97"/>
    <w:rsid w:val="00FE2A6A"/>
    <w:rsid w:val="01F17122"/>
    <w:rsid w:val="066D5A2D"/>
    <w:rsid w:val="08C47BB7"/>
    <w:rsid w:val="09044B9E"/>
    <w:rsid w:val="0BFF108E"/>
    <w:rsid w:val="0FEF1335"/>
    <w:rsid w:val="16E51EC0"/>
    <w:rsid w:val="17ABE259"/>
    <w:rsid w:val="187B6D56"/>
    <w:rsid w:val="1AF7CB78"/>
    <w:rsid w:val="1C2534DF"/>
    <w:rsid w:val="1CA96417"/>
    <w:rsid w:val="207B78F6"/>
    <w:rsid w:val="21A309A7"/>
    <w:rsid w:val="23256CC9"/>
    <w:rsid w:val="255CF391"/>
    <w:rsid w:val="2BFF1A3F"/>
    <w:rsid w:val="2CDEF1FA"/>
    <w:rsid w:val="2DDB35B1"/>
    <w:rsid w:val="2FD7C728"/>
    <w:rsid w:val="32CB4BEC"/>
    <w:rsid w:val="33EB4677"/>
    <w:rsid w:val="3AD7BC5A"/>
    <w:rsid w:val="3BECE844"/>
    <w:rsid w:val="3CF64D98"/>
    <w:rsid w:val="3D6BC0D9"/>
    <w:rsid w:val="3D779396"/>
    <w:rsid w:val="3ED1534B"/>
    <w:rsid w:val="3EFB2634"/>
    <w:rsid w:val="3F3D59AD"/>
    <w:rsid w:val="3FA55589"/>
    <w:rsid w:val="3FEDBA3B"/>
    <w:rsid w:val="3FF46A48"/>
    <w:rsid w:val="406C6164"/>
    <w:rsid w:val="40C86A83"/>
    <w:rsid w:val="434150E2"/>
    <w:rsid w:val="463D7DE3"/>
    <w:rsid w:val="46FBF3F5"/>
    <w:rsid w:val="46FF153C"/>
    <w:rsid w:val="47BD1B13"/>
    <w:rsid w:val="4F37D6FE"/>
    <w:rsid w:val="57FBF295"/>
    <w:rsid w:val="5B195864"/>
    <w:rsid w:val="5BF872F9"/>
    <w:rsid w:val="5C376AC5"/>
    <w:rsid w:val="5CFBC61B"/>
    <w:rsid w:val="5E940365"/>
    <w:rsid w:val="5EFDEDE1"/>
    <w:rsid w:val="5FDE29DC"/>
    <w:rsid w:val="5FEE60C2"/>
    <w:rsid w:val="5FEF2925"/>
    <w:rsid w:val="610C108C"/>
    <w:rsid w:val="637DD6CB"/>
    <w:rsid w:val="65773343"/>
    <w:rsid w:val="67622BB1"/>
    <w:rsid w:val="6BFF95D1"/>
    <w:rsid w:val="6CC32C6B"/>
    <w:rsid w:val="6D332F6C"/>
    <w:rsid w:val="6D7E0EE6"/>
    <w:rsid w:val="6DEF0B66"/>
    <w:rsid w:val="6EBF01BE"/>
    <w:rsid w:val="6F6DC17F"/>
    <w:rsid w:val="6FCFFA0C"/>
    <w:rsid w:val="6FE9F361"/>
    <w:rsid w:val="6FF93E2C"/>
    <w:rsid w:val="6FFF3FE4"/>
    <w:rsid w:val="6FFFCAA5"/>
    <w:rsid w:val="725FA23D"/>
    <w:rsid w:val="727D223F"/>
    <w:rsid w:val="74365CEE"/>
    <w:rsid w:val="75291864"/>
    <w:rsid w:val="77C5A824"/>
    <w:rsid w:val="77FF8D8D"/>
    <w:rsid w:val="7A673390"/>
    <w:rsid w:val="7BBF6CEC"/>
    <w:rsid w:val="7BFDEB83"/>
    <w:rsid w:val="7CF786D0"/>
    <w:rsid w:val="7DCF9744"/>
    <w:rsid w:val="7DEFF095"/>
    <w:rsid w:val="7E66DB3C"/>
    <w:rsid w:val="7E6EFEA6"/>
    <w:rsid w:val="7E87DAE9"/>
    <w:rsid w:val="7F136DA3"/>
    <w:rsid w:val="7F5767C9"/>
    <w:rsid w:val="7FF206EB"/>
    <w:rsid w:val="7FF9263C"/>
    <w:rsid w:val="7FFB394D"/>
    <w:rsid w:val="7FFF342B"/>
    <w:rsid w:val="9B7E1370"/>
    <w:rsid w:val="9BF3DF87"/>
    <w:rsid w:val="9F678BA0"/>
    <w:rsid w:val="A7EB849E"/>
    <w:rsid w:val="AFCF3A3B"/>
    <w:rsid w:val="B6FF62A4"/>
    <w:rsid w:val="BBF7E30F"/>
    <w:rsid w:val="BBFFCF1A"/>
    <w:rsid w:val="BDF9AF9D"/>
    <w:rsid w:val="BDFDF6E3"/>
    <w:rsid w:val="BEB7AFB9"/>
    <w:rsid w:val="BEF71F13"/>
    <w:rsid w:val="BF9FD5D7"/>
    <w:rsid w:val="BFA5A853"/>
    <w:rsid w:val="BFBFCEEF"/>
    <w:rsid w:val="BFF7580C"/>
    <w:rsid w:val="C4BF4E9C"/>
    <w:rsid w:val="C6F997C8"/>
    <w:rsid w:val="C77BEB0F"/>
    <w:rsid w:val="CB4F3390"/>
    <w:rsid w:val="CDFF4D90"/>
    <w:rsid w:val="CFA7C65A"/>
    <w:rsid w:val="D1BF803F"/>
    <w:rsid w:val="D3EF704F"/>
    <w:rsid w:val="D77E784D"/>
    <w:rsid w:val="DBBEDBDF"/>
    <w:rsid w:val="DBFF9C41"/>
    <w:rsid w:val="DCFFA84F"/>
    <w:rsid w:val="DD7D8CD2"/>
    <w:rsid w:val="DF056A6C"/>
    <w:rsid w:val="DF2B97F7"/>
    <w:rsid w:val="DFE51895"/>
    <w:rsid w:val="E3F5E1E5"/>
    <w:rsid w:val="E4AFA53E"/>
    <w:rsid w:val="E76FC844"/>
    <w:rsid w:val="E9BD8355"/>
    <w:rsid w:val="E9FEDDA3"/>
    <w:rsid w:val="EA5E48F9"/>
    <w:rsid w:val="EBAE87E1"/>
    <w:rsid w:val="EBFB194E"/>
    <w:rsid w:val="EBFD2D27"/>
    <w:rsid w:val="EE4FF862"/>
    <w:rsid w:val="EEFBBE95"/>
    <w:rsid w:val="EF3A3690"/>
    <w:rsid w:val="EF7F01D8"/>
    <w:rsid w:val="EF7FED67"/>
    <w:rsid w:val="EFFFAF7B"/>
    <w:rsid w:val="F25CBFE3"/>
    <w:rsid w:val="F3FB840F"/>
    <w:rsid w:val="F5FF25C6"/>
    <w:rsid w:val="F7BE4CCF"/>
    <w:rsid w:val="F7EC7415"/>
    <w:rsid w:val="F7EF722E"/>
    <w:rsid w:val="FADFBCC5"/>
    <w:rsid w:val="FBE78A1C"/>
    <w:rsid w:val="FCD7B1B4"/>
    <w:rsid w:val="FCDF90E7"/>
    <w:rsid w:val="FDB30435"/>
    <w:rsid w:val="FDEF3B73"/>
    <w:rsid w:val="FDFD6413"/>
    <w:rsid w:val="FDFF2F1F"/>
    <w:rsid w:val="FEBCE949"/>
    <w:rsid w:val="FEDF9955"/>
    <w:rsid w:val="FEF9F432"/>
    <w:rsid w:val="FEFDBBF6"/>
    <w:rsid w:val="FEFF2067"/>
    <w:rsid w:val="FF3F6C11"/>
    <w:rsid w:val="FF6F4477"/>
    <w:rsid w:val="FF7F627D"/>
    <w:rsid w:val="FFAA0E59"/>
    <w:rsid w:val="FFAFD13E"/>
    <w:rsid w:val="FFCD01A5"/>
    <w:rsid w:val="FFD7E729"/>
    <w:rsid w:val="FFDBEBE9"/>
    <w:rsid w:val="FFF4CA27"/>
    <w:rsid w:val="FFF7A62D"/>
    <w:rsid w:val="FFF7C5A8"/>
    <w:rsid w:val="FFFB6C83"/>
    <w:rsid w:val="FFFDB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2"/>
    <w:unhideWhenUsed/>
    <w:qFormat/>
    <w:uiPriority w:val="0"/>
    <w:pPr>
      <w:spacing w:after="120"/>
      <w:ind w:left="420" w:leftChars="200"/>
    </w:p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widowControl/>
      <w:tabs>
        <w:tab w:val="center" w:pos="4153"/>
        <w:tab w:val="right" w:pos="8306"/>
      </w:tabs>
      <w:snapToGrid w:val="0"/>
      <w:jc w:val="left"/>
    </w:pPr>
    <w:rPr>
      <w:rFonts w:ascii="Calibri" w:hAnsi="Calibri" w:eastAsia="仿宋_GB2312" w:cs="Arial"/>
      <w:kern w:val="0"/>
      <w:sz w:val="18"/>
      <w:szCs w:val="18"/>
    </w:rPr>
  </w:style>
  <w:style w:type="paragraph" w:styleId="6">
    <w:name w:val="header"/>
    <w:basedOn w:val="1"/>
    <w:link w:val="10"/>
    <w:unhideWhenUsed/>
    <w:qFormat/>
    <w:uiPriority w:val="99"/>
    <w:pPr>
      <w:widowControl/>
      <w:pBdr>
        <w:bottom w:val="single" w:color="auto" w:sz="6" w:space="1"/>
      </w:pBdr>
      <w:tabs>
        <w:tab w:val="center" w:pos="4153"/>
        <w:tab w:val="right" w:pos="8306"/>
      </w:tabs>
      <w:snapToGrid w:val="0"/>
      <w:jc w:val="center"/>
    </w:pPr>
    <w:rPr>
      <w:rFonts w:ascii="Calibri" w:hAnsi="Calibri" w:eastAsia="仿宋_GB2312" w:cs="Arial"/>
      <w:kern w:val="0"/>
      <w:sz w:val="18"/>
      <w:szCs w:val="18"/>
    </w:rPr>
  </w:style>
  <w:style w:type="paragraph" w:styleId="7">
    <w:name w:val="Normal (Web)"/>
    <w:basedOn w:val="1"/>
    <w:qFormat/>
    <w:uiPriority w:val="0"/>
    <w:pPr>
      <w:spacing w:before="100" w:beforeAutospacing="1" w:after="100" w:afterAutospacing="1"/>
      <w:jc w:val="left"/>
    </w:pPr>
    <w:rPr>
      <w:kern w:val="0"/>
      <w:sz w:val="24"/>
    </w:rPr>
  </w:style>
  <w:style w:type="character" w:customStyle="1" w:styleId="10">
    <w:name w:val="页眉 字符"/>
    <w:basedOn w:val="9"/>
    <w:link w:val="6"/>
    <w:qFormat/>
    <w:uiPriority w:val="99"/>
    <w:rPr>
      <w:rFonts w:ascii="Calibri" w:hAnsi="Calibri" w:eastAsia="仿宋_GB2312" w:cs="Arial"/>
      <w:kern w:val="0"/>
      <w:sz w:val="18"/>
      <w:szCs w:val="18"/>
    </w:rPr>
  </w:style>
  <w:style w:type="character" w:customStyle="1" w:styleId="11">
    <w:name w:val="页脚 字符"/>
    <w:basedOn w:val="9"/>
    <w:link w:val="5"/>
    <w:qFormat/>
    <w:uiPriority w:val="99"/>
    <w:rPr>
      <w:rFonts w:ascii="Calibri" w:hAnsi="Calibri" w:eastAsia="仿宋_GB2312" w:cs="Arial"/>
      <w:kern w:val="0"/>
      <w:sz w:val="18"/>
      <w:szCs w:val="18"/>
    </w:rPr>
  </w:style>
  <w:style w:type="character" w:customStyle="1" w:styleId="12">
    <w:name w:val="正文文本缩进 字符"/>
    <w:basedOn w:val="9"/>
    <w:link w:val="3"/>
    <w:qFormat/>
    <w:uiPriority w:val="0"/>
    <w:rPr>
      <w:rFonts w:ascii="Times New Roman" w:hAnsi="Times New Roman" w:eastAsia="宋体" w:cs="Times New Roman"/>
      <w:szCs w:val="24"/>
    </w:rPr>
  </w:style>
  <w:style w:type="character" w:customStyle="1" w:styleId="13">
    <w:name w:val="批注框文本 字符"/>
    <w:basedOn w:val="9"/>
    <w:link w:val="4"/>
    <w:semiHidden/>
    <w:qFormat/>
    <w:uiPriority w:val="99"/>
    <w:rPr>
      <w:rFonts w:ascii="Times New Roman" w:hAnsi="Times New Roman" w:eastAsia="宋体" w:cs="Times New Roman"/>
      <w:sz w:val="18"/>
      <w:szCs w:val="18"/>
    </w:rPr>
  </w:style>
  <w:style w:type="paragraph" w:customStyle="1" w:styleId="1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5">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1758</Words>
  <Characters>1892</Characters>
  <Lines>20</Lines>
  <Paragraphs>5</Paragraphs>
  <TotalTime>0</TotalTime>
  <ScaleCrop>false</ScaleCrop>
  <LinksUpToDate>false</LinksUpToDate>
  <CharactersWithSpaces>1947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2022-05-12T02:36:00Z</dcterms:created>
  <dc:creator>微软用户</dc:creator>
  <cp:lastModifiedBy>该账号已注销！</cp:lastModifiedBy>
  <cp:lastPrinted>2023-02-28T01:29:00Z</cp:lastPrinted>
  <dcterms:modified xsi:type="dcterms:W3CDTF">2023-04-26T07:04:34Z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57FD6843E1254995B3E9E27721CB77FF_13</vt:lpwstr>
  </property>
</Properties>
</file>