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9B463">
      <w:pPr>
        <w:autoSpaceDN w:val="0"/>
        <w:spacing w:before="156" w:beforeLines="50" w:line="520" w:lineRule="exact"/>
        <w:ind w:right="210" w:rightChars="100"/>
        <w:jc w:val="right"/>
        <w:rPr>
          <w:rFonts w:ascii="仿宋_GB2312" w:eastAsia="仿宋_GB2312"/>
          <w:b w:val="0"/>
          <w:bCs w:val="0"/>
          <w:sz w:val="22"/>
          <w:szCs w:val="32"/>
        </w:rPr>
      </w:pPr>
      <w:r>
        <w:rPr>
          <w:rFonts w:hint="eastAsia" w:ascii="华文中宋" w:hAnsi="华文中宋" w:eastAsia="华文中宋"/>
          <w:b w:val="0"/>
          <w:bCs w:val="0"/>
          <w:sz w:val="32"/>
          <w:szCs w:val="44"/>
        </w:rPr>
        <w:t>编号：</w:t>
      </w:r>
      <w:r>
        <w:rPr>
          <w:rFonts w:hint="eastAsia" w:ascii="华文中宋" w:hAnsi="华文中宋" w:eastAsia="华文中宋"/>
          <w:b w:val="0"/>
          <w:bCs w:val="0"/>
          <w:sz w:val="32"/>
          <w:szCs w:val="44"/>
          <w:lang w:val="en-US" w:eastAsia="zh-CN"/>
        </w:rPr>
        <w:t>景昌征地（2023）第12号</w:t>
      </w:r>
    </w:p>
    <w:p w14:paraId="3C060536">
      <w:pPr>
        <w:autoSpaceDN w:val="0"/>
        <w:spacing w:before="156" w:beforeLines="50" w:line="520" w:lineRule="exact"/>
        <w:ind w:right="210" w:rightChars="100"/>
        <w:jc w:val="center"/>
        <w:rPr>
          <w:rFonts w:hint="eastAsia" w:ascii="华文中宋" w:hAnsi="华文中宋" w:eastAsia="华文中宋"/>
          <w:b/>
          <w:bCs/>
          <w:sz w:val="44"/>
          <w:szCs w:val="44"/>
        </w:rPr>
      </w:pPr>
      <w:r>
        <w:rPr>
          <w:rFonts w:hint="eastAsia" w:ascii="华文中宋" w:hAnsi="华文中宋" w:eastAsia="华文中宋"/>
          <w:b/>
          <w:bCs/>
          <w:sz w:val="44"/>
          <w:szCs w:val="44"/>
        </w:rPr>
        <w:t>征收集体土地所有权补偿安置协议书</w:t>
      </w:r>
    </w:p>
    <w:p w14:paraId="7038DF69">
      <w:pPr>
        <w:autoSpaceDN w:val="0"/>
        <w:spacing w:before="156" w:beforeLines="50" w:line="520" w:lineRule="exact"/>
        <w:ind w:right="210" w:rightChars="100"/>
        <w:jc w:val="center"/>
        <w:rPr>
          <w:rFonts w:ascii="仿宋_GB2312" w:eastAsia="仿宋_GB2312"/>
          <w:sz w:val="32"/>
          <w:szCs w:val="32"/>
        </w:rPr>
      </w:pPr>
      <w:r>
        <w:rPr>
          <w:rFonts w:hint="eastAsia" w:ascii="仿宋_GB2312" w:eastAsia="仿宋_GB2312"/>
          <w:b/>
          <w:bCs/>
          <w:sz w:val="32"/>
          <w:szCs w:val="32"/>
        </w:rPr>
        <w:t>征地单位：</w:t>
      </w:r>
      <w:r>
        <w:rPr>
          <w:rFonts w:hint="eastAsia" w:ascii="仿宋_GB2312" w:eastAsia="仿宋_GB2312"/>
          <w:b w:val="0"/>
          <w:bCs w:val="0"/>
          <w:sz w:val="32"/>
          <w:szCs w:val="32"/>
          <w:lang w:val="en-US" w:eastAsia="zh-CN"/>
        </w:rPr>
        <w:t>市自然资源和规划局昌江分局</w:t>
      </w:r>
      <w:r>
        <w:rPr>
          <w:rFonts w:hint="eastAsia" w:ascii="仿宋_GB2312" w:eastAsia="仿宋_GB2312"/>
          <w:sz w:val="32"/>
          <w:szCs w:val="32"/>
        </w:rPr>
        <w:t>(以下简称甲方)</w:t>
      </w:r>
      <w:bookmarkStart w:id="3" w:name="_GoBack"/>
      <w:bookmarkEnd w:id="3"/>
    </w:p>
    <w:p w14:paraId="57E5F743">
      <w:pPr>
        <w:spacing w:line="520" w:lineRule="exact"/>
        <w:ind w:left="320" w:leftChars="1" w:hanging="318" w:hangingChars="99"/>
        <w:rPr>
          <w:rFonts w:ascii="仿宋_GB2312" w:eastAsia="仿宋_GB2312"/>
          <w:sz w:val="32"/>
          <w:szCs w:val="32"/>
        </w:rPr>
      </w:pPr>
      <w:r>
        <w:rPr>
          <w:rFonts w:hint="eastAsia" w:ascii="仿宋_GB2312" w:eastAsia="仿宋_GB2312"/>
          <w:b/>
          <w:bCs/>
          <w:sz w:val="32"/>
          <w:szCs w:val="32"/>
        </w:rPr>
        <w:t>被征地单位：</w:t>
      </w:r>
      <w:r>
        <w:rPr>
          <w:rFonts w:hint="eastAsia" w:ascii="仿宋" w:hAnsi="仿宋" w:eastAsia="仿宋" w:cs="仿宋"/>
          <w:sz w:val="32"/>
          <w:szCs w:val="32"/>
          <w:lang w:val="en-US" w:eastAsia="zh-CN"/>
        </w:rPr>
        <w:t>鲇鱼山镇新桥村委会</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(以下简称乙方)</w:t>
      </w:r>
    </w:p>
    <w:p w14:paraId="43F7D525">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因公共利益的需要，经</w:t>
      </w:r>
      <w:r>
        <w:rPr>
          <w:rFonts w:hint="eastAsia" w:ascii="仿宋_GB2312" w:eastAsia="仿宋_GB2312"/>
          <w:sz w:val="32"/>
          <w:szCs w:val="32"/>
          <w:lang w:val="en-US" w:eastAsia="zh-CN"/>
        </w:rPr>
        <w:t>昌江区</w:t>
      </w:r>
      <w:r>
        <w:rPr>
          <w:rFonts w:hint="eastAsia" w:ascii="仿宋_GB2312" w:eastAsia="仿宋_GB2312"/>
          <w:sz w:val="32"/>
          <w:szCs w:val="32"/>
        </w:rPr>
        <w:t>政府研究决定，拟征收乙方位于</w:t>
      </w:r>
      <w:r>
        <w:rPr>
          <w:rFonts w:hint="eastAsia" w:ascii="仿宋_GB2312" w:eastAsia="仿宋_GB2312"/>
          <w:sz w:val="32"/>
          <w:szCs w:val="32"/>
          <w:lang w:val="en-US" w:eastAsia="zh-CN"/>
        </w:rPr>
        <w:t>鲇鱼山镇新桥村（义城路地块项目</w:t>
      </w:r>
      <w:r>
        <w:rPr>
          <w:rFonts w:hint="eastAsia" w:ascii="仿宋_GB2312" w:eastAsia="仿宋_GB2312"/>
          <w:sz w:val="32"/>
          <w:szCs w:val="32"/>
        </w:rPr>
        <w:t>）范围内的土地。依照</w:t>
      </w:r>
      <w:bookmarkStart w:id="0" w:name="_Hlk104453442"/>
      <w:r>
        <w:rPr>
          <w:rFonts w:hint="eastAsia" w:ascii="仿宋_GB2312" w:eastAsia="仿宋_GB2312"/>
          <w:sz w:val="32"/>
          <w:szCs w:val="32"/>
        </w:rPr>
        <w:t>《土地管理法》</w:t>
      </w:r>
      <w:r>
        <w:rPr>
          <w:rFonts w:hint="eastAsia" w:ascii="仿宋_GB2312" w:eastAsia="仿宋_GB2312"/>
          <w:sz w:val="32"/>
          <w:szCs w:val="32"/>
          <w:lang w:eastAsia="zh-CN"/>
        </w:rPr>
        <w:t>、</w:t>
      </w:r>
      <w:r>
        <w:rPr>
          <w:rFonts w:hint="eastAsia" w:ascii="仿宋_GB2312" w:eastAsia="仿宋_GB2312"/>
          <w:sz w:val="32"/>
          <w:szCs w:val="32"/>
        </w:rPr>
        <w:t>《土地管理法实施条例》</w:t>
      </w:r>
      <w:r>
        <w:rPr>
          <w:rFonts w:hint="eastAsia" w:ascii="仿宋_GB2312" w:eastAsia="仿宋_GB2312"/>
          <w:sz w:val="32"/>
          <w:szCs w:val="32"/>
          <w:lang w:eastAsia="zh-CN"/>
        </w:rPr>
        <w:t>、</w:t>
      </w:r>
      <w:r>
        <w:rPr>
          <w:rFonts w:hint="eastAsia" w:ascii="仿宋_GB2312" w:eastAsia="仿宋_GB2312"/>
          <w:sz w:val="32"/>
          <w:szCs w:val="32"/>
        </w:rPr>
        <w:t>《江西省征收土地管理办法》</w:t>
      </w:r>
      <w:bookmarkEnd w:id="0"/>
      <w:r>
        <w:rPr>
          <w:rFonts w:hint="eastAsia" w:ascii="仿宋_GB2312" w:eastAsia="仿宋_GB2312"/>
          <w:sz w:val="32"/>
          <w:szCs w:val="32"/>
          <w:lang w:eastAsia="zh-CN"/>
        </w:rPr>
        <w:t>、</w:t>
      </w:r>
      <w:r>
        <w:rPr>
          <w:rFonts w:hint="eastAsia" w:ascii="仿宋_GB2312" w:eastAsia="仿宋_GB2312"/>
          <w:sz w:val="32"/>
          <w:szCs w:val="32"/>
        </w:rPr>
        <w:t>《江西省人民政府关于公布全省征地区片综合地价的通知》（赣府字〔2020〕9号）等法律法规规定</w:t>
      </w:r>
      <w:r>
        <w:rPr>
          <w:rFonts w:hint="eastAsia" w:ascii="仿宋_GB2312" w:hAnsi="宋体" w:eastAsia="仿宋_GB2312"/>
          <w:sz w:val="32"/>
          <w:szCs w:val="32"/>
        </w:rPr>
        <w:t>，经甲、乙双方协商，就拟征收土地范围内的土地补偿费、安置补助费</w:t>
      </w:r>
      <w:r>
        <w:rPr>
          <w:rFonts w:hint="eastAsia" w:ascii="仿宋_GB2312" w:hAnsi="宋体" w:eastAsia="仿宋_GB2312"/>
          <w:sz w:val="32"/>
          <w:szCs w:val="32"/>
          <w:lang w:val="en-US" w:eastAsia="zh-CN"/>
        </w:rPr>
        <w:t>及青苗、地上附着物补偿费</w:t>
      </w:r>
      <w:r>
        <w:rPr>
          <w:rFonts w:hint="eastAsia" w:ascii="仿宋_GB2312" w:hAnsi="宋体" w:eastAsia="仿宋_GB2312"/>
          <w:sz w:val="32"/>
          <w:szCs w:val="32"/>
        </w:rPr>
        <w:t>等有关事宜达成如下协议:</w:t>
      </w:r>
    </w:p>
    <w:p w14:paraId="562C79C6">
      <w:pPr>
        <w:spacing w:line="560" w:lineRule="exact"/>
        <w:ind w:firstLine="796" w:firstLineChars="249"/>
        <w:rPr>
          <w:rFonts w:ascii="黑体" w:hAnsi="宋体" w:eastAsia="黑体"/>
          <w:bCs/>
          <w:sz w:val="32"/>
          <w:szCs w:val="32"/>
        </w:rPr>
      </w:pPr>
      <w:r>
        <w:rPr>
          <w:rFonts w:hint="eastAsia" w:ascii="黑体" w:hAnsi="宋体" w:eastAsia="黑体"/>
          <w:bCs/>
          <w:sz w:val="32"/>
          <w:szCs w:val="32"/>
        </w:rPr>
        <w:t>一、征收范围</w:t>
      </w:r>
    </w:p>
    <w:p w14:paraId="4CE74E6F">
      <w:pPr>
        <w:spacing w:line="560" w:lineRule="exact"/>
        <w:ind w:firstLine="720" w:firstLineChars="225"/>
        <w:rPr>
          <w:rFonts w:ascii="仿宋_GB2312" w:hAnsi="宋体" w:eastAsia="仿宋_GB2312"/>
          <w:sz w:val="32"/>
          <w:szCs w:val="32"/>
        </w:rPr>
      </w:pPr>
      <w:r>
        <w:rPr>
          <w:rFonts w:hint="eastAsia" w:ascii="仿宋_GB2312" w:hAnsi="宋体" w:eastAsia="仿宋_GB2312"/>
          <w:sz w:val="32"/>
          <w:szCs w:val="32"/>
        </w:rPr>
        <w:t>甲方拟征收乙方位于</w:t>
      </w:r>
      <w:r>
        <w:rPr>
          <w:rFonts w:hint="eastAsia" w:ascii="仿宋_GB2312" w:hAnsi="宋体" w:eastAsia="仿宋_GB2312"/>
          <w:sz w:val="32"/>
          <w:szCs w:val="32"/>
          <w:lang w:val="en-US" w:eastAsia="zh-CN"/>
        </w:rPr>
        <w:t>鲇鱼山镇新桥村范围内的部分集体土地，</w:t>
      </w:r>
      <w:r>
        <w:rPr>
          <w:rFonts w:hint="eastAsia" w:ascii="仿宋_GB2312" w:hAnsi="宋体" w:eastAsia="仿宋_GB2312"/>
          <w:sz w:val="32"/>
          <w:szCs w:val="32"/>
        </w:rPr>
        <w:t>拟征地范围四至、权属、地类、面积等已经双方确认，具体见征地红线图。</w:t>
      </w:r>
    </w:p>
    <w:p w14:paraId="38B54185">
      <w:pPr>
        <w:spacing w:line="560" w:lineRule="exact"/>
        <w:ind w:firstLine="790" w:firstLineChars="247"/>
        <w:rPr>
          <w:rFonts w:ascii="黑体" w:hAnsi="宋体" w:eastAsia="黑体"/>
          <w:bCs/>
          <w:sz w:val="32"/>
          <w:szCs w:val="32"/>
        </w:rPr>
      </w:pPr>
      <w:r>
        <w:rPr>
          <w:rFonts w:hint="eastAsia" w:ascii="黑体" w:hAnsi="宋体" w:eastAsia="黑体"/>
          <w:bCs/>
          <w:sz w:val="32"/>
          <w:szCs w:val="32"/>
        </w:rPr>
        <w:t>二、征收地类、面积及</w:t>
      </w:r>
      <w:r>
        <w:rPr>
          <w:rFonts w:hint="eastAsia" w:ascii="黑体" w:hAnsi="宋体" w:eastAsia="黑体"/>
          <w:bCs/>
          <w:sz w:val="32"/>
          <w:szCs w:val="32"/>
          <w:lang w:val="en-US" w:eastAsia="zh-CN"/>
        </w:rPr>
        <w:t>青苗、地上附着物</w:t>
      </w:r>
      <w:r>
        <w:rPr>
          <w:rFonts w:hint="eastAsia" w:ascii="黑体" w:hAnsi="宋体" w:eastAsia="黑体"/>
          <w:bCs/>
          <w:sz w:val="32"/>
          <w:szCs w:val="32"/>
        </w:rPr>
        <w:t>补偿标准</w:t>
      </w:r>
    </w:p>
    <w:p w14:paraId="66CFABF0">
      <w:pPr>
        <w:pStyle w:val="3"/>
        <w:spacing w:line="460" w:lineRule="exact"/>
        <w:rPr>
          <w:rFonts w:ascii="黑体" w:eastAsia="黑体"/>
          <w:sz w:val="28"/>
          <w:szCs w:val="28"/>
        </w:rPr>
      </w:pPr>
      <w:r>
        <w:rPr>
          <w:rFonts w:hint="eastAsia" w:ascii="黑体" w:eastAsia="黑体"/>
          <w:sz w:val="28"/>
          <w:szCs w:val="28"/>
        </w:rPr>
        <w:t>表1</w:t>
      </w:r>
      <w:r>
        <w:rPr>
          <w:rFonts w:ascii="黑体" w:eastAsia="黑体"/>
          <w:sz w:val="28"/>
          <w:szCs w:val="28"/>
        </w:rPr>
        <w:t xml:space="preserve"> </w:t>
      </w:r>
      <w:r>
        <w:rPr>
          <w:rFonts w:hint="eastAsia" w:ascii="黑体" w:eastAsia="黑体"/>
          <w:sz w:val="28"/>
          <w:szCs w:val="28"/>
        </w:rPr>
        <w:t>土地补偿标准及补偿费用表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505"/>
        <w:gridCol w:w="1440"/>
        <w:gridCol w:w="2624"/>
        <w:gridCol w:w="2135"/>
      </w:tblGrid>
      <w:tr w14:paraId="59F8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78" w:type="pct"/>
            <w:vAlign w:val="center"/>
          </w:tcPr>
          <w:p w14:paraId="55F123C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序号</w:t>
            </w:r>
          </w:p>
        </w:tc>
        <w:tc>
          <w:tcPr>
            <w:tcW w:w="882" w:type="pct"/>
            <w:vAlign w:val="center"/>
          </w:tcPr>
          <w:p w14:paraId="6C103D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地类</w:t>
            </w:r>
          </w:p>
        </w:tc>
        <w:tc>
          <w:tcPr>
            <w:tcW w:w="845" w:type="pct"/>
            <w:vAlign w:val="center"/>
          </w:tcPr>
          <w:p w14:paraId="06C7EF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面积（亩）</w:t>
            </w:r>
          </w:p>
        </w:tc>
        <w:tc>
          <w:tcPr>
            <w:tcW w:w="1540" w:type="pct"/>
            <w:vAlign w:val="center"/>
          </w:tcPr>
          <w:p w14:paraId="36DE26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补偿标准（</w:t>
            </w:r>
            <w:r>
              <w:rPr>
                <w:rFonts w:hint="eastAsia" w:ascii="仿宋" w:hAnsi="仿宋" w:eastAsia="仿宋" w:cs="仿宋"/>
                <w:bCs/>
                <w:sz w:val="28"/>
                <w:szCs w:val="28"/>
                <w:lang w:val="en-US" w:eastAsia="zh-CN"/>
              </w:rPr>
              <w:t>万</w:t>
            </w:r>
            <w:r>
              <w:rPr>
                <w:rFonts w:hint="eastAsia" w:ascii="仿宋" w:hAnsi="仿宋" w:eastAsia="仿宋" w:cs="仿宋"/>
                <w:bCs/>
                <w:sz w:val="28"/>
                <w:szCs w:val="28"/>
              </w:rPr>
              <w:t>元/亩）</w:t>
            </w:r>
          </w:p>
        </w:tc>
        <w:tc>
          <w:tcPr>
            <w:tcW w:w="1253" w:type="pct"/>
            <w:vAlign w:val="center"/>
          </w:tcPr>
          <w:p w14:paraId="2275F0B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Cs/>
                <w:sz w:val="28"/>
                <w:szCs w:val="28"/>
              </w:rPr>
            </w:pPr>
            <w:r>
              <w:rPr>
                <w:rFonts w:hint="eastAsia" w:ascii="仿宋" w:hAnsi="仿宋" w:eastAsia="仿宋" w:cs="仿宋"/>
                <w:bCs/>
                <w:sz w:val="28"/>
                <w:szCs w:val="28"/>
              </w:rPr>
              <w:t>补偿金额（万元）</w:t>
            </w:r>
          </w:p>
        </w:tc>
      </w:tr>
      <w:tr w14:paraId="67B5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78" w:type="pct"/>
            <w:tcBorders>
              <w:top w:val="single" w:color="auto" w:sz="4" w:space="0"/>
              <w:left w:val="single" w:color="auto" w:sz="4" w:space="0"/>
              <w:bottom w:val="single" w:color="auto" w:sz="4" w:space="0"/>
              <w:right w:val="single" w:color="auto" w:sz="4" w:space="0"/>
            </w:tcBorders>
            <w:vAlign w:val="center"/>
          </w:tcPr>
          <w:p w14:paraId="444FD0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82" w:type="pct"/>
            <w:tcBorders>
              <w:top w:val="single" w:color="auto" w:sz="4" w:space="0"/>
              <w:left w:val="single" w:color="auto" w:sz="4" w:space="0"/>
              <w:bottom w:val="single" w:color="auto" w:sz="4" w:space="0"/>
              <w:right w:val="single" w:color="auto" w:sz="4" w:space="0"/>
            </w:tcBorders>
            <w:vAlign w:val="center"/>
          </w:tcPr>
          <w:p w14:paraId="5A0C0F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林地</w:t>
            </w:r>
          </w:p>
        </w:tc>
        <w:tc>
          <w:tcPr>
            <w:tcW w:w="845" w:type="pct"/>
            <w:tcBorders>
              <w:top w:val="single" w:color="auto" w:sz="4" w:space="0"/>
              <w:left w:val="single" w:color="auto" w:sz="4" w:space="0"/>
              <w:bottom w:val="single" w:color="auto" w:sz="4" w:space="0"/>
              <w:right w:val="single" w:color="auto" w:sz="4" w:space="0"/>
            </w:tcBorders>
            <w:vAlign w:val="center"/>
          </w:tcPr>
          <w:p w14:paraId="49534E2E">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22.62</w:t>
            </w:r>
          </w:p>
        </w:tc>
        <w:tc>
          <w:tcPr>
            <w:tcW w:w="1540" w:type="pct"/>
            <w:tcBorders>
              <w:top w:val="single" w:color="auto" w:sz="4" w:space="0"/>
              <w:left w:val="single" w:color="auto" w:sz="4" w:space="0"/>
              <w:bottom w:val="single" w:color="auto" w:sz="4" w:space="0"/>
              <w:right w:val="single" w:color="auto" w:sz="4" w:space="0"/>
            </w:tcBorders>
            <w:vAlign w:val="center"/>
          </w:tcPr>
          <w:p w14:paraId="6302901F">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1253" w:type="pct"/>
            <w:tcBorders>
              <w:top w:val="single" w:color="auto" w:sz="4" w:space="0"/>
              <w:left w:val="single" w:color="auto" w:sz="4" w:space="0"/>
              <w:bottom w:val="single" w:color="auto" w:sz="4" w:space="0"/>
              <w:right w:val="single" w:color="auto" w:sz="4" w:space="0"/>
            </w:tcBorders>
            <w:vAlign w:val="center"/>
          </w:tcPr>
          <w:p w14:paraId="7E2F1C56">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58.812</w:t>
            </w:r>
          </w:p>
        </w:tc>
      </w:tr>
      <w:tr w14:paraId="76CC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78" w:type="pct"/>
            <w:tcBorders>
              <w:top w:val="single" w:color="auto" w:sz="4" w:space="0"/>
              <w:left w:val="single" w:color="auto" w:sz="4" w:space="0"/>
              <w:bottom w:val="single" w:color="auto" w:sz="4" w:space="0"/>
              <w:right w:val="single" w:color="auto" w:sz="4" w:space="0"/>
            </w:tcBorders>
            <w:vAlign w:val="center"/>
          </w:tcPr>
          <w:p w14:paraId="081E13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882" w:type="pct"/>
            <w:tcBorders>
              <w:top w:val="single" w:color="auto" w:sz="4" w:space="0"/>
              <w:left w:val="single" w:color="auto" w:sz="4" w:space="0"/>
              <w:bottom w:val="single" w:color="auto" w:sz="4" w:space="0"/>
              <w:right w:val="single" w:color="auto" w:sz="4" w:space="0"/>
            </w:tcBorders>
            <w:vAlign w:val="center"/>
          </w:tcPr>
          <w:p w14:paraId="026E90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坑塘水面</w:t>
            </w:r>
          </w:p>
        </w:tc>
        <w:tc>
          <w:tcPr>
            <w:tcW w:w="845" w:type="pct"/>
            <w:tcBorders>
              <w:top w:val="single" w:color="auto" w:sz="4" w:space="0"/>
              <w:left w:val="single" w:color="auto" w:sz="4" w:space="0"/>
              <w:bottom w:val="single" w:color="auto" w:sz="4" w:space="0"/>
              <w:right w:val="single" w:color="auto" w:sz="4" w:space="0"/>
            </w:tcBorders>
            <w:vAlign w:val="center"/>
          </w:tcPr>
          <w:p w14:paraId="2E5D4483">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6.852</w:t>
            </w:r>
          </w:p>
        </w:tc>
        <w:tc>
          <w:tcPr>
            <w:tcW w:w="1540" w:type="pct"/>
            <w:tcBorders>
              <w:top w:val="single" w:color="auto" w:sz="4" w:space="0"/>
              <w:left w:val="single" w:color="auto" w:sz="4" w:space="0"/>
              <w:bottom w:val="single" w:color="auto" w:sz="4" w:space="0"/>
              <w:right w:val="single" w:color="auto" w:sz="4" w:space="0"/>
            </w:tcBorders>
            <w:vAlign w:val="center"/>
          </w:tcPr>
          <w:p w14:paraId="366EB2F8">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1253" w:type="pct"/>
            <w:tcBorders>
              <w:top w:val="single" w:color="auto" w:sz="4" w:space="0"/>
              <w:left w:val="single" w:color="auto" w:sz="4" w:space="0"/>
              <w:bottom w:val="single" w:color="auto" w:sz="4" w:space="0"/>
              <w:right w:val="single" w:color="auto" w:sz="4" w:space="0"/>
            </w:tcBorders>
            <w:vAlign w:val="center"/>
          </w:tcPr>
          <w:p w14:paraId="3566D8C3">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17.8152</w:t>
            </w:r>
          </w:p>
        </w:tc>
      </w:tr>
      <w:tr w14:paraId="13CA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78" w:type="pct"/>
            <w:tcBorders>
              <w:top w:val="single" w:color="auto" w:sz="4" w:space="0"/>
              <w:left w:val="single" w:color="auto" w:sz="4" w:space="0"/>
              <w:bottom w:val="single" w:color="auto" w:sz="4" w:space="0"/>
              <w:right w:val="single" w:color="auto" w:sz="4" w:space="0"/>
            </w:tcBorders>
            <w:vAlign w:val="center"/>
          </w:tcPr>
          <w:p w14:paraId="4B3DDC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882" w:type="pct"/>
            <w:tcBorders>
              <w:top w:val="single" w:color="auto" w:sz="4" w:space="0"/>
              <w:left w:val="single" w:color="auto" w:sz="4" w:space="0"/>
              <w:bottom w:val="single" w:color="auto" w:sz="4" w:space="0"/>
              <w:right w:val="single" w:color="auto" w:sz="4" w:space="0"/>
            </w:tcBorders>
            <w:vAlign w:val="center"/>
          </w:tcPr>
          <w:p w14:paraId="555946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村庄</w:t>
            </w:r>
          </w:p>
        </w:tc>
        <w:tc>
          <w:tcPr>
            <w:tcW w:w="845" w:type="pct"/>
            <w:tcBorders>
              <w:top w:val="single" w:color="auto" w:sz="4" w:space="0"/>
              <w:left w:val="single" w:color="auto" w:sz="4" w:space="0"/>
              <w:bottom w:val="single" w:color="auto" w:sz="4" w:space="0"/>
              <w:right w:val="single" w:color="auto" w:sz="4" w:space="0"/>
            </w:tcBorders>
            <w:vAlign w:val="center"/>
          </w:tcPr>
          <w:p w14:paraId="533B97EB">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0.765</w:t>
            </w:r>
          </w:p>
        </w:tc>
        <w:tc>
          <w:tcPr>
            <w:tcW w:w="1540" w:type="pct"/>
            <w:tcBorders>
              <w:top w:val="single" w:color="auto" w:sz="4" w:space="0"/>
              <w:left w:val="single" w:color="auto" w:sz="4" w:space="0"/>
              <w:bottom w:val="single" w:color="auto" w:sz="4" w:space="0"/>
              <w:right w:val="single" w:color="auto" w:sz="4" w:space="0"/>
            </w:tcBorders>
            <w:vAlign w:val="center"/>
          </w:tcPr>
          <w:p w14:paraId="771A7E3C">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5.24</w:t>
            </w:r>
          </w:p>
        </w:tc>
        <w:tc>
          <w:tcPr>
            <w:tcW w:w="1253" w:type="pct"/>
            <w:tcBorders>
              <w:top w:val="single" w:color="auto" w:sz="4" w:space="0"/>
              <w:left w:val="single" w:color="auto" w:sz="4" w:space="0"/>
              <w:bottom w:val="single" w:color="auto" w:sz="4" w:space="0"/>
              <w:right w:val="single" w:color="auto" w:sz="4" w:space="0"/>
            </w:tcBorders>
            <w:vAlign w:val="center"/>
          </w:tcPr>
          <w:p w14:paraId="62F8A385">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4.0086</w:t>
            </w:r>
          </w:p>
        </w:tc>
      </w:tr>
      <w:tr w14:paraId="76F6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61" w:type="pct"/>
            <w:gridSpan w:val="2"/>
            <w:tcBorders>
              <w:top w:val="single" w:color="auto" w:sz="4" w:space="0"/>
              <w:left w:val="single" w:color="auto" w:sz="4" w:space="0"/>
              <w:bottom w:val="single" w:color="auto" w:sz="4" w:space="0"/>
              <w:right w:val="single" w:color="auto" w:sz="4" w:space="0"/>
            </w:tcBorders>
            <w:vAlign w:val="center"/>
          </w:tcPr>
          <w:p w14:paraId="396596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845" w:type="pct"/>
            <w:tcBorders>
              <w:top w:val="single" w:color="auto" w:sz="4" w:space="0"/>
              <w:left w:val="single" w:color="auto" w:sz="4" w:space="0"/>
              <w:bottom w:val="single" w:color="auto" w:sz="4" w:space="0"/>
              <w:right w:val="single" w:color="auto" w:sz="4" w:space="0"/>
            </w:tcBorders>
            <w:vAlign w:val="center"/>
          </w:tcPr>
          <w:p w14:paraId="01181409">
            <w:pPr>
              <w:keepNext w:val="0"/>
              <w:keepLines w:val="0"/>
              <w:pageBreakBefore w:val="0"/>
              <w:widowControl w:val="0"/>
              <w:kinsoku/>
              <w:wordWrap/>
              <w:overflowPunct/>
              <w:topLinePunct w:val="0"/>
              <w:autoSpaceDE/>
              <w:autoSpaceDN/>
              <w:bidi w:val="0"/>
              <w:adjustRightInd/>
              <w:snapToGrid/>
              <w:spacing w:line="3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30.237</w:t>
            </w:r>
          </w:p>
        </w:tc>
        <w:tc>
          <w:tcPr>
            <w:tcW w:w="1540" w:type="pct"/>
            <w:tcBorders>
              <w:top w:val="single" w:color="auto" w:sz="4" w:space="0"/>
              <w:left w:val="single" w:color="auto" w:sz="4" w:space="0"/>
              <w:bottom w:val="single" w:color="auto" w:sz="4" w:space="0"/>
              <w:right w:val="single" w:color="auto" w:sz="4" w:space="0"/>
            </w:tcBorders>
            <w:vAlign w:val="center"/>
          </w:tcPr>
          <w:p w14:paraId="5F49B5FC">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eastAsia" w:ascii="仿宋" w:hAnsi="仿宋" w:eastAsia="仿宋" w:cs="仿宋"/>
                <w:sz w:val="28"/>
                <w:szCs w:val="28"/>
                <w:lang w:val="en-US" w:eastAsia="zh-CN"/>
              </w:rPr>
            </w:pPr>
          </w:p>
        </w:tc>
        <w:tc>
          <w:tcPr>
            <w:tcW w:w="1253" w:type="pct"/>
            <w:tcBorders>
              <w:top w:val="single" w:color="auto" w:sz="4" w:space="0"/>
              <w:left w:val="single" w:color="auto" w:sz="4" w:space="0"/>
              <w:bottom w:val="single" w:color="auto" w:sz="4" w:space="0"/>
              <w:right w:val="single" w:color="auto" w:sz="4" w:space="0"/>
            </w:tcBorders>
            <w:vAlign w:val="center"/>
          </w:tcPr>
          <w:p w14:paraId="11EC733B">
            <w:pPr>
              <w:keepNext w:val="0"/>
              <w:keepLines w:val="0"/>
              <w:pageBreakBefore w:val="0"/>
              <w:widowControl w:val="0"/>
              <w:kinsoku/>
              <w:wordWrap/>
              <w:overflowPunct/>
              <w:topLinePunct w:val="0"/>
              <w:autoSpaceDE/>
              <w:autoSpaceDN/>
              <w:bidi w:val="0"/>
              <w:adjustRightInd/>
              <w:snapToGrid/>
              <w:spacing w:line="3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80.6358</w:t>
            </w:r>
          </w:p>
        </w:tc>
      </w:tr>
    </w:tbl>
    <w:p w14:paraId="1BE00094">
      <w:pPr>
        <w:spacing w:line="560" w:lineRule="exact"/>
        <w:rPr>
          <w:rFonts w:hint="eastAsia" w:ascii="仿宋_GB2312" w:hAnsi="宋体" w:eastAsia="仿宋_GB2312"/>
          <w:b/>
          <w:bCs/>
          <w:sz w:val="32"/>
          <w:szCs w:val="32"/>
        </w:rPr>
      </w:pPr>
      <w:r>
        <w:rPr>
          <w:rFonts w:hint="eastAsia" w:ascii="仿宋_GB2312" w:hAnsi="宋体" w:eastAsia="仿宋_GB2312"/>
          <w:b/>
          <w:bCs/>
          <w:sz w:val="32"/>
          <w:szCs w:val="32"/>
        </w:rPr>
        <w:t xml:space="preserve"> </w:t>
      </w:r>
    </w:p>
    <w:p w14:paraId="3E6548A8">
      <w:pPr>
        <w:spacing w:line="560" w:lineRule="exact"/>
        <w:rPr>
          <w:rFonts w:hint="eastAsia" w:ascii="仿宋_GB2312" w:hAnsi="宋体" w:eastAsia="仿宋_GB2312"/>
          <w:b/>
          <w:bCs/>
          <w:sz w:val="32"/>
          <w:szCs w:val="32"/>
        </w:rPr>
      </w:pPr>
    </w:p>
    <w:p w14:paraId="2DF3464C">
      <w:pPr>
        <w:spacing w:line="560" w:lineRule="exact"/>
        <w:rPr>
          <w:rFonts w:hint="eastAsia" w:ascii="仿宋_GB2312" w:hAnsi="宋体" w:eastAsia="仿宋_GB2312"/>
          <w:b/>
          <w:bCs/>
          <w:sz w:val="32"/>
          <w:szCs w:val="32"/>
        </w:rPr>
      </w:pPr>
    </w:p>
    <w:p w14:paraId="2E43890C">
      <w:pPr>
        <w:spacing w:line="560" w:lineRule="exact"/>
        <w:rPr>
          <w:rFonts w:hint="eastAsia" w:ascii="仿宋_GB2312" w:hAnsi="宋体" w:eastAsia="仿宋_GB2312"/>
          <w:b/>
          <w:bCs/>
          <w:sz w:val="32"/>
          <w:szCs w:val="32"/>
        </w:rPr>
      </w:pPr>
      <w:r>
        <w:rPr>
          <w:rFonts w:hint="eastAsia" w:ascii="黑体" w:hAnsi="宋体" w:eastAsia="黑体"/>
          <w:sz w:val="28"/>
          <w:szCs w:val="28"/>
        </w:rPr>
        <w:t>表</w:t>
      </w:r>
      <w:r>
        <w:rPr>
          <w:rFonts w:hint="eastAsia" w:ascii="黑体" w:hAnsi="宋体" w:eastAsia="黑体"/>
          <w:sz w:val="28"/>
          <w:szCs w:val="28"/>
          <w:lang w:val="en-US" w:eastAsia="zh-CN"/>
        </w:rPr>
        <w:t>2</w:t>
      </w:r>
      <w:r>
        <w:rPr>
          <w:rFonts w:ascii="黑体" w:hAnsi="宋体" w:eastAsia="黑体"/>
          <w:sz w:val="28"/>
          <w:szCs w:val="28"/>
        </w:rPr>
        <w:t xml:space="preserve"> 青苗、</w:t>
      </w:r>
      <w:r>
        <w:rPr>
          <w:rFonts w:hint="eastAsia" w:ascii="黑体" w:hAnsi="宋体" w:eastAsia="黑体"/>
          <w:sz w:val="28"/>
          <w:szCs w:val="28"/>
        </w:rPr>
        <w:t>树木</w:t>
      </w:r>
      <w:r>
        <w:rPr>
          <w:rFonts w:hint="eastAsia" w:ascii="黑体" w:hAnsi="宋体" w:eastAsia="黑体"/>
          <w:sz w:val="28"/>
          <w:szCs w:val="28"/>
          <w:lang w:val="en-US" w:eastAsia="zh-CN"/>
        </w:rPr>
        <w:t>及地上附着物</w:t>
      </w:r>
      <w:r>
        <w:rPr>
          <w:rFonts w:hint="eastAsia" w:ascii="黑体" w:hAnsi="宋体" w:eastAsia="黑体"/>
          <w:sz w:val="28"/>
          <w:szCs w:val="28"/>
        </w:rPr>
        <w:t>等补偿标准及补偿费用表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960"/>
        <w:gridCol w:w="1393"/>
        <w:gridCol w:w="1465"/>
        <w:gridCol w:w="1624"/>
        <w:gridCol w:w="1537"/>
      </w:tblGrid>
      <w:tr w14:paraId="2C77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 w:type="pct"/>
            <w:shd w:val="clear" w:color="auto" w:fill="auto"/>
            <w:vAlign w:val="center"/>
          </w:tcPr>
          <w:p w14:paraId="45A9C5D9">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149" w:type="pct"/>
            <w:shd w:val="clear" w:color="auto" w:fill="auto"/>
            <w:vAlign w:val="center"/>
          </w:tcPr>
          <w:p w14:paraId="6050EB55">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青苗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树木及地上附着物等名称</w:t>
            </w:r>
          </w:p>
        </w:tc>
        <w:tc>
          <w:tcPr>
            <w:tcW w:w="817" w:type="pct"/>
            <w:shd w:val="clear" w:color="auto" w:fill="auto"/>
            <w:vAlign w:val="center"/>
          </w:tcPr>
          <w:p w14:paraId="73E3F5E7">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地类</w:t>
            </w:r>
          </w:p>
        </w:tc>
        <w:tc>
          <w:tcPr>
            <w:tcW w:w="859" w:type="pct"/>
            <w:shd w:val="clear" w:color="auto" w:fill="auto"/>
            <w:vAlign w:val="center"/>
          </w:tcPr>
          <w:p w14:paraId="693884E0">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数量</w:t>
            </w:r>
            <w:r>
              <w:rPr>
                <w:rFonts w:hint="eastAsia" w:ascii="仿宋" w:hAnsi="仿宋" w:eastAsia="仿宋" w:cs="仿宋"/>
                <w:sz w:val="28"/>
                <w:szCs w:val="28"/>
                <w:lang w:val="en-US" w:eastAsia="zh-CN"/>
              </w:rPr>
              <w:t>或面积（亩）</w:t>
            </w:r>
          </w:p>
        </w:tc>
        <w:tc>
          <w:tcPr>
            <w:tcW w:w="952" w:type="pct"/>
            <w:shd w:val="clear" w:color="auto" w:fill="auto"/>
            <w:vAlign w:val="center"/>
          </w:tcPr>
          <w:p w14:paraId="11442E9A">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rPr>
              <w:t>补偿标准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万元/亩</w:t>
            </w:r>
            <w:r>
              <w:rPr>
                <w:rFonts w:hint="eastAsia" w:ascii="仿宋" w:hAnsi="仿宋" w:eastAsia="仿宋" w:cs="仿宋"/>
                <w:sz w:val="28"/>
                <w:szCs w:val="28"/>
                <w:lang w:eastAsia="zh-CN"/>
              </w:rPr>
              <w:t>）</w:t>
            </w:r>
          </w:p>
        </w:tc>
        <w:tc>
          <w:tcPr>
            <w:tcW w:w="901" w:type="pct"/>
            <w:shd w:val="clear" w:color="auto" w:fill="auto"/>
            <w:vAlign w:val="center"/>
          </w:tcPr>
          <w:p w14:paraId="10E7A061">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补偿金额（万元）</w:t>
            </w:r>
          </w:p>
        </w:tc>
      </w:tr>
      <w:tr w14:paraId="2726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9" w:type="pct"/>
            <w:shd w:val="clear" w:color="auto" w:fill="auto"/>
            <w:vAlign w:val="center"/>
          </w:tcPr>
          <w:p w14:paraId="3868ED6F">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149" w:type="pct"/>
            <w:shd w:val="clear" w:color="auto" w:fill="auto"/>
            <w:vAlign w:val="center"/>
          </w:tcPr>
          <w:p w14:paraId="458DAFE1">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林地及其他农用地青苗</w:t>
            </w:r>
          </w:p>
        </w:tc>
        <w:tc>
          <w:tcPr>
            <w:tcW w:w="817" w:type="pct"/>
            <w:shd w:val="clear" w:color="auto" w:fill="auto"/>
            <w:vAlign w:val="center"/>
          </w:tcPr>
          <w:p w14:paraId="4F05BCD1">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林地及其他农用地</w:t>
            </w:r>
          </w:p>
        </w:tc>
        <w:tc>
          <w:tcPr>
            <w:tcW w:w="859" w:type="pct"/>
            <w:shd w:val="clear" w:color="auto" w:fill="auto"/>
            <w:vAlign w:val="center"/>
          </w:tcPr>
          <w:p w14:paraId="13D0B9AE">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29.472</w:t>
            </w:r>
          </w:p>
        </w:tc>
        <w:tc>
          <w:tcPr>
            <w:tcW w:w="952" w:type="pct"/>
            <w:shd w:val="clear" w:color="auto" w:fill="auto"/>
            <w:vAlign w:val="center"/>
          </w:tcPr>
          <w:p w14:paraId="254D9040">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0.2226</w:t>
            </w:r>
          </w:p>
        </w:tc>
        <w:tc>
          <w:tcPr>
            <w:tcW w:w="901" w:type="pct"/>
            <w:shd w:val="clear" w:color="auto" w:fill="auto"/>
            <w:vAlign w:val="center"/>
          </w:tcPr>
          <w:p w14:paraId="43E6ABF9">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6.5605</w:t>
            </w:r>
          </w:p>
        </w:tc>
      </w:tr>
      <w:tr w14:paraId="7EED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 w:type="pct"/>
            <w:shd w:val="clear" w:color="auto" w:fill="auto"/>
            <w:vAlign w:val="center"/>
          </w:tcPr>
          <w:p w14:paraId="5668B2EA">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149" w:type="pct"/>
            <w:shd w:val="clear" w:color="auto" w:fill="auto"/>
            <w:vAlign w:val="center"/>
          </w:tcPr>
          <w:p w14:paraId="288CE2EA">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林地补助款</w:t>
            </w:r>
          </w:p>
        </w:tc>
        <w:tc>
          <w:tcPr>
            <w:tcW w:w="817" w:type="pct"/>
            <w:shd w:val="clear" w:color="auto" w:fill="auto"/>
            <w:vAlign w:val="center"/>
          </w:tcPr>
          <w:p w14:paraId="79068B43">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林地</w:t>
            </w:r>
          </w:p>
        </w:tc>
        <w:tc>
          <w:tcPr>
            <w:tcW w:w="859" w:type="pct"/>
            <w:shd w:val="clear" w:color="auto" w:fill="auto"/>
            <w:vAlign w:val="center"/>
          </w:tcPr>
          <w:p w14:paraId="054DC791">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22.62</w:t>
            </w:r>
          </w:p>
        </w:tc>
        <w:tc>
          <w:tcPr>
            <w:tcW w:w="952" w:type="pct"/>
            <w:shd w:val="clear" w:color="auto" w:fill="auto"/>
            <w:vAlign w:val="center"/>
          </w:tcPr>
          <w:p w14:paraId="4C649CBF">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0.4</w:t>
            </w:r>
          </w:p>
        </w:tc>
        <w:tc>
          <w:tcPr>
            <w:tcW w:w="901" w:type="pct"/>
            <w:shd w:val="clear" w:color="auto" w:fill="auto"/>
            <w:vAlign w:val="center"/>
          </w:tcPr>
          <w:p w14:paraId="2DF14EB4">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9.048</w:t>
            </w:r>
          </w:p>
        </w:tc>
      </w:tr>
      <w:tr w14:paraId="096A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 w:type="pct"/>
            <w:shd w:val="clear" w:color="auto" w:fill="auto"/>
          </w:tcPr>
          <w:p w14:paraId="762090C5">
            <w:pPr>
              <w:spacing w:line="400" w:lineRule="exact"/>
              <w:jc w:val="center"/>
              <w:rPr>
                <w:rFonts w:hint="eastAsia" w:ascii="仿宋" w:hAnsi="仿宋" w:eastAsia="仿宋" w:cs="仿宋"/>
                <w:sz w:val="28"/>
                <w:szCs w:val="28"/>
              </w:rPr>
            </w:pPr>
          </w:p>
        </w:tc>
        <w:tc>
          <w:tcPr>
            <w:tcW w:w="1149" w:type="pct"/>
            <w:shd w:val="clear" w:color="auto" w:fill="auto"/>
          </w:tcPr>
          <w:p w14:paraId="2147F9F9">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817" w:type="pct"/>
            <w:shd w:val="clear" w:color="auto" w:fill="auto"/>
          </w:tcPr>
          <w:p w14:paraId="1651B6CD">
            <w:pPr>
              <w:spacing w:line="400" w:lineRule="exact"/>
              <w:jc w:val="center"/>
              <w:rPr>
                <w:rFonts w:hint="eastAsia" w:ascii="仿宋" w:hAnsi="仿宋" w:eastAsia="仿宋" w:cs="仿宋"/>
                <w:sz w:val="28"/>
                <w:szCs w:val="28"/>
              </w:rPr>
            </w:pPr>
          </w:p>
        </w:tc>
        <w:tc>
          <w:tcPr>
            <w:tcW w:w="859" w:type="pct"/>
            <w:shd w:val="clear" w:color="auto" w:fill="auto"/>
          </w:tcPr>
          <w:p w14:paraId="7702E93E">
            <w:pPr>
              <w:spacing w:line="400" w:lineRule="exact"/>
              <w:jc w:val="center"/>
              <w:rPr>
                <w:rFonts w:hint="eastAsia" w:ascii="仿宋" w:hAnsi="仿宋" w:eastAsia="仿宋" w:cs="仿宋"/>
                <w:sz w:val="28"/>
                <w:szCs w:val="28"/>
              </w:rPr>
            </w:pPr>
          </w:p>
        </w:tc>
        <w:tc>
          <w:tcPr>
            <w:tcW w:w="952" w:type="pct"/>
            <w:shd w:val="clear" w:color="auto" w:fill="auto"/>
          </w:tcPr>
          <w:p w14:paraId="1FF05471">
            <w:pPr>
              <w:spacing w:line="400" w:lineRule="exact"/>
              <w:jc w:val="center"/>
              <w:rPr>
                <w:rFonts w:hint="eastAsia" w:ascii="仿宋" w:hAnsi="仿宋" w:eastAsia="仿宋" w:cs="仿宋"/>
                <w:sz w:val="28"/>
                <w:szCs w:val="28"/>
              </w:rPr>
            </w:pPr>
          </w:p>
        </w:tc>
        <w:tc>
          <w:tcPr>
            <w:tcW w:w="901" w:type="pct"/>
            <w:shd w:val="clear" w:color="auto" w:fill="auto"/>
          </w:tcPr>
          <w:p w14:paraId="69216E7B">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15.6085</w:t>
            </w:r>
          </w:p>
        </w:tc>
      </w:tr>
    </w:tbl>
    <w:p w14:paraId="1639BB85">
      <w:pPr>
        <w:spacing w:line="560" w:lineRule="exact"/>
        <w:ind w:firstLine="627" w:firstLineChars="196"/>
        <w:rPr>
          <w:rFonts w:ascii="仿宋_GB2312" w:hAnsi="宋体" w:eastAsia="仿宋_GB2312"/>
          <w:bCs/>
          <w:sz w:val="32"/>
          <w:szCs w:val="32"/>
        </w:rPr>
      </w:pPr>
      <w:r>
        <w:rPr>
          <w:rFonts w:hint="eastAsia" w:ascii="黑体" w:hAnsi="黑体" w:eastAsia="黑体"/>
          <w:bCs/>
          <w:sz w:val="32"/>
          <w:szCs w:val="32"/>
        </w:rPr>
        <w:t>三、</w:t>
      </w:r>
      <w:r>
        <w:rPr>
          <w:rFonts w:hint="eastAsia" w:ascii="仿宋_GB2312" w:hAnsi="仿宋_GB2312" w:eastAsia="仿宋_GB2312" w:cs="仿宋_GB2312"/>
          <w:sz w:val="32"/>
          <w:szCs w:val="32"/>
          <w:lang w:val="en-US" w:eastAsia="zh-CN"/>
        </w:rPr>
        <w:t>本次拟征收以上表1和表2土地补偿费（含土地补偿费，安置补助费，青苗补偿费，林地补助款）总计人民币大写：玖拾陆万贰仟肆佰肆拾叁元整（小写：96.2443万元）。</w:t>
      </w:r>
    </w:p>
    <w:p w14:paraId="03003BF2">
      <w:pPr>
        <w:spacing w:line="560" w:lineRule="exact"/>
        <w:ind w:firstLine="633" w:firstLineChars="198"/>
        <w:rPr>
          <w:rFonts w:ascii="黑体" w:hAnsi="宋体" w:eastAsia="黑体"/>
          <w:bCs/>
          <w:sz w:val="32"/>
          <w:szCs w:val="32"/>
        </w:rPr>
      </w:pPr>
      <w:r>
        <w:rPr>
          <w:rFonts w:hint="eastAsia" w:ascii="黑体" w:hAnsi="宋体" w:eastAsia="黑体"/>
          <w:bCs/>
          <w:sz w:val="32"/>
          <w:szCs w:val="32"/>
        </w:rPr>
        <w:t>四、征地补偿费付款办法</w:t>
      </w:r>
    </w:p>
    <w:p w14:paraId="18A5B79F">
      <w:pPr>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lang w:val="en-US" w:eastAsia="zh-CN"/>
        </w:rPr>
        <w:t>市自然资源储备利用中心</w:t>
      </w:r>
      <w:r>
        <w:rPr>
          <w:rFonts w:hint="eastAsia" w:ascii="仿宋_GB2312" w:hAnsi="仿宋_GB2312" w:eastAsia="仿宋_GB2312" w:cs="仿宋_GB2312"/>
          <w:sz w:val="32"/>
          <w:szCs w:val="32"/>
        </w:rPr>
        <w:t>将在征收土地公告发布之日起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日内将</w:t>
      </w:r>
      <w:r>
        <w:rPr>
          <w:rFonts w:hint="eastAsia" w:ascii="仿宋_GB2312" w:hAnsi="宋体" w:eastAsia="仿宋_GB2312"/>
          <w:sz w:val="32"/>
          <w:szCs w:val="32"/>
        </w:rPr>
        <w:t>征收土地的补偿费用</w:t>
      </w:r>
      <w:r>
        <w:rPr>
          <w:rFonts w:hint="eastAsia" w:ascii="仿宋_GB2312" w:hAnsi="仿宋_GB2312" w:eastAsia="仿宋_GB2312" w:cs="仿宋_GB2312"/>
          <w:sz w:val="32"/>
          <w:szCs w:val="32"/>
        </w:rPr>
        <w:t>足额支</w:t>
      </w:r>
      <w:r>
        <w:rPr>
          <w:rFonts w:hint="eastAsia" w:ascii="仿宋_GB2312" w:hAnsi="宋体" w:eastAsia="仿宋_GB2312"/>
          <w:sz w:val="32"/>
          <w:szCs w:val="32"/>
        </w:rPr>
        <w:t>付给被征地农村集体经济组织。被征地农村集体经济组织应当将征收土地的补偿费用的收支状况向本单位成员公布,接受上级监督。</w:t>
      </w:r>
    </w:p>
    <w:p w14:paraId="7161F325">
      <w:pPr>
        <w:spacing w:line="560" w:lineRule="exact"/>
        <w:ind w:firstLine="473" w:firstLineChars="148"/>
        <w:rPr>
          <w:rFonts w:ascii="黑体" w:hAnsi="宋体" w:eastAsia="黑体"/>
          <w:bCs/>
          <w:sz w:val="32"/>
          <w:szCs w:val="32"/>
        </w:rPr>
      </w:pPr>
      <w:r>
        <w:rPr>
          <w:rFonts w:hint="eastAsia" w:ascii="黑体" w:hAnsi="宋体" w:eastAsia="黑体"/>
          <w:bCs/>
          <w:sz w:val="32"/>
          <w:szCs w:val="32"/>
        </w:rPr>
        <w:t xml:space="preserve"> 五、土地交付使用的要求</w:t>
      </w:r>
    </w:p>
    <w:p w14:paraId="3C4879EF">
      <w:pPr>
        <w:spacing w:line="560" w:lineRule="exact"/>
        <w:ind w:firstLine="640" w:firstLineChars="200"/>
        <w:rPr>
          <w:rFonts w:ascii="仿宋_GB2312" w:hAnsi="宋体" w:eastAsia="仿宋_GB2312"/>
          <w:sz w:val="32"/>
          <w:szCs w:val="32"/>
        </w:rPr>
      </w:pPr>
      <w:bookmarkStart w:id="1" w:name="_Hlk104453670"/>
      <w:r>
        <w:rPr>
          <w:rFonts w:hint="eastAsia" w:ascii="仿宋_GB2312" w:hAnsi="宋体" w:eastAsia="仿宋_GB2312"/>
          <w:sz w:val="32"/>
          <w:szCs w:val="32"/>
        </w:rPr>
        <w:t>征收土地公告发布后且已足额支付征地补偿费用的，</w:t>
      </w:r>
      <w:bookmarkEnd w:id="1"/>
      <w:bookmarkStart w:id="2" w:name="_Hlk104468105"/>
      <w:r>
        <w:rPr>
          <w:rFonts w:hint="eastAsia" w:ascii="仿宋_GB2312" w:hAnsi="宋体" w:eastAsia="仿宋_GB2312"/>
          <w:sz w:val="32"/>
          <w:szCs w:val="32"/>
        </w:rPr>
        <w:t>乙方必须在</w:t>
      </w:r>
      <w:r>
        <w:rPr>
          <w:rFonts w:hint="eastAsia" w:ascii="仿宋_GB2312" w:hAnsi="宋体" w:eastAsia="仿宋_GB2312"/>
          <w:sz w:val="32"/>
          <w:szCs w:val="32"/>
          <w:lang w:val="en-US" w:eastAsia="zh-CN"/>
        </w:rPr>
        <w:t>90</w:t>
      </w:r>
      <w:r>
        <w:rPr>
          <w:rFonts w:hint="eastAsia" w:ascii="仿宋_GB2312" w:hAnsi="宋体" w:eastAsia="仿宋_GB2312"/>
          <w:sz w:val="32"/>
          <w:szCs w:val="32"/>
        </w:rPr>
        <w:t>日内做好青苗及地上附着物等的腾退工作，并将土地交付给甲方。对逾期不清理的，甲方有权依照法定程序依法实施征收</w:t>
      </w:r>
      <w:bookmarkEnd w:id="2"/>
      <w:r>
        <w:rPr>
          <w:rFonts w:hint="eastAsia" w:ascii="仿宋_GB2312" w:hAnsi="宋体" w:eastAsia="仿宋_GB2312"/>
          <w:sz w:val="32"/>
          <w:szCs w:val="32"/>
        </w:rPr>
        <w:t>。</w:t>
      </w:r>
    </w:p>
    <w:p w14:paraId="0988C41B">
      <w:pPr>
        <w:spacing w:line="560" w:lineRule="exact"/>
        <w:ind w:firstLine="473" w:firstLineChars="148"/>
        <w:rPr>
          <w:rFonts w:ascii="仿宋_GB2312" w:hAnsi="宋体" w:eastAsia="仿宋_GB2312"/>
          <w:sz w:val="32"/>
          <w:szCs w:val="32"/>
        </w:rPr>
      </w:pPr>
      <w:r>
        <w:rPr>
          <w:rFonts w:hint="eastAsia" w:ascii="黑体" w:hAnsi="黑体" w:eastAsia="黑体"/>
          <w:bCs/>
          <w:sz w:val="32"/>
          <w:szCs w:val="32"/>
        </w:rPr>
        <w:t>六、</w:t>
      </w:r>
      <w:r>
        <w:rPr>
          <w:rFonts w:hint="eastAsia" w:ascii="仿宋_GB2312" w:hAnsi="宋体" w:eastAsia="仿宋_GB2312"/>
          <w:sz w:val="32"/>
          <w:szCs w:val="32"/>
        </w:rPr>
        <w:t>其它未尽事宜,由乙方与用地单位另行协商解决。</w:t>
      </w:r>
    </w:p>
    <w:p w14:paraId="7E8F6693">
      <w:pPr>
        <w:spacing w:line="560" w:lineRule="exact"/>
        <w:ind w:firstLine="473" w:firstLineChars="148"/>
        <w:rPr>
          <w:rFonts w:ascii="仿宋_GB2312" w:hAnsi="宋体" w:eastAsia="仿宋_GB2312"/>
          <w:sz w:val="32"/>
          <w:szCs w:val="32"/>
        </w:rPr>
      </w:pPr>
      <w:r>
        <w:rPr>
          <w:rFonts w:hint="eastAsia" w:ascii="黑体" w:hAnsi="黑体" w:eastAsia="黑体"/>
          <w:bCs/>
          <w:sz w:val="32"/>
          <w:szCs w:val="32"/>
        </w:rPr>
        <w:t>七</w:t>
      </w:r>
      <w:r>
        <w:rPr>
          <w:rFonts w:hint="eastAsia" w:ascii="黑体" w:hAnsi="黑体" w:eastAsia="黑体"/>
          <w:sz w:val="32"/>
          <w:szCs w:val="32"/>
        </w:rPr>
        <w:t>、</w:t>
      </w:r>
      <w:r>
        <w:rPr>
          <w:rFonts w:hint="eastAsia" w:ascii="仿宋_GB2312" w:hAnsi="宋体" w:eastAsia="仿宋_GB2312"/>
          <w:sz w:val="32"/>
          <w:szCs w:val="32"/>
        </w:rPr>
        <w:t>本协议双方必须共同遵守,经双方代表签字，并依法批准后生效。</w:t>
      </w:r>
    </w:p>
    <w:p w14:paraId="40A5FCC9">
      <w:pPr>
        <w:spacing w:line="560" w:lineRule="exact"/>
        <w:ind w:left="84" w:leftChars="40" w:firstLine="467" w:firstLineChars="146"/>
        <w:rPr>
          <w:rFonts w:ascii="仿宋_GB2312" w:hAnsi="宋体" w:eastAsia="仿宋_GB2312"/>
          <w:sz w:val="32"/>
          <w:szCs w:val="32"/>
        </w:rPr>
      </w:pPr>
      <w:r>
        <w:rPr>
          <w:rFonts w:hint="eastAsia" w:ascii="黑体" w:hAnsi="黑体" w:eastAsia="黑体"/>
          <w:bCs/>
          <w:sz w:val="32"/>
          <w:szCs w:val="32"/>
        </w:rPr>
        <w:t>八、</w:t>
      </w:r>
      <w:r>
        <w:rPr>
          <w:rFonts w:hint="eastAsia" w:ascii="仿宋_GB2312" w:hAnsi="宋体" w:eastAsia="仿宋_GB2312"/>
          <w:sz w:val="32"/>
          <w:szCs w:val="32"/>
        </w:rPr>
        <w:t>本协议一式</w:t>
      </w:r>
      <w:r>
        <w:rPr>
          <w:rFonts w:hint="eastAsia" w:ascii="仿宋_GB2312" w:hAnsi="宋体" w:eastAsia="仿宋_GB2312"/>
          <w:sz w:val="32"/>
          <w:szCs w:val="32"/>
          <w:lang w:val="en-US" w:eastAsia="zh-CN"/>
        </w:rPr>
        <w:t>伍</w:t>
      </w:r>
      <w:r>
        <w:rPr>
          <w:rFonts w:hint="eastAsia" w:ascii="仿宋_GB2312" w:hAnsi="宋体" w:eastAsia="仿宋_GB2312"/>
          <w:sz w:val="32"/>
          <w:szCs w:val="32"/>
        </w:rPr>
        <w:t>份,甲、乙双方各执</w:t>
      </w:r>
      <w:r>
        <w:rPr>
          <w:rFonts w:hint="eastAsia" w:ascii="仿宋_GB2312" w:hAnsi="宋体" w:eastAsia="仿宋_GB2312"/>
          <w:sz w:val="32"/>
          <w:szCs w:val="32"/>
          <w:lang w:val="en-US" w:eastAsia="zh-CN"/>
        </w:rPr>
        <w:t>贰</w:t>
      </w:r>
      <w:r>
        <w:rPr>
          <w:rFonts w:hint="eastAsia" w:ascii="仿宋_GB2312" w:hAnsi="宋体" w:eastAsia="仿宋_GB2312"/>
          <w:sz w:val="32"/>
          <w:szCs w:val="32"/>
        </w:rPr>
        <w:t>份,参加单位</w:t>
      </w:r>
      <w:r>
        <w:rPr>
          <w:rFonts w:hint="eastAsia" w:ascii="仿宋_GB2312" w:hAnsi="宋体" w:eastAsia="仿宋_GB2312"/>
          <w:sz w:val="32"/>
          <w:szCs w:val="32"/>
          <w:lang w:val="en-US" w:eastAsia="zh-CN"/>
        </w:rPr>
        <w:t>壹</w:t>
      </w:r>
      <w:r>
        <w:rPr>
          <w:rFonts w:hint="eastAsia" w:ascii="仿宋_GB2312" w:hAnsi="宋体" w:eastAsia="仿宋_GB2312"/>
          <w:sz w:val="32"/>
          <w:szCs w:val="32"/>
        </w:rPr>
        <w:t>份,并报有关单位存查。</w:t>
      </w:r>
    </w:p>
    <w:p w14:paraId="6553C609">
      <w:pPr>
        <w:spacing w:line="560" w:lineRule="exact"/>
        <w:ind w:left="84" w:leftChars="40" w:firstLine="473" w:firstLineChars="148"/>
        <w:rPr>
          <w:rFonts w:ascii="仿宋_GB2312" w:hAnsi="宋体" w:eastAsia="仿宋_GB2312"/>
          <w:sz w:val="32"/>
          <w:szCs w:val="32"/>
        </w:rPr>
      </w:pPr>
      <w:r>
        <w:rPr>
          <w:rFonts w:hint="eastAsia" w:ascii="黑体" w:hAnsi="黑体" w:eastAsia="黑体"/>
          <w:bCs/>
          <w:sz w:val="32"/>
          <w:szCs w:val="32"/>
        </w:rPr>
        <w:t>九、</w:t>
      </w:r>
      <w:r>
        <w:rPr>
          <w:rFonts w:hint="eastAsia" w:ascii="仿宋_GB2312" w:hAnsi="宋体" w:eastAsia="仿宋_GB2312"/>
          <w:sz w:val="32"/>
          <w:szCs w:val="32"/>
        </w:rPr>
        <w:t>附件：1、征地红线图；</w:t>
      </w:r>
    </w:p>
    <w:p w14:paraId="4E547E27">
      <w:pPr>
        <w:spacing w:line="560" w:lineRule="exact"/>
        <w:ind w:left="84" w:leftChars="40" w:firstLine="2073" w:firstLineChars="648"/>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征地勘测定界图</w:t>
      </w:r>
      <w:r>
        <w:rPr>
          <w:rFonts w:hint="eastAsia" w:ascii="仿宋_GB2312" w:hAnsi="宋体" w:eastAsia="仿宋_GB2312"/>
          <w:sz w:val="32"/>
          <w:szCs w:val="32"/>
        </w:rPr>
        <w:t>；</w:t>
      </w:r>
    </w:p>
    <w:p w14:paraId="73C17BB4">
      <w:pPr>
        <w:spacing w:line="560" w:lineRule="exact"/>
        <w:ind w:left="84" w:leftChars="40" w:firstLine="2073" w:firstLineChars="648"/>
        <w:rPr>
          <w:rFonts w:ascii="仿宋_GB2312" w:hAnsi="宋体" w:eastAsia="仿宋_GB2312"/>
          <w:sz w:val="32"/>
          <w:szCs w:val="32"/>
        </w:rPr>
      </w:pPr>
      <w:r>
        <w:rPr>
          <w:rFonts w:hint="eastAsia" w:ascii="仿宋_GB2312" w:hAnsi="宋体" w:eastAsia="仿宋_GB2312"/>
          <w:sz w:val="32"/>
          <w:szCs w:val="32"/>
        </w:rPr>
        <w:t>3、土地权属、地类、面积调查确认表；</w:t>
      </w:r>
    </w:p>
    <w:p w14:paraId="122C2715">
      <w:pPr>
        <w:spacing w:line="560" w:lineRule="exact"/>
        <w:ind w:left="84" w:leftChars="40" w:firstLine="2073" w:firstLineChars="648"/>
        <w:rPr>
          <w:rFonts w:hint="default" w:ascii="仿宋_GB2312" w:hAnsi="宋体" w:eastAsia="仿宋_GB2312"/>
          <w:sz w:val="32"/>
          <w:szCs w:val="32"/>
          <w:lang w:val="en-US"/>
        </w:rPr>
      </w:pPr>
      <w:r>
        <w:rPr>
          <w:rFonts w:hint="eastAsia" w:ascii="仿宋_GB2312" w:hAnsi="宋体" w:eastAsia="仿宋_GB2312"/>
          <w:sz w:val="32"/>
          <w:szCs w:val="32"/>
        </w:rPr>
        <w:t>4、青苗、树木</w:t>
      </w:r>
      <w:r>
        <w:rPr>
          <w:rFonts w:hint="eastAsia" w:ascii="仿宋_GB2312" w:hAnsi="宋体" w:eastAsia="仿宋_GB2312"/>
          <w:sz w:val="32"/>
          <w:szCs w:val="32"/>
          <w:lang w:val="en-US" w:eastAsia="zh-CN"/>
        </w:rPr>
        <w:t>及地上附着物等调查确认表</w:t>
      </w:r>
    </w:p>
    <w:p w14:paraId="17C5A41D">
      <w:pPr>
        <w:spacing w:line="560" w:lineRule="exact"/>
        <w:ind w:left="84" w:leftChars="40" w:firstLine="2073" w:firstLineChars="648"/>
        <w:rPr>
          <w:rFonts w:hint="eastAsia" w:ascii="仿宋_GB2312" w:hAnsi="宋体" w:eastAsia="仿宋_GB2312"/>
          <w:sz w:val="32"/>
          <w:szCs w:val="32"/>
        </w:rPr>
      </w:pPr>
    </w:p>
    <w:p w14:paraId="4D627099">
      <w:pPr>
        <w:pStyle w:val="5"/>
        <w:spacing w:line="560" w:lineRule="exact"/>
        <w:ind w:left="107" w:leftChars="51"/>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甲  方:（盖章）                  乙  方:（盖章）</w:t>
      </w:r>
    </w:p>
    <w:p w14:paraId="2051B3D4">
      <w:pPr>
        <w:pStyle w:val="5"/>
        <w:spacing w:line="560" w:lineRule="exact"/>
        <w:ind w:left="107" w:leftChars="51"/>
        <w:rPr>
          <w:rFonts w:hint="eastAsia" w:ascii="仿宋_GB2312" w:hAnsi="宋体" w:eastAsia="仿宋_GB2312" w:cs="Times New Roman"/>
          <w:kern w:val="2"/>
          <w:sz w:val="32"/>
          <w:szCs w:val="32"/>
          <w:lang w:val="en-US" w:eastAsia="zh-CN" w:bidi="ar-SA"/>
        </w:rPr>
      </w:pPr>
    </w:p>
    <w:p w14:paraId="146F4577">
      <w:pPr>
        <w:pStyle w:val="5"/>
        <w:spacing w:line="560" w:lineRule="exact"/>
        <w:ind w:left="107" w:leftChars="51"/>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代表人：                         村委会代表人：</w:t>
      </w:r>
    </w:p>
    <w:p w14:paraId="0FF96B17">
      <w:pPr>
        <w:pStyle w:val="5"/>
        <w:spacing w:line="560" w:lineRule="exact"/>
        <w:ind w:left="107" w:leftChars="51"/>
        <w:rPr>
          <w:rFonts w:hint="eastAsia" w:ascii="仿宋_GB2312" w:hAnsi="宋体" w:eastAsia="仿宋_GB2312" w:cs="Times New Roman"/>
          <w:kern w:val="2"/>
          <w:sz w:val="32"/>
          <w:szCs w:val="32"/>
          <w:lang w:val="en-US" w:eastAsia="zh-CN" w:bidi="ar-SA"/>
        </w:rPr>
      </w:pPr>
    </w:p>
    <w:p w14:paraId="573EB3AD">
      <w:pPr>
        <w:pStyle w:val="5"/>
        <w:spacing w:line="560" w:lineRule="exact"/>
        <w:ind w:left="107" w:leftChars="51"/>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自然资源和规划所（盖章）：       村小组代表人：</w:t>
      </w:r>
    </w:p>
    <w:p w14:paraId="4F57C1E9">
      <w:pPr>
        <w:pStyle w:val="5"/>
        <w:spacing w:line="560" w:lineRule="exact"/>
        <w:ind w:left="107" w:leftChars="51"/>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            </w:t>
      </w:r>
    </w:p>
    <w:p w14:paraId="38F1615D">
      <w:pPr>
        <w:pStyle w:val="5"/>
        <w:spacing w:line="560" w:lineRule="exact"/>
        <w:ind w:left="107" w:leftChars="51"/>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代表人：</w:t>
      </w:r>
    </w:p>
    <w:p w14:paraId="5E726008">
      <w:pPr>
        <w:pStyle w:val="5"/>
        <w:spacing w:line="560" w:lineRule="exact"/>
        <w:ind w:left="107" w:leftChars="51"/>
        <w:rPr>
          <w:rFonts w:hint="eastAsia" w:ascii="仿宋_GB2312" w:hAnsi="宋体" w:eastAsia="仿宋_GB2312" w:cs="Times New Roman"/>
          <w:kern w:val="2"/>
          <w:sz w:val="32"/>
          <w:szCs w:val="32"/>
          <w:lang w:val="en-US" w:eastAsia="zh-CN" w:bidi="ar-SA"/>
        </w:rPr>
      </w:pPr>
    </w:p>
    <w:p w14:paraId="607F2C77">
      <w:pPr>
        <w:spacing w:line="560" w:lineRule="exact"/>
        <w:rPr>
          <w:rFonts w:hint="eastAsia" w:ascii="仿宋_GB2312" w:hAnsi="宋体" w:eastAsia="仿宋_GB2312" w:cs="Times New Roman"/>
          <w:kern w:val="2"/>
          <w:sz w:val="32"/>
          <w:szCs w:val="32"/>
          <w:lang w:val="en-US" w:eastAsia="zh-CN" w:bidi="ar-SA"/>
        </w:rPr>
      </w:pPr>
    </w:p>
    <w:p w14:paraId="1438F75F">
      <w:pPr>
        <w:spacing w:line="560" w:lineRule="exac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参加单位：鲇鱼山镇人民政府（盖章）</w:t>
      </w:r>
    </w:p>
    <w:p w14:paraId="252FB458">
      <w:pPr>
        <w:spacing w:line="560" w:lineRule="exact"/>
        <w:rPr>
          <w:rFonts w:hint="eastAsia" w:ascii="仿宋_GB2312" w:hAnsi="宋体" w:eastAsia="仿宋_GB2312" w:cs="Times New Roman"/>
          <w:kern w:val="2"/>
          <w:sz w:val="32"/>
          <w:szCs w:val="32"/>
          <w:lang w:val="en-US" w:eastAsia="zh-CN" w:bidi="ar-SA"/>
        </w:rPr>
      </w:pPr>
    </w:p>
    <w:p w14:paraId="70B66AC4">
      <w:pPr>
        <w:spacing w:line="560" w:lineRule="exact"/>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代表人：</w:t>
      </w:r>
    </w:p>
    <w:p w14:paraId="1E78426C">
      <w:pPr>
        <w:spacing w:line="520" w:lineRule="exact"/>
        <w:ind w:firstLine="3360" w:firstLineChars="1050"/>
        <w:rPr>
          <w:rFonts w:ascii="仿宋_GB2312" w:eastAsia="仿宋_GB2312"/>
          <w:sz w:val="32"/>
          <w:szCs w:val="32"/>
        </w:rPr>
      </w:pPr>
    </w:p>
    <w:p w14:paraId="36B86E1A">
      <w:pPr>
        <w:spacing w:line="520" w:lineRule="exact"/>
        <w:ind w:firstLine="3360" w:firstLineChars="1050"/>
        <w:rPr>
          <w:rFonts w:ascii="仿宋_GB2312" w:eastAsia="仿宋_GB2312"/>
          <w:sz w:val="32"/>
          <w:szCs w:val="32"/>
        </w:rPr>
      </w:pPr>
    </w:p>
    <w:p w14:paraId="5AEE0FB4">
      <w:pPr>
        <w:spacing w:line="520" w:lineRule="exact"/>
        <w:ind w:firstLine="3360" w:firstLineChars="1050"/>
        <w:rPr>
          <w:rFonts w:ascii="仿宋_GB2312" w:eastAsia="仿宋_GB2312"/>
          <w:sz w:val="32"/>
          <w:szCs w:val="32"/>
        </w:rPr>
      </w:pPr>
    </w:p>
    <w:p w14:paraId="1F8254E2">
      <w:pPr>
        <w:spacing w:line="520" w:lineRule="exact"/>
        <w:ind w:firstLine="3360" w:firstLineChars="1050"/>
        <w:rPr>
          <w:rFonts w:ascii="仿宋_GB2312" w:eastAsia="仿宋_GB2312"/>
          <w:sz w:val="32"/>
          <w:szCs w:val="32"/>
        </w:rPr>
      </w:pPr>
    </w:p>
    <w:p w14:paraId="0A3DE9F0">
      <w:pPr>
        <w:spacing w:line="520" w:lineRule="exact"/>
        <w:jc w:val="right"/>
        <w:rPr>
          <w:rFonts w:ascii="楷体_GB2312" w:eastAsia="楷体_GB2312"/>
          <w:sz w:val="28"/>
          <w:szCs w:val="28"/>
        </w:rPr>
      </w:pPr>
      <w:r>
        <w:rPr>
          <w:rFonts w:hint="eastAsia" w:ascii="仿宋_GB2312" w:eastAsia="仿宋_GB2312"/>
          <w:sz w:val="32"/>
          <w:szCs w:val="32"/>
        </w:rPr>
        <w:t xml:space="preserve">签订日期: </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p w14:paraId="5FE8A807">
      <w:pPr>
        <w:autoSpaceDN w:val="0"/>
        <w:spacing w:before="156" w:beforeLines="50" w:line="520" w:lineRule="exact"/>
        <w:ind w:right="210" w:rightChars="100"/>
        <w:jc w:val="both"/>
        <w:rPr>
          <w:rFonts w:ascii="仿宋_GB2312" w:eastAsia="仿宋_GB2312"/>
          <w:b/>
          <w:bCs/>
          <w:sz w:val="2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ZmFjNTZlZjEzOTUwOWRkODU1Y2UwMzAyYzAzM2QifQ=="/>
  </w:docVars>
  <w:rsids>
    <w:rsidRoot w:val="00D84978"/>
    <w:rsid w:val="00077826"/>
    <w:rsid w:val="001B2450"/>
    <w:rsid w:val="00222E16"/>
    <w:rsid w:val="004E6C84"/>
    <w:rsid w:val="005E3E3E"/>
    <w:rsid w:val="00853EEC"/>
    <w:rsid w:val="00864786"/>
    <w:rsid w:val="009047CC"/>
    <w:rsid w:val="00B644B9"/>
    <w:rsid w:val="00D84978"/>
    <w:rsid w:val="00E66426"/>
    <w:rsid w:val="00F44C8B"/>
    <w:rsid w:val="00F9109E"/>
    <w:rsid w:val="00FD0031"/>
    <w:rsid w:val="01EB07AB"/>
    <w:rsid w:val="08880F57"/>
    <w:rsid w:val="0BF33F12"/>
    <w:rsid w:val="100C57E1"/>
    <w:rsid w:val="176F6C9D"/>
    <w:rsid w:val="185B3381"/>
    <w:rsid w:val="1DDB7AD7"/>
    <w:rsid w:val="1FD93AFD"/>
    <w:rsid w:val="292D0826"/>
    <w:rsid w:val="2ABD5F3A"/>
    <w:rsid w:val="2DEE09C8"/>
    <w:rsid w:val="364377EF"/>
    <w:rsid w:val="46683C07"/>
    <w:rsid w:val="46B43BDF"/>
    <w:rsid w:val="47D3639C"/>
    <w:rsid w:val="4E320BE8"/>
    <w:rsid w:val="575C58B6"/>
    <w:rsid w:val="5DA37155"/>
    <w:rsid w:val="613D1A38"/>
    <w:rsid w:val="61520524"/>
    <w:rsid w:val="64A7787C"/>
    <w:rsid w:val="685B4D98"/>
    <w:rsid w:val="7305499B"/>
    <w:rsid w:val="7641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unhideWhenUsed/>
    <w:qFormat/>
    <w:uiPriority w:val="0"/>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0"/>
    <w:unhideWhenUsed/>
    <w:qFormat/>
    <w:uiPriority w:val="0"/>
    <w:pPr>
      <w:tabs>
        <w:tab w:val="center" w:pos="4153"/>
        <w:tab w:val="right" w:pos="8306"/>
      </w:tabs>
      <w:snapToGrid w:val="0"/>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Calibri" w:hAnsi="Calibri" w:eastAsia="仿宋_GB2312" w:cs="Arial"/>
      <w:kern w:val="0"/>
      <w:sz w:val="18"/>
      <w:szCs w:val="18"/>
    </w:rPr>
  </w:style>
  <w:style w:type="character" w:customStyle="1" w:styleId="10">
    <w:name w:val="页脚 字符"/>
    <w:basedOn w:val="8"/>
    <w:link w:val="5"/>
    <w:semiHidden/>
    <w:qFormat/>
    <w:uiPriority w:val="99"/>
    <w:rPr>
      <w:rFonts w:ascii="Calibri" w:hAnsi="Calibri" w:eastAsia="仿宋_GB2312" w:cs="Arial"/>
      <w:kern w:val="0"/>
      <w:sz w:val="18"/>
      <w:szCs w:val="18"/>
    </w:rPr>
  </w:style>
  <w:style w:type="character" w:customStyle="1" w:styleId="11">
    <w:name w:val="标题 1 字符"/>
    <w:basedOn w:val="8"/>
    <w:link w:val="2"/>
    <w:qFormat/>
    <w:uiPriority w:val="9"/>
    <w:rPr>
      <w:rFonts w:ascii="Times New Roman" w:hAnsi="Times New Roman" w:eastAsia="宋体" w:cs="Times New Roman"/>
      <w:b/>
      <w:bCs/>
      <w:kern w:val="44"/>
      <w:sz w:val="44"/>
      <w:szCs w:val="44"/>
    </w:rPr>
  </w:style>
  <w:style w:type="paragraph" w:styleId="12">
    <w:name w:val="List Paragraph"/>
    <w:basedOn w:val="1"/>
    <w:qFormat/>
    <w:uiPriority w:val="99"/>
    <w:pPr>
      <w:ind w:firstLine="420" w:firstLineChars="200"/>
    </w:pPr>
  </w:style>
  <w:style w:type="character" w:customStyle="1" w:styleId="13">
    <w:name w:val="正文文本缩进 字符"/>
    <w:basedOn w:val="8"/>
    <w:link w:val="3"/>
    <w:qFormat/>
    <w:uiPriority w:val="0"/>
    <w:rPr>
      <w:rFonts w:ascii="Times New Roman" w:hAnsi="Times New Roman" w:eastAsia="宋体" w:cs="Times New Roman"/>
      <w:szCs w:val="24"/>
    </w:rPr>
  </w:style>
  <w:style w:type="paragraph" w:styleId="14">
    <w:name w:val="No Spacing"/>
    <w:qFormat/>
    <w:uiPriority w:val="1"/>
    <w:pPr>
      <w:widowControl w:val="0"/>
      <w:spacing w:line="240" w:lineRule="auto"/>
      <w:jc w:val="both"/>
    </w:pPr>
    <w:rPr>
      <w:rFonts w:ascii="Times New Roman" w:hAnsi="Times New Roman" w:eastAsia="宋体" w:cs="Times New Roman"/>
      <w:kern w:val="2"/>
      <w:sz w:val="21"/>
      <w:szCs w:val="24"/>
      <w:lang w:val="en-US" w:eastAsia="zh-CN" w:bidi="ar-SA"/>
    </w:rPr>
  </w:style>
  <w:style w:type="character" w:customStyle="1" w:styleId="15">
    <w:name w:val="批注框文本 字符"/>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1029</Words>
  <Characters>1125</Characters>
  <Lines>46</Lines>
  <Paragraphs>13</Paragraphs>
  <TotalTime>1</TotalTime>
  <ScaleCrop>false</ScaleCrop>
  <LinksUpToDate>false</LinksUpToDate>
  <CharactersWithSpaces>1203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2022-05-27T06:26:00Z</dcterms:created>
  <dc:creator>微软用户</dc:creator>
  <cp:lastModifiedBy>白芷</cp:lastModifiedBy>
  <cp:lastPrinted>2023-04-18T01:15:00Z</cp:lastPrinted>
  <dcterms:modified xsi:type="dcterms:W3CDTF">2025-06-24T08:09:55Z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72273A6542BA40679AF2F8D7D01D6505_13</vt:lpwstr>
  </property>
  <property fmtid="{D5CDD505-2E9C-101B-9397-08002B2CF9AE}" pid="4" name="KSOTemplateDocerSaveRecord">
    <vt:lpwstr>eyJoZGlkIjoiODIzOTBkNTdjZjQxZWZlMDEyNGE4MTEzMDMwYjhjYTMiLCJ1c2VySWQiOiIxNTU0ODg4ODg3In0=</vt:lpwstr>
  </property>
</Properties>
</file>