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pacing w:val="20"/>
          <w:sz w:val="36"/>
          <w:szCs w:val="36"/>
          <w:highlight w:val="none"/>
        </w:rPr>
      </w:pPr>
      <w:bookmarkStart w:id="0" w:name="_Toc419186633"/>
      <w:r>
        <w:rPr>
          <w:rFonts w:hint="eastAsia" w:ascii="方正小标宋简体" w:hAnsi="方正小标宋简体" w:eastAsia="方正小标宋简体" w:cs="方正小标宋简体"/>
          <w:bCs/>
          <w:spacing w:val="20"/>
          <w:sz w:val="36"/>
          <w:szCs w:val="36"/>
          <w:highlight w:val="none"/>
          <w:lang w:val="en-US" w:eastAsia="zh-CN"/>
        </w:rPr>
        <w:t>昌江区</w:t>
      </w:r>
      <w:r>
        <w:rPr>
          <w:rFonts w:hint="eastAsia" w:ascii="方正小标宋简体" w:hAnsi="方正小标宋简体" w:eastAsia="方正小标宋简体" w:cs="方正小标宋简体"/>
          <w:bCs/>
          <w:spacing w:val="20"/>
          <w:sz w:val="36"/>
          <w:szCs w:val="36"/>
          <w:highlight w:val="none"/>
        </w:rPr>
        <w:t>人民政府关于</w:t>
      </w:r>
      <w:r>
        <w:rPr>
          <w:rFonts w:hint="eastAsia" w:ascii="方正小标宋简体" w:hAnsi="方正小标宋简体" w:eastAsia="方正小标宋简体" w:cs="方正小标宋简体"/>
          <w:bCs/>
          <w:spacing w:val="20"/>
          <w:sz w:val="36"/>
          <w:szCs w:val="36"/>
          <w:highlight w:val="none"/>
          <w:lang w:val="en-US" w:eastAsia="zh-CN"/>
        </w:rPr>
        <w:t>昌江航道提升工程项目</w:t>
      </w:r>
      <w:r>
        <w:rPr>
          <w:rFonts w:hint="eastAsia" w:ascii="方正小标宋简体" w:hAnsi="方正小标宋简体" w:eastAsia="方正小标宋简体" w:cs="方正小标宋简体"/>
          <w:bCs/>
          <w:spacing w:val="20"/>
          <w:sz w:val="36"/>
          <w:szCs w:val="36"/>
          <w:highlight w:val="none"/>
        </w:rPr>
        <w:t>征</w:t>
      </w:r>
      <w:r>
        <w:rPr>
          <w:rFonts w:hint="eastAsia" w:ascii="方正小标宋简体" w:hAnsi="方正小标宋简体" w:eastAsia="方正小标宋简体" w:cs="方正小标宋简体"/>
          <w:bCs/>
          <w:spacing w:val="20"/>
          <w:sz w:val="36"/>
          <w:szCs w:val="36"/>
          <w:highlight w:val="none"/>
          <w:lang w:val="en-US" w:eastAsia="zh-CN"/>
        </w:rPr>
        <w:t>地</w:t>
      </w:r>
      <w:r>
        <w:rPr>
          <w:rFonts w:hint="eastAsia" w:ascii="方正小标宋简体" w:hAnsi="方正小标宋简体" w:eastAsia="方正小标宋简体" w:cs="方正小标宋简体"/>
          <w:bCs/>
          <w:spacing w:val="20"/>
          <w:sz w:val="36"/>
          <w:szCs w:val="36"/>
          <w:highlight w:val="none"/>
        </w:rPr>
        <w:t>补偿安置公告</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pacing w:val="20"/>
          <w:sz w:val="36"/>
          <w:szCs w:val="36"/>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按照《中华人民共和国土地管理法》《中华人民共和国土地管理法实施条例》《江西省征收土地管理办法》《江西省人民政府关于公布全省征地区片综合地价的通知》（赣府字〔202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23</w:t>
      </w:r>
      <w:r>
        <w:rPr>
          <w:rFonts w:hint="eastAsia" w:ascii="仿宋_GB2312" w:eastAsia="仿宋_GB2312"/>
          <w:sz w:val="32"/>
          <w:szCs w:val="32"/>
          <w:highlight w:val="none"/>
        </w:rPr>
        <w:t>号）</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《关于切实做好被征地农民参加基本养老保险相关工作的通知》（赣府厅发〔2022〕56号）</w:t>
      </w:r>
      <w:r>
        <w:rPr>
          <w:rFonts w:hint="eastAsia" w:ascii="仿宋_GB2312" w:hAnsi="仿宋_GB2312" w:eastAsia="仿宋_GB2312" w:cs="仿宋_GB2312"/>
          <w:sz w:val="32"/>
          <w:szCs w:val="32"/>
          <w:highlight w:val="none"/>
        </w:rPr>
        <w:t>等规</w:t>
      </w:r>
      <w:r>
        <w:rPr>
          <w:rFonts w:hint="eastAsia" w:ascii="仿宋_GB2312" w:eastAsia="仿宋_GB2312"/>
          <w:sz w:val="32"/>
          <w:szCs w:val="32"/>
          <w:highlight w:val="none"/>
        </w:rPr>
        <w:t>定</w:t>
      </w:r>
      <w:bookmarkStart w:id="1" w:name="_Hlk104462003"/>
      <w:r>
        <w:rPr>
          <w:rFonts w:hint="eastAsia" w:ascii="仿宋_GB2312" w:eastAsia="仿宋_GB2312"/>
          <w:sz w:val="32"/>
          <w:szCs w:val="32"/>
          <w:highlight w:val="none"/>
        </w:rPr>
        <w:t>，</w:t>
      </w:r>
      <w:r>
        <w:rPr>
          <w:rFonts w:hint="eastAsia" w:ascii="仿宋_GB2312" w:hAnsi="仿宋_GB2312" w:eastAsia="仿宋_GB2312" w:cs="仿宋_GB2312"/>
          <w:sz w:val="32"/>
          <w:szCs w:val="32"/>
          <w:highlight w:val="none"/>
        </w:rPr>
        <w:t>依据社会稳定风险评估结果和土地现状调查结果，</w:t>
      </w:r>
      <w:r>
        <w:rPr>
          <w:rFonts w:hint="eastAsia" w:ascii="仿宋_GB2312" w:hAnsi="仿宋_GB2312" w:eastAsia="仿宋_GB2312" w:cs="仿宋_GB2312"/>
          <w:sz w:val="32"/>
          <w:szCs w:val="32"/>
          <w:highlight w:val="none"/>
          <w:lang w:val="en-US" w:eastAsia="zh-CN"/>
        </w:rPr>
        <w:t>昌江区</w:t>
      </w:r>
      <w:r>
        <w:rPr>
          <w:rFonts w:hint="eastAsia" w:ascii="仿宋_GB2312" w:eastAsia="仿宋_GB2312"/>
          <w:sz w:val="32"/>
          <w:szCs w:val="32"/>
          <w:highlight w:val="none"/>
        </w:rPr>
        <w:t>人民</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highlight w:val="none"/>
          <w:lang w:val="en"/>
        </w:rPr>
      </w:pPr>
      <w:r>
        <w:rPr>
          <w:rFonts w:hint="eastAsia" w:ascii="仿宋_GB2312" w:eastAsia="仿宋_GB2312"/>
          <w:sz w:val="32"/>
          <w:szCs w:val="32"/>
          <w:highlight w:val="none"/>
        </w:rPr>
        <w:t>政府拟订了</w:t>
      </w:r>
      <w:r>
        <w:rPr>
          <w:rFonts w:hint="eastAsia" w:ascii="仿宋" w:hAnsi="仿宋" w:eastAsia="仿宋" w:cs="仿宋"/>
          <w:bCs/>
          <w:spacing w:val="20"/>
          <w:sz w:val="32"/>
          <w:szCs w:val="32"/>
          <w:highlight w:val="none"/>
          <w:lang w:val="en-US" w:eastAsia="zh-CN"/>
        </w:rPr>
        <w:t>昌江航道提升工程项目</w:t>
      </w:r>
      <w:r>
        <w:rPr>
          <w:rFonts w:hint="eastAsia" w:ascii="仿宋" w:hAnsi="仿宋" w:eastAsia="仿宋" w:cs="仿宋"/>
          <w:sz w:val="32"/>
          <w:szCs w:val="32"/>
          <w:highlight w:val="none"/>
        </w:rPr>
        <w:t>征收土地补偿安置方案</w:t>
      </w:r>
      <w:bookmarkEnd w:id="1"/>
      <w:r>
        <w:rPr>
          <w:rFonts w:hint="eastAsia" w:ascii="仿宋" w:hAnsi="仿宋" w:eastAsia="仿宋" w:cs="仿宋"/>
          <w:sz w:val="32"/>
          <w:szCs w:val="32"/>
          <w:highlight w:val="none"/>
        </w:rPr>
        <w:t>。现公告如下</w:t>
      </w:r>
      <w:r>
        <w:rPr>
          <w:rFonts w:hint="eastAsia" w:ascii="仿宋" w:hAnsi="仿宋" w:eastAsia="仿宋" w:cs="仿宋"/>
          <w:sz w:val="32"/>
          <w:szCs w:val="32"/>
          <w:highlight w:val="none"/>
          <w:lang w:val="en"/>
        </w:rPr>
        <w:t>：</w:t>
      </w:r>
    </w:p>
    <w:p>
      <w:pPr>
        <w:keepNext w:val="0"/>
        <w:keepLines w:val="0"/>
        <w:pageBreakBefore w:val="0"/>
        <w:widowControl w:val="0"/>
        <w:kinsoku/>
        <w:wordWrap/>
        <w:overflowPunct/>
        <w:topLinePunct w:val="0"/>
        <w:autoSpaceDE/>
        <w:autoSpaceDN/>
        <w:bidi w:val="0"/>
        <w:adjustRightInd/>
        <w:spacing w:line="560" w:lineRule="exact"/>
        <w:textAlignment w:val="auto"/>
        <w:rPr>
          <w:rFonts w:ascii="黑体" w:hAnsi="黑体" w:eastAsia="黑体"/>
          <w:sz w:val="32"/>
          <w:szCs w:val="32"/>
          <w:highlight w:val="none"/>
        </w:rPr>
      </w:pPr>
      <w:bookmarkStart w:id="2" w:name="_Toc109029675"/>
      <w:bookmarkStart w:id="3" w:name="_Toc109029778"/>
      <w:r>
        <w:rPr>
          <w:rFonts w:hint="eastAsia" w:ascii="黑体" w:hAnsi="黑体" w:eastAsia="黑体"/>
          <w:sz w:val="32"/>
          <w:szCs w:val="32"/>
          <w:highlight w:val="none"/>
        </w:rPr>
        <w:t xml:space="preserve">    一、拟征收范围</w:t>
      </w:r>
      <w:bookmarkEnd w:id="2"/>
      <w:bookmarkEnd w:id="3"/>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sz w:val="32"/>
          <w:szCs w:val="32"/>
          <w:highlight w:val="none"/>
          <w:lang w:val="en-US" w:eastAsia="zh-CN"/>
        </w:rPr>
      </w:pPr>
      <w:bookmarkStart w:id="4" w:name="_Hlk104462159"/>
      <w:r>
        <w:rPr>
          <w:rFonts w:hint="eastAsia" w:ascii="仿宋_GB2312" w:eastAsia="仿宋_GB2312"/>
          <w:bCs/>
          <w:sz w:val="32"/>
          <w:szCs w:val="32"/>
          <w:highlight w:val="none"/>
          <w:lang w:val="en-US" w:eastAsia="zh-CN"/>
        </w:rPr>
        <w:t xml:space="preserve">   </w:t>
      </w:r>
      <w:r>
        <w:rPr>
          <w:rFonts w:hint="eastAsia" w:ascii="仿宋_GB2312" w:eastAsia="仿宋_GB2312"/>
          <w:bCs/>
          <w:sz w:val="32"/>
          <w:szCs w:val="32"/>
          <w:highlight w:val="none"/>
        </w:rPr>
        <w:t>（</w:t>
      </w:r>
      <w:r>
        <w:rPr>
          <w:rFonts w:hint="eastAsia" w:ascii="仿宋_GB2312" w:eastAsia="仿宋_GB2312"/>
          <w:bCs/>
          <w:sz w:val="32"/>
          <w:szCs w:val="32"/>
          <w:highlight w:val="none"/>
          <w:lang w:val="en-US" w:eastAsia="zh-CN"/>
        </w:rPr>
        <w:t>一</w:t>
      </w:r>
      <w:r>
        <w:rPr>
          <w:rFonts w:hint="eastAsia" w:ascii="仿宋_GB2312" w:eastAsia="仿宋_GB2312"/>
          <w:bCs/>
          <w:sz w:val="32"/>
          <w:szCs w:val="32"/>
          <w:highlight w:val="none"/>
        </w:rPr>
        <w:t>）</w:t>
      </w:r>
      <w:r>
        <w:rPr>
          <w:rFonts w:hint="eastAsia" w:ascii="仿宋_GB2312" w:eastAsia="仿宋_GB2312"/>
          <w:sz w:val="32"/>
          <w:szCs w:val="32"/>
          <w:highlight w:val="none"/>
        </w:rPr>
        <w:t>本次拟征地</w:t>
      </w:r>
      <w:r>
        <w:rPr>
          <w:rFonts w:hint="eastAsia" w:ascii="仿宋_GB2312" w:eastAsia="仿宋_GB2312"/>
          <w:bCs/>
          <w:sz w:val="32"/>
          <w:szCs w:val="32"/>
          <w:highlight w:val="none"/>
        </w:rPr>
        <w:t>四至范围：</w:t>
      </w:r>
      <w:r>
        <w:rPr>
          <w:rFonts w:hint="eastAsia" w:ascii="仿宋_GB2312" w:eastAsia="仿宋_GB2312"/>
          <w:sz w:val="32"/>
          <w:szCs w:val="32"/>
          <w:highlight w:val="none"/>
          <w:lang w:val="en-US" w:eastAsia="zh-CN"/>
        </w:rPr>
        <w:t>详见昌江航道提升工程项目勘测定界图（见附件1）。</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eastAsia="仿宋_GB2312"/>
          <w:bCs/>
          <w:sz w:val="32"/>
          <w:szCs w:val="32"/>
          <w:highlight w:val="none"/>
          <w:lang w:val="en-US" w:eastAsia="zh-CN"/>
        </w:rPr>
        <w:t xml:space="preserve">   </w:t>
      </w:r>
      <w:r>
        <w:rPr>
          <w:rFonts w:hint="eastAsia" w:ascii="仿宋_GB2312" w:eastAsia="仿宋_GB2312"/>
          <w:bCs/>
          <w:sz w:val="32"/>
          <w:szCs w:val="32"/>
          <w:highlight w:val="none"/>
        </w:rPr>
        <w:t>（</w:t>
      </w:r>
      <w:r>
        <w:rPr>
          <w:rFonts w:hint="eastAsia" w:ascii="仿宋_GB2312" w:eastAsia="仿宋_GB2312"/>
          <w:bCs/>
          <w:sz w:val="32"/>
          <w:szCs w:val="32"/>
          <w:highlight w:val="none"/>
          <w:lang w:val="en-US" w:eastAsia="zh-CN"/>
        </w:rPr>
        <w:t>二</w:t>
      </w:r>
      <w:r>
        <w:rPr>
          <w:rFonts w:hint="eastAsia" w:ascii="仿宋_GB2312" w:eastAsia="仿宋_GB2312"/>
          <w:bCs/>
          <w:sz w:val="32"/>
          <w:szCs w:val="32"/>
          <w:highlight w:val="none"/>
        </w:rPr>
        <w:t>）</w:t>
      </w:r>
      <w:r>
        <w:rPr>
          <w:rFonts w:hint="eastAsia" w:ascii="仿宋_GB2312" w:eastAsia="仿宋_GB2312"/>
          <w:sz w:val="32"/>
          <w:szCs w:val="32"/>
          <w:highlight w:val="none"/>
        </w:rPr>
        <w:t>本次拟征地</w:t>
      </w:r>
      <w:r>
        <w:rPr>
          <w:rFonts w:hint="eastAsia" w:ascii="仿宋_GB2312" w:eastAsia="仿宋_GB2312"/>
          <w:sz w:val="32"/>
          <w:szCs w:val="32"/>
          <w:highlight w:val="none"/>
          <w:lang w:eastAsia="zh-CN"/>
        </w:rPr>
        <w:t>，</w:t>
      </w:r>
      <w:r>
        <w:rPr>
          <w:rFonts w:hint="eastAsia" w:ascii="仿宋_GB2312" w:hAnsi="仿宋_GB2312" w:eastAsia="仿宋_GB2312" w:cs="仿宋_GB2312"/>
          <w:sz w:val="32"/>
          <w:szCs w:val="32"/>
          <w:highlight w:val="none"/>
        </w:rPr>
        <w:t>土地产权明晰，界址清楚，没有争议。涉及</w:t>
      </w:r>
      <w:bookmarkEnd w:id="4"/>
      <w:r>
        <w:rPr>
          <w:rFonts w:hint="eastAsia" w:ascii="仿宋_GB2312" w:hAnsi="仿宋_GB2312" w:eastAsia="仿宋_GB2312" w:cs="仿宋_GB2312"/>
          <w:sz w:val="32"/>
          <w:szCs w:val="32"/>
          <w:highlight w:val="none"/>
          <w:lang w:val="en-US" w:eastAsia="zh-CN"/>
        </w:rPr>
        <w:t>鲇鱼山镇关山村、鱼山村、徐坊村，丽阳镇洪家村、丽阳村。</w:t>
      </w:r>
    </w:p>
    <w:p>
      <w:pPr>
        <w:keepNext w:val="0"/>
        <w:keepLines w:val="0"/>
        <w:pageBreakBefore w:val="0"/>
        <w:widowControl w:val="0"/>
        <w:kinsoku/>
        <w:wordWrap/>
        <w:overflowPunct/>
        <w:topLinePunct w:val="0"/>
        <w:autoSpaceDE/>
        <w:autoSpaceDN/>
        <w:bidi w:val="0"/>
        <w:adjustRightInd/>
        <w:spacing w:line="560" w:lineRule="exact"/>
        <w:textAlignment w:val="auto"/>
        <w:rPr>
          <w:rFonts w:ascii="黑体" w:hAnsi="黑体" w:eastAsia="黑体"/>
          <w:sz w:val="32"/>
          <w:szCs w:val="32"/>
          <w:highlight w:val="none"/>
        </w:rPr>
      </w:pPr>
      <w:r>
        <w:rPr>
          <w:rFonts w:hint="eastAsia" w:ascii="黑体" w:hAnsi="黑体" w:eastAsia="黑体"/>
          <w:sz w:val="32"/>
          <w:szCs w:val="32"/>
          <w:highlight w:val="none"/>
        </w:rPr>
        <w:t xml:space="preserve">    </w:t>
      </w:r>
      <w:bookmarkStart w:id="5" w:name="_Toc109029676"/>
      <w:bookmarkStart w:id="6" w:name="_Toc109029779"/>
      <w:r>
        <w:rPr>
          <w:rFonts w:hint="eastAsia" w:ascii="黑体" w:hAnsi="黑体" w:eastAsia="黑体"/>
          <w:sz w:val="32"/>
          <w:szCs w:val="32"/>
          <w:highlight w:val="none"/>
        </w:rPr>
        <w:t>二、征收目的</w:t>
      </w:r>
      <w:bookmarkEnd w:id="5"/>
      <w:bookmarkEnd w:id="6"/>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sz w:val="32"/>
          <w:szCs w:val="32"/>
          <w:highlight w:val="none"/>
        </w:rPr>
      </w:pPr>
      <w:bookmarkStart w:id="7" w:name="_Hlk104462118"/>
      <w:r>
        <w:rPr>
          <w:rFonts w:hint="eastAsia" w:ascii="仿宋_GB2312" w:eastAsia="仿宋_GB2312"/>
          <w:sz w:val="32"/>
          <w:szCs w:val="32"/>
          <w:highlight w:val="none"/>
        </w:rPr>
        <w:t>因</w:t>
      </w:r>
      <w:r>
        <w:rPr>
          <w:rFonts w:hint="eastAsia" w:ascii="仿宋_GB2312" w:hAnsi="仿宋_GB2312" w:eastAsia="仿宋_GB2312" w:cs="仿宋_GB2312"/>
          <w:sz w:val="32"/>
          <w:szCs w:val="32"/>
          <w:highlight w:val="none"/>
        </w:rPr>
        <w:t>公共利益的需要</w:t>
      </w:r>
      <w:r>
        <w:rPr>
          <w:rFonts w:hint="eastAsia" w:ascii="仿宋_GB2312" w:eastAsia="仿宋_GB2312"/>
          <w:sz w:val="32"/>
          <w:szCs w:val="32"/>
          <w:highlight w:val="none"/>
        </w:rPr>
        <w:t>，此次拟征收土地规划用途为</w:t>
      </w:r>
      <w:r>
        <w:rPr>
          <w:rFonts w:hint="eastAsia" w:ascii="仿宋_GB2312" w:eastAsia="仿宋_GB2312"/>
          <w:sz w:val="32"/>
          <w:szCs w:val="32"/>
          <w:highlight w:val="none"/>
          <w:lang w:val="en-US" w:eastAsia="zh-CN"/>
        </w:rPr>
        <w:t>昌江航道用地</w:t>
      </w:r>
      <w:r>
        <w:rPr>
          <w:rFonts w:hint="eastAsia" w:ascii="仿宋_GB2312" w:hAnsi="仿宋_GB2312" w:eastAsia="仿宋_GB2312"/>
          <w:sz w:val="32"/>
          <w:szCs w:val="32"/>
          <w:highlight w:val="none"/>
        </w:rPr>
        <w:t>，拟用于</w:t>
      </w:r>
      <w:r>
        <w:rPr>
          <w:rFonts w:hint="eastAsia" w:ascii="仿宋" w:hAnsi="仿宋" w:eastAsia="仿宋" w:cs="仿宋"/>
          <w:bCs/>
          <w:spacing w:val="20"/>
          <w:sz w:val="32"/>
          <w:szCs w:val="32"/>
          <w:highlight w:val="none"/>
          <w:lang w:val="en-US" w:eastAsia="zh-CN"/>
        </w:rPr>
        <w:t>昌江航道提升工程项目</w:t>
      </w:r>
      <w:r>
        <w:rPr>
          <w:rFonts w:hint="eastAsia" w:ascii="仿宋_GB2312" w:hAnsi="仿宋_GB2312" w:eastAsia="仿宋_GB2312"/>
          <w:sz w:val="32"/>
          <w:szCs w:val="32"/>
          <w:highlight w:val="none"/>
        </w:rPr>
        <w:t>建设。</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黑体" w:eastAsia="黑体"/>
          <w:sz w:val="32"/>
          <w:szCs w:val="32"/>
          <w:highlight w:val="none"/>
        </w:rPr>
      </w:pPr>
      <w:r>
        <w:rPr>
          <w:rFonts w:hint="eastAsia" w:ascii="黑体" w:eastAsia="黑体"/>
          <w:sz w:val="32"/>
          <w:szCs w:val="32"/>
          <w:highlight w:val="none"/>
        </w:rPr>
        <w:t>三、土地现状调查结果</w:t>
      </w:r>
    </w:p>
    <w:bookmarkEnd w:id="7"/>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val="en-US" w:eastAsia="zh-CN"/>
        </w:rPr>
      </w:pPr>
      <w:bookmarkStart w:id="8" w:name="_Toc109029780"/>
      <w:bookmarkStart w:id="9" w:name="_Toc109029677"/>
      <w:r>
        <w:rPr>
          <w:rFonts w:hint="eastAsia" w:ascii="仿宋_GB2312" w:eastAsia="仿宋_GB2312"/>
          <w:sz w:val="32"/>
          <w:szCs w:val="32"/>
          <w:highlight w:val="none"/>
        </w:rPr>
        <w:t>经勘测定界及调查确认</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本次拟</w:t>
      </w:r>
      <w:r>
        <w:rPr>
          <w:rFonts w:hint="eastAsia" w:ascii="仿宋_GB2312" w:eastAsia="仿宋_GB2312"/>
          <w:sz w:val="32"/>
          <w:szCs w:val="32"/>
          <w:highlight w:val="none"/>
          <w:lang w:val="en-US" w:eastAsia="zh-CN"/>
        </w:rPr>
        <w:t>征地总面积233.091亩，具体分别为：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关山村拟征地面积 68.9325亩，其中：耕地18.282亩、林地47.586亩、农村道路2.8395亩、坑塘水面0.225亩。</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徐坊村拟征地面积8.013亩，其中：耕地3.9405亩、林地1.656亩、沟渠0.0645亩、农村宅基地2.3115亩、城镇村道路用地0.0405亩。</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鱼山村拟征地面积10.326亩，其中：耕地2.496亩、沟渠0.42亩、农村宅基地4.137亩、水工建筑用地1.953亩、城镇村道路用地0.3045亩、工业用地0.078亩、公路用地0.0105亩、</w:t>
      </w:r>
      <w:bookmarkStart w:id="21" w:name="_GoBack"/>
      <w:bookmarkEnd w:id="21"/>
      <w:r>
        <w:rPr>
          <w:rFonts w:hint="eastAsia" w:ascii="仿宋_GB2312" w:eastAsia="仿宋_GB2312"/>
          <w:sz w:val="32"/>
          <w:szCs w:val="32"/>
          <w:highlight w:val="none"/>
          <w:lang w:val="en-US" w:eastAsia="zh-CN"/>
        </w:rPr>
        <w:t>机关团体新闻出版用地0.927亩。</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洪家村拟征地面积76.7205亩，其中：耕地28.026亩、林地41.4765亩、沟渠0.198亩、农村道路5.5875亩、农村宅基地0.807亩、公路用地0.0015亩、城镇村道路用地0.624亩。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5、丽阳村拟征地面积69.099亩，其中：耕地17.967亩、林地40.923亩、沟渠0.2985亩、农村道路1.02亩、城镇村道路用地0.45亩、公园与绿地0.7335亩、农村宅基地7.707亩 （以上1至5详见附件2）。</w:t>
      </w:r>
    </w:p>
    <w:p>
      <w:pPr>
        <w:keepNext w:val="0"/>
        <w:keepLines w:val="0"/>
        <w:pageBreakBefore w:val="0"/>
        <w:widowControl w:val="0"/>
        <w:kinsoku/>
        <w:wordWrap/>
        <w:overflowPunct/>
        <w:topLinePunct w:val="0"/>
        <w:autoSpaceDE/>
        <w:autoSpaceDN/>
        <w:bidi w:val="0"/>
        <w:adjustRightInd/>
        <w:spacing w:line="560" w:lineRule="exact"/>
        <w:textAlignment w:val="auto"/>
        <w:rPr>
          <w:rFonts w:ascii="黑体" w:hAnsi="黑体" w:eastAsia="黑体"/>
          <w:sz w:val="32"/>
          <w:szCs w:val="32"/>
          <w:highlight w:val="none"/>
        </w:rPr>
      </w:pPr>
      <w:r>
        <w:rPr>
          <w:rFonts w:hint="eastAsia" w:ascii="黑体" w:hAnsi="黑体" w:eastAsia="黑体"/>
          <w:sz w:val="32"/>
          <w:szCs w:val="32"/>
          <w:highlight w:val="none"/>
        </w:rPr>
        <w:t xml:space="preserve">    四、征地补偿安置及费用支付对象、方式和期限</w:t>
      </w:r>
      <w:bookmarkEnd w:id="8"/>
      <w:bookmarkEnd w:id="9"/>
    </w:p>
    <w:p>
      <w:pPr>
        <w:keepNext w:val="0"/>
        <w:keepLines w:val="0"/>
        <w:pageBreakBefore w:val="0"/>
        <w:widowControl w:val="0"/>
        <w:kinsoku/>
        <w:wordWrap/>
        <w:overflowPunct/>
        <w:topLinePunct w:val="0"/>
        <w:autoSpaceDE/>
        <w:autoSpaceDN/>
        <w:bidi w:val="0"/>
        <w:adjustRightInd/>
        <w:spacing w:line="560" w:lineRule="exact"/>
        <w:textAlignment w:val="auto"/>
        <w:rPr>
          <w:rFonts w:ascii="仿宋_GB2312" w:eastAsia="仿宋_GB2312"/>
          <w:sz w:val="32"/>
          <w:szCs w:val="32"/>
          <w:highlight w:val="none"/>
        </w:rPr>
      </w:pPr>
      <w:bookmarkStart w:id="10" w:name="_Hlk104462081"/>
      <w:r>
        <w:rPr>
          <w:rFonts w:hint="eastAsia" w:ascii="仿宋_GB2312" w:eastAsia="仿宋_GB2312"/>
          <w:sz w:val="32"/>
          <w:szCs w:val="32"/>
          <w:highlight w:val="none"/>
        </w:rPr>
        <w:t xml:space="preserve">   </w:t>
      </w:r>
      <w:r>
        <w:rPr>
          <w:rFonts w:hint="eastAsia" w:ascii="楷体" w:hAnsi="楷体" w:eastAsia="楷体" w:cs="楷体"/>
          <w:sz w:val="32"/>
          <w:szCs w:val="32"/>
          <w:highlight w:val="none"/>
        </w:rPr>
        <w:t>（一）补偿安置基本情况</w:t>
      </w:r>
    </w:p>
    <w:p>
      <w:pPr>
        <w:keepNext w:val="0"/>
        <w:keepLines w:val="0"/>
        <w:pageBreakBefore w:val="0"/>
        <w:widowControl w:val="0"/>
        <w:kinsoku/>
        <w:wordWrap/>
        <w:overflowPunct/>
        <w:topLinePunct w:val="0"/>
        <w:autoSpaceDE/>
        <w:autoSpaceDN/>
        <w:bidi w:val="0"/>
        <w:adjustRightInd/>
        <w:spacing w:line="560" w:lineRule="exact"/>
        <w:textAlignment w:val="auto"/>
        <w:rPr>
          <w:rFonts w:ascii="仿宋_GB2312" w:eastAsia="仿宋_GB2312"/>
          <w:sz w:val="32"/>
          <w:szCs w:val="32"/>
          <w:highlight w:val="none"/>
        </w:rPr>
      </w:pPr>
      <w:r>
        <w:rPr>
          <w:rFonts w:hint="eastAsia" w:ascii="仿宋_GB2312" w:eastAsia="仿宋_GB2312"/>
          <w:sz w:val="32"/>
          <w:szCs w:val="32"/>
          <w:highlight w:val="none"/>
        </w:rPr>
        <w:t xml:space="preserve">    1、土地补偿费和安置补助费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拟征土地的补偿费和安置补助费按照《江西省人民政府关于公布全省征地区片综合地价的通知》（赣府字〔202</w:t>
      </w:r>
      <w:r>
        <w:rPr>
          <w:rFonts w:hint="eastAsia" w:ascii="仿宋_GB2312" w:eastAsia="仿宋_GB2312"/>
          <w:sz w:val="32"/>
          <w:szCs w:val="32"/>
          <w:highlight w:val="none"/>
          <w:lang w:eastAsia="zh-CN"/>
        </w:rPr>
        <w:t>3</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号）</w:t>
      </w:r>
      <w:r>
        <w:rPr>
          <w:rFonts w:hint="eastAsia" w:ascii="仿宋_GB2312" w:eastAsia="仿宋_GB2312"/>
          <w:sz w:val="32"/>
          <w:szCs w:val="32"/>
          <w:highlight w:val="none"/>
          <w:lang w:val="en-US" w:eastAsia="zh-CN"/>
        </w:rPr>
        <w:t>等</w:t>
      </w:r>
      <w:r>
        <w:rPr>
          <w:rFonts w:hint="eastAsia" w:ascii="仿宋_GB2312" w:eastAsia="仿宋_GB2312"/>
          <w:sz w:val="32"/>
          <w:szCs w:val="32"/>
          <w:highlight w:val="none"/>
        </w:rPr>
        <w:t>文件的标准执行，具体补偿标准及金额见附件2。</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highlight w:val="none"/>
          <w:lang w:val="en-US" w:eastAsia="zh-CN"/>
        </w:rPr>
      </w:pPr>
      <w:bookmarkStart w:id="11" w:name="_Toc11879"/>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地上青苗、树木</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坟墓等地上附着物</w:t>
      </w:r>
      <w:r>
        <w:rPr>
          <w:rFonts w:hint="eastAsia" w:ascii="仿宋_GB2312" w:eastAsia="仿宋_GB2312"/>
          <w:sz w:val="32"/>
          <w:szCs w:val="32"/>
          <w:highlight w:val="none"/>
        </w:rPr>
        <w:t>补偿标准及费用</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详见附件3。</w:t>
      </w:r>
    </w:p>
    <w:bookmarkEnd w:id="11"/>
    <w:p>
      <w:pPr>
        <w:keepNext w:val="0"/>
        <w:keepLines w:val="0"/>
        <w:pageBreakBefore w:val="0"/>
        <w:widowControl w:val="0"/>
        <w:kinsoku/>
        <w:wordWrap/>
        <w:overflowPunct/>
        <w:topLinePunct w:val="0"/>
        <w:autoSpaceDE/>
        <w:autoSpaceDN/>
        <w:bidi w:val="0"/>
        <w:adjustRightInd/>
        <w:spacing w:line="560" w:lineRule="exact"/>
        <w:ind w:firstLine="480" w:firstLineChars="150"/>
        <w:textAlignment w:val="auto"/>
        <w:rPr>
          <w:rFonts w:ascii="楷体" w:hAnsi="楷体" w:eastAsia="楷体" w:cs="楷体"/>
          <w:sz w:val="32"/>
          <w:szCs w:val="32"/>
          <w:highlight w:val="none"/>
        </w:rPr>
      </w:pPr>
      <w:r>
        <w:rPr>
          <w:rFonts w:hint="eastAsia" w:ascii="楷体" w:hAnsi="楷体" w:eastAsia="楷体" w:cs="楷体"/>
          <w:sz w:val="32"/>
          <w:szCs w:val="32"/>
          <w:highlight w:val="none"/>
        </w:rPr>
        <w:t>（二）支付对象</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eastAsia="仿宋_GB2312"/>
          <w:sz w:val="32"/>
          <w:szCs w:val="32"/>
          <w:highlight w:val="none"/>
        </w:rPr>
      </w:pPr>
      <w:r>
        <w:rPr>
          <w:rFonts w:ascii="仿宋_GB2312" w:eastAsia="仿宋_GB2312"/>
          <w:sz w:val="32"/>
          <w:szCs w:val="32"/>
          <w:highlight w:val="none"/>
        </w:rPr>
        <w:t>1</w:t>
      </w:r>
      <w:r>
        <w:rPr>
          <w:rFonts w:hint="eastAsia" w:ascii="仿宋_GB2312" w:eastAsia="仿宋_GB2312"/>
          <w:sz w:val="32"/>
          <w:szCs w:val="32"/>
          <w:highlight w:val="none"/>
        </w:rPr>
        <w:t>、土地补偿费、安置补助费足额支付给被征地农村集体经济组织，被征地农村集体经济组织根据分配方案进行分配。</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60"/>
        <w:textAlignment w:val="auto"/>
        <w:rPr>
          <w:rFonts w:ascii="仿宋_GB2312" w:eastAsia="仿宋_GB2312"/>
          <w:sz w:val="32"/>
          <w:szCs w:val="32"/>
          <w:highlight w:val="none"/>
        </w:rPr>
      </w:pPr>
      <w:r>
        <w:rPr>
          <w:rFonts w:ascii="仿宋_GB2312" w:eastAsia="仿宋_GB2312"/>
          <w:sz w:val="32"/>
          <w:szCs w:val="32"/>
          <w:highlight w:val="none"/>
        </w:rPr>
        <w:t>2</w:t>
      </w:r>
      <w:r>
        <w:rPr>
          <w:rFonts w:hint="eastAsia" w:ascii="仿宋_GB2312" w:eastAsia="仿宋_GB2312"/>
          <w:sz w:val="32"/>
          <w:szCs w:val="32"/>
          <w:highlight w:val="none"/>
        </w:rPr>
        <w:t>、农村村民住宅其他建筑物及构筑物、青苗及树木等属于拟被征地农村集体经济组织所有的，其补偿费支付给拟被征地农村集体经济组织；属于个人或承包经营者所有的，其补偿费</w:t>
      </w:r>
      <w:r>
        <w:rPr>
          <w:rFonts w:hint="eastAsia" w:ascii="仿宋_GB2312" w:eastAsia="仿宋_GB2312"/>
          <w:sz w:val="32"/>
          <w:szCs w:val="32"/>
          <w:highlight w:val="none"/>
          <w:lang w:val="en-US" w:eastAsia="zh-CN"/>
        </w:rPr>
        <w:t>支付</w:t>
      </w:r>
      <w:r>
        <w:rPr>
          <w:rFonts w:hint="eastAsia" w:ascii="仿宋_GB2312" w:eastAsia="仿宋_GB2312"/>
          <w:sz w:val="32"/>
          <w:szCs w:val="32"/>
          <w:highlight w:val="none"/>
        </w:rPr>
        <w:t>给个人或承包经营者。</w:t>
      </w:r>
    </w:p>
    <w:p>
      <w:pPr>
        <w:keepNext w:val="0"/>
        <w:keepLines w:val="0"/>
        <w:pageBreakBefore w:val="0"/>
        <w:widowControl w:val="0"/>
        <w:kinsoku/>
        <w:wordWrap/>
        <w:overflowPunct/>
        <w:topLinePunct w:val="0"/>
        <w:autoSpaceDE/>
        <w:autoSpaceDN/>
        <w:bidi w:val="0"/>
        <w:adjustRightInd/>
        <w:spacing w:line="560" w:lineRule="exact"/>
        <w:ind w:firstLine="480" w:firstLineChars="150"/>
        <w:textAlignment w:val="auto"/>
        <w:rPr>
          <w:rFonts w:ascii="仿宋_GB2312" w:eastAsia="仿宋_GB2312"/>
          <w:b/>
          <w:bCs/>
          <w:sz w:val="32"/>
          <w:szCs w:val="32"/>
          <w:highlight w:val="none"/>
        </w:rPr>
      </w:pPr>
      <w:r>
        <w:rPr>
          <w:rFonts w:hint="eastAsia" w:ascii="楷体" w:hAnsi="楷体" w:eastAsia="楷体" w:cs="楷体"/>
          <w:sz w:val="32"/>
          <w:szCs w:val="32"/>
          <w:highlight w:val="none"/>
        </w:rPr>
        <w:t>（三）支付方式</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所有费用以转账方式线上支付。</w:t>
      </w:r>
    </w:p>
    <w:p>
      <w:pPr>
        <w:pStyle w:val="2"/>
        <w:keepNext w:val="0"/>
        <w:keepLines w:val="0"/>
        <w:pageBreakBefore w:val="0"/>
        <w:widowControl w:val="0"/>
        <w:kinsoku/>
        <w:wordWrap/>
        <w:overflowPunct/>
        <w:topLinePunct w:val="0"/>
        <w:autoSpaceDE/>
        <w:autoSpaceDN/>
        <w:bidi w:val="0"/>
        <w:adjustRightInd/>
        <w:spacing w:line="560" w:lineRule="exact"/>
        <w:ind w:left="0" w:leftChars="0"/>
        <w:textAlignment w:val="auto"/>
        <w:rPr>
          <w:rFonts w:ascii="仿宋_GB2312" w:eastAsia="仿宋_GB2312"/>
          <w:b/>
          <w:bCs/>
          <w:sz w:val="32"/>
          <w:szCs w:val="32"/>
          <w:highlight w:val="none"/>
        </w:rPr>
      </w:pPr>
      <w:r>
        <w:rPr>
          <w:rFonts w:hint="eastAsia" w:ascii="仿宋_GB2312" w:eastAsia="仿宋_GB2312"/>
          <w:sz w:val="32"/>
          <w:szCs w:val="32"/>
          <w:highlight w:val="none"/>
        </w:rPr>
        <w:t xml:space="preserve">   </w:t>
      </w:r>
      <w:r>
        <w:rPr>
          <w:rFonts w:hint="eastAsia" w:ascii="楷体" w:hAnsi="楷体" w:eastAsia="楷体" w:cs="楷体"/>
          <w:sz w:val="32"/>
          <w:szCs w:val="32"/>
          <w:highlight w:val="none"/>
        </w:rPr>
        <w:t>（四）支付期限</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上述费用</w:t>
      </w:r>
      <w:r>
        <w:rPr>
          <w:rFonts w:hint="eastAsia" w:ascii="仿宋_GB2312" w:hAnsi="仿宋_GB2312" w:eastAsia="仿宋_GB2312" w:cs="仿宋_GB2312"/>
          <w:sz w:val="32"/>
          <w:szCs w:val="32"/>
          <w:highlight w:val="none"/>
        </w:rPr>
        <w:t>应当在征收土地公告发布之日起6</w:t>
      </w:r>
      <w:r>
        <w:rPr>
          <w:rFonts w:ascii="仿宋_GB2312" w:hAnsi="仿宋_GB2312" w:eastAsia="仿宋_GB2312" w:cs="仿宋_GB2312"/>
          <w:sz w:val="32"/>
          <w:szCs w:val="32"/>
          <w:highlight w:val="none"/>
        </w:rPr>
        <w:t>0</w:t>
      </w:r>
      <w:r>
        <w:rPr>
          <w:rFonts w:hint="eastAsia" w:ascii="仿宋_GB2312" w:hAnsi="仿宋_GB2312" w:eastAsia="仿宋_GB2312" w:cs="仿宋_GB2312"/>
          <w:sz w:val="32"/>
          <w:szCs w:val="32"/>
          <w:highlight w:val="none"/>
        </w:rPr>
        <w:t>日内足额支付</w:t>
      </w:r>
      <w:r>
        <w:rPr>
          <w:rFonts w:hint="eastAsia" w:ascii="仿宋_GB2312" w:eastAsia="仿宋_GB2312"/>
          <w:sz w:val="32"/>
          <w:szCs w:val="32"/>
          <w:highlight w:val="none"/>
        </w:rPr>
        <w:t>。对个别未达成征地补偿安置协议的，支付期限自征收土地补偿安置决定作出之日起计算</w:t>
      </w:r>
      <w:r>
        <w:rPr>
          <w:rFonts w:hint="eastAsia" w:ascii="仿宋_GB2312" w:hAnsi="仿宋_GB2312" w:eastAsia="仿宋_GB2312" w:cs="仿宋_GB2312"/>
          <w:sz w:val="32"/>
          <w:szCs w:val="32"/>
          <w:highlight w:val="none"/>
        </w:rPr>
        <w:t>，即作出补偿安置决定之日起60日之内支付</w:t>
      </w:r>
      <w:r>
        <w:rPr>
          <w:rFonts w:hint="eastAsia" w:ascii="仿宋_GB2312" w:eastAsia="仿宋_GB2312"/>
          <w:sz w:val="32"/>
          <w:szCs w:val="32"/>
          <w:highlight w:val="none"/>
        </w:rPr>
        <w:t>。</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其他安置方式的期限按协议约定执行。</w:t>
      </w:r>
    </w:p>
    <w:p>
      <w:pPr>
        <w:keepNext w:val="0"/>
        <w:keepLines w:val="0"/>
        <w:pageBreakBefore w:val="0"/>
        <w:widowControl w:val="0"/>
        <w:kinsoku/>
        <w:wordWrap/>
        <w:overflowPunct/>
        <w:topLinePunct w:val="0"/>
        <w:autoSpaceDE/>
        <w:autoSpaceDN/>
        <w:bidi w:val="0"/>
        <w:adjustRightInd/>
        <w:spacing w:line="560" w:lineRule="exact"/>
        <w:textAlignment w:val="auto"/>
        <w:rPr>
          <w:rFonts w:ascii="黑体" w:hAnsi="黑体" w:eastAsia="黑体"/>
          <w:sz w:val="32"/>
          <w:szCs w:val="32"/>
          <w:highlight w:val="none"/>
        </w:rPr>
      </w:pPr>
      <w:bookmarkStart w:id="12" w:name="_Toc109029782"/>
      <w:bookmarkStart w:id="13" w:name="_Toc109029679"/>
      <w:r>
        <w:rPr>
          <w:rFonts w:hint="eastAsia" w:ascii="黑体" w:hAnsi="黑体" w:eastAsia="黑体"/>
          <w:sz w:val="32"/>
          <w:szCs w:val="32"/>
          <w:highlight w:val="none"/>
        </w:rPr>
        <w:t xml:space="preserve">    五、社保安置</w:t>
      </w:r>
      <w:bookmarkEnd w:id="12"/>
      <w:bookmarkEnd w:id="13"/>
    </w:p>
    <w:p>
      <w:pPr>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_GB2312" w:eastAsia="仿宋_GB2312"/>
          <w:sz w:val="32"/>
          <w:szCs w:val="32"/>
          <w:highlight w:val="none"/>
        </w:rPr>
      </w:pPr>
      <w:r>
        <w:rPr>
          <w:rFonts w:hint="eastAsia" w:ascii="仿宋_GB2312" w:eastAsia="仿宋_GB2312"/>
          <w:sz w:val="32"/>
          <w:szCs w:val="32"/>
          <w:highlight w:val="none"/>
        </w:rPr>
        <w:t xml:space="preserve"> 对符合《江西省人民政府办公厅转发省人社厅等部门关于进一步完善被征地农民基本养老保险政策意见的通知》（赣府厅发〔2014〕 12号）、《江西省人民政府办公厅关于切实做好被征地农民参加基本养老保险相关工作的通知》（赣府厅字〔2022〕 56号）等有关政策规定的，给予社保安置。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六、公告期限</w:t>
      </w:r>
      <w:bookmarkEnd w:id="10"/>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本公告期限自</w:t>
      </w:r>
      <w:r>
        <w:rPr>
          <w:rFonts w:hint="eastAsia" w:ascii="仿宋_GB2312" w:eastAsia="仿宋_GB2312"/>
          <w:sz w:val="32"/>
          <w:szCs w:val="32"/>
          <w:highlight w:val="none"/>
          <w:u w:val="single"/>
          <w:lang w:val="en-US" w:eastAsia="zh-CN"/>
        </w:rPr>
        <w:t>2024</w:t>
      </w:r>
      <w:r>
        <w:rPr>
          <w:rFonts w:hint="eastAsia" w:ascii="仿宋_GB2312" w:eastAsia="仿宋_GB2312"/>
          <w:sz w:val="32"/>
          <w:szCs w:val="32"/>
          <w:highlight w:val="none"/>
        </w:rPr>
        <w:t>年</w:t>
      </w:r>
      <w:r>
        <w:rPr>
          <w:rFonts w:hint="eastAsia" w:ascii="仿宋_GB2312" w:eastAsia="仿宋_GB2312"/>
          <w:sz w:val="32"/>
          <w:szCs w:val="32"/>
          <w:highlight w:val="none"/>
          <w:u w:val="single"/>
          <w:lang w:val="en-US" w:eastAsia="zh-CN"/>
        </w:rPr>
        <w:t>1</w:t>
      </w:r>
      <w:r>
        <w:rPr>
          <w:rFonts w:hint="eastAsia" w:ascii="仿宋_GB2312" w:eastAsia="仿宋_GB2312"/>
          <w:sz w:val="32"/>
          <w:szCs w:val="32"/>
          <w:highlight w:val="none"/>
        </w:rPr>
        <w:t>月</w:t>
      </w:r>
      <w:r>
        <w:rPr>
          <w:rFonts w:hint="eastAsia" w:ascii="仿宋_GB2312" w:eastAsia="仿宋_GB2312"/>
          <w:sz w:val="32"/>
          <w:szCs w:val="32"/>
          <w:highlight w:val="none"/>
          <w:u w:val="single"/>
          <w:lang w:val="en-US" w:eastAsia="zh-CN"/>
        </w:rPr>
        <w:t>23</w:t>
      </w:r>
      <w:r>
        <w:rPr>
          <w:rFonts w:hint="eastAsia" w:ascii="仿宋_GB2312" w:eastAsia="仿宋_GB2312"/>
          <w:sz w:val="32"/>
          <w:szCs w:val="32"/>
          <w:highlight w:val="none"/>
        </w:rPr>
        <w:t>日至</w:t>
      </w:r>
      <w:r>
        <w:rPr>
          <w:rFonts w:hint="eastAsia" w:ascii="仿宋_GB2312" w:eastAsia="仿宋_GB2312"/>
          <w:sz w:val="32"/>
          <w:szCs w:val="32"/>
          <w:highlight w:val="none"/>
          <w:u w:val="single"/>
          <w:lang w:val="en-US" w:eastAsia="zh-CN"/>
        </w:rPr>
        <w:t>2024</w:t>
      </w:r>
      <w:r>
        <w:rPr>
          <w:rFonts w:hint="eastAsia" w:ascii="仿宋_GB2312" w:eastAsia="仿宋_GB2312"/>
          <w:sz w:val="32"/>
          <w:szCs w:val="32"/>
          <w:highlight w:val="none"/>
        </w:rPr>
        <w:t>年</w:t>
      </w:r>
      <w:r>
        <w:rPr>
          <w:rFonts w:hint="eastAsia" w:ascii="仿宋_GB2312" w:eastAsia="仿宋_GB2312"/>
          <w:sz w:val="32"/>
          <w:szCs w:val="32"/>
          <w:highlight w:val="none"/>
          <w:u w:val="single"/>
          <w:lang w:val="en-US" w:eastAsia="zh-CN"/>
        </w:rPr>
        <w:t>2</w:t>
      </w:r>
      <w:r>
        <w:rPr>
          <w:rFonts w:hint="eastAsia" w:ascii="仿宋_GB2312" w:eastAsia="仿宋_GB2312"/>
          <w:sz w:val="32"/>
          <w:szCs w:val="32"/>
          <w:highlight w:val="none"/>
        </w:rPr>
        <w:t>月</w:t>
      </w:r>
      <w:r>
        <w:rPr>
          <w:rFonts w:hint="eastAsia" w:ascii="仿宋_GB2312" w:eastAsia="仿宋_GB2312"/>
          <w:sz w:val="32"/>
          <w:szCs w:val="32"/>
          <w:highlight w:val="none"/>
          <w:u w:val="single"/>
          <w:lang w:val="en-US" w:eastAsia="zh-CN"/>
        </w:rPr>
        <w:t>24</w:t>
      </w:r>
      <w:r>
        <w:rPr>
          <w:rFonts w:hint="eastAsia" w:ascii="仿宋_GB2312" w:eastAsia="仿宋_GB2312"/>
          <w:sz w:val="32"/>
          <w:szCs w:val="32"/>
          <w:highlight w:val="none"/>
        </w:rPr>
        <w:t>日。</w:t>
      </w:r>
    </w:p>
    <w:p>
      <w:pPr>
        <w:keepNext w:val="0"/>
        <w:keepLines w:val="0"/>
        <w:pageBreakBefore w:val="0"/>
        <w:widowControl w:val="0"/>
        <w:kinsoku/>
        <w:wordWrap/>
        <w:overflowPunct/>
        <w:topLinePunct w:val="0"/>
        <w:autoSpaceDE/>
        <w:autoSpaceDN/>
        <w:bidi w:val="0"/>
        <w:adjustRightInd/>
        <w:spacing w:line="560" w:lineRule="exact"/>
        <w:textAlignment w:val="auto"/>
        <w:rPr>
          <w:rFonts w:ascii="黑体" w:hAnsi="黑体" w:eastAsia="黑体"/>
          <w:sz w:val="32"/>
          <w:szCs w:val="32"/>
          <w:highlight w:val="none"/>
        </w:rPr>
      </w:pPr>
      <w:bookmarkStart w:id="14" w:name="_Toc109029784"/>
      <w:bookmarkStart w:id="15" w:name="_Toc109029681"/>
      <w:r>
        <w:rPr>
          <w:rFonts w:hint="eastAsia" w:ascii="黑体" w:hAnsi="黑体" w:eastAsia="黑体"/>
          <w:sz w:val="32"/>
          <w:szCs w:val="32"/>
          <w:highlight w:val="none"/>
        </w:rPr>
        <w:t xml:space="preserve">    七、补偿登记</w:t>
      </w:r>
      <w:bookmarkEnd w:id="14"/>
      <w:bookmarkEnd w:id="15"/>
    </w:p>
    <w:p>
      <w:pPr>
        <w:keepNext w:val="0"/>
        <w:keepLines w:val="0"/>
        <w:pageBreakBefore w:val="0"/>
        <w:widowControl w:val="0"/>
        <w:kinsoku/>
        <w:wordWrap/>
        <w:overflowPunct/>
        <w:topLinePunct w:val="0"/>
        <w:autoSpaceDE/>
        <w:autoSpaceDN/>
        <w:bidi w:val="0"/>
        <w:adjustRightInd/>
        <w:spacing w:line="560" w:lineRule="exact"/>
        <w:textAlignment w:val="auto"/>
        <w:rPr>
          <w:rFonts w:ascii="仿宋_GB2312" w:eastAsia="仿宋_GB2312"/>
          <w:sz w:val="32"/>
          <w:szCs w:val="32"/>
          <w:highlight w:val="none"/>
        </w:rPr>
      </w:pPr>
      <w:r>
        <w:rPr>
          <w:rFonts w:hint="eastAsia" w:ascii="仿宋_GB2312" w:eastAsia="仿宋_GB2312"/>
          <w:sz w:val="32"/>
          <w:szCs w:val="32"/>
          <w:highlight w:val="none"/>
        </w:rPr>
        <w:t xml:space="preserve">    自公告发布后，被征收土地所有权人、使用权人请于本公告期满前，持不动产权属证明材料前往</w:t>
      </w:r>
      <w:r>
        <w:rPr>
          <w:rFonts w:hint="eastAsia" w:ascii="仿宋_GB2312" w:eastAsia="仿宋_GB2312"/>
          <w:sz w:val="32"/>
          <w:szCs w:val="32"/>
          <w:highlight w:val="none"/>
          <w:lang w:val="en-US" w:eastAsia="zh-CN"/>
        </w:rPr>
        <w:t>市自然资源和规划局昌江分局</w:t>
      </w:r>
      <w:r>
        <w:rPr>
          <w:rFonts w:hint="eastAsia" w:ascii="仿宋_GB2312" w:eastAsia="仿宋_GB2312"/>
          <w:sz w:val="32"/>
          <w:szCs w:val="32"/>
          <w:highlight w:val="none"/>
        </w:rPr>
        <w:t>办理补偿登记</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或书面委托他人办理补偿登记</w:t>
      </w:r>
      <w:r>
        <w:rPr>
          <w:rFonts w:hint="eastAsia" w:ascii="仿宋_GB2312" w:eastAsia="仿宋_GB2312"/>
          <w:sz w:val="32"/>
          <w:szCs w:val="32"/>
          <w:highlight w:val="none"/>
          <w:lang w:eastAsia="zh-CN"/>
        </w:rPr>
        <w:t>），</w:t>
      </w:r>
      <w:r>
        <w:rPr>
          <w:rFonts w:hint="eastAsia" w:ascii="仿宋_GB2312" w:hAnsi="仿宋_GB2312" w:eastAsia="仿宋_GB2312" w:cs="仿宋_GB2312"/>
          <w:sz w:val="32"/>
          <w:szCs w:val="32"/>
          <w:highlight w:val="none"/>
        </w:rPr>
        <w:t>未在规定期限内办理补偿登记的，</w:t>
      </w:r>
      <w:r>
        <w:rPr>
          <w:rFonts w:hint="eastAsia" w:ascii="仿宋_GB2312" w:hAnsi="仿宋_GB2312" w:eastAsia="仿宋_GB2312" w:cs="仿宋_GB2312"/>
          <w:sz w:val="32"/>
          <w:szCs w:val="32"/>
          <w:highlight w:val="none"/>
          <w:lang w:val="en-US" w:eastAsia="zh-CN"/>
        </w:rPr>
        <w:t>其补偿内容</w:t>
      </w:r>
      <w:r>
        <w:rPr>
          <w:rFonts w:hint="eastAsia" w:ascii="仿宋_GB2312" w:hAnsi="仿宋_GB2312" w:eastAsia="仿宋_GB2312" w:cs="仿宋_GB2312"/>
          <w:sz w:val="32"/>
          <w:szCs w:val="32"/>
          <w:highlight w:val="none"/>
        </w:rPr>
        <w:t>按照土地现状调查公示结果确定</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textAlignment w:val="auto"/>
        <w:rPr>
          <w:rFonts w:ascii="黑体" w:hAnsi="黑体" w:eastAsia="黑体"/>
          <w:sz w:val="32"/>
          <w:szCs w:val="32"/>
          <w:highlight w:val="none"/>
        </w:rPr>
      </w:pPr>
      <w:bookmarkStart w:id="16" w:name="_Toc109029682"/>
      <w:bookmarkStart w:id="17" w:name="_Toc109029785"/>
      <w:r>
        <w:rPr>
          <w:rFonts w:hint="eastAsia" w:ascii="黑体" w:hAnsi="黑体" w:eastAsia="黑体"/>
          <w:sz w:val="32"/>
          <w:szCs w:val="32"/>
          <w:highlight w:val="none"/>
        </w:rPr>
        <w:t xml:space="preserve">    八、听证事项</w:t>
      </w:r>
      <w:bookmarkEnd w:id="16"/>
      <w:bookmarkEnd w:id="17"/>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按照《自然资源听证规定》规定，</w:t>
      </w:r>
      <w:r>
        <w:rPr>
          <w:rFonts w:hint="eastAsia" w:ascii="仿宋_GB2312" w:eastAsia="仿宋_GB2312"/>
          <w:bCs/>
          <w:sz w:val="32"/>
          <w:szCs w:val="32"/>
          <w:highlight w:val="none"/>
        </w:rPr>
        <w:t>拟</w:t>
      </w:r>
      <w:r>
        <w:rPr>
          <w:rFonts w:hint="eastAsia" w:ascii="仿宋_GB2312" w:eastAsia="仿宋_GB2312"/>
          <w:sz w:val="32"/>
          <w:szCs w:val="32"/>
          <w:highlight w:val="none"/>
        </w:rPr>
        <w:t>被征地农村集体经济组织及成员</w:t>
      </w:r>
      <w:r>
        <w:rPr>
          <w:rFonts w:hint="eastAsia" w:ascii="仿宋_GB2312" w:eastAsia="仿宋_GB2312"/>
          <w:sz w:val="32"/>
          <w:szCs w:val="32"/>
          <w:highlight w:val="none"/>
          <w:u w:val="none"/>
        </w:rPr>
        <w:t>应在收到听证告知书之日起5个工作日内提</w:t>
      </w:r>
      <w:r>
        <w:rPr>
          <w:rFonts w:hint="eastAsia" w:ascii="仿宋_GB2312" w:eastAsia="仿宋_GB2312"/>
          <w:sz w:val="32"/>
          <w:szCs w:val="32"/>
          <w:highlight w:val="none"/>
        </w:rPr>
        <w:t>出书面申请</w:t>
      </w:r>
      <w:r>
        <w:rPr>
          <w:rFonts w:hint="default" w:ascii="仿宋_GB2312" w:eastAsia="仿宋_GB2312"/>
          <w:sz w:val="32"/>
          <w:szCs w:val="32"/>
          <w:highlight w:val="none"/>
          <w:lang w:val="en"/>
        </w:rPr>
        <w:t>，</w:t>
      </w:r>
      <w:r>
        <w:rPr>
          <w:rFonts w:hint="eastAsia" w:ascii="仿宋_GB2312" w:eastAsia="仿宋_GB2312"/>
          <w:sz w:val="32"/>
          <w:szCs w:val="32"/>
          <w:highlight w:val="none"/>
        </w:rPr>
        <w:t>逾期未提出的</w:t>
      </w:r>
      <w:r>
        <w:rPr>
          <w:rFonts w:hint="default" w:ascii="仿宋_GB2312" w:eastAsia="仿宋_GB2312"/>
          <w:sz w:val="32"/>
          <w:szCs w:val="32"/>
          <w:highlight w:val="none"/>
          <w:lang w:val="en"/>
        </w:rPr>
        <w:t>，</w:t>
      </w:r>
      <w:r>
        <w:rPr>
          <w:rFonts w:hint="eastAsia" w:ascii="仿宋_GB2312" w:eastAsia="仿宋_GB2312"/>
          <w:sz w:val="32"/>
          <w:szCs w:val="32"/>
          <w:highlight w:val="none"/>
        </w:rPr>
        <w:t>视为放弃听证。超半数农村集体经济组织成员对方案提出异议的，</w:t>
      </w:r>
      <w:r>
        <w:rPr>
          <w:rFonts w:hint="eastAsia" w:ascii="仿宋_GB2312" w:hAnsi="仿宋_GB2312" w:eastAsia="仿宋_GB2312" w:cs="仿宋_GB2312"/>
          <w:sz w:val="32"/>
          <w:szCs w:val="32"/>
          <w:highlight w:val="none"/>
          <w:lang w:val="en-US" w:eastAsia="zh-CN"/>
        </w:rPr>
        <w:t>昌江区</w:t>
      </w:r>
      <w:r>
        <w:rPr>
          <w:rFonts w:hint="eastAsia" w:ascii="仿宋_GB2312" w:hAnsi="仿宋_GB2312" w:eastAsia="仿宋_GB2312" w:cs="仿宋_GB2312"/>
          <w:sz w:val="32"/>
          <w:szCs w:val="32"/>
          <w:highlight w:val="none"/>
        </w:rPr>
        <w:t>人民</w:t>
      </w:r>
      <w:r>
        <w:rPr>
          <w:rFonts w:hint="eastAsia" w:ascii="仿宋_GB2312" w:eastAsia="仿宋_GB2312"/>
          <w:sz w:val="32"/>
          <w:szCs w:val="32"/>
          <w:highlight w:val="none"/>
        </w:rPr>
        <w:t>政府将依法组织召开听证会，</w:t>
      </w:r>
      <w:r>
        <w:rPr>
          <w:rFonts w:hint="eastAsia" w:ascii="仿宋_GB2312" w:eastAsia="仿宋_GB2312"/>
          <w:sz w:val="32"/>
          <w:szCs w:val="32"/>
          <w:highlight w:val="none"/>
          <w:lang w:val="en-US" w:eastAsia="zh-CN"/>
        </w:rPr>
        <w:t>相关事项</w:t>
      </w:r>
      <w:r>
        <w:rPr>
          <w:rFonts w:hint="eastAsia" w:ascii="仿宋_GB2312" w:eastAsia="仿宋_GB2312"/>
          <w:sz w:val="32"/>
          <w:szCs w:val="32"/>
          <w:highlight w:val="none"/>
        </w:rPr>
        <w:t>另行通知。</w:t>
      </w:r>
    </w:p>
    <w:p>
      <w:pPr>
        <w:keepNext w:val="0"/>
        <w:keepLines w:val="0"/>
        <w:pageBreakBefore w:val="0"/>
        <w:widowControl w:val="0"/>
        <w:kinsoku/>
        <w:wordWrap/>
        <w:overflowPunct/>
        <w:topLinePunct w:val="0"/>
        <w:autoSpaceDE/>
        <w:autoSpaceDN/>
        <w:bidi w:val="0"/>
        <w:adjustRightInd/>
        <w:spacing w:line="560" w:lineRule="exact"/>
        <w:textAlignment w:val="auto"/>
        <w:rPr>
          <w:rFonts w:ascii="黑体" w:hAnsi="黑体" w:eastAsia="黑体"/>
          <w:sz w:val="32"/>
          <w:szCs w:val="32"/>
          <w:highlight w:val="none"/>
        </w:rPr>
      </w:pPr>
      <w:bookmarkStart w:id="18" w:name="_Toc109029683"/>
      <w:bookmarkStart w:id="19" w:name="_Toc109029786"/>
      <w:r>
        <w:rPr>
          <w:rFonts w:hint="eastAsia" w:ascii="黑体" w:hAnsi="黑体" w:eastAsia="黑体"/>
          <w:sz w:val="32"/>
          <w:szCs w:val="32"/>
          <w:highlight w:val="none"/>
        </w:rPr>
        <w:t xml:space="preserve">    九、异议反馈与处理</w:t>
      </w:r>
      <w:bookmarkEnd w:id="18"/>
      <w:bookmarkEnd w:id="19"/>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拟征收土地范围内的</w:t>
      </w:r>
      <w:r>
        <w:rPr>
          <w:rFonts w:hint="eastAsia" w:ascii="仿宋_GB2312" w:hAnsi="仿宋_GB2312" w:eastAsia="仿宋_GB2312" w:cs="仿宋_GB2312"/>
          <w:sz w:val="32"/>
          <w:szCs w:val="32"/>
          <w:highlight w:val="none"/>
        </w:rPr>
        <w:t>土地所有权人、使用权人</w:t>
      </w:r>
      <w:r>
        <w:rPr>
          <w:rFonts w:hint="eastAsia" w:ascii="仿宋_GB2312" w:eastAsia="仿宋_GB2312"/>
          <w:sz w:val="32"/>
          <w:szCs w:val="32"/>
          <w:highlight w:val="none"/>
        </w:rPr>
        <w:t>对补偿安置方案有异议的，在本公告期内提出。本政府将结合异议反馈和听证情况，适时修改补偿安置方案并再次公告。</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本公告同时在昌江区人民政府信息公开平台网站予以公告。</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highlight w:val="none"/>
        </w:rPr>
      </w:pPr>
    </w:p>
    <w:p>
      <w:pPr>
        <w:keepNext w:val="0"/>
        <w:keepLines w:val="0"/>
        <w:pageBreakBefore w:val="0"/>
        <w:widowControl w:val="0"/>
        <w:kinsoku/>
        <w:wordWrap/>
        <w:overflowPunct/>
        <w:topLinePunct w:val="0"/>
        <w:autoSpaceDE/>
        <w:autoSpaceDN/>
        <w:bidi w:val="0"/>
        <w:adjustRightInd/>
        <w:spacing w:line="560" w:lineRule="exact"/>
        <w:ind w:firstLine="627" w:firstLineChars="196"/>
        <w:textAlignment w:val="auto"/>
        <w:rPr>
          <w:rFonts w:hint="default" w:ascii="仿宋_GB2312" w:eastAsia="仿宋_GB2312"/>
          <w:sz w:val="32"/>
          <w:szCs w:val="32"/>
          <w:highlight w:val="none"/>
          <w:lang w:val="en-US" w:eastAsia="zh-CN"/>
        </w:rPr>
      </w:pPr>
      <w:r>
        <w:rPr>
          <w:rFonts w:hint="eastAsia" w:ascii="仿宋_GB2312" w:eastAsia="仿宋_GB2312"/>
          <w:bCs/>
          <w:sz w:val="32"/>
          <w:szCs w:val="32"/>
          <w:highlight w:val="none"/>
        </w:rPr>
        <w:t>附件：</w:t>
      </w:r>
      <w:bookmarkStart w:id="20" w:name="_Hlk104452745"/>
      <w:r>
        <w:rPr>
          <w:rFonts w:hint="eastAsia" w:ascii="仿宋_GB2312" w:eastAsia="仿宋_GB2312"/>
          <w:bCs/>
          <w:sz w:val="32"/>
          <w:szCs w:val="32"/>
          <w:highlight w:val="none"/>
        </w:rPr>
        <w:t>1.</w:t>
      </w:r>
      <w:r>
        <w:rPr>
          <w:rFonts w:hint="eastAsia" w:ascii="仿宋_GB2312" w:eastAsia="仿宋_GB2312"/>
          <w:sz w:val="32"/>
          <w:szCs w:val="32"/>
          <w:highlight w:val="none"/>
          <w:lang w:val="en-US" w:eastAsia="zh-CN"/>
        </w:rPr>
        <w:t>昌江航道提升工程勘测定界图</w:t>
      </w:r>
    </w:p>
    <w:p>
      <w:pPr>
        <w:keepNext w:val="0"/>
        <w:keepLines w:val="0"/>
        <w:pageBreakBefore w:val="0"/>
        <w:widowControl w:val="0"/>
        <w:kinsoku/>
        <w:wordWrap/>
        <w:overflowPunct/>
        <w:topLinePunct w:val="0"/>
        <w:autoSpaceDE/>
        <w:autoSpaceDN/>
        <w:bidi w:val="0"/>
        <w:adjustRightInd/>
        <w:spacing w:line="560" w:lineRule="exact"/>
        <w:ind w:firstLine="1587" w:firstLineChars="496"/>
        <w:textAlignment w:val="auto"/>
        <w:rPr>
          <w:rFonts w:ascii="仿宋_GB2312" w:eastAsia="仿宋_GB2312"/>
          <w:sz w:val="32"/>
          <w:szCs w:val="32"/>
          <w:highlight w:val="none"/>
        </w:rPr>
      </w:pPr>
      <w:r>
        <w:rPr>
          <w:rFonts w:hint="eastAsia" w:ascii="仿宋_GB2312" w:eastAsia="仿宋_GB2312"/>
          <w:sz w:val="32"/>
          <w:szCs w:val="32"/>
          <w:highlight w:val="none"/>
        </w:rPr>
        <w:t>2.土地补偿标准及补偿费用表</w:t>
      </w:r>
    </w:p>
    <w:p>
      <w:pPr>
        <w:keepNext w:val="0"/>
        <w:keepLines w:val="0"/>
        <w:pageBreakBefore w:val="0"/>
        <w:widowControl w:val="0"/>
        <w:kinsoku/>
        <w:wordWrap/>
        <w:overflowPunct/>
        <w:topLinePunct w:val="0"/>
        <w:autoSpaceDE/>
        <w:autoSpaceDN/>
        <w:bidi w:val="0"/>
        <w:adjustRightInd/>
        <w:spacing w:line="560" w:lineRule="exact"/>
        <w:ind w:left="1608" w:leftChars="760" w:hanging="12" w:hangingChars="4"/>
        <w:textAlignment w:val="auto"/>
        <w:rPr>
          <w:rFonts w:hint="eastAsia" w:ascii="仿宋_GB2312" w:eastAsia="仿宋_GB2312"/>
          <w:sz w:val="32"/>
          <w:szCs w:val="32"/>
          <w:highlight w:val="none"/>
        </w:rPr>
      </w:pPr>
      <w:r>
        <w:rPr>
          <w:rFonts w:hint="eastAsia" w:ascii="仿宋_GB2312" w:eastAsia="仿宋_GB2312"/>
          <w:sz w:val="32"/>
          <w:szCs w:val="32"/>
          <w:highlight w:val="none"/>
        </w:rPr>
        <w:t>3.青苗、树木</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坟墓等地上附着物</w:t>
      </w:r>
      <w:r>
        <w:rPr>
          <w:rFonts w:hint="eastAsia" w:ascii="仿宋_GB2312" w:eastAsia="仿宋_GB2312"/>
          <w:sz w:val="32"/>
          <w:szCs w:val="32"/>
          <w:highlight w:val="none"/>
        </w:rPr>
        <w:t>补偿标准及补偿费用表</w:t>
      </w:r>
    </w:p>
    <w:bookmarkEnd w:id="20"/>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rPr>
        <w:t>联系单位：</w:t>
      </w:r>
      <w:r>
        <w:rPr>
          <w:rFonts w:hint="eastAsia" w:ascii="仿宋_GB2312" w:eastAsia="仿宋_GB2312"/>
          <w:sz w:val="32"/>
          <w:szCs w:val="32"/>
          <w:highlight w:val="none"/>
          <w:lang w:val="en-US" w:eastAsia="zh-CN"/>
        </w:rPr>
        <w:t>景德镇市自然资源和规划局昌江分局</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rPr>
        <w:t>联系电话：</w:t>
      </w:r>
      <w:r>
        <w:rPr>
          <w:rFonts w:hint="eastAsia" w:ascii="仿宋_GB2312" w:eastAsia="仿宋_GB2312"/>
          <w:sz w:val="32"/>
          <w:szCs w:val="32"/>
          <w:highlight w:val="none"/>
          <w:lang w:val="en-US" w:eastAsia="zh-CN"/>
        </w:rPr>
        <w:t>0798-8335819</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highlight w:val="none"/>
        </w:rPr>
      </w:pPr>
    </w:p>
    <w:p>
      <w:pPr>
        <w:pStyle w:val="3"/>
        <w:rPr>
          <w:rFonts w:ascii="仿宋_GB2312" w:eastAsia="仿宋_GB2312"/>
          <w:sz w:val="32"/>
          <w:szCs w:val="32"/>
          <w:highlight w:val="none"/>
        </w:rPr>
      </w:pPr>
    </w:p>
    <w:p>
      <w:pPr>
        <w:pStyle w:val="3"/>
        <w:rPr>
          <w:rFonts w:ascii="仿宋_GB2312" w:eastAsia="仿宋_GB2312"/>
          <w:sz w:val="32"/>
          <w:szCs w:val="32"/>
          <w:highlight w:val="none"/>
        </w:rPr>
      </w:pPr>
    </w:p>
    <w:p>
      <w:pPr>
        <w:keepNext w:val="0"/>
        <w:keepLines w:val="0"/>
        <w:pageBreakBefore w:val="0"/>
        <w:widowControl w:val="0"/>
        <w:kinsoku/>
        <w:wordWrap/>
        <w:overflowPunct/>
        <w:topLinePunct w:val="0"/>
        <w:autoSpaceDE/>
        <w:autoSpaceDN/>
        <w:bidi w:val="0"/>
        <w:adjustRightInd/>
        <w:spacing w:line="560" w:lineRule="exact"/>
        <w:ind w:firstLine="627" w:firstLineChars="196"/>
        <w:jc w:val="center"/>
        <w:textAlignment w:val="auto"/>
        <w:rPr>
          <w:rFonts w:ascii="仿宋_GB2312" w:eastAsia="仿宋_GB2312"/>
          <w:b/>
          <w:sz w:val="32"/>
          <w:szCs w:val="32"/>
          <w:highlight w:val="none"/>
        </w:rPr>
      </w:pPr>
      <w:r>
        <w:rPr>
          <w:rFonts w:hint="eastAsia" w:ascii="宋体" w:hAnsi="宋体" w:eastAsia="仿宋_GB2312" w:cs="宋体"/>
          <w:sz w:val="32"/>
          <w:szCs w:val="32"/>
          <w:highlight w:val="none"/>
          <w:lang w:val="en-US" w:eastAsia="zh-CN"/>
        </w:rPr>
        <w:t xml:space="preserve">                              昌江区</w:t>
      </w:r>
      <w:r>
        <w:rPr>
          <w:rFonts w:hint="eastAsia" w:ascii="仿宋_GB2312" w:hAnsi="仿宋_GB2312" w:eastAsia="仿宋_GB2312" w:cs="仿宋_GB2312"/>
          <w:sz w:val="32"/>
          <w:szCs w:val="32"/>
          <w:highlight w:val="none"/>
        </w:rPr>
        <w:t>人民政府</w:t>
      </w:r>
    </w:p>
    <w:p>
      <w:pPr>
        <w:keepNext w:val="0"/>
        <w:keepLines w:val="0"/>
        <w:pageBreakBefore w:val="0"/>
        <w:widowControl w:val="0"/>
        <w:kinsoku/>
        <w:wordWrap/>
        <w:overflowPunct/>
        <w:topLinePunct w:val="0"/>
        <w:autoSpaceDE/>
        <w:autoSpaceDN/>
        <w:bidi w:val="0"/>
        <w:adjustRightInd/>
        <w:spacing w:line="560" w:lineRule="exact"/>
        <w:textAlignment w:val="auto"/>
        <w:rPr>
          <w:highlight w:val="none"/>
        </w:rPr>
        <w:sectPr>
          <w:pgSz w:w="11906" w:h="16838"/>
          <w:pgMar w:top="1440" w:right="1800" w:bottom="1440" w:left="1800" w:header="851" w:footer="992" w:gutter="0"/>
          <w:pgNumType w:fmt="decimal"/>
          <w:cols w:space="720" w:num="1"/>
          <w:docGrid w:type="lines" w:linePitch="312" w:charSpace="0"/>
        </w:sectPr>
      </w:pPr>
      <w:r>
        <w:rPr>
          <w:rFonts w:hint="eastAsia" w:ascii="仿宋_GB2312" w:eastAsia="仿宋_GB2312"/>
          <w:sz w:val="32"/>
          <w:szCs w:val="32"/>
          <w:highlight w:val="none"/>
        </w:rPr>
        <w:t xml:space="preserve">                                </w:t>
      </w:r>
      <w:r>
        <w:rPr>
          <w:rFonts w:hint="eastAsia" w:ascii="仿宋_GB2312" w:eastAsia="仿宋_GB2312"/>
          <w:sz w:val="32"/>
          <w:szCs w:val="32"/>
          <w:highlight w:val="none"/>
          <w:lang w:val="en-US" w:eastAsia="zh-CN"/>
        </w:rPr>
        <w:t xml:space="preserve">   2024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23</w:t>
      </w:r>
      <w:r>
        <w:rPr>
          <w:rFonts w:hint="eastAsia" w:ascii="仿宋_GB2312" w:eastAsia="仿宋_GB2312"/>
          <w:sz w:val="32"/>
          <w:szCs w:val="32"/>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88F940"/>
    <w:multiLevelType w:val="singleLevel"/>
    <w:tmpl w:val="5088F94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5MDBiZDVkNWU5M2ZjOGMxNTlmYWI5NDEwOGE0MWYifQ=="/>
  </w:docVars>
  <w:rsids>
    <w:rsidRoot w:val="6117615E"/>
    <w:rsid w:val="19DB3084"/>
    <w:rsid w:val="4CEC28DB"/>
    <w:rsid w:val="6117615E"/>
    <w:rsid w:val="7BF81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ascii="Times New Roman" w:hAnsi="Times New Roman" w:eastAsia="Times New Roman" w:cs="Times New Roman"/>
      <w:kern w:val="2"/>
      <w:sz w:val="21"/>
      <w:szCs w:val="21"/>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unhideWhenUsed/>
    <w:qFormat/>
    <w:uiPriority w:val="0"/>
    <w:pPr>
      <w:spacing w:after="120"/>
      <w:ind w:left="420" w:leftChars="200"/>
    </w:pPr>
  </w:style>
  <w:style w:type="paragraph" w:styleId="3">
    <w:name w:val="footnote text"/>
    <w:basedOn w:val="1"/>
    <w:autoRedefine/>
    <w:unhideWhenUsed/>
    <w:qFormat/>
    <w:uiPriority w:val="99"/>
    <w:pPr>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2024-01-15T02:50:00Z</dcterms:created>
  <dc:creator>Lumia。</dc:creator>
  <cp:lastModifiedBy>Lumia。</cp:lastModifiedBy>
  <cp:lastPrinted>2024-03-11T07:50:34Z</cp:lastPrinted>
  <dcterms:modified xsi:type="dcterms:W3CDTF">2024-03-11T07:50:38Z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BDA731C0B8B9472DAB631A803C57C217_13</vt:lpwstr>
  </property>
</Properties>
</file>