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450" w:line="600" w:lineRule="atLeast"/>
        <w:jc w:val="both"/>
        <w:outlineLvl w:val="0"/>
        <w:rPr>
          <w:rFonts w:ascii="微软雅黑" w:hAnsi="微软雅黑" w:eastAsia="微软雅黑" w:cs="宋体"/>
          <w:b/>
          <w:bCs/>
          <w:color w:val="333333"/>
          <w:kern w:val="36"/>
          <w:sz w:val="48"/>
          <w:szCs w:val="48"/>
        </w:rPr>
      </w:pPr>
      <w:r>
        <w:rPr>
          <w:rFonts w:hint="eastAsia" w:ascii="微软雅黑" w:hAnsi="微软雅黑" w:eastAsia="微软雅黑" w:cs="宋体"/>
          <w:b/>
          <w:bCs/>
          <w:color w:val="333333"/>
          <w:kern w:val="36"/>
          <w:sz w:val="48"/>
          <w:szCs w:val="48"/>
          <w:lang w:val="en-US" w:eastAsia="zh-CN"/>
        </w:rPr>
        <w:t>昌江区</w:t>
      </w:r>
      <w:r>
        <w:rPr>
          <w:rFonts w:hint="eastAsia" w:ascii="微软雅黑" w:hAnsi="微软雅黑" w:eastAsia="微软雅黑" w:cs="宋体"/>
          <w:b/>
          <w:bCs/>
          <w:color w:val="333333"/>
          <w:kern w:val="36"/>
          <w:sz w:val="48"/>
          <w:szCs w:val="48"/>
        </w:rPr>
        <w:t>人民政府拟征地补偿安置决定书</w:t>
      </w:r>
    </w:p>
    <w:p>
      <w:pPr>
        <w:pStyle w:val="7"/>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征收人：</w:t>
      </w:r>
      <w:r>
        <w:rPr>
          <w:rFonts w:hint="eastAsia" w:ascii="仿宋_GB2312" w:hAnsi="微软雅黑" w:eastAsia="仿宋_GB2312"/>
          <w:color w:val="333333"/>
          <w:sz w:val="32"/>
          <w:szCs w:val="32"/>
          <w:lang w:val="en-US" w:eastAsia="zh-CN"/>
        </w:rPr>
        <w:t>昌江区</w:t>
      </w:r>
      <w:r>
        <w:rPr>
          <w:rFonts w:hint="eastAsia" w:ascii="仿宋_GB2312" w:hAnsi="微软雅黑" w:eastAsia="仿宋_GB2312"/>
          <w:color w:val="333333"/>
          <w:sz w:val="32"/>
          <w:szCs w:val="32"/>
        </w:rPr>
        <w:t>人民政府</w:t>
      </w:r>
    </w:p>
    <w:p>
      <w:pPr>
        <w:pStyle w:val="7"/>
        <w:shd w:val="clear" w:color="auto" w:fill="FFFFFF"/>
        <w:spacing w:before="0" w:beforeAutospacing="0" w:after="0" w:afterAutospacing="0"/>
        <w:jc w:val="both"/>
        <w:rPr>
          <w:rFonts w:hint="default" w:ascii="仿宋_GB2312" w:hAnsi="微软雅黑" w:eastAsia="仿宋_GB2312"/>
          <w:color w:val="333333"/>
          <w:sz w:val="32"/>
          <w:szCs w:val="32"/>
          <w:lang w:val="en-US" w:eastAsia="zh-CN"/>
        </w:rPr>
      </w:pPr>
      <w:r>
        <w:rPr>
          <w:rFonts w:hint="eastAsia" w:ascii="仿宋_GB2312" w:hAnsi="微软雅黑" w:eastAsia="仿宋_GB2312"/>
          <w:color w:val="333333"/>
          <w:sz w:val="32"/>
          <w:szCs w:val="32"/>
        </w:rPr>
        <w:t>被征收人：</w:t>
      </w:r>
      <w:r>
        <w:rPr>
          <w:rFonts w:hint="eastAsia" w:ascii="仿宋_GB2312" w:hAnsi="微软雅黑" w:eastAsia="仿宋_GB2312"/>
          <w:color w:val="333333"/>
          <w:sz w:val="32"/>
          <w:szCs w:val="32"/>
          <w:lang w:val="en-US" w:eastAsia="zh-CN"/>
        </w:rPr>
        <w:t>鲇鱼山镇新桥村委会</w:t>
      </w:r>
    </w:p>
    <w:p>
      <w:pPr>
        <w:pStyle w:val="7"/>
        <w:shd w:val="clear" w:color="auto" w:fill="FFFFFF"/>
        <w:spacing w:before="0" w:beforeAutospacing="0" w:after="0" w:afterAutospacing="0"/>
        <w:ind w:firstLine="480"/>
        <w:jc w:val="both"/>
        <w:rPr>
          <w:rFonts w:ascii="黑体" w:hAnsi="黑体" w:eastAsia="黑体"/>
          <w:color w:val="333333"/>
          <w:sz w:val="32"/>
          <w:szCs w:val="32"/>
        </w:rPr>
      </w:pPr>
      <w:r>
        <w:rPr>
          <w:rFonts w:hint="eastAsia" w:ascii="黑体" w:hAnsi="黑体" w:eastAsia="黑体"/>
          <w:color w:val="333333"/>
          <w:sz w:val="32"/>
          <w:szCs w:val="32"/>
        </w:rPr>
        <w:t>一、征收土地基本情况</w:t>
      </w:r>
    </w:p>
    <w:p>
      <w:pPr>
        <w:spacing w:line="600" w:lineRule="exact"/>
        <w:ind w:firstLine="640" w:firstLineChars="200"/>
        <w:rPr>
          <w:rFonts w:hint="default" w:ascii="仿宋_GB2312"/>
          <w:szCs w:val="32"/>
          <w:lang w:val="en-US"/>
        </w:rPr>
      </w:pPr>
      <w:r>
        <w:rPr>
          <w:rFonts w:hint="eastAsia" w:ascii="仿宋_GB2312" w:hAnsi="微软雅黑" w:eastAsia="仿宋_GB2312" w:cs="宋体"/>
          <w:color w:val="333333"/>
          <w:sz w:val="32"/>
          <w:szCs w:val="32"/>
          <w:lang w:val="en-US" w:eastAsia="zh-CN" w:bidi="ar-SA"/>
        </w:rPr>
        <w:t>（一）景德镇市</w:t>
      </w:r>
      <w:r>
        <w:rPr>
          <w:rFonts w:hint="eastAsia" w:ascii="仿宋_GB2312" w:hAnsi="微软雅黑" w:cs="宋体"/>
          <w:color w:val="333333"/>
          <w:sz w:val="32"/>
          <w:szCs w:val="32"/>
          <w:lang w:val="en-US" w:eastAsia="zh-CN" w:bidi="ar-SA"/>
        </w:rPr>
        <w:t>2022</w:t>
      </w:r>
      <w:r>
        <w:rPr>
          <w:rFonts w:hint="eastAsia" w:ascii="仿宋_GB2312" w:hAnsi="微软雅黑" w:eastAsia="仿宋_GB2312" w:cs="宋体"/>
          <w:color w:val="333333"/>
          <w:sz w:val="32"/>
          <w:szCs w:val="32"/>
          <w:lang w:val="en-US" w:eastAsia="zh-CN" w:bidi="ar-SA"/>
        </w:rPr>
        <w:t>年度第</w:t>
      </w:r>
      <w:r>
        <w:rPr>
          <w:rFonts w:hint="eastAsia" w:ascii="仿宋_GB2312" w:hAnsi="微软雅黑" w:cs="宋体"/>
          <w:color w:val="333333"/>
          <w:sz w:val="32"/>
          <w:szCs w:val="32"/>
          <w:lang w:val="en-US" w:eastAsia="zh-CN" w:bidi="ar-SA"/>
        </w:rPr>
        <w:t>4</w:t>
      </w:r>
      <w:r>
        <w:rPr>
          <w:rFonts w:hint="eastAsia" w:ascii="仿宋_GB2312" w:hAnsi="微软雅黑" w:eastAsia="仿宋_GB2312" w:cs="宋体"/>
          <w:color w:val="333333"/>
          <w:sz w:val="32"/>
          <w:szCs w:val="32"/>
          <w:lang w:val="en-US" w:eastAsia="zh-CN" w:bidi="ar-SA"/>
        </w:rPr>
        <w:t>批次城市建设用地经</w:t>
      </w:r>
      <w:bookmarkStart w:id="0" w:name="_Hlk104385500"/>
      <w:r>
        <w:rPr>
          <w:rFonts w:hint="eastAsia" w:ascii="仿宋_GB2312" w:hAnsi="微软雅黑" w:eastAsia="仿宋_GB2312" w:cs="宋体"/>
          <w:color w:val="333333"/>
          <w:sz w:val="32"/>
          <w:szCs w:val="32"/>
          <w:lang w:val="en-US" w:eastAsia="zh-CN" w:bidi="ar-SA"/>
        </w:rPr>
        <w:t>省人民政府</w:t>
      </w:r>
      <w:bookmarkEnd w:id="0"/>
      <w:r>
        <w:rPr>
          <w:rFonts w:hint="eastAsia" w:ascii="仿宋_GB2312" w:hAnsi="微软雅黑" w:eastAsia="仿宋_GB2312" w:cs="宋体"/>
          <w:color w:val="333333"/>
          <w:sz w:val="32"/>
          <w:szCs w:val="32"/>
          <w:lang w:val="en-US" w:eastAsia="zh-CN" w:bidi="ar-SA"/>
        </w:rPr>
        <w:t>批准，于</w:t>
      </w:r>
      <w:r>
        <w:rPr>
          <w:rFonts w:hint="eastAsia" w:ascii="仿宋_GB2312" w:hAnsi="微软雅黑" w:cs="宋体"/>
          <w:color w:val="333333"/>
          <w:sz w:val="32"/>
          <w:szCs w:val="32"/>
          <w:lang w:val="en-US" w:eastAsia="zh-CN" w:bidi="ar-SA"/>
        </w:rPr>
        <w:t>2022</w:t>
      </w:r>
      <w:r>
        <w:rPr>
          <w:rFonts w:hint="eastAsia" w:ascii="仿宋_GB2312" w:hAnsi="微软雅黑" w:eastAsia="仿宋_GB2312" w:cs="宋体"/>
          <w:color w:val="333333"/>
          <w:sz w:val="32"/>
          <w:szCs w:val="32"/>
          <w:lang w:val="en-US" w:eastAsia="zh-CN" w:bidi="ar-SA"/>
        </w:rPr>
        <w:t>年</w:t>
      </w:r>
      <w:r>
        <w:rPr>
          <w:rFonts w:hint="eastAsia" w:ascii="仿宋_GB2312" w:hAnsi="微软雅黑" w:cs="宋体"/>
          <w:color w:val="333333"/>
          <w:sz w:val="32"/>
          <w:szCs w:val="32"/>
          <w:lang w:val="en-US" w:eastAsia="zh-CN" w:bidi="ar-SA"/>
        </w:rPr>
        <w:t>12</w:t>
      </w:r>
      <w:r>
        <w:rPr>
          <w:rFonts w:hint="eastAsia" w:ascii="仿宋_GB2312" w:hAnsi="微软雅黑" w:eastAsia="仿宋_GB2312" w:cs="宋体"/>
          <w:color w:val="333333"/>
          <w:sz w:val="32"/>
          <w:szCs w:val="32"/>
          <w:lang w:val="en-US" w:eastAsia="zh-CN" w:bidi="ar-SA"/>
        </w:rPr>
        <w:t>月</w:t>
      </w:r>
      <w:r>
        <w:rPr>
          <w:rFonts w:hint="eastAsia" w:ascii="仿宋_GB2312" w:hAnsi="微软雅黑" w:cs="宋体"/>
          <w:color w:val="333333"/>
          <w:sz w:val="32"/>
          <w:szCs w:val="32"/>
          <w:lang w:val="en-US" w:eastAsia="zh-CN" w:bidi="ar-SA"/>
        </w:rPr>
        <w:t>6</w:t>
      </w:r>
      <w:r>
        <w:rPr>
          <w:rFonts w:hint="eastAsia" w:ascii="仿宋_GB2312" w:hAnsi="微软雅黑" w:eastAsia="仿宋_GB2312" w:cs="宋体"/>
          <w:color w:val="333333"/>
          <w:sz w:val="32"/>
          <w:szCs w:val="32"/>
          <w:lang w:val="en-US" w:eastAsia="zh-CN" w:bidi="ar-SA"/>
        </w:rPr>
        <w:t>日取得用地批复（批复文号：赣</w:t>
      </w:r>
      <w:r>
        <w:rPr>
          <w:rFonts w:hint="eastAsia" w:ascii="仿宋_GB2312" w:hAnsi="微软雅黑" w:cs="宋体"/>
          <w:color w:val="333333"/>
          <w:sz w:val="32"/>
          <w:szCs w:val="32"/>
          <w:lang w:val="en-US" w:eastAsia="zh-CN" w:bidi="ar-SA"/>
        </w:rPr>
        <w:t>土批字</w:t>
      </w:r>
      <w:r>
        <w:rPr>
          <w:rFonts w:hint="eastAsia" w:ascii="仿宋_GB2312" w:hAnsi="微软雅黑" w:eastAsia="仿宋_GB2312"/>
          <w:color w:val="333333"/>
          <w:sz w:val="32"/>
          <w:szCs w:val="32"/>
        </w:rPr>
        <w:t>〔</w:t>
      </w:r>
      <w:r>
        <w:rPr>
          <w:rFonts w:hint="eastAsia" w:ascii="仿宋_GB2312" w:hAnsi="微软雅黑"/>
          <w:color w:val="333333"/>
          <w:sz w:val="32"/>
          <w:szCs w:val="32"/>
          <w:lang w:val="en-US" w:eastAsia="zh-CN"/>
        </w:rPr>
        <w:t>2022</w:t>
      </w:r>
      <w:r>
        <w:rPr>
          <w:rFonts w:hint="eastAsia" w:ascii="仿宋_GB2312" w:hAnsi="微软雅黑" w:eastAsia="仿宋_GB2312"/>
          <w:color w:val="333333"/>
          <w:sz w:val="32"/>
          <w:szCs w:val="32"/>
        </w:rPr>
        <w:t>〕</w:t>
      </w:r>
      <w:r>
        <w:rPr>
          <w:rFonts w:hint="eastAsia" w:ascii="仿宋_GB2312" w:hAnsi="微软雅黑"/>
          <w:color w:val="333333"/>
          <w:sz w:val="32"/>
          <w:szCs w:val="32"/>
          <w:lang w:val="en-US" w:eastAsia="zh-CN"/>
        </w:rPr>
        <w:t>346</w:t>
      </w:r>
      <w:r>
        <w:rPr>
          <w:rFonts w:hint="eastAsia" w:ascii="仿宋_GB2312" w:hAnsi="微软雅黑" w:eastAsia="仿宋_GB2312" w:cs="宋体"/>
          <w:color w:val="333333"/>
          <w:sz w:val="32"/>
          <w:szCs w:val="32"/>
          <w:lang w:val="en-US" w:eastAsia="zh-CN" w:bidi="ar-SA"/>
        </w:rPr>
        <w:t>号）；本次拟征地总面积</w:t>
      </w:r>
      <w:r>
        <w:rPr>
          <w:rFonts w:hint="eastAsia" w:ascii="仿宋_GB2312" w:hAnsi="微软雅黑" w:cs="宋体"/>
          <w:color w:val="333333"/>
          <w:sz w:val="32"/>
          <w:szCs w:val="32"/>
          <w:lang w:val="en-US" w:eastAsia="zh-CN" w:bidi="ar-SA"/>
        </w:rPr>
        <w:t>30.237</w:t>
      </w:r>
      <w:r>
        <w:rPr>
          <w:rFonts w:hint="eastAsia" w:ascii="仿宋_GB2312" w:hAnsi="微软雅黑" w:eastAsia="仿宋_GB2312" w:cs="宋体"/>
          <w:color w:val="333333"/>
          <w:sz w:val="32"/>
          <w:szCs w:val="32"/>
          <w:lang w:val="en-US" w:eastAsia="zh-CN" w:bidi="ar-SA"/>
        </w:rPr>
        <w:t>亩。</w:t>
      </w:r>
      <w:r>
        <w:rPr>
          <w:rFonts w:hint="eastAsia" w:ascii="仿宋_GB2312" w:hAnsi="微软雅黑" w:cs="宋体"/>
          <w:color w:val="333333"/>
          <w:sz w:val="32"/>
          <w:szCs w:val="32"/>
          <w:lang w:val="en-US" w:eastAsia="zh-CN" w:bidi="ar-SA"/>
        </w:rPr>
        <w:t>其中：林地22.62亩、坑塘水面</w:t>
      </w:r>
      <w:bookmarkStart w:id="1" w:name="_GoBack"/>
      <w:bookmarkEnd w:id="1"/>
      <w:r>
        <w:rPr>
          <w:rFonts w:hint="eastAsia" w:ascii="仿宋_GB2312" w:hAnsi="微软雅黑" w:cs="宋体"/>
          <w:color w:val="333333"/>
          <w:sz w:val="32"/>
          <w:szCs w:val="32"/>
          <w:lang w:val="en-US" w:eastAsia="zh-CN" w:bidi="ar-SA"/>
        </w:rPr>
        <w:t>6.852亩、村庄0.765亩。</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82"/>
        <w:jc w:val="both"/>
        <w:textAlignment w:val="auto"/>
        <w:rPr>
          <w:rFonts w:hint="eastAsia" w:ascii="仿宋_GB2312" w:hAnsi="微软雅黑" w:eastAsia="仿宋_GB2312"/>
          <w:color w:val="333333"/>
          <w:sz w:val="32"/>
          <w:szCs w:val="32"/>
        </w:rPr>
      </w:pPr>
      <w:r>
        <w:rPr>
          <w:rFonts w:hint="eastAsia" w:ascii="仿宋_GB2312" w:hAnsi="穝灿砰" w:eastAsia="仿宋_GB2312"/>
          <w:spacing w:val="-3"/>
          <w:sz w:val="32"/>
          <w:szCs w:val="32"/>
        </w:rPr>
        <w:t>（二）</w:t>
      </w:r>
      <w:r>
        <w:rPr>
          <w:rFonts w:hint="eastAsia" w:ascii="仿宋_GB2312" w:hAnsi="微软雅黑" w:eastAsia="仿宋_GB2312"/>
          <w:color w:val="333333"/>
          <w:sz w:val="32"/>
          <w:szCs w:val="32"/>
          <w:lang w:val="en-US" w:eastAsia="zh-CN"/>
        </w:rPr>
        <w:t>昌江区</w:t>
      </w:r>
      <w:r>
        <w:rPr>
          <w:rFonts w:hint="eastAsia" w:ascii="仿宋_GB2312" w:hAnsi="微软雅黑" w:eastAsia="仿宋_GB2312"/>
          <w:color w:val="333333"/>
          <w:sz w:val="32"/>
          <w:szCs w:val="32"/>
        </w:rPr>
        <w:t>人民政府已于</w:t>
      </w:r>
      <w:r>
        <w:rPr>
          <w:rFonts w:hint="eastAsia" w:ascii="仿宋_GB2312" w:hAnsi="微软雅黑" w:eastAsia="仿宋_GB2312"/>
          <w:color w:val="333333"/>
          <w:sz w:val="32"/>
          <w:szCs w:val="32"/>
          <w:lang w:val="en-US" w:eastAsia="zh-CN"/>
        </w:rPr>
        <w:t>2023</w:t>
      </w:r>
      <w:r>
        <w:rPr>
          <w:rFonts w:hint="eastAsia" w:ascii="仿宋_GB2312" w:hAnsi="微软雅黑" w:eastAsia="仿宋_GB2312"/>
          <w:color w:val="333333"/>
          <w:sz w:val="32"/>
          <w:szCs w:val="32"/>
        </w:rPr>
        <w:t>年</w:t>
      </w:r>
      <w:r>
        <w:rPr>
          <w:rFonts w:hint="eastAsia" w:ascii="仿宋_GB2312" w:hAnsi="微软雅黑" w:eastAsia="仿宋_GB2312"/>
          <w:color w:val="333333"/>
          <w:sz w:val="32"/>
          <w:szCs w:val="32"/>
          <w:lang w:val="en-US" w:eastAsia="zh-CN"/>
        </w:rPr>
        <w:t>3</w:t>
      </w:r>
      <w:r>
        <w:rPr>
          <w:rFonts w:hint="eastAsia" w:ascii="仿宋_GB2312" w:hAnsi="微软雅黑" w:eastAsia="仿宋_GB2312"/>
          <w:color w:val="333333"/>
          <w:sz w:val="32"/>
          <w:szCs w:val="32"/>
        </w:rPr>
        <w:t>月</w:t>
      </w:r>
      <w:r>
        <w:rPr>
          <w:rFonts w:hint="eastAsia" w:ascii="仿宋_GB2312" w:hAnsi="微软雅黑" w:eastAsia="仿宋_GB2312"/>
          <w:color w:val="333333"/>
          <w:sz w:val="32"/>
          <w:szCs w:val="32"/>
          <w:lang w:val="en-US" w:eastAsia="zh-CN"/>
        </w:rPr>
        <w:t>21</w:t>
      </w:r>
      <w:r>
        <w:rPr>
          <w:rFonts w:hint="eastAsia" w:ascii="仿宋_GB2312" w:hAnsi="微软雅黑" w:eastAsia="仿宋_GB2312"/>
          <w:color w:val="333333"/>
          <w:sz w:val="32"/>
          <w:szCs w:val="32"/>
        </w:rPr>
        <w:t>日发布征收土地公告。被征收人</w:t>
      </w:r>
      <w:r>
        <w:rPr>
          <w:rFonts w:hint="eastAsia" w:ascii="仿宋_GB2312" w:hAnsi="微软雅黑" w:eastAsia="仿宋_GB2312"/>
          <w:color w:val="333333"/>
          <w:sz w:val="32"/>
          <w:szCs w:val="32"/>
          <w:lang w:val="en-US" w:eastAsia="zh-CN"/>
        </w:rPr>
        <w:t>鲇鱼山镇新桥村</w:t>
      </w:r>
      <w:r>
        <w:rPr>
          <w:rFonts w:hint="eastAsia" w:ascii="仿宋_GB2312" w:hAnsi="微软雅黑" w:eastAsia="仿宋_GB2312"/>
          <w:color w:val="333333"/>
          <w:sz w:val="32"/>
          <w:szCs w:val="32"/>
        </w:rPr>
        <w:t>承包土地青苗</w:t>
      </w:r>
      <w:r>
        <w:rPr>
          <w:rFonts w:hint="eastAsia" w:ascii="仿宋_GB2312" w:hAnsi="微软雅黑" w:eastAsia="仿宋_GB2312"/>
          <w:color w:val="333333"/>
          <w:sz w:val="32"/>
          <w:szCs w:val="32"/>
          <w:lang w:eastAsia="zh-CN"/>
        </w:rPr>
        <w:t>、</w:t>
      </w:r>
      <w:r>
        <w:rPr>
          <w:rFonts w:hint="eastAsia" w:ascii="仿宋_GB2312" w:hAnsi="微软雅黑" w:eastAsia="仿宋_GB2312"/>
          <w:color w:val="333333"/>
          <w:sz w:val="32"/>
          <w:szCs w:val="32"/>
          <w:lang w:val="en-US" w:eastAsia="zh-CN"/>
        </w:rPr>
        <w:t>树木及地上附着物</w:t>
      </w:r>
      <w:r>
        <w:rPr>
          <w:rFonts w:hint="eastAsia" w:ascii="仿宋_GB2312" w:hAnsi="微软雅黑" w:eastAsia="仿宋_GB2312"/>
          <w:color w:val="333333"/>
          <w:sz w:val="32"/>
          <w:szCs w:val="32"/>
        </w:rPr>
        <w:t>等位于拟征收范围内。</w:t>
      </w:r>
      <w:r>
        <w:rPr>
          <w:rFonts w:hint="eastAsia" w:ascii="仿宋_GB2312" w:hAnsi="微软雅黑" w:eastAsia="仿宋_GB2312"/>
          <w:color w:val="333333"/>
          <w:sz w:val="32"/>
          <w:szCs w:val="32"/>
          <w:lang w:val="en-US" w:eastAsia="zh-CN"/>
        </w:rPr>
        <w:t xml:space="preserve"> </w:t>
      </w:r>
      <w:r>
        <w:rPr>
          <w:rFonts w:hint="eastAsia" w:ascii="仿宋_GB2312" w:hAnsi="微软雅黑" w:eastAsia="仿宋_GB2312"/>
          <w:color w:val="333333"/>
          <w:sz w:val="32"/>
          <w:szCs w:val="32"/>
        </w:rPr>
        <w:t>经调查确认，</w:t>
      </w:r>
      <w:r>
        <w:rPr>
          <w:rFonts w:hint="eastAsia" w:ascii="仿宋_GB2312" w:hAnsi="微软雅黑" w:eastAsia="仿宋_GB2312"/>
          <w:color w:val="333333"/>
          <w:sz w:val="32"/>
          <w:szCs w:val="32"/>
          <w:lang w:val="en-US" w:eastAsia="zh-CN"/>
        </w:rPr>
        <w:t>征收土地总</w:t>
      </w:r>
      <w:r>
        <w:rPr>
          <w:rFonts w:hint="eastAsia" w:ascii="仿宋_GB2312" w:hAnsi="微软雅黑" w:eastAsia="仿宋_GB2312"/>
          <w:color w:val="333333"/>
          <w:sz w:val="32"/>
          <w:szCs w:val="32"/>
        </w:rPr>
        <w:t>面积</w:t>
      </w:r>
      <w:r>
        <w:rPr>
          <w:rFonts w:hint="eastAsia" w:ascii="仿宋_GB2312" w:hAnsi="微软雅黑" w:eastAsia="仿宋_GB2312"/>
          <w:color w:val="333333"/>
          <w:sz w:val="32"/>
          <w:szCs w:val="32"/>
          <w:lang w:val="en-US" w:eastAsia="zh-CN"/>
        </w:rPr>
        <w:t>30.237</w:t>
      </w:r>
      <w:r>
        <w:rPr>
          <w:rFonts w:hint="eastAsia" w:ascii="仿宋_GB2312" w:hAnsi="微软雅黑" w:eastAsia="仿宋_GB2312"/>
          <w:color w:val="333333"/>
          <w:sz w:val="32"/>
          <w:szCs w:val="32"/>
        </w:rPr>
        <w:t>亩，</w:t>
      </w:r>
      <w:r>
        <w:rPr>
          <w:rFonts w:hint="eastAsia" w:ascii="仿宋_GB2312" w:hAnsi="微软雅黑" w:eastAsia="仿宋_GB2312"/>
          <w:color w:val="333333"/>
          <w:sz w:val="32"/>
          <w:szCs w:val="32"/>
          <w:lang w:val="en-US" w:eastAsia="zh-CN"/>
        </w:rPr>
        <w:t>林地及其他农用地青苗29.472亩</w:t>
      </w:r>
      <w:r>
        <w:rPr>
          <w:rFonts w:hint="eastAsia" w:ascii="仿宋_GB2312" w:hAnsi="微软雅黑" w:eastAsia="仿宋_GB2312"/>
          <w:color w:val="333333"/>
          <w:sz w:val="32"/>
          <w:szCs w:val="32"/>
        </w:rPr>
        <w:t>。按照赣府字〔2020〕9号</w:t>
      </w:r>
      <w:r>
        <w:rPr>
          <w:rFonts w:hint="eastAsia" w:ascii="仿宋_GB2312" w:hAnsi="微软雅黑" w:eastAsia="仿宋_GB2312"/>
          <w:color w:val="333333"/>
          <w:sz w:val="32"/>
          <w:szCs w:val="32"/>
          <w:lang w:val="en-US" w:eastAsia="zh-CN"/>
        </w:rPr>
        <w:t>等</w:t>
      </w:r>
      <w:r>
        <w:rPr>
          <w:rFonts w:hint="eastAsia" w:ascii="仿宋_GB2312" w:hAnsi="微软雅黑" w:eastAsia="仿宋_GB2312"/>
          <w:color w:val="333333"/>
          <w:sz w:val="32"/>
          <w:szCs w:val="32"/>
        </w:rPr>
        <w:t>有关规定，涉及补偿</w:t>
      </w:r>
      <w:r>
        <w:rPr>
          <w:rFonts w:hint="eastAsia" w:ascii="仿宋_GB2312" w:hAnsi="微软雅黑" w:eastAsia="仿宋_GB2312"/>
          <w:color w:val="333333"/>
          <w:sz w:val="32"/>
          <w:szCs w:val="32"/>
          <w:lang w:val="en-US" w:eastAsia="zh-CN"/>
        </w:rPr>
        <w:t>总</w:t>
      </w:r>
      <w:r>
        <w:rPr>
          <w:rFonts w:hint="eastAsia" w:ascii="仿宋_GB2312" w:hAnsi="微软雅黑" w:eastAsia="仿宋_GB2312"/>
          <w:color w:val="333333"/>
          <w:sz w:val="32"/>
          <w:szCs w:val="32"/>
        </w:rPr>
        <w:t>金额</w:t>
      </w:r>
      <w:r>
        <w:rPr>
          <w:rFonts w:hint="eastAsia" w:ascii="仿宋_GB2312" w:hAnsi="微软雅黑" w:eastAsia="仿宋_GB2312"/>
          <w:color w:val="333333"/>
          <w:sz w:val="32"/>
          <w:szCs w:val="32"/>
          <w:lang w:val="en-US" w:eastAsia="zh-CN"/>
        </w:rPr>
        <w:t>96.2443万元</w:t>
      </w:r>
      <w:r>
        <w:rPr>
          <w:rFonts w:hint="eastAsia" w:ascii="仿宋_GB2312" w:hAnsi="微软雅黑" w:eastAsia="仿宋_GB2312"/>
          <w:color w:val="333333"/>
          <w:sz w:val="32"/>
          <w:szCs w:val="32"/>
        </w:rPr>
        <w:t>，安置方式按照赣府字〔20</w:t>
      </w:r>
      <w:r>
        <w:rPr>
          <w:rFonts w:hint="eastAsia" w:ascii="仿宋_GB2312" w:hAnsi="微软雅黑" w:eastAsia="仿宋_GB2312"/>
          <w:color w:val="333333"/>
          <w:sz w:val="32"/>
          <w:szCs w:val="32"/>
          <w:lang w:val="en-US" w:eastAsia="zh-CN"/>
        </w:rPr>
        <w:t>14</w:t>
      </w:r>
      <w:r>
        <w:rPr>
          <w:rFonts w:hint="eastAsia" w:ascii="仿宋_GB2312" w:hAnsi="微软雅黑" w:eastAsia="仿宋_GB2312"/>
          <w:color w:val="333333"/>
          <w:sz w:val="32"/>
          <w:szCs w:val="32"/>
        </w:rPr>
        <w:t>〕</w:t>
      </w:r>
      <w:r>
        <w:rPr>
          <w:rFonts w:hint="eastAsia" w:ascii="仿宋_GB2312" w:hAnsi="微软雅黑" w:eastAsia="仿宋_GB2312"/>
          <w:color w:val="333333"/>
          <w:sz w:val="32"/>
          <w:szCs w:val="32"/>
          <w:lang w:val="en-US" w:eastAsia="zh-CN"/>
        </w:rPr>
        <w:t>12</w:t>
      </w:r>
      <w:r>
        <w:rPr>
          <w:rFonts w:hint="eastAsia" w:ascii="仿宋_GB2312" w:hAnsi="微软雅黑" w:eastAsia="仿宋_GB2312"/>
          <w:color w:val="333333"/>
          <w:sz w:val="32"/>
          <w:szCs w:val="32"/>
        </w:rPr>
        <w:t>号</w:t>
      </w:r>
      <w:r>
        <w:rPr>
          <w:rFonts w:hint="eastAsia" w:ascii="仿宋_GB2312" w:hAnsi="微软雅黑" w:eastAsia="仿宋_GB2312"/>
          <w:color w:val="333333"/>
          <w:sz w:val="32"/>
          <w:szCs w:val="32"/>
          <w:lang w:val="en-US" w:eastAsia="zh-CN"/>
        </w:rPr>
        <w:t>等有关政策</w:t>
      </w:r>
      <w:r>
        <w:rPr>
          <w:rFonts w:hint="eastAsia" w:ascii="仿宋_GB2312" w:hAnsi="微软雅黑" w:eastAsia="仿宋_GB2312"/>
          <w:color w:val="333333"/>
          <w:sz w:val="32"/>
          <w:szCs w:val="32"/>
        </w:rPr>
        <w:t>执行。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82"/>
        <w:jc w:val="both"/>
        <w:textAlignment w:val="auto"/>
        <w:rPr>
          <w:rFonts w:hint="eastAsia" w:ascii="黑体" w:hAnsi="黑体" w:eastAsia="黑体"/>
          <w:color w:val="333333"/>
          <w:sz w:val="32"/>
          <w:szCs w:val="32"/>
        </w:rPr>
      </w:pPr>
      <w:r>
        <w:rPr>
          <w:rFonts w:hint="eastAsia" w:ascii="黑体" w:hAnsi="黑体" w:eastAsia="黑体"/>
          <w:color w:val="333333"/>
          <w:sz w:val="32"/>
          <w:szCs w:val="32"/>
          <w:lang w:val="en-US" w:eastAsia="zh-CN"/>
        </w:rPr>
        <w:t>二、</w:t>
      </w:r>
      <w:r>
        <w:rPr>
          <w:rFonts w:hint="eastAsia" w:ascii="黑体" w:hAnsi="黑体" w:eastAsia="黑体"/>
          <w:color w:val="333333"/>
          <w:sz w:val="32"/>
          <w:szCs w:val="32"/>
        </w:rPr>
        <w:t>补偿安置决定</w:t>
      </w:r>
    </w:p>
    <w:p>
      <w:pPr>
        <w:pStyle w:val="7"/>
        <w:shd w:val="clear" w:color="auto" w:fill="FFFFFF"/>
        <w:spacing w:before="0" w:beforeAutospacing="0" w:after="0" w:afterAutospacing="0"/>
        <w:ind w:firstLine="48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现已超出规定的补偿登记期限，双方未达成协议。为了维护公共利益，保障被征收的合法权益，根据《中华人民共和国土地管理法实施条例》第3</w:t>
      </w:r>
      <w:r>
        <w:rPr>
          <w:rFonts w:ascii="仿宋_GB2312" w:hAnsi="微软雅黑" w:eastAsia="仿宋_GB2312"/>
          <w:color w:val="333333"/>
          <w:sz w:val="32"/>
          <w:szCs w:val="32"/>
        </w:rPr>
        <w:t>1</w:t>
      </w:r>
      <w:r>
        <w:rPr>
          <w:rFonts w:hint="eastAsia" w:ascii="仿宋_GB2312" w:hAnsi="微软雅黑" w:eastAsia="仿宋_GB2312"/>
          <w:color w:val="333333"/>
          <w:sz w:val="32"/>
          <w:szCs w:val="32"/>
        </w:rPr>
        <w:t>条、《江西省征收土地管理办法》第2</w:t>
      </w:r>
      <w:r>
        <w:rPr>
          <w:rFonts w:ascii="仿宋_GB2312" w:hAnsi="微软雅黑" w:eastAsia="仿宋_GB2312"/>
          <w:color w:val="333333"/>
          <w:sz w:val="32"/>
          <w:szCs w:val="32"/>
        </w:rPr>
        <w:t>0</w:t>
      </w:r>
      <w:r>
        <w:rPr>
          <w:rFonts w:hint="eastAsia" w:ascii="仿宋_GB2312" w:hAnsi="微软雅黑" w:eastAsia="仿宋_GB2312"/>
          <w:color w:val="333333"/>
          <w:sz w:val="32"/>
          <w:szCs w:val="32"/>
        </w:rPr>
        <w:t>条等有关规定，按照征地补偿安置方案和补偿登记结果，作出征地补偿安置决定如下：</w:t>
      </w:r>
    </w:p>
    <w:p>
      <w:pPr>
        <w:pStyle w:val="3"/>
        <w:spacing w:line="460" w:lineRule="exact"/>
        <w:ind w:left="0" w:leftChars="0"/>
        <w:jc w:val="center"/>
        <w:rPr>
          <w:rFonts w:ascii="黑体" w:eastAsia="黑体"/>
          <w:sz w:val="32"/>
          <w:szCs w:val="32"/>
        </w:rPr>
      </w:pPr>
      <w:r>
        <w:rPr>
          <w:rFonts w:hint="eastAsia" w:ascii="黑体" w:eastAsia="黑体"/>
          <w:sz w:val="28"/>
          <w:szCs w:val="28"/>
        </w:rPr>
        <w:t>表1</w:t>
      </w:r>
      <w:r>
        <w:rPr>
          <w:rFonts w:ascii="黑体" w:eastAsia="黑体"/>
          <w:sz w:val="28"/>
          <w:szCs w:val="28"/>
        </w:rPr>
        <w:t xml:space="preserve"> </w:t>
      </w:r>
      <w:r>
        <w:rPr>
          <w:rFonts w:hint="eastAsia" w:ascii="黑体" w:eastAsia="黑体"/>
          <w:sz w:val="28"/>
          <w:szCs w:val="28"/>
        </w:rPr>
        <w:t>土地补偿标准及补偿费用表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336"/>
        <w:gridCol w:w="1441"/>
        <w:gridCol w:w="2749"/>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8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序号</w:t>
            </w:r>
          </w:p>
        </w:tc>
        <w:tc>
          <w:tcPr>
            <w:tcW w:w="76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地类</w:t>
            </w:r>
          </w:p>
        </w:tc>
        <w:tc>
          <w:tcPr>
            <w:tcW w:w="82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面积（亩）</w:t>
            </w:r>
          </w:p>
        </w:tc>
        <w:tc>
          <w:tcPr>
            <w:tcW w:w="156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补偿标准（</w:t>
            </w:r>
            <w:r>
              <w:rPr>
                <w:rFonts w:hint="eastAsia" w:ascii="仿宋" w:hAnsi="仿宋" w:eastAsia="仿宋" w:cs="仿宋"/>
                <w:bCs/>
                <w:sz w:val="28"/>
                <w:szCs w:val="28"/>
                <w:lang w:val="en-US" w:eastAsia="zh-CN"/>
              </w:rPr>
              <w:t>万</w:t>
            </w:r>
            <w:r>
              <w:rPr>
                <w:rFonts w:hint="eastAsia" w:ascii="仿宋" w:hAnsi="仿宋" w:eastAsia="仿宋" w:cs="仿宋"/>
                <w:bCs/>
                <w:sz w:val="28"/>
                <w:szCs w:val="28"/>
              </w:rPr>
              <w:t>元/亩）</w:t>
            </w:r>
          </w:p>
        </w:tc>
        <w:tc>
          <w:tcPr>
            <w:tcW w:w="136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8"/>
                <w:szCs w:val="28"/>
              </w:rPr>
            </w:pPr>
            <w:r>
              <w:rPr>
                <w:rFonts w:hint="eastAsia" w:ascii="仿宋" w:hAnsi="仿宋" w:eastAsia="仿宋" w:cs="仿宋"/>
                <w:bCs/>
                <w:sz w:val="28"/>
                <w:szCs w:val="28"/>
              </w:rPr>
              <w:t>补偿金额（万元）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林地</w:t>
            </w:r>
          </w:p>
        </w:tc>
        <w:tc>
          <w:tcPr>
            <w:tcW w:w="8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22.62</w:t>
            </w:r>
          </w:p>
        </w:tc>
        <w:tc>
          <w:tcPr>
            <w:tcW w:w="15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1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坑塘水面</w:t>
            </w:r>
          </w:p>
        </w:tc>
        <w:tc>
          <w:tcPr>
            <w:tcW w:w="8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6.852</w:t>
            </w:r>
          </w:p>
        </w:tc>
        <w:tc>
          <w:tcPr>
            <w:tcW w:w="15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1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17.8152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村庄</w:t>
            </w:r>
          </w:p>
        </w:tc>
        <w:tc>
          <w:tcPr>
            <w:tcW w:w="8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0.765</w:t>
            </w:r>
          </w:p>
        </w:tc>
        <w:tc>
          <w:tcPr>
            <w:tcW w:w="15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5.24</w:t>
            </w:r>
          </w:p>
        </w:tc>
        <w:tc>
          <w:tcPr>
            <w:tcW w:w="1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4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8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30.237</w:t>
            </w:r>
          </w:p>
        </w:tc>
        <w:tc>
          <w:tcPr>
            <w:tcW w:w="15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eastAsia" w:ascii="仿宋" w:hAnsi="仿宋" w:eastAsia="仿宋" w:cs="仿宋"/>
                <w:sz w:val="28"/>
                <w:szCs w:val="28"/>
                <w:lang w:val="en-US" w:eastAsia="zh-CN"/>
              </w:rPr>
            </w:pPr>
          </w:p>
        </w:tc>
        <w:tc>
          <w:tcPr>
            <w:tcW w:w="1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80.6358</w:t>
            </w:r>
          </w:p>
        </w:tc>
      </w:tr>
    </w:tbl>
    <w:p>
      <w:pPr>
        <w:spacing w:line="500" w:lineRule="exact"/>
        <w:jc w:val="center"/>
        <w:rPr>
          <w:rFonts w:hint="eastAsia" w:ascii="黑体" w:hAnsi="宋体" w:eastAsia="黑体"/>
          <w:sz w:val="28"/>
          <w:szCs w:val="28"/>
        </w:rPr>
      </w:pPr>
    </w:p>
    <w:p>
      <w:pPr>
        <w:spacing w:line="500" w:lineRule="exact"/>
        <w:jc w:val="center"/>
        <w:rPr>
          <w:rFonts w:ascii="黑体" w:hAnsi="宋体" w:eastAsia="黑体"/>
          <w:sz w:val="28"/>
          <w:szCs w:val="28"/>
        </w:rPr>
      </w:pPr>
      <w:r>
        <w:rPr>
          <w:rFonts w:hint="eastAsia" w:ascii="黑体" w:hAnsi="宋体" w:eastAsia="黑体"/>
          <w:sz w:val="28"/>
          <w:szCs w:val="28"/>
        </w:rPr>
        <w:t>表</w:t>
      </w:r>
      <w:r>
        <w:rPr>
          <w:rFonts w:ascii="黑体" w:hAnsi="宋体" w:eastAsia="黑体"/>
          <w:sz w:val="28"/>
          <w:szCs w:val="28"/>
        </w:rPr>
        <w:t>2 青苗、</w:t>
      </w:r>
      <w:r>
        <w:rPr>
          <w:rFonts w:hint="eastAsia" w:ascii="黑体" w:hAnsi="宋体" w:eastAsia="黑体"/>
          <w:sz w:val="28"/>
          <w:szCs w:val="28"/>
        </w:rPr>
        <w:t>树木</w:t>
      </w:r>
      <w:r>
        <w:rPr>
          <w:rFonts w:hint="eastAsia" w:ascii="黑体" w:hAnsi="宋体" w:eastAsia="黑体"/>
          <w:sz w:val="28"/>
          <w:szCs w:val="28"/>
          <w:lang w:val="en-US" w:eastAsia="zh-CN"/>
        </w:rPr>
        <w:t>及地上附着物等</w:t>
      </w:r>
      <w:r>
        <w:rPr>
          <w:rFonts w:hint="eastAsia" w:ascii="黑体" w:hAnsi="宋体" w:eastAsia="黑体"/>
          <w:sz w:val="28"/>
          <w:szCs w:val="28"/>
        </w:rPr>
        <w:t>补偿标准及补偿费用表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2233"/>
        <w:gridCol w:w="1380"/>
        <w:gridCol w:w="1560"/>
        <w:gridCol w:w="163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shd w:val="clear" w:color="auto" w:fill="auto"/>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233" w:type="dxa"/>
            <w:shd w:val="clear" w:color="auto" w:fill="auto"/>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青苗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树木及地上附着物等名称</w:t>
            </w:r>
          </w:p>
        </w:tc>
        <w:tc>
          <w:tcPr>
            <w:tcW w:w="1380" w:type="dxa"/>
            <w:shd w:val="clear" w:color="auto" w:fill="auto"/>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地类</w:t>
            </w:r>
          </w:p>
        </w:tc>
        <w:tc>
          <w:tcPr>
            <w:tcW w:w="1560" w:type="dxa"/>
            <w:shd w:val="clear" w:color="auto" w:fill="auto"/>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数量</w:t>
            </w:r>
            <w:r>
              <w:rPr>
                <w:rFonts w:hint="eastAsia" w:ascii="仿宋" w:hAnsi="仿宋" w:eastAsia="仿宋" w:cs="仿宋"/>
                <w:sz w:val="28"/>
                <w:szCs w:val="28"/>
                <w:lang w:val="en-US" w:eastAsia="zh-CN"/>
              </w:rPr>
              <w:t>或面积（亩）</w:t>
            </w:r>
          </w:p>
        </w:tc>
        <w:tc>
          <w:tcPr>
            <w:tcW w:w="1635" w:type="dxa"/>
            <w:shd w:val="clear" w:color="auto" w:fill="auto"/>
            <w:vAlign w:val="center"/>
          </w:tcPr>
          <w:p>
            <w:pPr>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rPr>
              <w:t>补偿标准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万元/亩</w:t>
            </w:r>
            <w:r>
              <w:rPr>
                <w:rFonts w:hint="eastAsia" w:ascii="仿宋" w:hAnsi="仿宋" w:eastAsia="仿宋" w:cs="仿宋"/>
                <w:sz w:val="28"/>
                <w:szCs w:val="28"/>
                <w:lang w:eastAsia="zh-CN"/>
              </w:rPr>
              <w:t>）</w:t>
            </w:r>
          </w:p>
        </w:tc>
        <w:tc>
          <w:tcPr>
            <w:tcW w:w="1355" w:type="dxa"/>
            <w:shd w:val="clear" w:color="auto" w:fill="auto"/>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补偿金额（万元）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shd w:val="clear" w:color="auto" w:fill="auto"/>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233"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林地及其他农用地青苗</w:t>
            </w:r>
          </w:p>
        </w:tc>
        <w:tc>
          <w:tcPr>
            <w:tcW w:w="1380"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林地及其他农用地</w:t>
            </w:r>
          </w:p>
        </w:tc>
        <w:tc>
          <w:tcPr>
            <w:tcW w:w="1560"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29.472</w:t>
            </w:r>
          </w:p>
        </w:tc>
        <w:tc>
          <w:tcPr>
            <w:tcW w:w="1635"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0.2226</w:t>
            </w:r>
          </w:p>
        </w:tc>
        <w:tc>
          <w:tcPr>
            <w:tcW w:w="1355"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6.5605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233"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林地补助款</w:t>
            </w:r>
          </w:p>
        </w:tc>
        <w:tc>
          <w:tcPr>
            <w:tcW w:w="1380"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林地</w:t>
            </w:r>
          </w:p>
        </w:tc>
        <w:tc>
          <w:tcPr>
            <w:tcW w:w="1560"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22.62</w:t>
            </w:r>
          </w:p>
        </w:tc>
        <w:tc>
          <w:tcPr>
            <w:tcW w:w="1635"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0.4</w:t>
            </w:r>
          </w:p>
        </w:tc>
        <w:tc>
          <w:tcPr>
            <w:tcW w:w="1355" w:type="dxa"/>
            <w:shd w:val="clear" w:color="auto" w:fill="auto"/>
            <w:vAlign w:val="center"/>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shd w:val="clear" w:color="auto" w:fill="auto"/>
          </w:tcPr>
          <w:p>
            <w:pPr>
              <w:spacing w:line="400" w:lineRule="exact"/>
              <w:jc w:val="center"/>
              <w:rPr>
                <w:rFonts w:hint="eastAsia" w:ascii="仿宋" w:hAnsi="仿宋" w:eastAsia="仿宋" w:cs="仿宋"/>
                <w:sz w:val="28"/>
                <w:szCs w:val="28"/>
              </w:rPr>
            </w:pPr>
          </w:p>
        </w:tc>
        <w:tc>
          <w:tcPr>
            <w:tcW w:w="2233" w:type="dxa"/>
            <w:shd w:val="clear" w:color="auto" w:fill="auto"/>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1380" w:type="dxa"/>
            <w:shd w:val="clear" w:color="auto" w:fill="auto"/>
          </w:tcPr>
          <w:p>
            <w:pPr>
              <w:spacing w:line="400" w:lineRule="exact"/>
              <w:jc w:val="center"/>
              <w:rPr>
                <w:rFonts w:hint="eastAsia" w:ascii="仿宋" w:hAnsi="仿宋" w:eastAsia="仿宋" w:cs="仿宋"/>
                <w:sz w:val="28"/>
                <w:szCs w:val="28"/>
              </w:rPr>
            </w:pPr>
          </w:p>
        </w:tc>
        <w:tc>
          <w:tcPr>
            <w:tcW w:w="1560" w:type="dxa"/>
            <w:shd w:val="clear" w:color="auto" w:fill="auto"/>
          </w:tcPr>
          <w:p>
            <w:pPr>
              <w:spacing w:line="400" w:lineRule="exact"/>
              <w:jc w:val="center"/>
              <w:rPr>
                <w:rFonts w:hint="eastAsia" w:ascii="仿宋" w:hAnsi="仿宋" w:eastAsia="仿宋" w:cs="仿宋"/>
                <w:sz w:val="28"/>
                <w:szCs w:val="28"/>
              </w:rPr>
            </w:pPr>
          </w:p>
        </w:tc>
        <w:tc>
          <w:tcPr>
            <w:tcW w:w="1635" w:type="dxa"/>
            <w:shd w:val="clear" w:color="auto" w:fill="auto"/>
          </w:tcPr>
          <w:p>
            <w:pPr>
              <w:spacing w:line="400" w:lineRule="exact"/>
              <w:jc w:val="center"/>
              <w:rPr>
                <w:rFonts w:hint="eastAsia" w:ascii="仿宋" w:hAnsi="仿宋" w:eastAsia="仿宋" w:cs="仿宋"/>
                <w:sz w:val="28"/>
                <w:szCs w:val="28"/>
              </w:rPr>
            </w:pPr>
          </w:p>
        </w:tc>
        <w:tc>
          <w:tcPr>
            <w:tcW w:w="1355" w:type="dxa"/>
            <w:shd w:val="clear" w:color="auto" w:fill="auto"/>
          </w:tcPr>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15.6085</w:t>
            </w:r>
          </w:p>
        </w:tc>
      </w:tr>
    </w:tbl>
    <w:p>
      <w:pPr>
        <w:spacing w:line="500" w:lineRule="exact"/>
        <w:ind w:firstLine="480" w:firstLineChars="150"/>
        <w:rPr>
          <w:rFonts w:hint="eastAsia" w:ascii="仿宋_GB2312"/>
          <w:b w:val="0"/>
          <w:bCs/>
          <w:szCs w:val="32"/>
          <w:u w:val="none"/>
        </w:rPr>
      </w:pPr>
    </w:p>
    <w:p>
      <w:pPr>
        <w:spacing w:line="500" w:lineRule="exact"/>
        <w:ind w:firstLine="480" w:firstLineChars="150"/>
        <w:rPr>
          <w:rFonts w:hint="eastAsia" w:ascii="仿宋_GB2312"/>
          <w:b w:val="0"/>
          <w:bCs/>
          <w:szCs w:val="32"/>
          <w:u w:val="none"/>
        </w:rPr>
      </w:pPr>
      <w:r>
        <w:rPr>
          <w:rFonts w:hint="eastAsia" w:ascii="仿宋_GB2312"/>
          <w:b w:val="0"/>
          <w:bCs/>
          <w:szCs w:val="32"/>
          <w:u w:val="none"/>
        </w:rPr>
        <w:t>本次拟征收</w:t>
      </w:r>
      <w:r>
        <w:rPr>
          <w:rFonts w:hint="eastAsia" w:ascii="仿宋_GB2312"/>
          <w:b w:val="0"/>
          <w:bCs/>
          <w:szCs w:val="32"/>
          <w:u w:val="none"/>
          <w:lang w:val="en-US" w:eastAsia="zh-CN"/>
        </w:rPr>
        <w:t>以上表1和表2土地补偿费（含土地补偿费，安置补助费，青苗补偿费，林地补助款）</w:t>
      </w:r>
      <w:r>
        <w:rPr>
          <w:rFonts w:hint="eastAsia" w:ascii="仿宋_GB2312"/>
          <w:b w:val="0"/>
          <w:bCs/>
          <w:szCs w:val="32"/>
          <w:u w:val="none"/>
        </w:rPr>
        <w:t>总计人民币大写：</w:t>
      </w:r>
      <w:r>
        <w:rPr>
          <w:rFonts w:hint="eastAsia" w:ascii="仿宋_GB2312"/>
          <w:b w:val="0"/>
          <w:bCs/>
          <w:szCs w:val="32"/>
          <w:u w:val="none"/>
          <w:lang w:val="en-US" w:eastAsia="zh-CN"/>
        </w:rPr>
        <w:t>玖拾陆万贰仟肆佰肆拾叁元整</w:t>
      </w:r>
      <w:r>
        <w:rPr>
          <w:rFonts w:hint="eastAsia" w:ascii="仿宋_GB2312"/>
          <w:b w:val="0"/>
          <w:bCs/>
          <w:szCs w:val="32"/>
          <w:u w:val="none"/>
        </w:rPr>
        <w:t>（小写：</w:t>
      </w:r>
      <w:r>
        <w:rPr>
          <w:rFonts w:hint="eastAsia" w:ascii="仿宋_GB2312"/>
          <w:b w:val="0"/>
          <w:bCs/>
          <w:szCs w:val="32"/>
          <w:u w:val="none"/>
          <w:lang w:val="en-US" w:eastAsia="zh-CN"/>
        </w:rPr>
        <w:t>96.2443万</w:t>
      </w:r>
      <w:r>
        <w:rPr>
          <w:rFonts w:hint="eastAsia" w:ascii="仿宋_GB2312"/>
          <w:b w:val="0"/>
          <w:bCs/>
          <w:szCs w:val="32"/>
          <w:u w:val="none"/>
        </w:rPr>
        <w:t>元）。</w:t>
      </w:r>
    </w:p>
    <w:p>
      <w:pPr>
        <w:spacing w:line="600" w:lineRule="exact"/>
        <w:ind w:firstLine="640" w:firstLineChars="200"/>
        <w:rPr>
          <w:rFonts w:ascii="黑体" w:eastAsia="黑体"/>
          <w:szCs w:val="32"/>
        </w:rPr>
      </w:pPr>
      <w:r>
        <w:rPr>
          <w:rFonts w:hint="eastAsia" w:ascii="黑体" w:hAnsi="黑体" w:eastAsia="黑体" w:cs="宋体"/>
          <w:color w:val="333333"/>
          <w:szCs w:val="32"/>
          <w:lang w:val="en-US" w:eastAsia="zh-CN"/>
        </w:rPr>
        <w:t>三</w:t>
      </w:r>
      <w:r>
        <w:rPr>
          <w:rFonts w:hint="eastAsia" w:ascii="黑体" w:hAnsi="黑体" w:eastAsia="黑体" w:cs="宋体"/>
          <w:color w:val="333333"/>
          <w:szCs w:val="32"/>
        </w:rPr>
        <w:t>、社保安置决定</w:t>
      </w:r>
    </w:p>
    <w:p>
      <w:pPr>
        <w:spacing w:line="600" w:lineRule="exact"/>
        <w:ind w:firstLine="640" w:firstLineChars="200"/>
        <w:jc w:val="both"/>
        <w:rPr>
          <w:rFonts w:hint="eastAsia" w:ascii="仿宋_GB2312"/>
          <w:szCs w:val="32"/>
        </w:rPr>
      </w:pPr>
      <w:r>
        <w:rPr>
          <w:rFonts w:hint="eastAsia" w:ascii="仿宋_GB2312"/>
          <w:szCs w:val="32"/>
        </w:rPr>
        <w:t>被征地农业人口社保安置按《江西省人民政府办公厅转发省人社厅等部门关于进一步完善被征地农民基本养老保险政策意见的通知》（赣府厅发〔20</w:t>
      </w:r>
      <w:r>
        <w:rPr>
          <w:rFonts w:ascii="仿宋_GB2312"/>
          <w:szCs w:val="32"/>
        </w:rPr>
        <w:t>14</w:t>
      </w:r>
      <w:r>
        <w:rPr>
          <w:rFonts w:hint="eastAsia" w:ascii="仿宋_GB2312"/>
          <w:szCs w:val="32"/>
        </w:rPr>
        <w:t>〕12号）等有关政策执行。</w:t>
      </w:r>
    </w:p>
    <w:p>
      <w:pPr>
        <w:ind w:firstLine="0"/>
        <w:rPr>
          <w:rFonts w:hint="eastAsia" w:ascii="黑体" w:hAnsi="黑体" w:eastAsia="黑体" w:cs="宋体"/>
          <w:color w:val="333333"/>
          <w:szCs w:val="32"/>
        </w:rPr>
      </w:pPr>
      <w:r>
        <w:rPr>
          <w:rFonts w:hint="eastAsia" w:ascii="仿宋_GB2312" w:hAnsi="仿宋_GB2312" w:cs="仿宋_GB2312"/>
          <w:szCs w:val="32"/>
        </w:rPr>
        <w:t xml:space="preserve">    </w:t>
      </w:r>
      <w:r>
        <w:rPr>
          <w:rFonts w:hint="eastAsia" w:ascii="黑体" w:hAnsi="黑体" w:eastAsia="黑体" w:cs="宋体"/>
          <w:b w:val="0"/>
          <w:bCs w:val="0"/>
          <w:color w:val="333333"/>
          <w:szCs w:val="32"/>
          <w:lang w:val="en-US" w:eastAsia="zh-CN"/>
        </w:rPr>
        <w:t>四</w:t>
      </w:r>
      <w:r>
        <w:rPr>
          <w:rFonts w:hint="eastAsia" w:ascii="黑体" w:hAnsi="黑体" w:eastAsia="黑体" w:cs="宋体"/>
          <w:color w:val="333333"/>
          <w:szCs w:val="32"/>
        </w:rPr>
        <w:t>、征地补偿费用支付期限</w:t>
      </w:r>
    </w:p>
    <w:p>
      <w:pPr>
        <w:jc w:val="both"/>
        <w:rPr>
          <w:rFonts w:ascii="仿宋_GB2312" w:hAnsi="仿宋_GB2312" w:cs="仿宋_GB2312"/>
          <w:szCs w:val="32"/>
        </w:rPr>
      </w:pPr>
      <w:r>
        <w:rPr>
          <w:rFonts w:hint="eastAsia" w:ascii="仿宋_GB2312" w:hAnsi="仿宋_GB2312" w:cs="仿宋_GB2312"/>
          <w:szCs w:val="32"/>
        </w:rPr>
        <w:t xml:space="preserve">    自本决定送达征收土地所有权人、使用权人之日起六十日内，将土地补偿费</w:t>
      </w:r>
      <w:r>
        <w:rPr>
          <w:rFonts w:hint="eastAsia" w:ascii="仿宋_GB2312"/>
          <w:szCs w:val="32"/>
        </w:rPr>
        <w:t>（含安置补助费）</w:t>
      </w:r>
      <w:r>
        <w:rPr>
          <w:rFonts w:hint="eastAsia" w:ascii="仿宋_GB2312" w:hAnsi="仿宋_GB2312" w:cs="仿宋_GB2312"/>
          <w:szCs w:val="32"/>
        </w:rPr>
        <w:t>足额支付给被征地农村集体经济组织，将青苗</w:t>
      </w:r>
      <w:r>
        <w:rPr>
          <w:rFonts w:hint="eastAsia" w:ascii="仿宋_GB2312" w:hAnsi="仿宋_GB2312" w:cs="仿宋_GB2312"/>
          <w:szCs w:val="32"/>
          <w:lang w:eastAsia="zh-CN"/>
        </w:rPr>
        <w:t>、</w:t>
      </w:r>
      <w:r>
        <w:rPr>
          <w:rFonts w:hint="eastAsia" w:ascii="仿宋_GB2312" w:hAnsi="仿宋_GB2312" w:cs="仿宋_GB2312"/>
          <w:szCs w:val="32"/>
          <w:lang w:val="en-US" w:eastAsia="zh-CN"/>
        </w:rPr>
        <w:t>树木及地上附着物</w:t>
      </w:r>
      <w:r>
        <w:rPr>
          <w:rFonts w:hint="eastAsia" w:ascii="仿宋_GB2312" w:hAnsi="仿宋_GB2312" w:cs="仿宋_GB2312"/>
          <w:szCs w:val="32"/>
        </w:rPr>
        <w:t>等的补偿等费用足额支付给其所有权人，并将被征地农民的社会保障资金足额计入被征地农民基本养老保险等个人的社会保障基金账户。被征收土地所有权人、使用权人应依法依规腾退土地和房屋，并办理相关手续。</w:t>
      </w:r>
    </w:p>
    <w:p>
      <w:pPr>
        <w:pStyle w:val="7"/>
        <w:shd w:val="clear" w:color="auto" w:fill="FFFFFF"/>
        <w:spacing w:before="0" w:beforeAutospacing="0" w:after="0" w:afterAutospacing="0"/>
        <w:ind w:firstLine="480"/>
        <w:jc w:val="both"/>
        <w:rPr>
          <w:rFonts w:ascii="黑体" w:hAnsi="黑体" w:eastAsia="黑体"/>
          <w:color w:val="333333"/>
          <w:sz w:val="32"/>
          <w:szCs w:val="32"/>
        </w:rPr>
      </w:pPr>
      <w:r>
        <w:rPr>
          <w:rFonts w:hint="eastAsia" w:ascii="黑体" w:hAnsi="黑体" w:eastAsia="黑体"/>
          <w:color w:val="333333"/>
          <w:sz w:val="32"/>
          <w:szCs w:val="32"/>
          <w:lang w:val="en-US" w:eastAsia="zh-CN"/>
        </w:rPr>
        <w:t>五</w:t>
      </w:r>
      <w:r>
        <w:rPr>
          <w:rFonts w:hint="eastAsia" w:ascii="黑体" w:hAnsi="黑体" w:eastAsia="黑体"/>
          <w:color w:val="333333"/>
          <w:sz w:val="32"/>
          <w:szCs w:val="32"/>
        </w:rPr>
        <w:t>、救济渠道和期限</w:t>
      </w:r>
    </w:p>
    <w:p>
      <w:pPr>
        <w:pStyle w:val="7"/>
        <w:shd w:val="clear" w:color="auto" w:fill="FFFFFF"/>
        <w:spacing w:before="0" w:beforeAutospacing="0" w:after="0" w:afterAutospacing="0"/>
        <w:ind w:firstLine="48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被征收人如不服本征地补偿安置决定，可在本征地补偿安置决定书送达之日起60日内向</w:t>
      </w:r>
      <w:r>
        <w:rPr>
          <w:rFonts w:hint="eastAsia" w:ascii="仿宋_GB2312" w:hAnsi="微软雅黑" w:eastAsia="仿宋_GB2312"/>
          <w:color w:val="333333"/>
          <w:sz w:val="32"/>
          <w:szCs w:val="32"/>
          <w:lang w:val="en-US" w:eastAsia="zh-CN"/>
        </w:rPr>
        <w:t>昌江区</w:t>
      </w:r>
      <w:r>
        <w:rPr>
          <w:rFonts w:hint="eastAsia" w:ascii="仿宋_GB2312" w:hAnsi="微软雅黑" w:eastAsia="仿宋_GB2312"/>
          <w:color w:val="333333"/>
          <w:sz w:val="32"/>
          <w:szCs w:val="32"/>
        </w:rPr>
        <w:t>人民政府申请行政复议，或在6个月内向</w:t>
      </w:r>
      <w:r>
        <w:rPr>
          <w:rFonts w:hint="eastAsia" w:ascii="仿宋_GB2312" w:hAnsi="微软雅黑" w:eastAsia="仿宋_GB2312"/>
          <w:color w:val="333333"/>
          <w:sz w:val="32"/>
          <w:szCs w:val="32"/>
          <w:lang w:val="en-US" w:eastAsia="zh-CN"/>
        </w:rPr>
        <w:t>昌江区</w:t>
      </w:r>
      <w:r>
        <w:rPr>
          <w:rFonts w:hint="eastAsia" w:ascii="仿宋_GB2312" w:hAnsi="微软雅黑" w:eastAsia="仿宋_GB2312"/>
          <w:color w:val="333333"/>
          <w:sz w:val="32"/>
          <w:szCs w:val="32"/>
        </w:rPr>
        <w:t>人民法院提起行政诉讼。</w:t>
      </w:r>
    </w:p>
    <w:p>
      <w:pPr>
        <w:pStyle w:val="7"/>
        <w:shd w:val="clear" w:color="auto" w:fill="FFFFFF"/>
        <w:spacing w:before="0" w:beforeAutospacing="0" w:after="0" w:afterAutospacing="0"/>
        <w:ind w:firstLine="48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被征收人在法定期限内不申请行政复议或者不提起行政诉讼，在本决定书规定的期限内又不交付土地的，征收人将依法申请人民法院强制执行。</w:t>
      </w:r>
    </w:p>
    <w:p>
      <w:pPr>
        <w:pStyle w:val="7"/>
        <w:shd w:val="clear" w:color="auto" w:fill="FFFFFF"/>
        <w:spacing w:before="0" w:beforeAutospacing="0" w:after="0" w:afterAutospacing="0"/>
        <w:ind w:firstLine="480"/>
        <w:jc w:val="both"/>
        <w:rPr>
          <w:rFonts w:ascii="仿宋_GB2312" w:hAnsi="微软雅黑" w:eastAsia="仿宋_GB2312"/>
          <w:color w:val="333333"/>
          <w:sz w:val="32"/>
          <w:szCs w:val="32"/>
        </w:rPr>
      </w:pPr>
    </w:p>
    <w:p>
      <w:pPr>
        <w:pStyle w:val="7"/>
        <w:shd w:val="clear" w:color="auto" w:fill="FFFFFF"/>
        <w:spacing w:before="0" w:beforeAutospacing="0" w:after="0" w:afterAutospacing="0"/>
        <w:ind w:firstLine="480"/>
        <w:jc w:val="both"/>
        <w:rPr>
          <w:rFonts w:ascii="仿宋_GB2312" w:hAnsi="微软雅黑" w:eastAsia="仿宋_GB2312"/>
          <w:color w:val="333333"/>
          <w:sz w:val="32"/>
          <w:szCs w:val="32"/>
        </w:rPr>
      </w:pPr>
    </w:p>
    <w:p>
      <w:pPr>
        <w:pStyle w:val="7"/>
        <w:shd w:val="clear" w:color="auto" w:fill="FFFFFF"/>
        <w:spacing w:before="0" w:beforeAutospacing="0" w:after="0" w:afterAutospacing="0"/>
        <w:ind w:firstLine="480"/>
        <w:jc w:val="right"/>
        <w:rPr>
          <w:rFonts w:ascii="仿宋_GB2312" w:hAnsi="微软雅黑" w:eastAsia="仿宋_GB2312"/>
          <w:color w:val="333333"/>
          <w:sz w:val="32"/>
          <w:szCs w:val="32"/>
        </w:rPr>
      </w:pPr>
      <w:r>
        <w:rPr>
          <w:rFonts w:hint="eastAsia" w:ascii="仿宋_GB2312" w:hAnsi="微软雅黑" w:eastAsia="仿宋_GB2312"/>
          <w:color w:val="333333"/>
          <w:sz w:val="32"/>
          <w:szCs w:val="32"/>
          <w:lang w:val="en-US" w:eastAsia="zh-CN"/>
        </w:rPr>
        <w:t>昌江区</w:t>
      </w:r>
      <w:r>
        <w:rPr>
          <w:rFonts w:hint="eastAsia" w:ascii="仿宋_GB2312" w:hAnsi="微软雅黑" w:eastAsia="仿宋_GB2312"/>
          <w:color w:val="333333"/>
          <w:sz w:val="32"/>
          <w:szCs w:val="32"/>
        </w:rPr>
        <w:t>人民政府</w:t>
      </w:r>
    </w:p>
    <w:p>
      <w:pPr>
        <w:pStyle w:val="7"/>
        <w:shd w:val="clear" w:color="auto" w:fill="FFFFFF"/>
        <w:spacing w:before="0" w:beforeAutospacing="0" w:after="0" w:afterAutospacing="0"/>
        <w:ind w:firstLine="480"/>
        <w:jc w:val="right"/>
      </w:pPr>
      <w:r>
        <w:rPr>
          <w:rFonts w:hint="eastAsia" w:ascii="仿宋_GB2312" w:hAnsi="微软雅黑" w:eastAsia="仿宋_GB2312"/>
          <w:color w:val="333333"/>
          <w:sz w:val="32"/>
          <w:szCs w:val="32"/>
          <w:lang w:val="en-US" w:eastAsia="zh-CN"/>
        </w:rPr>
        <w:t>2023</w:t>
      </w:r>
      <w:r>
        <w:rPr>
          <w:rFonts w:hint="eastAsia" w:ascii="仿宋_GB2312" w:hAnsi="微软雅黑" w:eastAsia="仿宋_GB2312"/>
          <w:color w:val="333333"/>
          <w:sz w:val="32"/>
          <w:szCs w:val="32"/>
        </w:rPr>
        <w:t>年</w:t>
      </w:r>
      <w:r>
        <w:rPr>
          <w:rFonts w:hint="eastAsia" w:ascii="仿宋_GB2312" w:hAnsi="微软雅黑" w:eastAsia="仿宋_GB2312"/>
          <w:color w:val="333333"/>
          <w:sz w:val="32"/>
          <w:szCs w:val="32"/>
          <w:lang w:val="en-US" w:eastAsia="zh-CN"/>
        </w:rPr>
        <w:t>4</w:t>
      </w:r>
      <w:r>
        <w:rPr>
          <w:rFonts w:hint="eastAsia" w:ascii="仿宋_GB2312" w:hAnsi="微软雅黑" w:eastAsia="仿宋_GB2312"/>
          <w:color w:val="333333"/>
          <w:sz w:val="32"/>
          <w:szCs w:val="32"/>
        </w:rPr>
        <w:t>月</w:t>
      </w:r>
      <w:r>
        <w:rPr>
          <w:rFonts w:hint="eastAsia" w:ascii="仿宋_GB2312" w:hAnsi="微软雅黑" w:eastAsia="仿宋_GB2312"/>
          <w:color w:val="333333"/>
          <w:sz w:val="32"/>
          <w:szCs w:val="32"/>
          <w:lang w:val="en-US" w:eastAsia="zh-CN"/>
        </w:rPr>
        <w:t>21</w:t>
      </w:r>
      <w:r>
        <w:rPr>
          <w:rFonts w:hint="eastAsia" w:ascii="仿宋_GB2312" w:hAnsi="微软雅黑" w:eastAsia="仿宋_GB2312"/>
          <w:color w:val="333333"/>
          <w:sz w:val="32"/>
          <w:szCs w:val="32"/>
        </w:rPr>
        <w:t>日</w:t>
      </w:r>
    </w:p>
    <w:sectPr>
      <w:pgSz w:w="23811" w:h="16838" w:orient="landscape"/>
      <w:pgMar w:top="1800" w:right="1440" w:bottom="1800" w:left="1440" w:header="851" w:footer="992" w:gutter="0"/>
      <w:cols w:space="3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穝灿砰">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ZmFjNTZlZjEzOTUwOWRkODU1Y2UwMzAyYzAzM2QifQ=="/>
  </w:docVars>
  <w:rsids>
    <w:rsidRoot w:val="002472AE"/>
    <w:rsid w:val="00003E02"/>
    <w:rsid w:val="00064DAA"/>
    <w:rsid w:val="0008723A"/>
    <w:rsid w:val="00094CA0"/>
    <w:rsid w:val="000B1CFF"/>
    <w:rsid w:val="000E73E0"/>
    <w:rsid w:val="00122D82"/>
    <w:rsid w:val="001473F9"/>
    <w:rsid w:val="001A1A5D"/>
    <w:rsid w:val="001B0202"/>
    <w:rsid w:val="001B2450"/>
    <w:rsid w:val="001B3EDC"/>
    <w:rsid w:val="001B7093"/>
    <w:rsid w:val="001D50A2"/>
    <w:rsid w:val="0023196B"/>
    <w:rsid w:val="00240EC2"/>
    <w:rsid w:val="00243BBA"/>
    <w:rsid w:val="002472AE"/>
    <w:rsid w:val="0026495D"/>
    <w:rsid w:val="00292EFE"/>
    <w:rsid w:val="002E119E"/>
    <w:rsid w:val="003521DA"/>
    <w:rsid w:val="00355F2A"/>
    <w:rsid w:val="003574CB"/>
    <w:rsid w:val="003638B8"/>
    <w:rsid w:val="0038222A"/>
    <w:rsid w:val="003C3266"/>
    <w:rsid w:val="003F08AC"/>
    <w:rsid w:val="00462306"/>
    <w:rsid w:val="004B4E42"/>
    <w:rsid w:val="004B7810"/>
    <w:rsid w:val="004E6C84"/>
    <w:rsid w:val="00524CB2"/>
    <w:rsid w:val="005F684C"/>
    <w:rsid w:val="00602031"/>
    <w:rsid w:val="00661232"/>
    <w:rsid w:val="006813D1"/>
    <w:rsid w:val="00736F40"/>
    <w:rsid w:val="007474B0"/>
    <w:rsid w:val="00777A1B"/>
    <w:rsid w:val="00780F23"/>
    <w:rsid w:val="007F6C76"/>
    <w:rsid w:val="008850CC"/>
    <w:rsid w:val="00886833"/>
    <w:rsid w:val="0089112C"/>
    <w:rsid w:val="00893AF0"/>
    <w:rsid w:val="00973B6D"/>
    <w:rsid w:val="009971BB"/>
    <w:rsid w:val="009A74AB"/>
    <w:rsid w:val="009F10A0"/>
    <w:rsid w:val="00A06B79"/>
    <w:rsid w:val="00A67B9B"/>
    <w:rsid w:val="00B169EC"/>
    <w:rsid w:val="00B37199"/>
    <w:rsid w:val="00B45D32"/>
    <w:rsid w:val="00B630EB"/>
    <w:rsid w:val="00BD2B7E"/>
    <w:rsid w:val="00BE3718"/>
    <w:rsid w:val="00BE6F24"/>
    <w:rsid w:val="00C26E21"/>
    <w:rsid w:val="00C469B4"/>
    <w:rsid w:val="00C7082E"/>
    <w:rsid w:val="00C95E65"/>
    <w:rsid w:val="00CB109C"/>
    <w:rsid w:val="00CC6BB7"/>
    <w:rsid w:val="00D1114C"/>
    <w:rsid w:val="00D31724"/>
    <w:rsid w:val="00D31FCD"/>
    <w:rsid w:val="00D5076A"/>
    <w:rsid w:val="00D7554F"/>
    <w:rsid w:val="00DC68BE"/>
    <w:rsid w:val="00E01A73"/>
    <w:rsid w:val="00E34EE9"/>
    <w:rsid w:val="00E7619E"/>
    <w:rsid w:val="00EB0551"/>
    <w:rsid w:val="00ED37BA"/>
    <w:rsid w:val="00F659FB"/>
    <w:rsid w:val="00F908FE"/>
    <w:rsid w:val="00F9109E"/>
    <w:rsid w:val="00FD0031"/>
    <w:rsid w:val="0B054E86"/>
    <w:rsid w:val="11A83646"/>
    <w:rsid w:val="1D5C47CB"/>
    <w:rsid w:val="1F1A7E37"/>
    <w:rsid w:val="1FB61634"/>
    <w:rsid w:val="22311F7D"/>
    <w:rsid w:val="22F42F2C"/>
    <w:rsid w:val="270A253F"/>
    <w:rsid w:val="282711C5"/>
    <w:rsid w:val="2B481888"/>
    <w:rsid w:val="3387669F"/>
    <w:rsid w:val="35B441A2"/>
    <w:rsid w:val="38A97CC6"/>
    <w:rsid w:val="38C16D31"/>
    <w:rsid w:val="3ADB10D2"/>
    <w:rsid w:val="3F74F1FE"/>
    <w:rsid w:val="3FF7EBB0"/>
    <w:rsid w:val="47433770"/>
    <w:rsid w:val="4769CB4D"/>
    <w:rsid w:val="4AED5B5D"/>
    <w:rsid w:val="4DEE67BC"/>
    <w:rsid w:val="54C6462C"/>
    <w:rsid w:val="638C06BC"/>
    <w:rsid w:val="6469035A"/>
    <w:rsid w:val="670D3CC0"/>
    <w:rsid w:val="6920585F"/>
    <w:rsid w:val="6AB58C51"/>
    <w:rsid w:val="6FD6B140"/>
    <w:rsid w:val="6FFF513D"/>
    <w:rsid w:val="70B15783"/>
    <w:rsid w:val="73BCBD2B"/>
    <w:rsid w:val="74981B5C"/>
    <w:rsid w:val="75263FB5"/>
    <w:rsid w:val="76F61531"/>
    <w:rsid w:val="77C91904"/>
    <w:rsid w:val="7BD96EF1"/>
    <w:rsid w:val="7D7F529E"/>
    <w:rsid w:val="7DDF1994"/>
    <w:rsid w:val="7FE6B18E"/>
    <w:rsid w:val="7FFB19C4"/>
    <w:rsid w:val="9FBF7561"/>
    <w:rsid w:val="9FCFF492"/>
    <w:rsid w:val="9FE697D8"/>
    <w:rsid w:val="B9F5871A"/>
    <w:rsid w:val="BD4B162F"/>
    <w:rsid w:val="BFEFC55F"/>
    <w:rsid w:val="C99FA4CE"/>
    <w:rsid w:val="D7FFB5D4"/>
    <w:rsid w:val="DB65FF4E"/>
    <w:rsid w:val="DFB5DDD8"/>
    <w:rsid w:val="DFBDEA60"/>
    <w:rsid w:val="E7F62F9F"/>
    <w:rsid w:val="E7FBD806"/>
    <w:rsid w:val="EF7FF607"/>
    <w:rsid w:val="FBE7BC56"/>
    <w:rsid w:val="FBFE703B"/>
    <w:rsid w:val="FDEE3AA7"/>
    <w:rsid w:val="FF1E7F54"/>
    <w:rsid w:val="FF375DB0"/>
    <w:rsid w:val="FF7763A7"/>
    <w:rsid w:val="FFBE9AA1"/>
    <w:rsid w:val="FFDF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仿宋_GB2312" w:cs="Arial"/>
      <w:sz w:val="3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unhideWhenUsed/>
    <w:qFormat/>
    <w:uiPriority w:val="0"/>
    <w:pPr>
      <w:widowControl w:val="0"/>
      <w:spacing w:after="120"/>
      <w:ind w:left="420" w:leftChars="200"/>
      <w:jc w:val="both"/>
    </w:pPr>
    <w:rPr>
      <w:rFonts w:ascii="Times New Roman" w:hAnsi="Times New Roman" w:eastAsia="宋体" w:cs="Times New Roman"/>
      <w:kern w:val="2"/>
      <w:sz w:val="21"/>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ascii="宋体" w:hAnsi="宋体" w:eastAsia="宋体" w:cs="宋体"/>
      <w:sz w:val="24"/>
      <w:szCs w:val="24"/>
    </w:rPr>
  </w:style>
  <w:style w:type="character" w:customStyle="1" w:styleId="10">
    <w:name w:val="页眉 Char"/>
    <w:basedOn w:val="9"/>
    <w:link w:val="6"/>
    <w:qFormat/>
    <w:uiPriority w:val="99"/>
    <w:rPr>
      <w:rFonts w:ascii="Calibri" w:hAnsi="Calibri" w:eastAsia="仿宋_GB2312" w:cs="Arial"/>
      <w:kern w:val="0"/>
      <w:sz w:val="18"/>
      <w:szCs w:val="18"/>
    </w:rPr>
  </w:style>
  <w:style w:type="character" w:customStyle="1" w:styleId="11">
    <w:name w:val="页脚 Char"/>
    <w:basedOn w:val="9"/>
    <w:link w:val="5"/>
    <w:qFormat/>
    <w:uiPriority w:val="99"/>
    <w:rPr>
      <w:rFonts w:ascii="Calibri" w:hAnsi="Calibri" w:eastAsia="仿宋_GB2312" w:cs="Arial"/>
      <w:kern w:val="0"/>
      <w:sz w:val="18"/>
      <w:szCs w:val="18"/>
    </w:rPr>
  </w:style>
  <w:style w:type="character" w:customStyle="1" w:styleId="12">
    <w:name w:val="正文文本缩进 Char"/>
    <w:basedOn w:val="9"/>
    <w:link w:val="3"/>
    <w:qFormat/>
    <w:uiPriority w:val="0"/>
    <w:rPr>
      <w:rFonts w:ascii="Times New Roman" w:hAnsi="Times New Roman" w:eastAsia="宋体" w:cs="Times New Roman"/>
      <w:szCs w:val="24"/>
    </w:rPr>
  </w:style>
  <w:style w:type="character" w:customStyle="1" w:styleId="13">
    <w:name w:val="批注框文本 Char"/>
    <w:basedOn w:val="9"/>
    <w:link w:val="4"/>
    <w:semiHidden/>
    <w:qFormat/>
    <w:uiPriority w:val="99"/>
    <w:rPr>
      <w:rFonts w:ascii="Calibri" w:hAnsi="Calibri" w:eastAsia="仿宋_GB2312" w:cs="Arial"/>
      <w:kern w:val="0"/>
      <w:sz w:val="18"/>
      <w:szCs w:val="18"/>
    </w:rPr>
  </w:style>
  <w:style w:type="paragraph" w:customStyle="1" w:styleId="14">
    <w:name w:val="Revision"/>
    <w:hidden/>
    <w:semiHidden/>
    <w:qFormat/>
    <w:uiPriority w:val="99"/>
    <w:rPr>
      <w:rFonts w:ascii="Calibri" w:hAnsi="Calibri" w:eastAsia="仿宋_GB2312" w:cs="Arial"/>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1073</Words>
  <Characters>1223</Characters>
  <Lines>9</Lines>
  <Paragraphs>2</Paragraphs>
  <TotalTime>4</TotalTime>
  <ScaleCrop>false</ScaleCrop>
  <LinksUpToDate>false</LinksUpToDate>
  <CharactersWithSpaces>1234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2022-05-12T12:37:00Z</dcterms:created>
  <dc:creator>微软用户</dc:creator>
  <cp:lastModifiedBy>该账号已注销！</cp:lastModifiedBy>
  <cp:lastPrinted>2023-05-04T01:06:00Z</cp:lastPrinted>
  <dcterms:modified xsi:type="dcterms:W3CDTF">2023-05-04T01:26:54Z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7B3955DD67F04DB4A806650A770CECB5_13</vt:lpwstr>
  </property>
</Properties>
</file>