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1D460E">
      <w:pPr>
        <w:pStyle w:val="27"/>
        <w:shd w:val="clear" w:color="auto" w:fill="auto"/>
        <w:tabs>
          <w:tab w:val="right" w:leader="dot" w:pos="8306"/>
        </w:tabs>
        <w:ind w:left="0" w:leftChars="0" w:firstLine="0" w:firstLineChars="0"/>
        <w:jc w:val="center"/>
        <w:rPr>
          <w:rFonts w:hint="eastAsia" w:ascii="黑体" w:hAnsi="黑体" w:eastAsia="黑体" w:cs="黑体"/>
          <w:color w:val="000000" w:themeColor="text1"/>
          <w:sz w:val="32"/>
          <w:szCs w:val="32"/>
          <w:highlight w:val="none"/>
          <w14:textFill>
            <w14:solidFill>
              <w14:schemeClr w14:val="tx1"/>
            </w14:solidFill>
          </w14:textFill>
        </w:rPr>
      </w:pPr>
      <w:r>
        <w:rPr>
          <w:rFonts w:hint="eastAsia"/>
          <w:color w:val="000000" w:themeColor="text1"/>
          <w:highlight w:val="none"/>
          <w:shd w:val="clear" w:color="FFFFFF" w:fill="D9D9D9"/>
          <w14:textFill>
            <w14:solidFill>
              <w14:schemeClr w14:val="tx1"/>
            </w14:solidFill>
          </w14:textFill>
        </w:rPr>
        <w:fldChar w:fldCharType="begin"/>
      </w:r>
      <w:r>
        <w:rPr>
          <w:rFonts w:hint="eastAsia"/>
          <w:color w:val="000000" w:themeColor="text1"/>
          <w:highlight w:val="none"/>
          <w:shd w:val="clear" w:color="FFFFFF" w:fill="D9D9D9"/>
          <w14:textFill>
            <w14:solidFill>
              <w14:schemeClr w14:val="tx1"/>
            </w14:solidFill>
          </w14:textFill>
        </w:rPr>
        <w:instrText xml:space="preserve">TOC \o "1-1" \h \u </w:instrText>
      </w:r>
      <w:r>
        <w:rPr>
          <w:rFonts w:hint="eastAsia"/>
          <w:color w:val="000000" w:themeColor="text1"/>
          <w:highlight w:val="none"/>
          <w:shd w:val="clear" w:color="FFFFFF" w:fill="D9D9D9"/>
          <w14:textFill>
            <w14:solidFill>
              <w14:schemeClr w14:val="tx1"/>
            </w14:solidFill>
          </w14:textFill>
        </w:rPr>
        <w:fldChar w:fldCharType="separate"/>
      </w:r>
      <w:r>
        <w:rPr>
          <w:rFonts w:hint="eastAsia" w:ascii="黑体" w:hAnsi="黑体" w:eastAsia="黑体" w:cs="黑体"/>
          <w:color w:val="000000" w:themeColor="text1"/>
          <w:sz w:val="32"/>
          <w:szCs w:val="32"/>
          <w:highlight w:val="none"/>
          <w14:textFill>
            <w14:solidFill>
              <w14:schemeClr w14:val="tx1"/>
            </w14:solidFill>
          </w14:textFill>
        </w:rPr>
        <w:t>目</w:t>
      </w:r>
      <w:r>
        <w:rPr>
          <w:rFonts w:hint="eastAsia" w:ascii="黑体" w:hAnsi="黑体" w:eastAsia="黑体" w:cs="黑体"/>
          <w:color w:val="000000" w:themeColor="text1"/>
          <w:sz w:val="32"/>
          <w:szCs w:val="32"/>
          <w:highlight w:val="none"/>
          <w:lang w:val="en-US" w:eastAsia="zh-CN"/>
          <w14:textFill>
            <w14:solidFill>
              <w14:schemeClr w14:val="tx1"/>
            </w14:solidFill>
          </w14:textFill>
        </w:rPr>
        <w:t xml:space="preserve">  </w:t>
      </w:r>
      <w:r>
        <w:rPr>
          <w:rFonts w:hint="eastAsia" w:ascii="黑体" w:hAnsi="黑体" w:eastAsia="黑体" w:cs="黑体"/>
          <w:color w:val="000000" w:themeColor="text1"/>
          <w:sz w:val="32"/>
          <w:szCs w:val="32"/>
          <w:highlight w:val="none"/>
          <w14:textFill>
            <w14:solidFill>
              <w14:schemeClr w14:val="tx1"/>
            </w14:solidFill>
          </w14:textFill>
        </w:rPr>
        <w:t>录</w:t>
      </w:r>
    </w:p>
    <w:p w14:paraId="2FE28706">
      <w:pPr>
        <w:pStyle w:val="27"/>
        <w:shd w:val="clear" w:color="auto" w:fill="auto"/>
        <w:tabs>
          <w:tab w:val="right" w:leader="dot" w:pos="8306"/>
        </w:tabs>
        <w:ind w:left="0" w:leftChars="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_Toc15318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一、建设项目基本情况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_Toc15318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- 1 -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2465213C">
      <w:pPr>
        <w:pStyle w:val="27"/>
        <w:shd w:val="clear" w:color="auto" w:fill="auto"/>
        <w:tabs>
          <w:tab w:val="right" w:leader="dot" w:pos="8306"/>
        </w:tabs>
        <w:ind w:left="0" w:leftChars="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_Toc4034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二、</w:t>
      </w:r>
      <w:r>
        <w:rPr>
          <w:color w:val="000000" w:themeColor="text1"/>
          <w:highlight w:val="none"/>
          <w14:textFill>
            <w14:solidFill>
              <w14:schemeClr w14:val="tx1"/>
            </w14:solidFill>
          </w14:textFill>
        </w:rPr>
        <w:t>建设项目工程分</w:t>
      </w:r>
      <w:r>
        <w:rPr>
          <w:rFonts w:hint="eastAsia"/>
          <w:color w:val="000000" w:themeColor="text1"/>
          <w:highlight w:val="none"/>
          <w14:textFill>
            <w14:solidFill>
              <w14:schemeClr w14:val="tx1"/>
            </w14:solidFill>
          </w14:textFill>
        </w:rPr>
        <w:t>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_Toc4034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- 43 -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6DBB34B7">
      <w:pPr>
        <w:pStyle w:val="27"/>
        <w:shd w:val="clear" w:color="auto" w:fill="auto"/>
        <w:tabs>
          <w:tab w:val="right" w:leader="dot" w:pos="8306"/>
        </w:tabs>
        <w:ind w:left="0" w:leftChars="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_Toc27779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三、</w:t>
      </w:r>
      <w:r>
        <w:rPr>
          <w:color w:val="000000" w:themeColor="text1"/>
          <w:highlight w:val="none"/>
          <w14:textFill>
            <w14:solidFill>
              <w14:schemeClr w14:val="tx1"/>
            </w14:solidFill>
          </w14:textFill>
        </w:rPr>
        <w:t>环境质量现状、环境保护目标及评价标准</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_Toc27779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- 72 -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72C3E8C0">
      <w:pPr>
        <w:pStyle w:val="27"/>
        <w:shd w:val="clear" w:color="auto" w:fill="auto"/>
        <w:tabs>
          <w:tab w:val="right" w:leader="dot" w:pos="8306"/>
        </w:tabs>
        <w:ind w:left="0" w:leftChars="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_Toc23718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四、</w:t>
      </w:r>
      <w:r>
        <w:rPr>
          <w:color w:val="000000" w:themeColor="text1"/>
          <w:highlight w:val="none"/>
          <w14:textFill>
            <w14:solidFill>
              <w14:schemeClr w14:val="tx1"/>
            </w14:solidFill>
          </w14:textFill>
        </w:rPr>
        <w:t>环境影响和保护措施</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_Toc23718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- 80 -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61DB0206">
      <w:pPr>
        <w:pStyle w:val="27"/>
        <w:shd w:val="clear" w:color="auto" w:fill="auto"/>
        <w:tabs>
          <w:tab w:val="right" w:leader="dot" w:pos="8306"/>
        </w:tabs>
        <w:ind w:left="0" w:leftChars="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_Toc2361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五、</w:t>
      </w:r>
      <w:r>
        <w:rPr>
          <w:color w:val="000000" w:themeColor="text1"/>
          <w:highlight w:val="none"/>
          <w14:textFill>
            <w14:solidFill>
              <w14:schemeClr w14:val="tx1"/>
            </w14:solidFill>
          </w14:textFill>
        </w:rPr>
        <w:t>环境保护措施监督检查清单</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_Toc2361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- 119 -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28E2E429">
      <w:pPr>
        <w:pStyle w:val="27"/>
        <w:shd w:val="clear" w:color="auto" w:fill="auto"/>
        <w:tabs>
          <w:tab w:val="right" w:leader="dot" w:pos="8306"/>
        </w:tabs>
        <w:ind w:left="0" w:leftChars="0" w:firstLine="0" w:firstLineChars="0"/>
        <w:rPr>
          <w:rFonts w:hint="eastAsia"/>
          <w:color w:val="000000" w:themeColor="text1"/>
          <w:highlight w:val="none"/>
          <w:shd w:val="clear" w:color="FFFFFF" w:fill="D9D9D9"/>
          <w14:textFill>
            <w14:solidFill>
              <w14:schemeClr w14:val="tx1"/>
            </w14:solidFill>
          </w14:textFill>
        </w:rPr>
      </w:pPr>
      <w:r>
        <w:rPr>
          <w:rFonts w:hint="eastAsia"/>
          <w:color w:val="000000" w:themeColor="text1"/>
          <w:highlight w:val="none"/>
          <w14:textFill>
            <w14:solidFill>
              <w14:schemeClr w14:val="tx1"/>
            </w14:solidFill>
          </w14:textFill>
        </w:rPr>
        <w:fldChar w:fldCharType="begin"/>
      </w:r>
      <w:r>
        <w:rPr>
          <w:rFonts w:hint="eastAsia"/>
          <w:color w:val="000000" w:themeColor="text1"/>
          <w:highlight w:val="none"/>
          <w14:textFill>
            <w14:solidFill>
              <w14:schemeClr w14:val="tx1"/>
            </w14:solidFill>
          </w14:textFill>
        </w:rPr>
        <w:instrText xml:space="preserve"> HYPERLINK \l _Toc7162 </w:instrText>
      </w:r>
      <w:r>
        <w:rPr>
          <w:rFonts w:hint="eastAsia"/>
          <w:color w:val="000000" w:themeColor="text1"/>
          <w:highlight w:val="none"/>
          <w14:textFill>
            <w14:solidFill>
              <w14:schemeClr w14:val="tx1"/>
            </w14:solidFill>
          </w14:textFill>
        </w:rPr>
        <w:fldChar w:fldCharType="separate"/>
      </w:r>
      <w:r>
        <w:rPr>
          <w:rFonts w:hint="eastAsia"/>
          <w:color w:val="000000" w:themeColor="text1"/>
          <w:highlight w:val="none"/>
          <w14:textFill>
            <w14:solidFill>
              <w14:schemeClr w14:val="tx1"/>
            </w14:solidFill>
          </w14:textFill>
        </w:rPr>
        <w:t>六、结</w:t>
      </w:r>
      <w:r>
        <w:rPr>
          <w:color w:val="000000" w:themeColor="text1"/>
          <w:highlight w:val="none"/>
          <w14:textFill>
            <w14:solidFill>
              <w14:schemeClr w14:val="tx1"/>
            </w14:solidFill>
          </w14:textFill>
        </w:rPr>
        <w:t>论</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_Toc7162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- 122 -</w:t>
      </w:r>
      <w:r>
        <w:rPr>
          <w:color w:val="000000" w:themeColor="text1"/>
          <w:highlight w:val="none"/>
          <w14:textFill>
            <w14:solidFill>
              <w14:schemeClr w14:val="tx1"/>
            </w14:solidFill>
          </w14:textFill>
        </w:rPr>
        <w:fldChar w:fldCharType="end"/>
      </w:r>
      <w:r>
        <w:rPr>
          <w:rFonts w:hint="eastAsia"/>
          <w:color w:val="000000" w:themeColor="text1"/>
          <w:highlight w:val="none"/>
          <w14:textFill>
            <w14:solidFill>
              <w14:schemeClr w14:val="tx1"/>
            </w14:solidFill>
          </w14:textFill>
        </w:rPr>
        <w:fldChar w:fldCharType="end"/>
      </w:r>
    </w:p>
    <w:p w14:paraId="73E0CFCC">
      <w:pPr>
        <w:pStyle w:val="56"/>
        <w:shd w:val="clear" w:color="auto" w:fill="auto"/>
        <w:ind w:left="0" w:leftChars="0" w:firstLine="0" w:firstLineChars="0"/>
        <w:rPr>
          <w:b/>
          <w:bCs/>
          <w:color w:val="000000" w:themeColor="text1"/>
          <w:spacing w:val="-2"/>
          <w:highlight w:val="none"/>
          <w:lang w:bidi="zh-CN"/>
          <w14:textFill>
            <w14:solidFill>
              <w14:schemeClr w14:val="tx1"/>
            </w14:solidFill>
          </w14:textFill>
        </w:rPr>
      </w:pPr>
      <w:r>
        <w:rPr>
          <w:b/>
          <w:bCs/>
          <w:color w:val="000000" w:themeColor="text1"/>
          <w:spacing w:val="-2"/>
          <w:highlight w:val="none"/>
          <w:lang w:bidi="zh-CN"/>
          <w14:textFill>
            <w14:solidFill>
              <w14:schemeClr w14:val="tx1"/>
            </w14:solidFill>
          </w14:textFill>
        </w:rPr>
        <w:t>附图</w:t>
      </w:r>
    </w:p>
    <w:p w14:paraId="3BBE82E2">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附图一</w:t>
      </w:r>
      <w:r>
        <w:rPr>
          <w:rFonts w:hint="eastAsia"/>
          <w:color w:val="000000" w:themeColor="text1"/>
          <w:spacing w:val="-2"/>
          <w:highlight w:val="none"/>
          <w:lang w:val="en-US" w:bidi="zh-CN"/>
          <w14:textFill>
            <w14:solidFill>
              <w14:schemeClr w14:val="tx1"/>
            </w14:solidFill>
          </w14:textFill>
        </w:rPr>
        <w:t xml:space="preserve"> </w:t>
      </w:r>
      <w:r>
        <w:rPr>
          <w:color w:val="000000" w:themeColor="text1"/>
          <w:spacing w:val="-2"/>
          <w:highlight w:val="none"/>
          <w:lang w:bidi="zh-CN"/>
          <w14:textFill>
            <w14:solidFill>
              <w14:schemeClr w14:val="tx1"/>
            </w14:solidFill>
          </w14:textFill>
        </w:rPr>
        <w:t>项目地理位置图</w:t>
      </w:r>
    </w:p>
    <w:p w14:paraId="3B73BC1F">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r>
        <w:rPr>
          <w:color w:val="000000" w:themeColor="text1"/>
          <w:spacing w:val="-2"/>
          <w:highlight w:val="none"/>
          <w:lang w:bidi="zh-CN"/>
          <w14:textFill>
            <w14:solidFill>
              <w14:schemeClr w14:val="tx1"/>
            </w14:solidFill>
          </w14:textFill>
        </w:rPr>
        <w:t>附图二</w:t>
      </w:r>
      <w:r>
        <w:rPr>
          <w:rFonts w:hint="eastAsia"/>
          <w:color w:val="000000" w:themeColor="text1"/>
          <w:spacing w:val="-2"/>
          <w:highlight w:val="none"/>
          <w:lang w:val="en-US" w:bidi="zh-CN"/>
          <w14:textFill>
            <w14:solidFill>
              <w14:schemeClr w14:val="tx1"/>
            </w14:solidFill>
          </w14:textFill>
        </w:rPr>
        <w:t xml:space="preserve"> 总平面布置图</w:t>
      </w:r>
    </w:p>
    <w:p w14:paraId="2CEAC078">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附图三</w:t>
      </w:r>
      <w:r>
        <w:rPr>
          <w:rFonts w:hint="eastAsia"/>
          <w:color w:val="000000" w:themeColor="text1"/>
          <w:spacing w:val="-2"/>
          <w:highlight w:val="none"/>
          <w:lang w:val="en-US" w:bidi="zh-CN"/>
          <w14:textFill>
            <w14:solidFill>
              <w14:schemeClr w14:val="tx1"/>
            </w14:solidFill>
          </w14:textFill>
        </w:rPr>
        <w:t xml:space="preserve"> 大气</w:t>
      </w:r>
      <w:r>
        <w:rPr>
          <w:rFonts w:hint="eastAsia"/>
          <w:color w:val="000000" w:themeColor="text1"/>
          <w:spacing w:val="-2"/>
          <w:highlight w:val="none"/>
          <w:lang w:bidi="zh-CN"/>
          <w14:textFill>
            <w14:solidFill>
              <w14:schemeClr w14:val="tx1"/>
            </w14:solidFill>
          </w14:textFill>
        </w:rPr>
        <w:t>敏感点分布图及评价范围图</w:t>
      </w:r>
    </w:p>
    <w:p w14:paraId="4104EFEE">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附图四</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噪声评价范围图</w:t>
      </w:r>
    </w:p>
    <w:p w14:paraId="17DBCB4A">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附图五</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周边企业分布图</w:t>
      </w:r>
    </w:p>
    <w:p w14:paraId="382800C5">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附图六</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用地规划图</w:t>
      </w:r>
    </w:p>
    <w:p w14:paraId="3015EE0A">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附图七</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园区污水管线规划图</w:t>
      </w:r>
    </w:p>
    <w:p w14:paraId="3264A5B2">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附图八</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园区雨水管线规划图</w:t>
      </w:r>
    </w:p>
    <w:p w14:paraId="42031B62">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附图九</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大气监测点位图</w:t>
      </w:r>
    </w:p>
    <w:p w14:paraId="3D421865">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附图十</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生态红线图</w:t>
      </w:r>
    </w:p>
    <w:p w14:paraId="0C4FC61D">
      <w:pPr>
        <w:pStyle w:val="56"/>
        <w:shd w:val="clear" w:color="auto" w:fill="auto"/>
        <w:ind w:firstLine="472"/>
        <w:rPr>
          <w:rFonts w:hint="eastAsia"/>
          <w:color w:val="000000" w:themeColor="text1"/>
          <w:spacing w:val="-2"/>
          <w:highlight w:val="none"/>
          <w:lang w:bidi="zh-CN"/>
          <w14:textFill>
            <w14:solidFill>
              <w14:schemeClr w14:val="tx1"/>
            </w14:solidFill>
          </w14:textFill>
        </w:rPr>
      </w:pPr>
      <w:r>
        <w:rPr>
          <w:rFonts w:hint="eastAsia"/>
          <w:color w:val="000000" w:themeColor="text1"/>
          <w:spacing w:val="-2"/>
          <w:highlight w:val="none"/>
          <w:lang w:bidi="zh-CN"/>
          <w14:textFill>
            <w14:solidFill>
              <w14:schemeClr w14:val="tx1"/>
            </w14:solidFill>
          </w14:textFill>
        </w:rPr>
        <w:t>附图十一</w:t>
      </w:r>
      <w:r>
        <w:rPr>
          <w:rFonts w:hint="eastAsia"/>
          <w:color w:val="000000" w:themeColor="text1"/>
          <w:spacing w:val="-2"/>
          <w:highlight w:val="none"/>
          <w:lang w:val="en-US" w:bidi="zh-CN"/>
          <w14:textFill>
            <w14:solidFill>
              <w14:schemeClr w14:val="tx1"/>
            </w14:solidFill>
          </w14:textFill>
        </w:rPr>
        <w:t xml:space="preserve"> </w:t>
      </w:r>
      <w:r>
        <w:rPr>
          <w:rFonts w:hint="eastAsia"/>
          <w:color w:val="000000" w:themeColor="text1"/>
          <w:spacing w:val="-2"/>
          <w:highlight w:val="none"/>
          <w:lang w:bidi="zh-CN"/>
          <w14:textFill>
            <w14:solidFill>
              <w14:schemeClr w14:val="tx1"/>
            </w14:solidFill>
          </w14:textFill>
        </w:rPr>
        <w:t>分区管控单元图</w:t>
      </w:r>
    </w:p>
    <w:p w14:paraId="3D0FECE4">
      <w:pPr>
        <w:pStyle w:val="56"/>
        <w:shd w:val="clear" w:color="auto" w:fill="auto"/>
        <w:ind w:firstLine="472"/>
        <w:rPr>
          <w:rFonts w:hint="eastAsia"/>
          <w:color w:val="000000" w:themeColor="text1"/>
          <w:spacing w:val="-2"/>
          <w:highlight w:val="none"/>
          <w:lang w:bidi="zh-CN"/>
          <w14:textFill>
            <w14:solidFill>
              <w14:schemeClr w14:val="tx1"/>
            </w14:solidFill>
          </w14:textFill>
        </w:rPr>
      </w:pPr>
      <w:r>
        <w:rPr>
          <w:rFonts w:hint="eastAsia"/>
          <w:color w:val="000000" w:themeColor="text1"/>
          <w:spacing w:val="-2"/>
          <w:highlight w:val="none"/>
          <w:lang w:bidi="zh-CN"/>
          <w14:textFill>
            <w14:solidFill>
              <w14:schemeClr w14:val="tx1"/>
            </w14:solidFill>
          </w14:textFill>
        </w:rPr>
        <w:t>附图十</w:t>
      </w:r>
      <w:r>
        <w:rPr>
          <w:rFonts w:hint="eastAsia"/>
          <w:color w:val="000000" w:themeColor="text1"/>
          <w:spacing w:val="-2"/>
          <w:highlight w:val="none"/>
          <w:lang w:val="en-US" w:bidi="zh-CN"/>
          <w14:textFill>
            <w14:solidFill>
              <w14:schemeClr w14:val="tx1"/>
            </w14:solidFill>
          </w14:textFill>
        </w:rPr>
        <w:t xml:space="preserve">二 </w:t>
      </w:r>
      <w:r>
        <w:rPr>
          <w:rFonts w:hint="eastAsia"/>
          <w:color w:val="000000" w:themeColor="text1"/>
          <w:spacing w:val="-2"/>
          <w:highlight w:val="none"/>
          <w:lang w:bidi="zh-CN"/>
          <w14:textFill>
            <w14:solidFill>
              <w14:schemeClr w14:val="tx1"/>
            </w14:solidFill>
          </w14:textFill>
        </w:rPr>
        <w:t>水环境功能区划图</w:t>
      </w:r>
    </w:p>
    <w:p w14:paraId="1CA3EC96">
      <w:pPr>
        <w:pStyle w:val="56"/>
        <w:shd w:val="clear" w:color="auto" w:fill="auto"/>
        <w:ind w:firstLine="472"/>
        <w:rPr>
          <w:rFonts w:hint="eastAsia"/>
          <w:color w:val="000000" w:themeColor="text1"/>
          <w:spacing w:val="-2"/>
          <w:highlight w:val="none"/>
          <w:lang w:bidi="zh-CN"/>
          <w14:textFill>
            <w14:solidFill>
              <w14:schemeClr w14:val="tx1"/>
            </w14:solidFill>
          </w14:textFill>
        </w:rPr>
      </w:pPr>
      <w:r>
        <w:rPr>
          <w:rFonts w:hint="eastAsia"/>
          <w:color w:val="000000" w:themeColor="text1"/>
          <w:spacing w:val="-2"/>
          <w:highlight w:val="none"/>
          <w:lang w:bidi="zh-CN"/>
          <w14:textFill>
            <w14:solidFill>
              <w14:schemeClr w14:val="tx1"/>
            </w14:solidFill>
          </w14:textFill>
        </w:rPr>
        <w:t>附图十</w:t>
      </w:r>
      <w:r>
        <w:rPr>
          <w:rFonts w:hint="eastAsia"/>
          <w:color w:val="000000" w:themeColor="text1"/>
          <w:spacing w:val="-2"/>
          <w:highlight w:val="none"/>
          <w:lang w:val="en-US" w:bidi="zh-CN"/>
          <w14:textFill>
            <w14:solidFill>
              <w14:schemeClr w14:val="tx1"/>
            </w14:solidFill>
          </w14:textFill>
        </w:rPr>
        <w:t xml:space="preserve">三 </w:t>
      </w:r>
      <w:r>
        <w:rPr>
          <w:rFonts w:hint="eastAsia"/>
          <w:color w:val="000000" w:themeColor="text1"/>
          <w:spacing w:val="-2"/>
          <w:highlight w:val="none"/>
          <w:lang w:bidi="zh-CN"/>
          <w14:textFill>
            <w14:solidFill>
              <w14:schemeClr w14:val="tx1"/>
            </w14:solidFill>
          </w14:textFill>
        </w:rPr>
        <w:t>分区防渗图</w:t>
      </w:r>
    </w:p>
    <w:p w14:paraId="189ECE18">
      <w:pPr>
        <w:pStyle w:val="56"/>
        <w:shd w:val="clear" w:color="auto" w:fill="auto"/>
        <w:ind w:firstLine="472"/>
        <w:rPr>
          <w:rFonts w:hint="default"/>
          <w:color w:val="000000" w:themeColor="text1"/>
          <w:spacing w:val="-2"/>
          <w:highlight w:val="none"/>
          <w:lang w:bidi="zh-CN"/>
          <w14:textFill>
            <w14:solidFill>
              <w14:schemeClr w14:val="tx1"/>
            </w14:solidFill>
          </w14:textFill>
        </w:rPr>
      </w:pPr>
      <w:r>
        <w:rPr>
          <w:rFonts w:hint="eastAsia"/>
          <w:color w:val="000000" w:themeColor="text1"/>
          <w:spacing w:val="-2"/>
          <w:highlight w:val="none"/>
          <w:lang w:bidi="zh-CN"/>
          <w14:textFill>
            <w14:solidFill>
              <w14:schemeClr w14:val="tx1"/>
            </w14:solidFill>
          </w14:textFill>
        </w:rPr>
        <w:t>附图十</w:t>
      </w:r>
      <w:r>
        <w:rPr>
          <w:rFonts w:hint="eastAsia"/>
          <w:color w:val="000000" w:themeColor="text1"/>
          <w:spacing w:val="-2"/>
          <w:highlight w:val="none"/>
          <w:lang w:val="en-US" w:bidi="zh-CN"/>
          <w14:textFill>
            <w14:solidFill>
              <w14:schemeClr w14:val="tx1"/>
            </w14:solidFill>
          </w14:textFill>
        </w:rPr>
        <w:t xml:space="preserve">四 </w:t>
      </w:r>
      <w:r>
        <w:rPr>
          <w:rFonts w:hint="eastAsia"/>
          <w:color w:val="000000" w:themeColor="text1"/>
          <w:spacing w:val="-2"/>
          <w:highlight w:val="none"/>
          <w:lang w:bidi="zh-CN"/>
          <w14:textFill>
            <w14:solidFill>
              <w14:schemeClr w14:val="tx1"/>
            </w14:solidFill>
          </w14:textFill>
        </w:rPr>
        <w:t>卫生防护距离包络线图</w:t>
      </w:r>
    </w:p>
    <w:p w14:paraId="3EF70AF4">
      <w:pPr>
        <w:pStyle w:val="56"/>
        <w:shd w:val="clear" w:color="auto" w:fill="auto"/>
        <w:ind w:left="0" w:leftChars="0" w:firstLine="0" w:firstLineChars="0"/>
        <w:rPr>
          <w:b/>
          <w:bCs/>
          <w:color w:val="000000" w:themeColor="text1"/>
          <w:spacing w:val="-2"/>
          <w:highlight w:val="none"/>
          <w:lang w:bidi="zh-CN"/>
          <w14:textFill>
            <w14:solidFill>
              <w14:schemeClr w14:val="tx1"/>
            </w14:solidFill>
          </w14:textFill>
        </w:rPr>
      </w:pPr>
      <w:r>
        <w:rPr>
          <w:b/>
          <w:bCs/>
          <w:color w:val="000000" w:themeColor="text1"/>
          <w:spacing w:val="-2"/>
          <w:highlight w:val="none"/>
          <w:lang w:bidi="zh-CN"/>
          <w14:textFill>
            <w14:solidFill>
              <w14:schemeClr w14:val="tx1"/>
            </w14:solidFill>
          </w14:textFill>
        </w:rPr>
        <w:t>附件</w:t>
      </w:r>
    </w:p>
    <w:p w14:paraId="759B2741">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附件1 委托书</w:t>
      </w:r>
    </w:p>
    <w:p w14:paraId="6052935D">
      <w:pPr>
        <w:pStyle w:val="56"/>
        <w:shd w:val="clear" w:color="auto" w:fill="auto"/>
        <w:ind w:firstLine="472"/>
        <w:rPr>
          <w:rFonts w:hint="default"/>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附件2 备案</w:t>
      </w:r>
      <w:r>
        <w:rPr>
          <w:rFonts w:hint="eastAsia"/>
          <w:color w:val="000000" w:themeColor="text1"/>
          <w:spacing w:val="-2"/>
          <w:highlight w:val="none"/>
          <w:lang w:val="en-US" w:bidi="zh-CN"/>
          <w14:textFill>
            <w14:solidFill>
              <w14:schemeClr w14:val="tx1"/>
            </w14:solidFill>
          </w14:textFill>
        </w:rPr>
        <w:t>文件</w:t>
      </w:r>
    </w:p>
    <w:p w14:paraId="5846C511">
      <w:pPr>
        <w:pStyle w:val="56"/>
        <w:shd w:val="clear" w:color="auto" w:fill="auto"/>
        <w:ind w:firstLine="472"/>
        <w:rPr>
          <w:rFonts w:hint="default"/>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附件3 </w:t>
      </w:r>
      <w:r>
        <w:rPr>
          <w:rFonts w:hint="eastAsia"/>
          <w:color w:val="000000" w:themeColor="text1"/>
          <w:spacing w:val="-2"/>
          <w:highlight w:val="none"/>
          <w:lang w:bidi="zh-CN"/>
          <w14:textFill>
            <w14:solidFill>
              <w14:schemeClr w14:val="tx1"/>
            </w14:solidFill>
          </w14:textFill>
        </w:rPr>
        <w:t>建设单位营业执照</w:t>
      </w:r>
    </w:p>
    <w:p w14:paraId="168D7179">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附件4 </w:t>
      </w:r>
      <w:r>
        <w:rPr>
          <w:rFonts w:hint="eastAsia"/>
          <w:color w:val="000000" w:themeColor="text1"/>
          <w:spacing w:val="-2"/>
          <w:highlight w:val="none"/>
          <w:lang w:val="en-US" w:bidi="zh-CN"/>
          <w14:textFill>
            <w14:solidFill>
              <w14:schemeClr w14:val="tx1"/>
            </w14:solidFill>
          </w14:textFill>
        </w:rPr>
        <w:t>土地证</w:t>
      </w:r>
    </w:p>
    <w:p w14:paraId="4D393C2C">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附件5 </w:t>
      </w:r>
      <w:r>
        <w:rPr>
          <w:rFonts w:hint="eastAsia"/>
          <w:color w:val="000000" w:themeColor="text1"/>
          <w:spacing w:val="-2"/>
          <w:highlight w:val="none"/>
          <w:lang w:val="en-US" w:bidi="zh-CN"/>
          <w14:textFill>
            <w14:solidFill>
              <w14:schemeClr w14:val="tx1"/>
            </w14:solidFill>
          </w14:textFill>
        </w:rPr>
        <w:t>MSDS</w:t>
      </w:r>
    </w:p>
    <w:p w14:paraId="5BED4CC8">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附件6 </w:t>
      </w:r>
      <w:r>
        <w:rPr>
          <w:rFonts w:hint="eastAsia"/>
          <w:color w:val="000000" w:themeColor="text1"/>
          <w:spacing w:val="-2"/>
          <w:highlight w:val="none"/>
          <w:lang w:val="en-US" w:bidi="zh-CN"/>
          <w14:textFill>
            <w14:solidFill>
              <w14:schemeClr w14:val="tx1"/>
            </w14:solidFill>
          </w14:textFill>
        </w:rPr>
        <w:t>节能批复</w:t>
      </w:r>
    </w:p>
    <w:p w14:paraId="75AFB5DF">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附件7 </w:t>
      </w:r>
      <w:r>
        <w:rPr>
          <w:rFonts w:hint="eastAsia"/>
          <w:color w:val="000000" w:themeColor="text1"/>
          <w:spacing w:val="-2"/>
          <w:highlight w:val="none"/>
          <w:lang w:val="en-US" w:bidi="zh-CN"/>
          <w14:textFill>
            <w14:solidFill>
              <w14:schemeClr w14:val="tx1"/>
            </w14:solidFill>
          </w14:textFill>
        </w:rPr>
        <w:t>现状监测数据</w:t>
      </w:r>
    </w:p>
    <w:p w14:paraId="4BF276DD">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 xml:space="preserve">附件8 </w:t>
      </w:r>
      <w:r>
        <w:rPr>
          <w:rFonts w:hint="eastAsia"/>
          <w:color w:val="000000" w:themeColor="text1"/>
          <w:spacing w:val="-2"/>
          <w:highlight w:val="none"/>
          <w:lang w:bidi="zh-CN"/>
          <w14:textFill>
            <w14:solidFill>
              <w14:schemeClr w14:val="tx1"/>
            </w14:solidFill>
          </w14:textFill>
        </w:rPr>
        <w:t>引用数据检测报告（截取本次引用内容）</w:t>
      </w:r>
    </w:p>
    <w:p w14:paraId="470A44E3">
      <w:pPr>
        <w:pStyle w:val="56"/>
        <w:shd w:val="clear" w:color="auto" w:fill="auto"/>
        <w:ind w:firstLine="472"/>
        <w:rPr>
          <w:color w:val="000000" w:themeColor="text1"/>
          <w:spacing w:val="-2"/>
          <w:highlight w:val="none"/>
          <w:lang w:bidi="zh-CN"/>
          <w14:textFill>
            <w14:solidFill>
              <w14:schemeClr w14:val="tx1"/>
            </w14:solidFill>
          </w14:textFill>
        </w:rPr>
      </w:pPr>
      <w:r>
        <w:rPr>
          <w:color w:val="000000" w:themeColor="text1"/>
          <w:spacing w:val="-2"/>
          <w:highlight w:val="none"/>
          <w:lang w:bidi="zh-CN"/>
          <w14:textFill>
            <w14:solidFill>
              <w14:schemeClr w14:val="tx1"/>
            </w14:solidFill>
          </w14:textFill>
        </w:rPr>
        <w:t>附件</w:t>
      </w:r>
      <w:r>
        <w:rPr>
          <w:rFonts w:hint="eastAsia"/>
          <w:color w:val="000000" w:themeColor="text1"/>
          <w:spacing w:val="-2"/>
          <w:highlight w:val="none"/>
          <w:lang w:val="en-US" w:bidi="zh-CN"/>
          <w14:textFill>
            <w14:solidFill>
              <w14:schemeClr w14:val="tx1"/>
            </w14:solidFill>
          </w14:textFill>
        </w:rPr>
        <w:t xml:space="preserve">9 </w:t>
      </w:r>
      <w:r>
        <w:rPr>
          <w:color w:val="000000" w:themeColor="text1"/>
          <w:spacing w:val="-2"/>
          <w:highlight w:val="none"/>
          <w:lang w:bidi="zh-CN"/>
          <w14:textFill>
            <w14:solidFill>
              <w14:schemeClr w14:val="tx1"/>
            </w14:solidFill>
          </w14:textFill>
        </w:rPr>
        <w:t>江西省生态环境厅关于江西乐平工业园区扩区调区规划环境影响报告书审查意见的函</w:t>
      </w:r>
    </w:p>
    <w:p w14:paraId="0A190F07">
      <w:pPr>
        <w:pStyle w:val="56"/>
        <w:shd w:val="clear" w:color="auto" w:fill="auto"/>
        <w:ind w:firstLine="472"/>
        <w:rPr>
          <w:rFonts w:hint="eastAsia"/>
          <w:color w:val="000000" w:themeColor="text1"/>
          <w:spacing w:val="-2"/>
          <w:highlight w:val="none"/>
          <w:lang w:val="en-US" w:bidi="zh-CN"/>
          <w14:textFill>
            <w14:solidFill>
              <w14:schemeClr w14:val="tx1"/>
            </w14:solidFill>
          </w14:textFill>
        </w:rPr>
      </w:pPr>
      <w:r>
        <w:rPr>
          <w:rFonts w:hint="default"/>
          <w:color w:val="000000" w:themeColor="text1"/>
          <w:spacing w:val="-2"/>
          <w:highlight w:val="none"/>
          <w:lang w:bidi="zh-CN"/>
          <w14:textFill>
            <w14:solidFill>
              <w14:schemeClr w14:val="tx1"/>
            </w14:solidFill>
          </w14:textFill>
        </w:rPr>
        <w:t xml:space="preserve">附件10 </w:t>
      </w:r>
      <w:r>
        <w:rPr>
          <w:rFonts w:hint="eastAsia"/>
          <w:color w:val="000000" w:themeColor="text1"/>
          <w:spacing w:val="-2"/>
          <w:highlight w:val="none"/>
          <w:lang w:val="en-US" w:bidi="zh-CN"/>
          <w14:textFill>
            <w14:solidFill>
              <w14:schemeClr w14:val="tx1"/>
            </w14:solidFill>
          </w14:textFill>
        </w:rPr>
        <w:t>承诺书</w:t>
      </w:r>
    </w:p>
    <w:p w14:paraId="447BB2DD">
      <w:pPr>
        <w:pStyle w:val="56"/>
        <w:shd w:val="clear" w:color="auto" w:fill="auto"/>
        <w:ind w:firstLine="472"/>
        <w:rPr>
          <w:rFonts w:hint="eastAsia"/>
          <w:color w:val="000000" w:themeColor="text1"/>
          <w:spacing w:val="-2"/>
          <w:highlight w:val="none"/>
          <w:lang w:val="en-US" w:bidi="zh-CN"/>
          <w14:textFill>
            <w14:solidFill>
              <w14:schemeClr w14:val="tx1"/>
            </w14:solidFill>
          </w14:textFill>
        </w:rPr>
      </w:pPr>
      <w:r>
        <w:rPr>
          <w:rFonts w:hint="eastAsia"/>
          <w:color w:val="000000" w:themeColor="text1"/>
          <w:spacing w:val="-2"/>
          <w:highlight w:val="none"/>
          <w:lang w:val="en-US" w:bidi="zh-CN"/>
          <w14:textFill>
            <w14:solidFill>
              <w14:schemeClr w14:val="tx1"/>
            </w14:solidFill>
          </w14:textFill>
        </w:rPr>
        <w:t>附件11 总量指标确认书</w:t>
      </w:r>
    </w:p>
    <w:p w14:paraId="1D9D8FFE">
      <w:pPr>
        <w:pStyle w:val="56"/>
        <w:shd w:val="clear" w:color="auto" w:fill="auto"/>
        <w:ind w:firstLine="472"/>
        <w:rPr>
          <w:rFonts w:hint="eastAsia"/>
          <w:color w:val="000000" w:themeColor="text1"/>
          <w:spacing w:val="-2"/>
          <w:highlight w:val="none"/>
          <w:lang w:val="en-US" w:bidi="zh-CN"/>
          <w14:textFill>
            <w14:solidFill>
              <w14:schemeClr w14:val="tx1"/>
            </w14:solidFill>
          </w14:textFill>
        </w:rPr>
      </w:pPr>
      <w:r>
        <w:rPr>
          <w:rFonts w:hint="eastAsia"/>
          <w:color w:val="000000" w:themeColor="text1"/>
          <w:spacing w:val="-2"/>
          <w:highlight w:val="none"/>
          <w:lang w:val="en-US" w:bidi="zh-CN"/>
          <w14:textFill>
            <w14:solidFill>
              <w14:schemeClr w14:val="tx1"/>
            </w14:solidFill>
          </w14:textFill>
        </w:rPr>
        <w:t>附件12 专家意见及修改清单</w:t>
      </w:r>
    </w:p>
    <w:p w14:paraId="09BFCCAE">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r>
        <w:rPr>
          <w:rFonts w:hint="eastAsia"/>
          <w:color w:val="000000" w:themeColor="text1"/>
          <w:spacing w:val="-2"/>
          <w:highlight w:val="none"/>
          <w:lang w:val="en-US" w:bidi="zh-CN"/>
          <w14:textFill>
            <w14:solidFill>
              <w14:schemeClr w14:val="tx1"/>
            </w14:solidFill>
          </w14:textFill>
        </w:rPr>
        <w:t>附件13 复核意见</w:t>
      </w:r>
    </w:p>
    <w:p w14:paraId="4BD6A97E">
      <w:pPr>
        <w:pStyle w:val="56"/>
        <w:shd w:val="clear" w:color="auto" w:fill="auto"/>
        <w:ind w:firstLine="472"/>
        <w:rPr>
          <w:rFonts w:hint="default"/>
          <w:color w:val="000000" w:themeColor="text1"/>
          <w:spacing w:val="-2"/>
          <w:highlight w:val="none"/>
          <w:lang w:val="en-US" w:bidi="zh-CN"/>
          <w14:textFill>
            <w14:solidFill>
              <w14:schemeClr w14:val="tx1"/>
            </w14:solidFill>
          </w14:textFill>
        </w:rPr>
      </w:pPr>
      <w:bookmarkStart w:id="8" w:name="_GoBack"/>
      <w:bookmarkEnd w:id="8"/>
    </w:p>
    <w:p w14:paraId="2C701766">
      <w:pPr>
        <w:pStyle w:val="76"/>
        <w:shd w:val="clear" w:color="auto" w:fill="auto"/>
        <w:rPr>
          <w:rFonts w:hint="eastAsia"/>
          <w:color w:val="000000" w:themeColor="text1"/>
          <w:highlight w:val="none"/>
          <w14:textFill>
            <w14:solidFill>
              <w14:schemeClr w14:val="tx1"/>
            </w14:solidFill>
          </w14:textFill>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720" w:num="1"/>
          <w:docGrid w:type="lines" w:linePitch="312" w:charSpace="0"/>
        </w:sectPr>
      </w:pPr>
      <w:r>
        <w:rPr>
          <w:rFonts w:hint="eastAsia"/>
          <w:color w:val="000000" w:themeColor="text1"/>
          <w:highlight w:val="none"/>
          <w:shd w:val="clear" w:color="FFFFFF" w:fill="D9D9D9"/>
          <w14:textFill>
            <w14:solidFill>
              <w14:schemeClr w14:val="tx1"/>
            </w14:solidFill>
          </w14:textFill>
        </w:rPr>
        <w:fldChar w:fldCharType="end"/>
      </w:r>
    </w:p>
    <w:p w14:paraId="388E8863">
      <w:pPr>
        <w:pStyle w:val="2"/>
        <w:shd w:val="clear" w:color="auto" w:fill="auto"/>
        <w:rPr>
          <w:rFonts w:hint="eastAsia"/>
          <w:color w:val="000000" w:themeColor="text1"/>
          <w:highlight w:val="none"/>
          <w14:textFill>
            <w14:solidFill>
              <w14:schemeClr w14:val="tx1"/>
            </w14:solidFill>
          </w14:textFill>
        </w:rPr>
      </w:pPr>
      <w:bookmarkStart w:id="0" w:name="_Toc15318"/>
      <w:r>
        <w:rPr>
          <w:rFonts w:hint="eastAsia"/>
          <w:color w:val="000000" w:themeColor="text1"/>
          <w:highlight w:val="none"/>
          <w14:textFill>
            <w14:solidFill>
              <w14:schemeClr w14:val="tx1"/>
            </w14:solidFill>
          </w14:textFill>
        </w:rPr>
        <w:t>一、建设项目基本情况</w:t>
      </w:r>
      <w:bookmarkEnd w:id="0"/>
    </w:p>
    <w:tbl>
      <w:tblPr>
        <w:tblStyle w:val="3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90"/>
        <w:gridCol w:w="2090"/>
        <w:gridCol w:w="1636"/>
        <w:gridCol w:w="3606"/>
      </w:tblGrid>
      <w:tr w14:paraId="65C68D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90" w:type="dxa"/>
            <w:noWrap w:val="0"/>
            <w:vAlign w:val="center"/>
          </w:tcPr>
          <w:p w14:paraId="1B1FCE41">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建设项目名称</w:t>
            </w:r>
          </w:p>
        </w:tc>
        <w:tc>
          <w:tcPr>
            <w:tcW w:w="7332" w:type="dxa"/>
            <w:gridSpan w:val="3"/>
            <w:noWrap w:val="0"/>
            <w:vAlign w:val="center"/>
          </w:tcPr>
          <w:p w14:paraId="2E266F0C">
            <w:pPr>
              <w:pStyle w:val="7"/>
              <w:shd w:val="clear" w:color="auto" w:fill="auto"/>
              <w:spacing w:line="240" w:lineRule="auto"/>
              <w:ind w:left="0" w:firstLine="0" w:firstLineChars="0"/>
              <w:jc w:val="center"/>
              <w:rPr>
                <w:rFonts w:hint="eastAsia" w:eastAsia="宋体"/>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江西泰银年产汽车排气歧管60万个和平衡块500万个项目</w:t>
            </w:r>
          </w:p>
        </w:tc>
      </w:tr>
      <w:tr w14:paraId="690F13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7359A3A4">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项目代码</w:t>
            </w:r>
          </w:p>
        </w:tc>
        <w:tc>
          <w:tcPr>
            <w:tcW w:w="7332" w:type="dxa"/>
            <w:gridSpan w:val="3"/>
            <w:noWrap w:val="0"/>
            <w:vAlign w:val="center"/>
          </w:tcPr>
          <w:p w14:paraId="27B4466F">
            <w:pPr>
              <w:widowControl/>
              <w:shd w:val="clear" w:color="auto" w:fill="auto"/>
              <w:spacing w:line="240" w:lineRule="auto"/>
              <w:ind w:firstLine="0" w:firstLineChars="0"/>
              <w:jc w:val="center"/>
              <w:rPr>
                <w:rFonts w:hint="eastAsia" w:eastAsia="宋体"/>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2404-360281-04-05-551524</w:t>
            </w:r>
          </w:p>
        </w:tc>
      </w:tr>
      <w:tr w14:paraId="48F42F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43968595">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建设单位联系人</w:t>
            </w:r>
          </w:p>
        </w:tc>
        <w:tc>
          <w:tcPr>
            <w:tcW w:w="2090" w:type="dxa"/>
            <w:noWrap w:val="0"/>
            <w:vAlign w:val="center"/>
          </w:tcPr>
          <w:p w14:paraId="3DC254C7">
            <w:pPr>
              <w:pStyle w:val="71"/>
              <w:shd w:val="clear" w:color="auto" w:fill="auto"/>
              <w:spacing w:line="240" w:lineRule="auto"/>
              <w:rPr>
                <w:rFonts w:hint="eastAsia" w:eastAsia="宋体"/>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廖军</w:t>
            </w:r>
          </w:p>
        </w:tc>
        <w:tc>
          <w:tcPr>
            <w:tcW w:w="1636" w:type="dxa"/>
            <w:noWrap w:val="0"/>
            <w:vAlign w:val="center"/>
          </w:tcPr>
          <w:p w14:paraId="18F751A5">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联系方式</w:t>
            </w:r>
          </w:p>
        </w:tc>
        <w:tc>
          <w:tcPr>
            <w:tcW w:w="3606" w:type="dxa"/>
            <w:noWrap w:val="0"/>
            <w:vAlign w:val="center"/>
          </w:tcPr>
          <w:p w14:paraId="767AA501">
            <w:pPr>
              <w:pStyle w:val="71"/>
              <w:shd w:val="clear" w:color="auto" w:fill="auto"/>
              <w:spacing w:line="240" w:lineRule="auto"/>
              <w:rPr>
                <w:rFonts w:hint="default" w:eastAsia="宋体"/>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13616786436</w:t>
            </w:r>
          </w:p>
        </w:tc>
      </w:tr>
      <w:tr w14:paraId="5A2EAA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5F8E1120">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建设地点</w:t>
            </w:r>
          </w:p>
        </w:tc>
        <w:tc>
          <w:tcPr>
            <w:tcW w:w="7332" w:type="dxa"/>
            <w:gridSpan w:val="3"/>
            <w:noWrap w:val="0"/>
            <w:vAlign w:val="center"/>
          </w:tcPr>
          <w:p w14:paraId="7131CB00">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江西省乐平市汽摩配小镇</w:t>
            </w:r>
            <w:r>
              <w:rPr>
                <w:rFonts w:hint="eastAsia"/>
                <w:color w:val="000000" w:themeColor="text1"/>
                <w:highlight w:val="none"/>
                <w:lang w:val="en-US" w:eastAsia="zh-CN"/>
                <w14:textFill>
                  <w14:solidFill>
                    <w14:schemeClr w14:val="tx1"/>
                  </w14:solidFill>
                </w14:textFill>
              </w:rPr>
              <w:t>C</w:t>
            </w:r>
            <w:r>
              <w:rPr>
                <w:color w:val="000000" w:themeColor="text1"/>
                <w:highlight w:val="none"/>
                <w14:textFill>
                  <w14:solidFill>
                    <w14:schemeClr w14:val="tx1"/>
                  </w14:solidFill>
                </w14:textFill>
              </w:rPr>
              <w:t>10厂房</w:t>
            </w:r>
          </w:p>
        </w:tc>
      </w:tr>
      <w:tr w14:paraId="061113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0F85C7E6">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地理坐标</w:t>
            </w:r>
          </w:p>
        </w:tc>
        <w:tc>
          <w:tcPr>
            <w:tcW w:w="7332" w:type="dxa"/>
            <w:gridSpan w:val="3"/>
            <w:noWrap w:val="0"/>
            <w:vAlign w:val="center"/>
          </w:tcPr>
          <w:p w14:paraId="114FF552">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w:t>
            </w:r>
            <w:r>
              <w:rPr>
                <w:rFonts w:hint="default"/>
                <w:color w:val="000000" w:themeColor="text1"/>
                <w:highlight w:val="none"/>
                <w14:textFill>
                  <w14:solidFill>
                    <w14:schemeClr w14:val="tx1"/>
                  </w14:solidFill>
                </w14:textFill>
              </w:rPr>
              <w:t>东经</w:t>
            </w:r>
            <w:r>
              <w:rPr>
                <w:rFonts w:hint="default"/>
                <w:color w:val="000000" w:themeColor="text1"/>
                <w:highlight w:val="none"/>
                <w:u w:val="single"/>
                <w14:textFill>
                  <w14:solidFill>
                    <w14:schemeClr w14:val="tx1"/>
                  </w14:solidFill>
                </w14:textFill>
              </w:rPr>
              <w:t>11</w:t>
            </w:r>
            <w:r>
              <w:rPr>
                <w:color w:val="000000" w:themeColor="text1"/>
                <w:highlight w:val="none"/>
                <w:u w:val="single"/>
                <w14:textFill>
                  <w14:solidFill>
                    <w14:schemeClr w14:val="tx1"/>
                  </w14:solidFill>
                </w14:textFill>
              </w:rPr>
              <w:t>7</w:t>
            </w:r>
            <w:r>
              <w:rPr>
                <w:color w:val="000000" w:themeColor="text1"/>
                <w:highlight w:val="none"/>
                <w14:textFill>
                  <w14:solidFill>
                    <w14:schemeClr w14:val="tx1"/>
                  </w14:solidFill>
                </w14:textFill>
              </w:rPr>
              <w:t>度</w:t>
            </w:r>
            <w:r>
              <w:rPr>
                <w:rFonts w:hint="eastAsia"/>
                <w:color w:val="000000" w:themeColor="text1"/>
                <w:highlight w:val="none"/>
                <w:u w:val="single"/>
                <w:lang w:val="en-US" w:eastAsia="zh-CN"/>
                <w14:textFill>
                  <w14:solidFill>
                    <w14:schemeClr w14:val="tx1"/>
                  </w14:solidFill>
                </w14:textFill>
              </w:rPr>
              <w:t>10</w:t>
            </w:r>
            <w:r>
              <w:rPr>
                <w:color w:val="000000" w:themeColor="text1"/>
                <w:highlight w:val="none"/>
                <w14:textFill>
                  <w14:solidFill>
                    <w14:schemeClr w14:val="tx1"/>
                  </w14:solidFill>
                </w14:textFill>
              </w:rPr>
              <w:t>分</w:t>
            </w:r>
            <w:r>
              <w:rPr>
                <w:rFonts w:hint="eastAsia"/>
                <w:color w:val="000000" w:themeColor="text1"/>
                <w:highlight w:val="none"/>
                <w:u w:val="single"/>
                <w:lang w:val="en-US" w:eastAsia="zh-CN"/>
                <w14:textFill>
                  <w14:solidFill>
                    <w14:schemeClr w14:val="tx1"/>
                  </w14:solidFill>
                </w14:textFill>
              </w:rPr>
              <w:t>10.709</w:t>
            </w:r>
            <w:r>
              <w:rPr>
                <w:color w:val="000000" w:themeColor="text1"/>
                <w:highlight w:val="none"/>
                <w14:textFill>
                  <w14:solidFill>
                    <w14:schemeClr w14:val="tx1"/>
                  </w14:solidFill>
                </w14:textFill>
              </w:rPr>
              <w:t>秒</w:t>
            </w:r>
            <w:r>
              <w:rPr>
                <w:rFonts w:hint="default"/>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北纬</w:t>
            </w:r>
            <w:r>
              <w:rPr>
                <w:color w:val="000000" w:themeColor="text1"/>
                <w:highlight w:val="none"/>
                <w:u w:val="single"/>
                <w14:textFill>
                  <w14:solidFill>
                    <w14:schemeClr w14:val="tx1"/>
                  </w14:solidFill>
                </w14:textFill>
              </w:rPr>
              <w:t>29</w:t>
            </w:r>
            <w:r>
              <w:rPr>
                <w:color w:val="000000" w:themeColor="text1"/>
                <w:highlight w:val="none"/>
                <w14:textFill>
                  <w14:solidFill>
                    <w14:schemeClr w14:val="tx1"/>
                  </w14:solidFill>
                </w14:textFill>
              </w:rPr>
              <w:t>度</w:t>
            </w:r>
            <w:r>
              <w:rPr>
                <w:color w:val="000000" w:themeColor="text1"/>
                <w:highlight w:val="none"/>
                <w:u w:val="single"/>
                <w14:textFill>
                  <w14:solidFill>
                    <w14:schemeClr w14:val="tx1"/>
                  </w14:solidFill>
                </w14:textFill>
              </w:rPr>
              <w:t>0</w:t>
            </w:r>
            <w:r>
              <w:rPr>
                <w:color w:val="000000" w:themeColor="text1"/>
                <w:highlight w:val="none"/>
                <w14:textFill>
                  <w14:solidFill>
                    <w14:schemeClr w14:val="tx1"/>
                  </w14:solidFill>
                </w14:textFill>
              </w:rPr>
              <w:t>分</w:t>
            </w:r>
            <w:r>
              <w:rPr>
                <w:rFonts w:hint="eastAsia"/>
                <w:color w:val="000000" w:themeColor="text1"/>
                <w:highlight w:val="none"/>
                <w:u w:val="single"/>
                <w:lang w:val="en-US" w:eastAsia="zh-CN"/>
                <w14:textFill>
                  <w14:solidFill>
                    <w14:schemeClr w14:val="tx1"/>
                  </w14:solidFill>
                </w14:textFill>
              </w:rPr>
              <w:t>35.636</w:t>
            </w:r>
            <w:r>
              <w:rPr>
                <w:color w:val="000000" w:themeColor="text1"/>
                <w:highlight w:val="none"/>
                <w14:textFill>
                  <w14:solidFill>
                    <w14:schemeClr w14:val="tx1"/>
                  </w14:solidFill>
                </w14:textFill>
              </w:rPr>
              <w:t>秒）</w:t>
            </w:r>
          </w:p>
        </w:tc>
      </w:tr>
      <w:tr w14:paraId="102D17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190" w:type="dxa"/>
            <w:noWrap w:val="0"/>
            <w:vAlign w:val="center"/>
          </w:tcPr>
          <w:p w14:paraId="0B06525B">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国民经济行业类别</w:t>
            </w:r>
          </w:p>
        </w:tc>
        <w:tc>
          <w:tcPr>
            <w:tcW w:w="2090" w:type="dxa"/>
            <w:noWrap w:val="0"/>
            <w:vAlign w:val="center"/>
          </w:tcPr>
          <w:p w14:paraId="54764069">
            <w:pPr>
              <w:pStyle w:val="7"/>
              <w:shd w:val="clear" w:color="auto" w:fill="auto"/>
              <w:spacing w:line="240" w:lineRule="auto"/>
              <w:ind w:left="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C3670汽车零部件及配件制造；C3391黑色金属铸造</w:t>
            </w:r>
          </w:p>
        </w:tc>
        <w:tc>
          <w:tcPr>
            <w:tcW w:w="1636" w:type="dxa"/>
            <w:noWrap w:val="0"/>
            <w:vAlign w:val="center"/>
          </w:tcPr>
          <w:p w14:paraId="12E96328">
            <w:pPr>
              <w:pStyle w:val="7"/>
              <w:shd w:val="clear" w:color="auto" w:fill="auto"/>
              <w:spacing w:line="240" w:lineRule="auto"/>
              <w:ind w:left="0" w:firstLine="0" w:firstLineChars="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建设项目</w:t>
            </w:r>
          </w:p>
          <w:p w14:paraId="3372F813">
            <w:pPr>
              <w:pStyle w:val="7"/>
              <w:shd w:val="clear" w:color="auto" w:fill="auto"/>
              <w:spacing w:line="240" w:lineRule="auto"/>
              <w:ind w:left="0" w:firstLine="0" w:firstLineChars="0"/>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行业类别</w:t>
            </w:r>
          </w:p>
        </w:tc>
        <w:tc>
          <w:tcPr>
            <w:tcW w:w="3606" w:type="dxa"/>
            <w:noWrap w:val="0"/>
            <w:vAlign w:val="center"/>
          </w:tcPr>
          <w:p w14:paraId="0B59DC06">
            <w:pPr>
              <w:pStyle w:val="7"/>
              <w:shd w:val="clear" w:color="auto" w:fill="auto"/>
              <w:spacing w:line="240" w:lineRule="auto"/>
              <w:ind w:left="0"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三十三、汽车制造业36—汽车零部件及配件制造367—其他（年用非溶剂型低VOCs含量涂料10吨以下的除外）；三十、金属制品业33—铸造及其他金属制品制造339—其他（仅分割、焊接、组装的除外）。</w:t>
            </w:r>
          </w:p>
        </w:tc>
      </w:tr>
      <w:tr w14:paraId="7C1AF0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13" w:hRule="atLeast"/>
          <w:jc w:val="center"/>
        </w:trPr>
        <w:tc>
          <w:tcPr>
            <w:tcW w:w="1190" w:type="dxa"/>
            <w:noWrap w:val="0"/>
            <w:vAlign w:val="center"/>
          </w:tcPr>
          <w:p w14:paraId="6EAB8709">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建设性质</w:t>
            </w:r>
          </w:p>
        </w:tc>
        <w:tc>
          <w:tcPr>
            <w:tcW w:w="2090" w:type="dxa"/>
            <w:noWrap w:val="0"/>
            <w:vAlign w:val="center"/>
          </w:tcPr>
          <w:p w14:paraId="1C375542">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52"/>
            </w:r>
            <w:r>
              <w:rPr>
                <w:rFonts w:hint="default" w:ascii="Times New Roman" w:hAnsi="Times New Roman" w:cs="Times New Roman"/>
                <w:color w:val="000000" w:themeColor="text1"/>
                <w:sz w:val="24"/>
                <w:szCs w:val="24"/>
                <w:highlight w:val="none"/>
                <w14:textFill>
                  <w14:solidFill>
                    <w14:schemeClr w14:val="tx1"/>
                  </w14:solidFill>
                </w14:textFill>
              </w:rPr>
              <w:t>新建（迁建）</w:t>
            </w:r>
          </w:p>
          <w:p w14:paraId="6E958610">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改建</w:t>
            </w:r>
          </w:p>
          <w:p w14:paraId="4802E961">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扩建</w:t>
            </w:r>
          </w:p>
          <w:p w14:paraId="4728677A">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技术改造</w:t>
            </w:r>
          </w:p>
        </w:tc>
        <w:tc>
          <w:tcPr>
            <w:tcW w:w="1636" w:type="dxa"/>
            <w:noWrap w:val="0"/>
            <w:vAlign w:val="center"/>
          </w:tcPr>
          <w:p w14:paraId="1119EB63">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建设项目</w:t>
            </w:r>
          </w:p>
          <w:p w14:paraId="5EC1A959">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申报情形</w:t>
            </w:r>
          </w:p>
        </w:tc>
        <w:tc>
          <w:tcPr>
            <w:tcW w:w="3606" w:type="dxa"/>
            <w:noWrap w:val="0"/>
            <w:vAlign w:val="center"/>
          </w:tcPr>
          <w:p w14:paraId="5B1E187A">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52"/>
            </w:r>
            <w:r>
              <w:rPr>
                <w:rFonts w:hint="default" w:ascii="Times New Roman" w:hAnsi="Times New Roman" w:cs="Times New Roman"/>
                <w:color w:val="000000" w:themeColor="text1"/>
                <w:sz w:val="24"/>
                <w:szCs w:val="24"/>
                <w:highlight w:val="none"/>
                <w14:textFill>
                  <w14:solidFill>
                    <w14:schemeClr w14:val="tx1"/>
                  </w14:solidFill>
                </w14:textFill>
              </w:rPr>
              <w:t>首次申报项目</w:t>
            </w:r>
          </w:p>
          <w:p w14:paraId="57DEAB34">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不予批准后再次申报项目</w:t>
            </w:r>
          </w:p>
          <w:p w14:paraId="13AACC34">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超五年重新审核项目</w:t>
            </w:r>
          </w:p>
          <w:p w14:paraId="37113105">
            <w:pPr>
              <w:pStyle w:val="93"/>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sz w:val="24"/>
                <w:szCs w:val="24"/>
                <w:highlight w:val="none"/>
                <w14:textFill>
                  <w14:solidFill>
                    <w14:schemeClr w14:val="tx1"/>
                  </w14:solidFill>
                </w14:textFill>
              </w:rPr>
              <w:t>重大变动重新报批项目</w:t>
            </w:r>
          </w:p>
        </w:tc>
      </w:tr>
      <w:tr w14:paraId="21D1A7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69" w:hRule="atLeast"/>
          <w:jc w:val="center"/>
        </w:trPr>
        <w:tc>
          <w:tcPr>
            <w:tcW w:w="1190" w:type="dxa"/>
            <w:noWrap w:val="0"/>
            <w:vAlign w:val="center"/>
          </w:tcPr>
          <w:p w14:paraId="1AB8F312">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项目审批（核准/备案）部门（选填）</w:t>
            </w:r>
          </w:p>
        </w:tc>
        <w:tc>
          <w:tcPr>
            <w:tcW w:w="2090" w:type="dxa"/>
            <w:noWrap w:val="0"/>
            <w:vAlign w:val="center"/>
          </w:tcPr>
          <w:p w14:paraId="5D2A8809">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乐平市发展和改革委员会</w:t>
            </w:r>
          </w:p>
        </w:tc>
        <w:tc>
          <w:tcPr>
            <w:tcW w:w="1636" w:type="dxa"/>
            <w:noWrap w:val="0"/>
            <w:vAlign w:val="center"/>
          </w:tcPr>
          <w:p w14:paraId="0F9FEFD2">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项目审批</w:t>
            </w:r>
          </w:p>
          <w:p w14:paraId="73A82CD2">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（核准/备案）文号（选填）</w:t>
            </w:r>
          </w:p>
        </w:tc>
        <w:tc>
          <w:tcPr>
            <w:tcW w:w="3606" w:type="dxa"/>
            <w:noWrap w:val="0"/>
            <w:vAlign w:val="center"/>
          </w:tcPr>
          <w:p w14:paraId="3C980C1C">
            <w:pPr>
              <w:pStyle w:val="71"/>
              <w:shd w:val="clear" w:color="auto" w:fill="auto"/>
              <w:spacing w:line="240" w:lineRule="auto"/>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w:t>
            </w:r>
          </w:p>
        </w:tc>
      </w:tr>
      <w:tr w14:paraId="7F8DF7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71D7F8E7">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总投资（万元）</w:t>
            </w:r>
          </w:p>
        </w:tc>
        <w:tc>
          <w:tcPr>
            <w:tcW w:w="2090" w:type="dxa"/>
            <w:noWrap w:val="0"/>
            <w:vAlign w:val="center"/>
          </w:tcPr>
          <w:p w14:paraId="5B9C3D12">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default" w:ascii="Times New Roman" w:hAnsi="Times New Roman" w:cs="Times New Roman"/>
                <w:color w:val="000000" w:themeColor="text1"/>
                <w:highlight w:val="none"/>
                <w14:textFill>
                  <w14:solidFill>
                    <w14:schemeClr w14:val="tx1"/>
                  </w14:solidFill>
                </w14:textFill>
              </w:rPr>
              <w:t>0000</w:t>
            </w:r>
          </w:p>
        </w:tc>
        <w:tc>
          <w:tcPr>
            <w:tcW w:w="1636" w:type="dxa"/>
            <w:noWrap w:val="0"/>
            <w:vAlign w:val="center"/>
          </w:tcPr>
          <w:p w14:paraId="3B12ABD9">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环保投资（万元）</w:t>
            </w:r>
          </w:p>
        </w:tc>
        <w:tc>
          <w:tcPr>
            <w:tcW w:w="3606" w:type="dxa"/>
            <w:noWrap w:val="0"/>
            <w:vAlign w:val="center"/>
          </w:tcPr>
          <w:p w14:paraId="52491D4A">
            <w:pPr>
              <w:pStyle w:val="71"/>
              <w:shd w:val="clear" w:color="auto" w:fill="auto"/>
              <w:spacing w:line="240" w:lineRule="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115</w:t>
            </w:r>
          </w:p>
        </w:tc>
      </w:tr>
      <w:tr w14:paraId="19F585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3E568B9D">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环保投资占比（%）</w:t>
            </w:r>
          </w:p>
        </w:tc>
        <w:tc>
          <w:tcPr>
            <w:tcW w:w="2090" w:type="dxa"/>
            <w:noWrap w:val="0"/>
            <w:vAlign w:val="center"/>
          </w:tcPr>
          <w:p w14:paraId="00965C20">
            <w:pPr>
              <w:pStyle w:val="71"/>
              <w:shd w:val="clear" w:color="auto" w:fill="auto"/>
              <w:spacing w:line="240" w:lineRule="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1.15</w:t>
            </w:r>
          </w:p>
        </w:tc>
        <w:tc>
          <w:tcPr>
            <w:tcW w:w="1636" w:type="dxa"/>
            <w:noWrap w:val="0"/>
            <w:vAlign w:val="center"/>
          </w:tcPr>
          <w:p w14:paraId="6EF6DA26">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施工工期</w:t>
            </w:r>
          </w:p>
        </w:tc>
        <w:tc>
          <w:tcPr>
            <w:tcW w:w="3606" w:type="dxa"/>
            <w:noWrap w:val="0"/>
            <w:vAlign w:val="center"/>
          </w:tcPr>
          <w:p w14:paraId="599B6220">
            <w:pPr>
              <w:pStyle w:val="71"/>
              <w:shd w:val="clear" w:color="auto" w:fill="auto"/>
              <w:spacing w:line="240" w:lineRule="auto"/>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3</w:t>
            </w:r>
          </w:p>
        </w:tc>
      </w:tr>
      <w:tr w14:paraId="368949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31E4E5ED">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是否开工建设</w:t>
            </w:r>
          </w:p>
        </w:tc>
        <w:tc>
          <w:tcPr>
            <w:tcW w:w="2090" w:type="dxa"/>
            <w:noWrap w:val="0"/>
            <w:vAlign w:val="center"/>
          </w:tcPr>
          <w:p w14:paraId="01DF15A0">
            <w:pPr>
              <w:shd w:val="clear" w:color="auto" w:fill="auto"/>
              <w:spacing w:line="240" w:lineRule="auto"/>
              <w:ind w:firstLine="0" w:firstLineChars="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52"/>
            </w:r>
            <w:r>
              <w:rPr>
                <w:rFonts w:hint="default" w:ascii="Times New Roman" w:hAnsi="Times New Roman" w:cs="Times New Roman"/>
                <w:color w:val="000000" w:themeColor="text1"/>
                <w:highlight w:val="none"/>
                <w14:textFill>
                  <w14:solidFill>
                    <w14:schemeClr w14:val="tx1"/>
                  </w14:solidFill>
                </w14:textFill>
              </w:rPr>
              <w:t>否</w:t>
            </w:r>
          </w:p>
          <w:p w14:paraId="7EC46D2B">
            <w:pPr>
              <w:pStyle w:val="71"/>
              <w:shd w:val="clear" w:color="auto" w:fill="auto"/>
              <w:spacing w:line="240" w:lineRule="auto"/>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sym w:font="Wingdings 2" w:char="00A3"/>
            </w:r>
            <w:r>
              <w:rPr>
                <w:rFonts w:hint="default" w:ascii="Times New Roman" w:hAnsi="Times New Roman" w:cs="Times New Roman"/>
                <w:color w:val="000000" w:themeColor="text1"/>
                <w:highlight w:val="none"/>
                <w14:textFill>
                  <w14:solidFill>
                    <w14:schemeClr w14:val="tx1"/>
                  </w14:solidFill>
                </w14:textFill>
              </w:rPr>
              <w:t>是：</w:t>
            </w:r>
            <w:r>
              <w:rPr>
                <w:rFonts w:hint="default" w:ascii="Times New Roman" w:hAnsi="Times New Roman" w:cs="Times New Roman"/>
                <w:color w:val="000000" w:themeColor="text1"/>
                <w:highlight w:val="none"/>
                <w:u w:val="single"/>
                <w14:textFill>
                  <w14:solidFill>
                    <w14:schemeClr w14:val="tx1"/>
                  </w14:solidFill>
                </w14:textFill>
              </w:rPr>
              <w:t xml:space="preserve">         </w:t>
            </w:r>
          </w:p>
        </w:tc>
        <w:tc>
          <w:tcPr>
            <w:tcW w:w="1636" w:type="dxa"/>
            <w:noWrap w:val="0"/>
            <w:vAlign w:val="center"/>
          </w:tcPr>
          <w:p w14:paraId="4A26B1F0">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用地（用海）</w:t>
            </w:r>
          </w:p>
          <w:p w14:paraId="353F29DC">
            <w:pPr>
              <w:pStyle w:val="71"/>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面积（m</w:t>
            </w:r>
            <w:r>
              <w:rPr>
                <w:rFonts w:hint="default" w:ascii="Times New Roman" w:hAnsi="Times New Roman" w:cs="Times New Roman"/>
                <w:color w:val="000000" w:themeColor="text1"/>
                <w:highlight w:val="none"/>
                <w:vertAlign w:val="superscript"/>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w:t>
            </w:r>
          </w:p>
        </w:tc>
        <w:tc>
          <w:tcPr>
            <w:tcW w:w="3606" w:type="dxa"/>
            <w:noWrap w:val="0"/>
            <w:vAlign w:val="center"/>
          </w:tcPr>
          <w:p w14:paraId="2C4F464E">
            <w:pPr>
              <w:pStyle w:val="71"/>
              <w:shd w:val="clear" w:color="auto" w:fill="auto"/>
              <w:spacing w:line="240" w:lineRule="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18478.50（土地证面积）</w:t>
            </w:r>
          </w:p>
        </w:tc>
      </w:tr>
      <w:tr w14:paraId="3ECC01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30F3D681">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专项评价设置情况</w:t>
            </w:r>
          </w:p>
        </w:tc>
        <w:tc>
          <w:tcPr>
            <w:tcW w:w="7332" w:type="dxa"/>
            <w:gridSpan w:val="3"/>
            <w:noWrap w:val="0"/>
            <w:vAlign w:val="center"/>
          </w:tcPr>
          <w:p w14:paraId="5FD9594F">
            <w:pPr>
              <w:pStyle w:val="72"/>
              <w:numPr>
                <w:ilvl w:val="0"/>
                <w:numId w:val="0"/>
              </w:numPr>
              <w:shd w:val="clear" w:color="auto" w:fill="auto"/>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 xml:space="preserve">表1-1 </w:t>
            </w:r>
            <w:r>
              <w:rPr>
                <w:color w:val="000000" w:themeColor="text1"/>
                <w:sz w:val="24"/>
                <w:highlight w:val="none"/>
                <w14:textFill>
                  <w14:solidFill>
                    <w14:schemeClr w14:val="tx1"/>
                  </w14:solidFill>
                </w14:textFill>
              </w:rPr>
              <w:t>专项评价设置情况对比表</w:t>
            </w:r>
          </w:p>
          <w:tbl>
            <w:tblPr>
              <w:tblStyle w:val="32"/>
              <w:tblW w:w="7030"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3194"/>
              <w:gridCol w:w="2044"/>
              <w:gridCol w:w="1128"/>
            </w:tblGrid>
            <w:tr w14:paraId="1C701F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4" w:type="dxa"/>
                  <w:noWrap w:val="0"/>
                  <w:vAlign w:val="center"/>
                </w:tcPr>
                <w:p w14:paraId="5ABB46F4">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要素</w:t>
                  </w:r>
                </w:p>
              </w:tc>
              <w:tc>
                <w:tcPr>
                  <w:tcW w:w="3194" w:type="dxa"/>
                  <w:noWrap w:val="0"/>
                  <w:vAlign w:val="center"/>
                </w:tcPr>
                <w:p w14:paraId="5529671E">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判定依据</w:t>
                  </w:r>
                </w:p>
              </w:tc>
              <w:tc>
                <w:tcPr>
                  <w:tcW w:w="2044" w:type="dxa"/>
                  <w:noWrap w:val="0"/>
                  <w:vAlign w:val="center"/>
                </w:tcPr>
                <w:p w14:paraId="31574159">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判定过程</w:t>
                  </w:r>
                </w:p>
              </w:tc>
              <w:tc>
                <w:tcPr>
                  <w:tcW w:w="1128" w:type="dxa"/>
                  <w:noWrap w:val="0"/>
                  <w:vAlign w:val="center"/>
                </w:tcPr>
                <w:p w14:paraId="483D0D45">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判定结果</w:t>
                  </w:r>
                </w:p>
              </w:tc>
            </w:tr>
            <w:tr w14:paraId="6FFB09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664" w:type="dxa"/>
                  <w:noWrap w:val="0"/>
                  <w:vAlign w:val="center"/>
                </w:tcPr>
                <w:p w14:paraId="6A8D0DC5">
                  <w:pPr>
                    <w:shd w:val="clear" w:color="auto" w:fill="auto"/>
                    <w:autoSpaceDE w:val="0"/>
                    <w:autoSpaceDN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大气</w:t>
                  </w:r>
                </w:p>
              </w:tc>
              <w:tc>
                <w:tcPr>
                  <w:tcW w:w="3194" w:type="dxa"/>
                  <w:noWrap w:val="0"/>
                  <w:vAlign w:val="center"/>
                </w:tcPr>
                <w:p w14:paraId="49570059">
                  <w:pPr>
                    <w:widowControl/>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排放废气含有毒有害污染物</w:t>
                  </w:r>
                  <w:r>
                    <w:rPr>
                      <w:color w:val="000000" w:themeColor="text1"/>
                      <w:kern w:val="0"/>
                      <w:sz w:val="21"/>
                      <w:szCs w:val="21"/>
                      <w:highlight w:val="none"/>
                      <w:vertAlign w:val="superscript"/>
                      <w:lang w:bidi="ar"/>
                      <w14:textFill>
                        <w14:solidFill>
                          <w14:schemeClr w14:val="tx1"/>
                        </w14:solidFill>
                      </w14:textFill>
                    </w:rPr>
                    <w:t>1</w:t>
                  </w:r>
                  <w:r>
                    <w:rPr>
                      <w:color w:val="000000" w:themeColor="text1"/>
                      <w:kern w:val="0"/>
                      <w:sz w:val="21"/>
                      <w:szCs w:val="21"/>
                      <w:highlight w:val="none"/>
                      <w:lang w:bidi="ar"/>
                      <w14:textFill>
                        <w14:solidFill>
                          <w14:schemeClr w14:val="tx1"/>
                        </w14:solidFill>
                      </w14:textFill>
                    </w:rPr>
                    <w:t>、二噁英、</w:t>
                  </w:r>
                  <w:r>
                    <w:rPr>
                      <w:rFonts w:hint="eastAsia"/>
                      <w:color w:val="000000" w:themeColor="text1"/>
                      <w:kern w:val="0"/>
                      <w:sz w:val="21"/>
                      <w:szCs w:val="21"/>
                      <w:highlight w:val="none"/>
                      <w:lang w:bidi="ar"/>
                      <w14:textFill>
                        <w14:solidFill>
                          <w14:schemeClr w14:val="tx1"/>
                        </w14:solidFill>
                      </w14:textFill>
                    </w:rPr>
                    <w:t>苯并</w:t>
                  </w:r>
                  <w:r>
                    <w:rPr>
                      <w:rFonts w:hint="eastAsia"/>
                      <w:color w:val="000000" w:themeColor="text1"/>
                      <w:kern w:val="0"/>
                      <w:sz w:val="21"/>
                      <w:szCs w:val="21"/>
                      <w:highlight w:val="none"/>
                      <w:lang w:eastAsia="zh-CN" w:bidi="ar"/>
                      <w14:textFill>
                        <w14:solidFill>
                          <w14:schemeClr w14:val="tx1"/>
                        </w14:solidFill>
                      </w14:textFill>
                    </w:rPr>
                    <w:t>〔</w:t>
                  </w:r>
                  <w:r>
                    <w:rPr>
                      <w:rFonts w:hint="eastAsia"/>
                      <w:color w:val="000000" w:themeColor="text1"/>
                      <w:kern w:val="0"/>
                      <w:sz w:val="21"/>
                      <w:szCs w:val="21"/>
                      <w:highlight w:val="none"/>
                      <w:lang w:bidi="ar"/>
                      <w14:textFill>
                        <w14:solidFill>
                          <w14:schemeClr w14:val="tx1"/>
                        </w14:solidFill>
                      </w14:textFill>
                    </w:rPr>
                    <w:t>a</w:t>
                  </w:r>
                  <w:r>
                    <w:rPr>
                      <w:rFonts w:hint="eastAsia"/>
                      <w:color w:val="000000" w:themeColor="text1"/>
                      <w:kern w:val="0"/>
                      <w:sz w:val="21"/>
                      <w:szCs w:val="21"/>
                      <w:highlight w:val="none"/>
                      <w:lang w:eastAsia="zh-CN" w:bidi="ar"/>
                      <w14:textFill>
                        <w14:solidFill>
                          <w14:schemeClr w14:val="tx1"/>
                        </w14:solidFill>
                      </w14:textFill>
                    </w:rPr>
                    <w:t>〕</w:t>
                  </w:r>
                  <w:r>
                    <w:rPr>
                      <w:rFonts w:hint="eastAsia"/>
                      <w:color w:val="000000" w:themeColor="text1"/>
                      <w:kern w:val="0"/>
                      <w:sz w:val="21"/>
                      <w:szCs w:val="21"/>
                      <w:highlight w:val="none"/>
                      <w:lang w:bidi="ar"/>
                      <w14:textFill>
                        <w14:solidFill>
                          <w14:schemeClr w14:val="tx1"/>
                        </w14:solidFill>
                      </w14:textFill>
                    </w:rPr>
                    <w:t>芘</w:t>
                  </w:r>
                  <w:r>
                    <w:rPr>
                      <w:color w:val="000000" w:themeColor="text1"/>
                      <w:kern w:val="0"/>
                      <w:sz w:val="21"/>
                      <w:szCs w:val="21"/>
                      <w:highlight w:val="none"/>
                      <w:lang w:bidi="ar"/>
                      <w14:textFill>
                        <w14:solidFill>
                          <w14:schemeClr w14:val="tx1"/>
                        </w14:solidFill>
                      </w14:textFill>
                    </w:rPr>
                    <w:t>、氰化物、氯气且厂界外500米范围内有环境空气保护目标</w:t>
                  </w:r>
                  <w:r>
                    <w:rPr>
                      <w:color w:val="000000" w:themeColor="text1"/>
                      <w:kern w:val="0"/>
                      <w:sz w:val="21"/>
                      <w:szCs w:val="21"/>
                      <w:highlight w:val="none"/>
                      <w:vertAlign w:val="superscript"/>
                      <w:lang w:bidi="ar"/>
                      <w14:textFill>
                        <w14:solidFill>
                          <w14:schemeClr w14:val="tx1"/>
                        </w14:solidFill>
                      </w14:textFill>
                    </w:rPr>
                    <w:t>2</w:t>
                  </w:r>
                  <w:r>
                    <w:rPr>
                      <w:color w:val="000000" w:themeColor="text1"/>
                      <w:kern w:val="0"/>
                      <w:sz w:val="21"/>
                      <w:szCs w:val="21"/>
                      <w:highlight w:val="none"/>
                      <w:lang w:bidi="ar"/>
                      <w14:textFill>
                        <w14:solidFill>
                          <w14:schemeClr w14:val="tx1"/>
                        </w14:solidFill>
                      </w14:textFill>
                    </w:rPr>
                    <w:t>的建设项目</w:t>
                  </w:r>
                </w:p>
              </w:tc>
              <w:tc>
                <w:tcPr>
                  <w:tcW w:w="2044" w:type="dxa"/>
                  <w:noWrap w:val="0"/>
                  <w:vAlign w:val="center"/>
                </w:tcPr>
                <w:p w14:paraId="32FEF4FE">
                  <w:pPr>
                    <w:pStyle w:val="85"/>
                    <w:shd w:val="clear" w:color="auto" w:fill="auto"/>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本项目废气排放因子中含</w:t>
                  </w:r>
                  <w:r>
                    <w:rPr>
                      <w:rFonts w:hint="eastAsia"/>
                      <w:color w:val="000000" w:themeColor="text1"/>
                      <w:sz w:val="21"/>
                      <w:szCs w:val="21"/>
                      <w:highlight w:val="none"/>
                      <w:lang w:val="en-US" w:eastAsia="zh-CN"/>
                      <w14:textFill>
                        <w14:solidFill>
                          <w14:schemeClr w14:val="tx1"/>
                        </w14:solidFill>
                      </w14:textFill>
                    </w:rPr>
                    <w:t>甲醛，厂界500m范围内存在环境空气保护目标</w:t>
                  </w:r>
                  <w:r>
                    <w:rPr>
                      <w:rFonts w:hint="eastAsia"/>
                      <w:color w:val="000000" w:themeColor="text1"/>
                      <w:sz w:val="21"/>
                      <w:szCs w:val="21"/>
                      <w:highlight w:val="none"/>
                      <w14:textFill>
                        <w14:solidFill>
                          <w14:schemeClr w14:val="tx1"/>
                        </w14:solidFill>
                      </w14:textFill>
                    </w:rPr>
                    <w:t>。</w:t>
                  </w:r>
                </w:p>
              </w:tc>
              <w:tc>
                <w:tcPr>
                  <w:tcW w:w="1128" w:type="dxa"/>
                  <w:noWrap w:val="0"/>
                  <w:vAlign w:val="center"/>
                </w:tcPr>
                <w:p w14:paraId="4D55D16C">
                  <w:pPr>
                    <w:pStyle w:val="85"/>
                    <w:shd w:val="clear" w:color="auto" w:fill="auto"/>
                    <w:rPr>
                      <w:rFonts w:hint="eastAsia" w:eastAsia="宋体"/>
                      <w:color w:val="000000" w:themeColor="text1"/>
                      <w:sz w:val="21"/>
                      <w:szCs w:val="21"/>
                      <w:highlight w:val="none"/>
                      <w:lang w:eastAsia="zh-CN"/>
                      <w14:textFill>
                        <w14:solidFill>
                          <w14:schemeClr w14:val="tx1"/>
                        </w14:solidFill>
                      </w14:textFill>
                    </w:rPr>
                  </w:pPr>
                  <w:r>
                    <w:rPr>
                      <w:rFonts w:hint="default"/>
                      <w:color w:val="000000" w:themeColor="text1"/>
                      <w:sz w:val="21"/>
                      <w:szCs w:val="21"/>
                      <w:highlight w:val="none"/>
                      <w14:textFill>
                        <w14:solidFill>
                          <w14:schemeClr w14:val="tx1"/>
                        </w14:solidFill>
                      </w14:textFill>
                    </w:rPr>
                    <w:t>需设置</w:t>
                  </w:r>
                </w:p>
              </w:tc>
            </w:tr>
            <w:tr w14:paraId="655E45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664" w:type="dxa"/>
                  <w:noWrap w:val="0"/>
                  <w:vAlign w:val="center"/>
                </w:tcPr>
                <w:p w14:paraId="0E936820">
                  <w:pPr>
                    <w:shd w:val="clear" w:color="auto" w:fill="auto"/>
                    <w:autoSpaceDE w:val="0"/>
                    <w:autoSpaceDN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地表水</w:t>
                  </w:r>
                </w:p>
              </w:tc>
              <w:tc>
                <w:tcPr>
                  <w:tcW w:w="3194" w:type="dxa"/>
                  <w:noWrap w:val="0"/>
                  <w:vAlign w:val="center"/>
                </w:tcPr>
                <w:p w14:paraId="77936A21">
                  <w:pPr>
                    <w:widowControl/>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新增工业废水直排建设项目（槽罐车外送污水处理厂的除外）；新增废水直排的污水集中处理厂</w:t>
                  </w:r>
                </w:p>
              </w:tc>
              <w:tc>
                <w:tcPr>
                  <w:tcW w:w="2044" w:type="dxa"/>
                  <w:noWrap w:val="0"/>
                  <w:vAlign w:val="center"/>
                </w:tcPr>
                <w:p w14:paraId="308954BA">
                  <w:pPr>
                    <w:pStyle w:val="85"/>
                    <w:shd w:val="clear" w:color="auto" w:fill="auto"/>
                    <w:rPr>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本项目无工业废水直排</w:t>
                  </w:r>
                  <w:r>
                    <w:rPr>
                      <w:color w:val="000000" w:themeColor="text1"/>
                      <w:sz w:val="21"/>
                      <w:szCs w:val="21"/>
                      <w:highlight w:val="none"/>
                      <w14:textFill>
                        <w14:solidFill>
                          <w14:schemeClr w14:val="tx1"/>
                        </w14:solidFill>
                      </w14:textFill>
                    </w:rPr>
                    <w:t>，本项目不属于污水集中处理厂</w:t>
                  </w:r>
                </w:p>
              </w:tc>
              <w:tc>
                <w:tcPr>
                  <w:tcW w:w="1128" w:type="dxa"/>
                  <w:noWrap w:val="0"/>
                  <w:vAlign w:val="center"/>
                </w:tcPr>
                <w:p w14:paraId="261AF745">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无需设置</w:t>
                  </w:r>
                </w:p>
              </w:tc>
            </w:tr>
            <w:tr w14:paraId="12064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64" w:type="dxa"/>
                  <w:noWrap w:val="0"/>
                  <w:vAlign w:val="center"/>
                </w:tcPr>
                <w:p w14:paraId="5B6CCBE8">
                  <w:pPr>
                    <w:shd w:val="clear" w:color="auto" w:fill="auto"/>
                    <w:autoSpaceDE w:val="0"/>
                    <w:autoSpaceDN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环境风险</w:t>
                  </w:r>
                </w:p>
              </w:tc>
              <w:tc>
                <w:tcPr>
                  <w:tcW w:w="3194" w:type="dxa"/>
                  <w:noWrap w:val="0"/>
                  <w:vAlign w:val="center"/>
                </w:tcPr>
                <w:p w14:paraId="58258EAF">
                  <w:pPr>
                    <w:widowControl/>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有毒有害和易燃易爆危险物质存储量超过临界量</w:t>
                  </w:r>
                  <w:r>
                    <w:rPr>
                      <w:color w:val="000000" w:themeColor="text1"/>
                      <w:kern w:val="0"/>
                      <w:sz w:val="21"/>
                      <w:szCs w:val="21"/>
                      <w:highlight w:val="none"/>
                      <w:vertAlign w:val="superscript"/>
                      <w:lang w:bidi="ar"/>
                      <w14:textFill>
                        <w14:solidFill>
                          <w14:schemeClr w14:val="tx1"/>
                        </w14:solidFill>
                      </w14:textFill>
                    </w:rPr>
                    <w:t>3</w:t>
                  </w:r>
                  <w:r>
                    <w:rPr>
                      <w:color w:val="000000" w:themeColor="text1"/>
                      <w:kern w:val="0"/>
                      <w:sz w:val="21"/>
                      <w:szCs w:val="21"/>
                      <w:highlight w:val="none"/>
                      <w:lang w:bidi="ar"/>
                      <w14:textFill>
                        <w14:solidFill>
                          <w14:schemeClr w14:val="tx1"/>
                        </w14:solidFill>
                      </w14:textFill>
                    </w:rPr>
                    <w:t>的建设项目</w:t>
                  </w:r>
                </w:p>
              </w:tc>
              <w:tc>
                <w:tcPr>
                  <w:tcW w:w="2044" w:type="dxa"/>
                  <w:noWrap w:val="0"/>
                  <w:vAlign w:val="center"/>
                </w:tcPr>
                <w:p w14:paraId="448A43D0">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项目有毒有害和易燃易爆危险物质储存未超过临界量</w:t>
                  </w:r>
                </w:p>
              </w:tc>
              <w:tc>
                <w:tcPr>
                  <w:tcW w:w="1128" w:type="dxa"/>
                  <w:noWrap w:val="0"/>
                  <w:vAlign w:val="center"/>
                </w:tcPr>
                <w:p w14:paraId="38D0823F">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无需设置</w:t>
                  </w:r>
                </w:p>
              </w:tc>
            </w:tr>
            <w:tr w14:paraId="3E1A66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48" w:hRule="atLeast"/>
                <w:jc w:val="center"/>
              </w:trPr>
              <w:tc>
                <w:tcPr>
                  <w:tcW w:w="664" w:type="dxa"/>
                  <w:noWrap w:val="0"/>
                  <w:vAlign w:val="center"/>
                </w:tcPr>
                <w:p w14:paraId="0BEBCC60">
                  <w:pPr>
                    <w:shd w:val="clear" w:color="auto" w:fill="auto"/>
                    <w:autoSpaceDE w:val="0"/>
                    <w:autoSpaceDN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生态</w:t>
                  </w:r>
                </w:p>
              </w:tc>
              <w:tc>
                <w:tcPr>
                  <w:tcW w:w="3194" w:type="dxa"/>
                  <w:noWrap w:val="0"/>
                  <w:vAlign w:val="center"/>
                </w:tcPr>
                <w:p w14:paraId="6F36034B">
                  <w:pPr>
                    <w:widowControl/>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取水口下游500米范围内有重要水生生物的自然产卵场、索饵场、越冬场和洄游通道的新增河道取水的污染类建设项目</w:t>
                  </w:r>
                </w:p>
              </w:tc>
              <w:tc>
                <w:tcPr>
                  <w:tcW w:w="2044" w:type="dxa"/>
                  <w:noWrap w:val="0"/>
                  <w:vAlign w:val="center"/>
                </w:tcPr>
                <w:p w14:paraId="279F9611">
                  <w:pPr>
                    <w:pStyle w:val="85"/>
                    <w:shd w:val="clear" w:color="auto" w:fill="auto"/>
                    <w:rPr>
                      <w:rFonts w:hint="default"/>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不涉及</w:t>
                  </w:r>
                </w:p>
              </w:tc>
              <w:tc>
                <w:tcPr>
                  <w:tcW w:w="1128" w:type="dxa"/>
                  <w:noWrap w:val="0"/>
                  <w:vAlign w:val="center"/>
                </w:tcPr>
                <w:p w14:paraId="43B568E2">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无需设置</w:t>
                  </w:r>
                </w:p>
              </w:tc>
            </w:tr>
            <w:tr w14:paraId="7A9DFF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4" w:type="dxa"/>
                  <w:noWrap w:val="0"/>
                  <w:vAlign w:val="center"/>
                </w:tcPr>
                <w:p w14:paraId="3C7DE8F1">
                  <w:pPr>
                    <w:shd w:val="clear" w:color="auto" w:fill="auto"/>
                    <w:autoSpaceDE w:val="0"/>
                    <w:autoSpaceDN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海洋</w:t>
                  </w:r>
                </w:p>
              </w:tc>
              <w:tc>
                <w:tcPr>
                  <w:tcW w:w="3194" w:type="dxa"/>
                  <w:noWrap w:val="0"/>
                  <w:vAlign w:val="center"/>
                </w:tcPr>
                <w:p w14:paraId="68DE515F">
                  <w:pPr>
                    <w:widowControl/>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直接向海排放污染物的海洋工程建设项目</w:t>
                  </w:r>
                </w:p>
              </w:tc>
              <w:tc>
                <w:tcPr>
                  <w:tcW w:w="2044" w:type="dxa"/>
                  <w:noWrap w:val="0"/>
                  <w:vAlign w:val="center"/>
                </w:tcPr>
                <w:p w14:paraId="32D7573A">
                  <w:pPr>
                    <w:pStyle w:val="85"/>
                    <w:shd w:val="clear" w:color="auto" w:fill="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不涉及</w:t>
                  </w:r>
                </w:p>
              </w:tc>
              <w:tc>
                <w:tcPr>
                  <w:tcW w:w="1128" w:type="dxa"/>
                  <w:noWrap w:val="0"/>
                  <w:vAlign w:val="center"/>
                </w:tcPr>
                <w:p w14:paraId="1AB55353">
                  <w:pPr>
                    <w:pStyle w:val="85"/>
                    <w:shd w:val="clear" w:color="auto" w:fill="auto"/>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无需设置</w:t>
                  </w:r>
                </w:p>
              </w:tc>
            </w:tr>
            <w:tr w14:paraId="094B1A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030" w:type="dxa"/>
                  <w:gridSpan w:val="4"/>
                  <w:noWrap w:val="0"/>
                  <w:vAlign w:val="center"/>
                </w:tcPr>
                <w:p w14:paraId="57A48154">
                  <w:pPr>
                    <w:pStyle w:val="85"/>
                    <w:shd w:val="clear" w:color="auto" w:fill="auto"/>
                    <w:jc w:val="left"/>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注：1.废气中有毒有害污染物指纳入《有毒有害大气污染物名录》的污染物（不包括无排放标准的污染物）。</w:t>
                  </w:r>
                </w:p>
                <w:p w14:paraId="7FD33561">
                  <w:pPr>
                    <w:pStyle w:val="85"/>
                    <w:shd w:val="clear" w:color="auto" w:fill="auto"/>
                    <w:jc w:val="left"/>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2.环境空气保护目标指自然保护区、风景名胜区、居住区、文化区和农村地区中人群较集中的区域。</w:t>
                  </w:r>
                </w:p>
                <w:p w14:paraId="134855DC">
                  <w:pPr>
                    <w:pStyle w:val="85"/>
                    <w:shd w:val="clear" w:color="auto" w:fill="auto"/>
                    <w:jc w:val="left"/>
                    <w:rPr>
                      <w:rFonts w:hint="default"/>
                      <w:color w:val="000000" w:themeColor="text1"/>
                      <w:sz w:val="21"/>
                      <w:szCs w:val="21"/>
                      <w:highlight w:val="none"/>
                      <w14:textFill>
                        <w14:solidFill>
                          <w14:schemeClr w14:val="tx1"/>
                        </w14:solidFill>
                      </w14:textFill>
                    </w:rPr>
                  </w:pPr>
                  <w:r>
                    <w:rPr>
                      <w:rFonts w:hint="default"/>
                      <w:color w:val="000000" w:themeColor="text1"/>
                      <w:sz w:val="21"/>
                      <w:szCs w:val="21"/>
                      <w:highlight w:val="none"/>
                      <w14:textFill>
                        <w14:solidFill>
                          <w14:schemeClr w14:val="tx1"/>
                        </w14:solidFill>
                      </w14:textFill>
                    </w:rPr>
                    <w:t>3.临界量及其计算方法可参考《建设项目环境风险评价技术导则》（HJ 169）附录B、附录C。</w:t>
                  </w:r>
                </w:p>
              </w:tc>
            </w:tr>
          </w:tbl>
          <w:p w14:paraId="2C51B421">
            <w:pPr>
              <w:pStyle w:val="71"/>
              <w:shd w:val="clear" w:color="auto" w:fill="auto"/>
              <w:spacing w:line="240" w:lineRule="auto"/>
              <w:ind w:firstLine="480" w:firstLineChars="200"/>
              <w:jc w:val="left"/>
              <w:rPr>
                <w:color w:val="000000" w:themeColor="text1"/>
                <w:sz w:val="21"/>
                <w:szCs w:val="21"/>
                <w:highlight w:val="none"/>
                <w14:textFill>
                  <w14:solidFill>
                    <w14:schemeClr w14:val="tx1"/>
                  </w14:solidFill>
                </w14:textFill>
              </w:rPr>
            </w:pPr>
            <w:r>
              <w:rPr>
                <w:color w:val="000000" w:themeColor="text1"/>
                <w:highlight w:val="none"/>
                <w14:textFill>
                  <w14:solidFill>
                    <w14:schemeClr w14:val="tx1"/>
                  </w14:solidFill>
                </w14:textFill>
              </w:rPr>
              <w:t>根据上表内容，本项目需设置</w:t>
            </w:r>
            <w:r>
              <w:rPr>
                <w:rFonts w:hint="eastAsia"/>
                <w:color w:val="000000" w:themeColor="text1"/>
                <w:highlight w:val="none"/>
                <w:lang w:eastAsia="zh-CN"/>
                <w14:textFill>
                  <w14:solidFill>
                    <w14:schemeClr w14:val="tx1"/>
                  </w14:solidFill>
                </w14:textFill>
              </w:rPr>
              <w:t>大气</w:t>
            </w:r>
            <w:r>
              <w:rPr>
                <w:color w:val="000000" w:themeColor="text1"/>
                <w:highlight w:val="none"/>
                <w14:textFill>
                  <w14:solidFill>
                    <w14:schemeClr w14:val="tx1"/>
                  </w14:solidFill>
                </w14:textFill>
              </w:rPr>
              <w:t>专项评价。</w:t>
            </w:r>
          </w:p>
        </w:tc>
      </w:tr>
      <w:tr w14:paraId="7348F6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47A46813">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规划情况</w:t>
            </w:r>
          </w:p>
        </w:tc>
        <w:tc>
          <w:tcPr>
            <w:tcW w:w="7332" w:type="dxa"/>
            <w:gridSpan w:val="3"/>
            <w:noWrap w:val="0"/>
            <w:vAlign w:val="center"/>
          </w:tcPr>
          <w:p w14:paraId="3C171FF3">
            <w:pPr>
              <w:pStyle w:val="148"/>
              <w:shd w:val="clear" w:color="auto" w:fill="auto"/>
              <w:ind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规划名称：《江西乐平工业园区扩区调区塔山、鸣山工业园控制性详细规划》</w:t>
            </w:r>
          </w:p>
          <w:p w14:paraId="53F47E9E">
            <w:pPr>
              <w:shd w:val="clear" w:color="auto" w:fill="auto"/>
              <w:autoSpaceDE w:val="0"/>
              <w:autoSpaceDN w:val="0"/>
              <w:ind w:firstLine="480"/>
              <w:rPr>
                <w:color w:val="000000" w:themeColor="text1"/>
                <w:kern w:val="0"/>
                <w:highlight w:val="none"/>
                <w14:textFill>
                  <w14:solidFill>
                    <w14:schemeClr w14:val="tx1"/>
                  </w14:solidFill>
                </w14:textFill>
              </w:rPr>
            </w:pPr>
            <w:r>
              <w:rPr>
                <w:color w:val="000000" w:themeColor="text1"/>
                <w:kern w:val="0"/>
                <w:highlight w:val="none"/>
                <w14:textFill>
                  <w14:solidFill>
                    <w14:schemeClr w14:val="tx1"/>
                  </w14:solidFill>
                </w14:textFill>
              </w:rPr>
              <w:t>审查机关：</w:t>
            </w:r>
            <w:r>
              <w:rPr>
                <w:rFonts w:hint="eastAsia"/>
                <w:color w:val="000000" w:themeColor="text1"/>
                <w:kern w:val="0"/>
                <w:highlight w:val="none"/>
                <w14:textFill>
                  <w14:solidFill>
                    <w14:schemeClr w14:val="tx1"/>
                  </w14:solidFill>
                </w14:textFill>
              </w:rPr>
              <w:t>江西省人民政府办公厅</w:t>
            </w:r>
          </w:p>
          <w:p w14:paraId="6C5F2DBE">
            <w:pPr>
              <w:pStyle w:val="148"/>
              <w:shd w:val="clear" w:color="auto" w:fill="auto"/>
              <w:ind w:firstLine="480"/>
              <w:rPr>
                <w:rFonts w:hint="eastAsia"/>
                <w:color w:val="000000" w:themeColor="text1"/>
                <w:highlight w:val="none"/>
                <w14:textFill>
                  <w14:solidFill>
                    <w14:schemeClr w14:val="tx1"/>
                  </w14:solidFill>
                </w14:textFill>
              </w:rPr>
            </w:pPr>
            <w:r>
              <w:rPr>
                <w:rFonts w:hint="default"/>
                <w:color w:val="000000" w:themeColor="text1"/>
                <w:kern w:val="0"/>
                <w:highlight w:val="none"/>
                <w14:textFill>
                  <w14:solidFill>
                    <w14:schemeClr w14:val="tx1"/>
                  </w14:solidFill>
                </w14:textFill>
              </w:rPr>
              <w:t>审查文件名称及文号：《</w:t>
            </w:r>
            <w:r>
              <w:rPr>
                <w:rFonts w:hint="eastAsia"/>
                <w:color w:val="000000" w:themeColor="text1"/>
                <w:kern w:val="0"/>
                <w:highlight w:val="none"/>
                <w14:textFill>
                  <w14:solidFill>
                    <w14:schemeClr w14:val="tx1"/>
                  </w14:solidFill>
                </w14:textFill>
              </w:rPr>
              <w:t>江西省人民政府办公厅关于同意万载工业园区等3个开发区扩区调区的函</w:t>
            </w:r>
            <w:r>
              <w:rPr>
                <w:rFonts w:hint="default"/>
                <w:color w:val="000000" w:themeColor="text1"/>
                <w:kern w:val="0"/>
                <w:highlight w:val="none"/>
                <w14:textFill>
                  <w14:solidFill>
                    <w14:schemeClr w14:val="tx1"/>
                  </w14:solidFill>
                </w14:textFill>
              </w:rPr>
              <w:t>》（赣府厅字〔2024〕1号）</w:t>
            </w:r>
          </w:p>
        </w:tc>
      </w:tr>
      <w:tr w14:paraId="0A7562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2E4A9438">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规划环境影响评价情况</w:t>
            </w:r>
          </w:p>
        </w:tc>
        <w:tc>
          <w:tcPr>
            <w:tcW w:w="7332" w:type="dxa"/>
            <w:gridSpan w:val="3"/>
            <w:noWrap w:val="0"/>
            <w:vAlign w:val="center"/>
          </w:tcPr>
          <w:p w14:paraId="17F65501">
            <w:pPr>
              <w:shd w:val="clear" w:color="auto" w:fill="auto"/>
              <w:autoSpaceDE w:val="0"/>
              <w:autoSpaceDN w:val="0"/>
              <w:ind w:firstLine="480"/>
              <w:rPr>
                <w:color w:val="000000" w:themeColor="text1"/>
                <w:kern w:val="0"/>
                <w:highlight w:val="none"/>
                <w14:textFill>
                  <w14:solidFill>
                    <w14:schemeClr w14:val="tx1"/>
                  </w14:solidFill>
                </w14:textFill>
              </w:rPr>
            </w:pPr>
            <w:r>
              <w:rPr>
                <w:color w:val="000000" w:themeColor="text1"/>
                <w:kern w:val="0"/>
                <w:highlight w:val="none"/>
                <w14:textFill>
                  <w14:solidFill>
                    <w14:schemeClr w14:val="tx1"/>
                  </w14:solidFill>
                </w14:textFill>
              </w:rPr>
              <w:t>规划环评文件名称：《江西乐平工业园区扩区调区规划环境影响报告书》</w:t>
            </w:r>
          </w:p>
          <w:p w14:paraId="5A628947">
            <w:pPr>
              <w:shd w:val="clear" w:color="auto" w:fill="auto"/>
              <w:autoSpaceDE w:val="0"/>
              <w:autoSpaceDN w:val="0"/>
              <w:ind w:firstLine="480"/>
              <w:rPr>
                <w:color w:val="000000" w:themeColor="text1"/>
                <w:kern w:val="0"/>
                <w:highlight w:val="none"/>
                <w14:textFill>
                  <w14:solidFill>
                    <w14:schemeClr w14:val="tx1"/>
                  </w14:solidFill>
                </w14:textFill>
              </w:rPr>
            </w:pPr>
            <w:r>
              <w:rPr>
                <w:color w:val="000000" w:themeColor="text1"/>
                <w:kern w:val="0"/>
                <w:highlight w:val="none"/>
                <w14:textFill>
                  <w14:solidFill>
                    <w14:schemeClr w14:val="tx1"/>
                  </w14:solidFill>
                </w14:textFill>
              </w:rPr>
              <w:t>审查机关：江西省生态环境厅</w:t>
            </w:r>
          </w:p>
          <w:p w14:paraId="0C61CEC8">
            <w:pPr>
              <w:pStyle w:val="56"/>
              <w:shd w:val="clear" w:color="auto" w:fill="auto"/>
              <w:ind w:firstLine="480"/>
              <w:jc w:val="left"/>
              <w:rPr>
                <w:color w:val="000000" w:themeColor="text1"/>
                <w:highlight w:val="none"/>
                <w14:textFill>
                  <w14:solidFill>
                    <w14:schemeClr w14:val="tx1"/>
                  </w14:solidFill>
                </w14:textFill>
              </w:rPr>
            </w:pPr>
            <w:r>
              <w:rPr>
                <w:rFonts w:hint="default"/>
                <w:color w:val="000000" w:themeColor="text1"/>
                <w:kern w:val="0"/>
                <w:highlight w:val="none"/>
                <w14:textFill>
                  <w14:solidFill>
                    <w14:schemeClr w14:val="tx1"/>
                  </w14:solidFill>
                </w14:textFill>
              </w:rPr>
              <w:t>审查文件名称及文号：《</w:t>
            </w:r>
            <w:r>
              <w:rPr>
                <w:color w:val="000000" w:themeColor="text1"/>
                <w:kern w:val="0"/>
                <w:highlight w:val="none"/>
                <w14:textFill>
                  <w14:solidFill>
                    <w14:schemeClr w14:val="tx1"/>
                  </w14:solidFill>
                </w14:textFill>
              </w:rPr>
              <w:t>江西省生态环境厅</w:t>
            </w:r>
            <w:r>
              <w:rPr>
                <w:rFonts w:hint="default"/>
                <w:color w:val="000000" w:themeColor="text1"/>
                <w:kern w:val="0"/>
                <w:highlight w:val="none"/>
                <w14:textFill>
                  <w14:solidFill>
                    <w14:schemeClr w14:val="tx1"/>
                  </w14:solidFill>
                </w14:textFill>
              </w:rPr>
              <w:t>关于江西乐平工业园区扩区调区规划环境影响报告书审查意见的函》（赣环</w:t>
            </w:r>
            <w:r>
              <w:rPr>
                <w:rFonts w:hint="default" w:ascii="Times New Roman" w:hAnsi="Times New Roman" w:cs="Times New Roman"/>
                <w:color w:val="000000" w:themeColor="text1"/>
                <w:kern w:val="0"/>
                <w:highlight w:val="none"/>
                <w14:textFill>
                  <w14:solidFill>
                    <w14:schemeClr w14:val="tx1"/>
                  </w14:solidFill>
                </w14:textFill>
              </w:rPr>
              <w:t>环评函</w:t>
            </w:r>
            <w:r>
              <w:rPr>
                <w:rFonts w:hint="default" w:ascii="Times New Roman" w:hAnsi="Times New Roman" w:eastAsia="宋体" w:cs="Times New Roman"/>
                <w:color w:val="000000" w:themeColor="text1"/>
                <w:kern w:val="0"/>
                <w:highlight w:val="none"/>
                <w14:textFill>
                  <w14:solidFill>
                    <w14:schemeClr w14:val="tx1"/>
                  </w14:solidFill>
                </w14:textFill>
              </w:rPr>
              <w:t>〔</w:t>
            </w:r>
            <w:r>
              <w:rPr>
                <w:rFonts w:hint="default" w:ascii="Times New Roman" w:hAnsi="Times New Roman" w:cs="Times New Roman"/>
                <w:color w:val="000000" w:themeColor="text1"/>
                <w:kern w:val="0"/>
                <w:highlight w:val="none"/>
                <w14:textFill>
                  <w14:solidFill>
                    <w14:schemeClr w14:val="tx1"/>
                  </w14:solidFill>
                </w14:textFill>
              </w:rPr>
              <w:t>2</w:t>
            </w:r>
            <w:r>
              <w:rPr>
                <w:rFonts w:hint="default"/>
                <w:color w:val="000000" w:themeColor="text1"/>
                <w:kern w:val="0"/>
                <w:highlight w:val="none"/>
                <w14:textFill>
                  <w14:solidFill>
                    <w14:schemeClr w14:val="tx1"/>
                  </w14:solidFill>
                </w14:textFill>
              </w:rPr>
              <w:t>0</w:t>
            </w:r>
            <w:r>
              <w:rPr>
                <w:color w:val="000000" w:themeColor="text1"/>
                <w:kern w:val="0"/>
                <w:highlight w:val="none"/>
                <w14:textFill>
                  <w14:solidFill>
                    <w14:schemeClr w14:val="tx1"/>
                  </w14:solidFill>
                </w14:textFill>
              </w:rPr>
              <w:t>2</w:t>
            </w:r>
            <w:r>
              <w:rPr>
                <w:rFonts w:hint="default"/>
                <w:color w:val="000000" w:themeColor="text1"/>
                <w:kern w:val="0"/>
                <w:highlight w:val="none"/>
                <w14:textFill>
                  <w14:solidFill>
                    <w14:schemeClr w14:val="tx1"/>
                  </w14:solidFill>
                </w14:textFill>
              </w:rPr>
              <w:t>3</w:t>
            </w:r>
            <w:r>
              <w:rPr>
                <w:rFonts w:hint="default" w:ascii="Times New Roman" w:hAnsi="Times New Roman" w:eastAsia="宋体" w:cs="Times New Roman"/>
                <w:color w:val="000000" w:themeColor="text1"/>
                <w:kern w:val="0"/>
                <w:highlight w:val="none"/>
                <w14:textFill>
                  <w14:solidFill>
                    <w14:schemeClr w14:val="tx1"/>
                  </w14:solidFill>
                </w14:textFill>
              </w:rPr>
              <w:t>〕</w:t>
            </w:r>
            <w:r>
              <w:rPr>
                <w:rFonts w:hint="default" w:ascii="Times New Roman" w:hAnsi="Times New Roman" w:cs="Times New Roman"/>
                <w:color w:val="000000" w:themeColor="text1"/>
                <w:kern w:val="0"/>
                <w:highlight w:val="none"/>
                <w14:textFill>
                  <w14:solidFill>
                    <w14:schemeClr w14:val="tx1"/>
                  </w14:solidFill>
                </w14:textFill>
              </w:rPr>
              <w:t>2</w:t>
            </w:r>
            <w:r>
              <w:rPr>
                <w:color w:val="000000" w:themeColor="text1"/>
                <w:kern w:val="0"/>
                <w:highlight w:val="none"/>
                <w14:textFill>
                  <w14:solidFill>
                    <w14:schemeClr w14:val="tx1"/>
                  </w14:solidFill>
                </w14:textFill>
              </w:rPr>
              <w:t>67</w:t>
            </w:r>
            <w:r>
              <w:rPr>
                <w:rFonts w:hint="default"/>
                <w:color w:val="000000" w:themeColor="text1"/>
                <w:kern w:val="0"/>
                <w:highlight w:val="none"/>
                <w14:textFill>
                  <w14:solidFill>
                    <w14:schemeClr w14:val="tx1"/>
                  </w14:solidFill>
                </w14:textFill>
              </w:rPr>
              <w:t>号）</w:t>
            </w:r>
          </w:p>
        </w:tc>
      </w:tr>
      <w:tr w14:paraId="72E8F2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37FB081E">
            <w:pPr>
              <w:pStyle w:val="71"/>
              <w:shd w:val="clear" w:color="auto" w:fill="auto"/>
              <w:spacing w:line="240" w:lineRule="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规划及规划环境影响评价符合性分析</w:t>
            </w:r>
          </w:p>
        </w:tc>
        <w:tc>
          <w:tcPr>
            <w:tcW w:w="7332" w:type="dxa"/>
            <w:gridSpan w:val="3"/>
            <w:noWrap w:val="0"/>
            <w:vAlign w:val="center"/>
          </w:tcPr>
          <w:p w14:paraId="32172D8A">
            <w:pPr>
              <w:shd w:val="clear" w:color="auto" w:fill="auto"/>
              <w:ind w:firstLine="480"/>
              <w:rPr>
                <w:rFonts w:hint="eastAsia" w:ascii="Times New Roman" w:hAnsi="Times New Roman" w:eastAsia="宋体" w:cs="Times New Roman"/>
                <w:b/>
                <w:bCs/>
                <w:color w:val="000000" w:themeColor="text1"/>
                <w:highlight w:val="none"/>
                <w14:textFill>
                  <w14:solidFill>
                    <w14:schemeClr w14:val="tx1"/>
                  </w14:solidFill>
                </w14:textFill>
              </w:rPr>
            </w:pPr>
            <w:r>
              <w:rPr>
                <w:rFonts w:hint="eastAsia" w:ascii="Times New Roman" w:hAnsi="Times New Roman" w:eastAsia="宋体" w:cs="Times New Roman"/>
                <w:b/>
                <w:bCs/>
                <w:color w:val="000000" w:themeColor="text1"/>
                <w:highlight w:val="none"/>
                <w14:textFill>
                  <w14:solidFill>
                    <w14:schemeClr w14:val="tx1"/>
                  </w14:solidFill>
                </w14:textFill>
              </w:rPr>
              <w:t>1、规划相符性</w:t>
            </w:r>
          </w:p>
          <w:p w14:paraId="2A82DF23">
            <w:pPr>
              <w:pStyle w:val="22"/>
              <w:shd w:val="clear" w:color="auto" w:fill="auto"/>
              <w:spacing w:before="0" w:beforeAutospacing="0" w:after="0" w:afterAutospacing="0"/>
              <w:ind w:firstLine="480"/>
              <w:rPr>
                <w:rFonts w:hint="eastAsia"/>
                <w:color w:val="000000" w:themeColor="text1"/>
                <w:kern w:val="2"/>
                <w:highlight w:val="none"/>
                <w14:textFill>
                  <w14:solidFill>
                    <w14:schemeClr w14:val="tx1"/>
                  </w14:solidFill>
                </w14:textFill>
              </w:rPr>
            </w:pPr>
            <w:r>
              <w:rPr>
                <w:rFonts w:hint="eastAsia"/>
                <w:color w:val="000000" w:themeColor="text1"/>
                <w:kern w:val="2"/>
                <w:highlight w:val="none"/>
                <w14:textFill>
                  <w14:solidFill>
                    <w14:schemeClr w14:val="tx1"/>
                  </w14:solidFill>
                </w14:textFill>
              </w:rPr>
              <w:t>根据《江西乐平工业园区中长期发展规划（2022-2030年）》，本次规划期限为2022-2030年，基准年为2021年，分为近期和中长期两个阶段。具体内容如下：</w:t>
            </w:r>
          </w:p>
          <w:p w14:paraId="7C9CEC36">
            <w:pPr>
              <w:pStyle w:val="23"/>
              <w:shd w:val="clear" w:color="auto" w:fill="auto"/>
              <w:spacing w:line="360" w:lineRule="auto"/>
              <w:ind w:left="0" w:firstLine="482" w:firstLineChars="200"/>
              <w:jc w:val="left"/>
              <w:rPr>
                <w:rFonts w:hint="eastAsia" w:ascii="Times New Roman" w:hAnsi="Times New Roman"/>
                <w:color w:val="000000" w:themeColor="text1"/>
                <w:kern w:val="2"/>
                <w:sz w:val="24"/>
                <w:szCs w:val="24"/>
                <w:highlight w:val="none"/>
                <w14:textFill>
                  <w14:solidFill>
                    <w14:schemeClr w14:val="tx1"/>
                  </w14:solidFill>
                </w14:textFill>
              </w:rPr>
            </w:pPr>
            <w:r>
              <w:rPr>
                <w:rFonts w:hint="eastAsia" w:ascii="Times New Roman" w:hAnsi="Times New Roman"/>
                <w:b/>
                <w:bCs/>
                <w:color w:val="000000" w:themeColor="text1"/>
                <w:kern w:val="2"/>
                <w:sz w:val="24"/>
                <w:szCs w:val="24"/>
                <w:highlight w:val="none"/>
                <w14:textFill>
                  <w14:solidFill>
                    <w14:schemeClr w14:val="tx1"/>
                  </w14:solidFill>
                </w14:textFill>
              </w:rPr>
              <w:t>规划范围</w:t>
            </w:r>
            <w:r>
              <w:rPr>
                <w:rFonts w:hint="eastAsia" w:ascii="Times New Roman" w:hAnsi="Times New Roman"/>
                <w:color w:val="000000" w:themeColor="text1"/>
                <w:kern w:val="2"/>
                <w:sz w:val="24"/>
                <w:szCs w:val="24"/>
                <w:highlight w:val="none"/>
                <w14:textFill>
                  <w14:solidFill>
                    <w14:schemeClr w14:val="tx1"/>
                  </w14:solidFill>
                </w14:textFill>
              </w:rPr>
              <w:t>：</w:t>
            </w:r>
          </w:p>
          <w:p w14:paraId="4D886074">
            <w:pPr>
              <w:pStyle w:val="23"/>
              <w:shd w:val="clear" w:color="auto" w:fill="auto"/>
              <w:spacing w:line="360" w:lineRule="auto"/>
              <w:ind w:left="0" w:firstLine="480" w:firstLineChars="200"/>
              <w:jc w:val="left"/>
              <w:rPr>
                <w:rFonts w:hint="eastAsia" w:ascii="Times New Roman" w:hAnsi="Times New Roman"/>
                <w:color w:val="000000" w:themeColor="text1"/>
                <w:kern w:val="2"/>
                <w:sz w:val="24"/>
                <w:szCs w:val="24"/>
                <w:highlight w:val="none"/>
                <w14:textFill>
                  <w14:solidFill>
                    <w14:schemeClr w14:val="tx1"/>
                  </w14:solidFill>
                </w14:textFill>
              </w:rPr>
            </w:pPr>
            <w:r>
              <w:rPr>
                <w:rFonts w:hint="eastAsia" w:ascii="Times New Roman" w:hAnsi="Times New Roman"/>
                <w:color w:val="000000" w:themeColor="text1"/>
                <w:kern w:val="2"/>
                <w:sz w:val="24"/>
                <w:szCs w:val="24"/>
                <w:highlight w:val="none"/>
                <w14:textFill>
                  <w14:solidFill>
                    <w14:schemeClr w14:val="tx1"/>
                  </w14:solidFill>
                </w14:textFill>
              </w:rPr>
              <w:t>塔山工业园规划面积1069.52公顷，扩区后四至范围为：东临塔山十四路、塔山十五路及自然山体阻隔，南至S411（老屋村、洪家），西接塔山九路、塔山八路和塔山西路(塔山村，临近乐安河)，北至工业五路和工业一路（沈家岭、上畈村）。</w:t>
            </w:r>
          </w:p>
          <w:p w14:paraId="34D20AE0">
            <w:pPr>
              <w:pStyle w:val="23"/>
              <w:shd w:val="clear" w:color="auto" w:fill="auto"/>
              <w:spacing w:line="360" w:lineRule="auto"/>
              <w:ind w:left="0" w:firstLine="480" w:firstLineChars="200"/>
              <w:jc w:val="left"/>
              <w:rPr>
                <w:rFonts w:hint="eastAsia" w:ascii="Times New Roman" w:hAnsi="Times New Roman"/>
                <w:color w:val="000000" w:themeColor="text1"/>
                <w:kern w:val="2"/>
                <w:sz w:val="24"/>
                <w:szCs w:val="24"/>
                <w:highlight w:val="none"/>
                <w14:textFill>
                  <w14:solidFill>
                    <w14:schemeClr w14:val="tx1"/>
                  </w14:solidFill>
                </w14:textFill>
              </w:rPr>
            </w:pPr>
            <w:r>
              <w:rPr>
                <w:rFonts w:hint="eastAsia" w:ascii="Times New Roman" w:hAnsi="Times New Roman"/>
                <w:color w:val="000000" w:themeColor="text1"/>
                <w:kern w:val="2"/>
                <w:sz w:val="24"/>
                <w:szCs w:val="24"/>
                <w:highlight w:val="none"/>
                <w14:textFill>
                  <w14:solidFill>
                    <w14:schemeClr w14:val="tx1"/>
                  </w14:solidFill>
                </w14:textFill>
              </w:rPr>
              <w:t>鸣山工业园规划面积66.99公顷，规划范围为：东至经三路、南至纬二路、西至支一路、北至S306。</w:t>
            </w:r>
          </w:p>
          <w:p w14:paraId="02816DE3">
            <w:pPr>
              <w:pStyle w:val="23"/>
              <w:shd w:val="clear" w:color="auto" w:fill="auto"/>
              <w:spacing w:line="360" w:lineRule="auto"/>
              <w:ind w:left="0" w:firstLine="480" w:firstLineChars="200"/>
              <w:jc w:val="left"/>
              <w:rPr>
                <w:rFonts w:hint="eastAsia" w:ascii="Times New Roman" w:hAnsi="Times New Roman"/>
                <w:color w:val="000000" w:themeColor="text1"/>
                <w:kern w:val="2"/>
                <w:sz w:val="24"/>
                <w:szCs w:val="24"/>
                <w:highlight w:val="none"/>
                <w14:textFill>
                  <w14:solidFill>
                    <w14:schemeClr w14:val="tx1"/>
                  </w14:solidFill>
                </w14:textFill>
              </w:rPr>
            </w:pPr>
            <w:r>
              <w:rPr>
                <w:rFonts w:hint="eastAsia" w:ascii="Times New Roman" w:hAnsi="Times New Roman"/>
                <w:color w:val="000000" w:themeColor="text1"/>
                <w:kern w:val="2"/>
                <w:sz w:val="24"/>
                <w:szCs w:val="24"/>
                <w:highlight w:val="none"/>
                <w14:textFill>
                  <w14:solidFill>
                    <w14:schemeClr w14:val="tx1"/>
                  </w14:solidFill>
                </w14:textFill>
              </w:rPr>
              <w:t>金山工业园规面积为642.55公顷，规划范围为：东临规划S205、南至吴乐线、西接G206，北至规划新建S306。</w:t>
            </w:r>
          </w:p>
          <w:p w14:paraId="1DC83AB9">
            <w:pPr>
              <w:shd w:val="clear" w:color="auto" w:fill="auto"/>
              <w:ind w:firstLine="482"/>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产业布局：</w:t>
            </w:r>
          </w:p>
          <w:p w14:paraId="6D9ABD4F">
            <w:pPr>
              <w:shd w:val="clear" w:color="auto" w:fill="auto"/>
              <w:ind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塔山工业园：重点发展精细化工、医药化工、新材料、有色金属冶炼（仅限于贵金属回收利用）等产业；</w:t>
            </w:r>
          </w:p>
          <w:p w14:paraId="3E2843CE">
            <w:pPr>
              <w:shd w:val="clear" w:color="auto" w:fill="auto"/>
              <w:ind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鸣山工业园：着重发展新型建材、机械电子等产业；</w:t>
            </w:r>
          </w:p>
          <w:p w14:paraId="30F4D66F">
            <w:pPr>
              <w:shd w:val="clear" w:color="auto" w:fill="auto"/>
              <w:ind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金山工业园：着重新型建材、机械电子、有色金属制品、绿色纺织化纤等产业。</w:t>
            </w:r>
          </w:p>
          <w:p w14:paraId="58ED98EC">
            <w:pPr>
              <w:pStyle w:val="149"/>
              <w:shd w:val="clear" w:color="auto" w:fill="auto"/>
              <w:spacing w:line="360" w:lineRule="auto"/>
              <w:ind w:firstLine="480"/>
              <w:rPr>
                <w:rFonts w:hint="eastAsia"/>
                <w:color w:val="000000" w:themeColor="text1"/>
                <w:sz w:val="24"/>
                <w:szCs w:val="24"/>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本项目位于金山工业园机械电子产业区，根据机械电子产业发展方向：江西乐平工业园区机械电子产业形成以废旧电子产品拆解及深加工、技术研发、零部件加工等为上游产业，以汽车配件、导航仪、电容器、温控器、温度传感器、LED半导体、显示器等生产为中游产业，以电子电器消费及回收为主的下游产业的循环产业链。本项目为汽车零部件及配件制造，属于园区潜力产业发展项目，所以本项目建设与园区规划相符。</w:t>
            </w:r>
          </w:p>
          <w:p w14:paraId="155D6122">
            <w:pPr>
              <w:shd w:val="clear" w:color="auto" w:fill="auto"/>
              <w:ind w:firstLine="480"/>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2、规划环评相符性</w:t>
            </w:r>
          </w:p>
          <w:p w14:paraId="560980B3">
            <w:pPr>
              <w:shd w:val="clear" w:color="auto" w:fill="auto"/>
              <w:autoSpaceDE w:val="0"/>
              <w:autoSpaceDN w:val="0"/>
              <w:ind w:firstLine="480"/>
              <w:rPr>
                <w:rFonts w:hint="eastAsia"/>
                <w:color w:val="000000" w:themeColor="text1"/>
                <w:kern w:val="0"/>
                <w:highlight w:val="none"/>
                <w14:textFill>
                  <w14:solidFill>
                    <w14:schemeClr w14:val="tx1"/>
                  </w14:solidFill>
                </w14:textFill>
              </w:rPr>
            </w:pPr>
            <w:r>
              <w:rPr>
                <w:rFonts w:hint="eastAsia"/>
                <w:color w:val="000000" w:themeColor="text1"/>
                <w:highlight w:val="none"/>
                <w14:textFill>
                  <w14:solidFill>
                    <w14:schemeClr w14:val="tx1"/>
                  </w14:solidFill>
                </w14:textFill>
              </w:rPr>
              <w:t>根据</w:t>
            </w:r>
            <w:r>
              <w:rPr>
                <w:color w:val="000000" w:themeColor="text1"/>
                <w:kern w:val="0"/>
                <w:highlight w:val="none"/>
                <w14:textFill>
                  <w14:solidFill>
                    <w14:schemeClr w14:val="tx1"/>
                  </w14:solidFill>
                </w14:textFill>
              </w:rPr>
              <w:t>《江西乐平工业园区扩区调区规划环境影响报告书》</w:t>
            </w:r>
            <w:r>
              <w:rPr>
                <w:rFonts w:hint="eastAsia"/>
                <w:color w:val="000000" w:themeColor="text1"/>
                <w:kern w:val="0"/>
                <w:highlight w:val="none"/>
                <w14:textFill>
                  <w14:solidFill>
                    <w14:schemeClr w14:val="tx1"/>
                  </w14:solidFill>
                </w14:textFill>
              </w:rPr>
              <w:t>，</w:t>
            </w:r>
            <w:r>
              <w:rPr>
                <w:color w:val="000000" w:themeColor="text1"/>
                <w:kern w:val="0"/>
                <w:highlight w:val="none"/>
                <w14:textFill>
                  <w14:solidFill>
                    <w14:schemeClr w14:val="tx1"/>
                  </w14:solidFill>
                </w14:textFill>
              </w:rPr>
              <w:t>江西乐平工业园区</w:t>
            </w:r>
            <w:r>
              <w:rPr>
                <w:rFonts w:hint="eastAsia"/>
                <w:color w:val="000000" w:themeColor="text1"/>
                <w:kern w:val="0"/>
                <w:highlight w:val="none"/>
                <w14:textFill>
                  <w14:solidFill>
                    <w14:schemeClr w14:val="tx1"/>
                  </w14:solidFill>
                </w14:textFill>
              </w:rPr>
              <w:t>规划方案和主要规划内容如下：</w:t>
            </w:r>
          </w:p>
          <w:p w14:paraId="12DEECFD">
            <w:pPr>
              <w:shd w:val="clear" w:color="auto" w:fill="auto"/>
              <w:autoSpaceDE w:val="0"/>
              <w:autoSpaceDN w:val="0"/>
              <w:ind w:firstLine="482"/>
              <w:rPr>
                <w:rFonts w:hint="eastAsia"/>
                <w:color w:val="000000" w:themeColor="text1"/>
                <w:kern w:val="0"/>
                <w:highlight w:val="none"/>
                <w14:textFill>
                  <w14:solidFill>
                    <w14:schemeClr w14:val="tx1"/>
                  </w14:solidFill>
                </w14:textFill>
              </w:rPr>
            </w:pPr>
            <w:r>
              <w:rPr>
                <w:rFonts w:hint="eastAsia"/>
                <w:b/>
                <w:bCs/>
                <w:color w:val="000000" w:themeColor="text1"/>
                <w:kern w:val="0"/>
                <w:highlight w:val="none"/>
                <w14:textFill>
                  <w14:solidFill>
                    <w14:schemeClr w14:val="tx1"/>
                  </w14:solidFill>
                </w14:textFill>
              </w:rPr>
              <w:t>规划方案：</w:t>
            </w:r>
            <w:r>
              <w:rPr>
                <w:rFonts w:hint="eastAsia"/>
                <w:color w:val="000000" w:themeColor="text1"/>
                <w:kern w:val="0"/>
                <w:highlight w:val="none"/>
                <w14:textFill>
                  <w14:solidFill>
                    <w14:schemeClr w14:val="tx1"/>
                  </w14:solidFill>
                </w14:textFill>
              </w:rPr>
              <w:t>本次扩区调区，现有塔山工业园在原核准321.27hm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基础上调减2个地块5.5hm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，并将面积扩大到1069.52hm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；同时在乐平市东、西两面分别新增金山工业园642.55hm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、鸣山工业园66.99hm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，扩区调区后乐平工业园区总面积增加到1779.06hm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，实际扩大1463.19hm</w:t>
            </w:r>
            <w:r>
              <w:rPr>
                <w:rFonts w:hint="eastAsia"/>
                <w:color w:val="000000" w:themeColor="text1"/>
                <w:kern w:val="0"/>
                <w:highlight w:val="none"/>
                <w:vertAlign w:val="superscript"/>
                <w14:textFill>
                  <w14:solidFill>
                    <w14:schemeClr w14:val="tx1"/>
                  </w14:solidFill>
                </w14:textFill>
              </w:rPr>
              <w:t>2</w:t>
            </w:r>
            <w:r>
              <w:rPr>
                <w:rFonts w:hint="eastAsia"/>
                <w:color w:val="000000" w:themeColor="text1"/>
                <w:kern w:val="0"/>
                <w:highlight w:val="none"/>
                <w14:textFill>
                  <w14:solidFill>
                    <w14:schemeClr w14:val="tx1"/>
                  </w14:solidFill>
                </w14:textFill>
              </w:rPr>
              <w:t>，形成“一区三园”的格局。</w:t>
            </w:r>
          </w:p>
          <w:p w14:paraId="195D53B2">
            <w:pPr>
              <w:shd w:val="clear" w:color="auto" w:fill="auto"/>
              <w:autoSpaceDE w:val="0"/>
              <w:autoSpaceDN w:val="0"/>
              <w:ind w:firstLine="480"/>
              <w:rPr>
                <w:rFonts w:hint="eastAsia"/>
                <w:color w:val="000000" w:themeColor="text1"/>
                <w:kern w:val="0"/>
                <w:highlight w:val="none"/>
                <w14:textFill>
                  <w14:solidFill>
                    <w14:schemeClr w14:val="tx1"/>
                  </w14:solidFill>
                </w14:textFill>
              </w:rPr>
            </w:pPr>
            <w:r>
              <w:rPr>
                <w:rFonts w:hint="eastAsia"/>
                <w:color w:val="000000" w:themeColor="text1"/>
                <w:kern w:val="0"/>
                <w:highlight w:val="none"/>
                <w14:textFill>
                  <w14:solidFill>
                    <w14:schemeClr w14:val="tx1"/>
                  </w14:solidFill>
                </w14:textFill>
              </w:rPr>
              <w:t>塔山工业园位于乐平市南面的塔山街道，园区北面与乐平市主城区相距约3.2km，园区西、北面紧邻乐安河，最近距离分别为0.45km、0.5km，东面与乐安河一级支流珠溪河（安殷水）相距约1.0km。本次扩区，塔山园区在原321.37公顷基础上扩大753.64公顷（其中等量置换5.5公顷），总面积增加到1069.52公顷，涉及塔山街道、礼林镇辖区。塔山片区扩区后包络线范围为1240.62公顷，因其内包含有171.1公顷国家级生态公益林，不具备开发条件，本次规划将其扣除。扣除后，塔山工业园实际规划面积为1069.52公顷。扩区后四至范围为：东临塔山十四路、塔山十五路及自然山体阻隔，南至S411（老屋村、洪家），西接塔山九路、塔山八路和塔山西路(塔山村，临近乐安河)，北至工业五路和工业一路（沈家岭、上畈村）。</w:t>
            </w:r>
          </w:p>
          <w:p w14:paraId="75A16E92">
            <w:pPr>
              <w:shd w:val="clear" w:color="auto" w:fill="auto"/>
              <w:autoSpaceDE w:val="0"/>
              <w:autoSpaceDN w:val="0"/>
              <w:ind w:firstLine="480"/>
              <w:rPr>
                <w:rFonts w:hint="eastAsia"/>
                <w:color w:val="000000" w:themeColor="text1"/>
                <w:kern w:val="0"/>
                <w:highlight w:val="none"/>
                <w14:textFill>
                  <w14:solidFill>
                    <w14:schemeClr w14:val="tx1"/>
                  </w14:solidFill>
                </w14:textFill>
              </w:rPr>
            </w:pPr>
            <w:r>
              <w:rPr>
                <w:rFonts w:hint="eastAsia"/>
                <w:color w:val="000000" w:themeColor="text1"/>
                <w:kern w:val="0"/>
                <w:highlight w:val="none"/>
                <w14:textFill>
                  <w14:solidFill>
                    <w14:schemeClr w14:val="tx1"/>
                  </w14:solidFill>
                </w14:textFill>
              </w:rPr>
              <w:t>金山工业园（金山工业基地）位于乐平市东面的浯口镇，园区西面距离主城区约1.7km、南面距离乐安河约3.4km，由乐平市政府于2008年设立，原名“乐平市陶瓷（机械）产业基地”，2010年更名为“乐平市金山工业基地”。本次规划，将金山工业园纳入规划范围，规划面积642.55公顷，四至范围为：东临规划S205，南至吴乐线，西接G206，北至规划新建S306。</w:t>
            </w:r>
          </w:p>
          <w:p w14:paraId="629A02D0">
            <w:pPr>
              <w:shd w:val="clear" w:color="auto" w:fill="auto"/>
              <w:autoSpaceDE w:val="0"/>
              <w:autoSpaceDN w:val="0"/>
              <w:ind w:firstLine="480"/>
              <w:rPr>
                <w:rFonts w:hint="eastAsia"/>
                <w:color w:val="000000" w:themeColor="text1"/>
                <w:kern w:val="0"/>
                <w:highlight w:val="none"/>
                <w14:textFill>
                  <w14:solidFill>
                    <w14:schemeClr w14:val="tx1"/>
                  </w14:solidFill>
                </w14:textFill>
              </w:rPr>
            </w:pPr>
            <w:r>
              <w:rPr>
                <w:rFonts w:hint="eastAsia"/>
                <w:color w:val="000000" w:themeColor="text1"/>
                <w:kern w:val="0"/>
                <w:highlight w:val="none"/>
                <w14:textFill>
                  <w14:solidFill>
                    <w14:schemeClr w14:val="tx1"/>
                  </w14:solidFill>
                </w14:textFill>
              </w:rPr>
              <w:t>鸣山工业园位于乐平市西面、乐平市-鄱阳县交界处的乐港镇鸣山村杨范自然村新开发“鸣山工业园”。鸣山工业园东距乐平市主城城区约9.5km、西面及南面边界紧邻乐平市-鄱阳县县界、南面距离乐安河约5.5km、东南面距离潘溪河约6.0km。鸣山工业园南面紧邻鄱阳县境内的石岭水库，水库尾水经大吉水（河）在鄱阳县境内汇入乐安河。鸣山工业园规划面积66.99公顷，四至范围为：东至经三路，南至纬二路，西至支一路，北至S306。</w:t>
            </w:r>
          </w:p>
          <w:p w14:paraId="256D789A">
            <w:pPr>
              <w:shd w:val="clear" w:color="auto" w:fill="auto"/>
              <w:autoSpaceDE w:val="0"/>
              <w:autoSpaceDN w:val="0"/>
              <w:ind w:firstLine="482"/>
              <w:rPr>
                <w:rFonts w:hint="eastAsia"/>
                <w:color w:val="000000" w:themeColor="text1"/>
                <w:kern w:val="0"/>
                <w:highlight w:val="none"/>
                <w14:textFill>
                  <w14:solidFill>
                    <w14:schemeClr w14:val="tx1"/>
                  </w14:solidFill>
                </w14:textFill>
              </w:rPr>
            </w:pPr>
            <w:r>
              <w:rPr>
                <w:rFonts w:hint="eastAsia"/>
                <w:b/>
                <w:bCs/>
                <w:color w:val="000000" w:themeColor="text1"/>
                <w:kern w:val="0"/>
                <w:highlight w:val="none"/>
                <w14:textFill>
                  <w14:solidFill>
                    <w14:schemeClr w14:val="tx1"/>
                  </w14:solidFill>
                </w14:textFill>
              </w:rPr>
              <w:t>规划主要内容：</w:t>
            </w:r>
            <w:r>
              <w:rPr>
                <w:rFonts w:hint="eastAsia"/>
                <w:color w:val="000000" w:themeColor="text1"/>
                <w:kern w:val="0"/>
                <w:highlight w:val="none"/>
                <w14:textFill>
                  <w14:solidFill>
                    <w14:schemeClr w14:val="tx1"/>
                  </w14:solidFill>
                </w14:textFill>
              </w:rPr>
              <w:t>本次规划期限为2022-2030年，基准年为2021年，分为近期和中长期两个阶段。其中，近期为2022-2025年，中长期为2026-2030年。塔山工业园：在现有化工产业基础上，继续做大做强精细化工、医药化工产业，努力发展新材料、有色金属冶炼（仅限于贵金属回收利用）等产业；近期规划燃煤热电联产项目，为园区集中供热；规划区污水经集中污水处理设施处理达标后排入乐安河。金山工业园：在现有黑色金属铸造、机械制造与加工、建材生产、废旧资源回收加工、五金制造等产业基础上，规划发展机械电子、新型建材、有色金属制品、绿色纺织化纤产业；规划区域以天然气、电力为主要能源；规划区在东南侧外新建污水处理厂，对园区污水进行收集处理，达标后排入乐安河。鸣山工业园：规划发展机械电子、新型建材产业；规划区域以天然气、电力为主要能源；规划区在东南侧外新建污水处理厂，对园区污水进行收集处理，达标后排入乐安河。据测算，规划期末塔山工业园规划总用水量为5.4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/d，污水量为4.5万m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/d；金山工业园规划区总用水量为1.83万m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/d，日污水量为1.06万m³/d；鸣山工业园总用水量为0.18万m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/d，日污水量为0.12万m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/d。规划末期塔山工业园全年用气量约为5840万Nm³，金山工业园用气量约948万m</w:t>
            </w:r>
            <w:r>
              <w:rPr>
                <w:rFonts w:hint="eastAsia"/>
                <w:color w:val="000000" w:themeColor="text1"/>
                <w:kern w:val="0"/>
                <w:highlight w:val="none"/>
                <w:vertAlign w:val="superscript"/>
                <w14:textFill>
                  <w14:solidFill>
                    <w14:schemeClr w14:val="tx1"/>
                  </w14:solidFill>
                </w14:textFill>
              </w:rPr>
              <w:t>3</w:t>
            </w:r>
            <w:r>
              <w:rPr>
                <w:rFonts w:hint="eastAsia"/>
                <w:color w:val="000000" w:themeColor="text1"/>
                <w:kern w:val="0"/>
                <w:highlight w:val="none"/>
                <w14:textFill>
                  <w14:solidFill>
                    <w14:schemeClr w14:val="tx1"/>
                  </w14:solidFill>
                </w14:textFill>
              </w:rPr>
              <w:t>/a，鸣山工业园全年用气量约为132万Nm³。</w:t>
            </w:r>
          </w:p>
          <w:p w14:paraId="0FB318DD">
            <w:pPr>
              <w:pStyle w:val="149"/>
              <w:shd w:val="clear" w:color="auto" w:fill="auto"/>
              <w:spacing w:line="360" w:lineRule="auto"/>
              <w:ind w:firstLine="480"/>
              <w:rPr>
                <w:color w:val="000000" w:themeColor="text1"/>
                <w:highlight w:val="none"/>
                <w14:textFill>
                  <w14:solidFill>
                    <w14:schemeClr w14:val="tx1"/>
                  </w14:solidFill>
                </w14:textFill>
              </w:rPr>
            </w:pPr>
            <w:r>
              <w:rPr>
                <w:rFonts w:hint="eastAsia"/>
                <w:color w:val="000000" w:themeColor="text1"/>
                <w:kern w:val="0"/>
                <w:sz w:val="24"/>
                <w:szCs w:val="24"/>
                <w:highlight w:val="none"/>
                <w14:textFill>
                  <w14:solidFill>
                    <w14:schemeClr w14:val="tx1"/>
                  </w14:solidFill>
                </w14:textFill>
              </w:rPr>
              <w:t>环境准入清单见表1-2，园区生态准入清单见表1-3。</w:t>
            </w:r>
          </w:p>
          <w:p w14:paraId="3D49A418">
            <w:pPr>
              <w:pStyle w:val="149"/>
              <w:shd w:val="clear" w:color="auto" w:fill="auto"/>
              <w:spacing w:line="240" w:lineRule="auto"/>
              <w:ind w:firstLine="0" w:firstLineChars="0"/>
              <w:jc w:val="center"/>
              <w:rPr>
                <w:rFonts w:hint="eastAsia"/>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表1-2</w:t>
            </w:r>
            <w:r>
              <w:rPr>
                <w:rFonts w:hint="eastAsia"/>
                <w:b/>
                <w:bCs/>
                <w:color w:val="000000" w:themeColor="text1"/>
                <w:sz w:val="24"/>
                <w:szCs w:val="24"/>
                <w:highlight w:val="none"/>
                <w:lang w:val="en-US" w:eastAsia="zh-CN"/>
                <w14:textFill>
                  <w14:solidFill>
                    <w14:schemeClr w14:val="tx1"/>
                  </w14:solidFill>
                </w14:textFill>
              </w:rPr>
              <w:t xml:space="preserve"> </w:t>
            </w:r>
            <w:r>
              <w:rPr>
                <w:rFonts w:hint="eastAsia"/>
                <w:b/>
                <w:bCs/>
                <w:color w:val="000000" w:themeColor="text1"/>
                <w:sz w:val="24"/>
                <w:szCs w:val="24"/>
                <w:highlight w:val="none"/>
                <w14:textFill>
                  <w14:solidFill>
                    <w14:schemeClr w14:val="tx1"/>
                  </w14:solidFill>
                </w14:textFill>
              </w:rPr>
              <w:t>环境</w:t>
            </w:r>
            <w:r>
              <w:rPr>
                <w:rFonts w:hint="eastAsia"/>
                <w:b/>
                <w:bCs/>
                <w:color w:val="000000" w:themeColor="text1"/>
                <w:sz w:val="24"/>
                <w:szCs w:val="24"/>
                <w:highlight w:val="none"/>
                <w:lang w:eastAsia="zh-CN"/>
                <w14:textFill>
                  <w14:solidFill>
                    <w14:schemeClr w14:val="tx1"/>
                  </w14:solidFill>
                </w14:textFill>
              </w:rPr>
              <w:t>准</w:t>
            </w:r>
            <w:r>
              <w:rPr>
                <w:rFonts w:hint="eastAsia"/>
                <w:b/>
                <w:bCs/>
                <w:color w:val="000000" w:themeColor="text1"/>
                <w:sz w:val="24"/>
                <w:szCs w:val="24"/>
                <w:highlight w:val="none"/>
                <w14:textFill>
                  <w14:solidFill>
                    <w14:schemeClr w14:val="tx1"/>
                  </w14:solidFill>
                </w14:textFill>
              </w:rPr>
              <w:t>入清单</w:t>
            </w:r>
          </w:p>
          <w:tbl>
            <w:tblPr>
              <w:tblStyle w:val="32"/>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47"/>
              <w:gridCol w:w="1350"/>
              <w:gridCol w:w="2880"/>
              <w:gridCol w:w="2224"/>
            </w:tblGrid>
            <w:tr w14:paraId="2DB733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noWrap w:val="0"/>
                  <w:vAlign w:val="center"/>
                </w:tcPr>
                <w:p w14:paraId="340FB15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维度</w:t>
                  </w:r>
                </w:p>
              </w:tc>
              <w:tc>
                <w:tcPr>
                  <w:tcW w:w="1350" w:type="dxa"/>
                  <w:noWrap w:val="0"/>
                  <w:vAlign w:val="center"/>
                </w:tcPr>
                <w:p w14:paraId="37F9A034">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清单编制要求</w:t>
                  </w:r>
                </w:p>
              </w:tc>
              <w:tc>
                <w:tcPr>
                  <w:tcW w:w="2880" w:type="dxa"/>
                  <w:noWrap w:val="0"/>
                  <w:vAlign w:val="center"/>
                </w:tcPr>
                <w:p w14:paraId="05E4A25C">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准入清单</w:t>
                  </w:r>
                </w:p>
              </w:tc>
              <w:tc>
                <w:tcPr>
                  <w:tcW w:w="2224" w:type="dxa"/>
                  <w:noWrap w:val="0"/>
                  <w:vAlign w:val="center"/>
                </w:tcPr>
                <w:p w14:paraId="37A724F3">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p>
              </w:tc>
            </w:tr>
            <w:tr w14:paraId="7D8C1B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restart"/>
                  <w:noWrap w:val="0"/>
                  <w:vAlign w:val="center"/>
                </w:tcPr>
                <w:p w14:paraId="621AD21A">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空间布局约束</w:t>
                  </w:r>
                </w:p>
              </w:tc>
              <w:tc>
                <w:tcPr>
                  <w:tcW w:w="1350" w:type="dxa"/>
                  <w:noWrap w:val="0"/>
                  <w:vAlign w:val="center"/>
                </w:tcPr>
                <w:p w14:paraId="193B503C">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允许开发建设活动的要求</w:t>
                  </w:r>
                </w:p>
              </w:tc>
              <w:tc>
                <w:tcPr>
                  <w:tcW w:w="2880" w:type="dxa"/>
                  <w:noWrap w:val="0"/>
                  <w:vAlign w:val="center"/>
                </w:tcPr>
                <w:p w14:paraId="73E65EE4">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允许符合城镇总体规划、国土空间规划、土地利用规划、产业发展规划的开发建设活动。</w:t>
                  </w:r>
                </w:p>
              </w:tc>
              <w:tc>
                <w:tcPr>
                  <w:tcW w:w="2224" w:type="dxa"/>
                  <w:noWrap w:val="0"/>
                  <w:vAlign w:val="center"/>
                </w:tcPr>
                <w:p w14:paraId="1712E1CB">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本项目属于汽车零部件及配件制造项目，符合</w:t>
                  </w:r>
                  <w:r>
                    <w:rPr>
                      <w:color w:val="000000" w:themeColor="text1"/>
                      <w:sz w:val="21"/>
                      <w:szCs w:val="21"/>
                      <w:highlight w:val="none"/>
                      <w14:textFill>
                        <w14:solidFill>
                          <w14:schemeClr w14:val="tx1"/>
                        </w14:solidFill>
                      </w14:textFill>
                    </w:rPr>
                    <w:t>城镇总体规划、国土空间规划、土地利用规划、产业发展规划</w:t>
                  </w:r>
                  <w:r>
                    <w:rPr>
                      <w:rFonts w:hint="eastAsia"/>
                      <w:color w:val="000000" w:themeColor="text1"/>
                      <w:sz w:val="21"/>
                      <w:szCs w:val="21"/>
                      <w:highlight w:val="none"/>
                      <w:lang w:eastAsia="zh-CN"/>
                      <w14:textFill>
                        <w14:solidFill>
                          <w14:schemeClr w14:val="tx1"/>
                        </w14:solidFill>
                      </w14:textFill>
                    </w:rPr>
                    <w:t>。</w:t>
                  </w:r>
                </w:p>
              </w:tc>
            </w:tr>
            <w:tr w14:paraId="068F01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1E447784">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64BDFEA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禁止开发建设活动的要求</w:t>
                  </w:r>
                </w:p>
              </w:tc>
              <w:tc>
                <w:tcPr>
                  <w:tcW w:w="2880" w:type="dxa"/>
                  <w:noWrap w:val="0"/>
                  <w:vAlign w:val="center"/>
                </w:tcPr>
                <w:p w14:paraId="00DCE6AE">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①禁止引入列入《产业结构调整指导目录（2019年本）》、《市场准入负面清单（2022年版）》、《外商投资准入特别管理措施（负面清单）（2020 年版）》、《长江经济带发展负面清单指南（试行，2022年版）》等相关产业政策中禁止或淘汰类项目、产品、工艺、设备。</w:t>
                  </w:r>
                </w:p>
                <w:p w14:paraId="313E54B2">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②禁止新建、扩建不符合国家产能置换要求的严重过剩产能行业的项目。</w:t>
                  </w:r>
                </w:p>
                <w:p w14:paraId="2A4CD9F2">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③禁止新建环境影响大的项目，包括钢铁、焦化、水泥（熟料）、印染（漂染）、废纸制浆造纸、陶瓷等项目。</w:t>
                  </w:r>
                </w:p>
                <w:p w14:paraId="254CE704">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④不符合园区主导产业，且生产工艺、设备、污染治理技术等达不到清洁生产国内先进水平的、不符合环保相关要求的“两高”项目。</w:t>
                  </w:r>
                </w:p>
              </w:tc>
              <w:tc>
                <w:tcPr>
                  <w:tcW w:w="2224" w:type="dxa"/>
                  <w:noWrap w:val="0"/>
                  <w:vAlign w:val="center"/>
                </w:tcPr>
                <w:p w14:paraId="6EFAAB1E">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①</w:t>
                  </w:r>
                  <w:r>
                    <w:rPr>
                      <w:rFonts w:hint="eastAsia"/>
                      <w:color w:val="000000" w:themeColor="text1"/>
                      <w:sz w:val="21"/>
                      <w:szCs w:val="21"/>
                      <w:highlight w:val="none"/>
                      <w14:textFill>
                        <w14:solidFill>
                          <w14:schemeClr w14:val="tx1"/>
                        </w14:solidFill>
                      </w14:textFill>
                    </w:rPr>
                    <w:t>本项目为允许类项目，不涉及</w:t>
                  </w:r>
                  <w:r>
                    <w:rPr>
                      <w:color w:val="000000" w:themeColor="text1"/>
                      <w:sz w:val="21"/>
                      <w:szCs w:val="21"/>
                      <w:highlight w:val="none"/>
                      <w14:textFill>
                        <w14:solidFill>
                          <w14:schemeClr w14:val="tx1"/>
                        </w14:solidFill>
                      </w14:textFill>
                    </w:rPr>
                    <w:t>《产业结构调整指导目录（20</w:t>
                  </w:r>
                  <w:r>
                    <w:rPr>
                      <w:rFonts w:hint="eastAsia"/>
                      <w:color w:val="000000" w:themeColor="text1"/>
                      <w:sz w:val="21"/>
                      <w:szCs w:val="21"/>
                      <w:highlight w:val="none"/>
                      <w:lang w:val="en-US" w:eastAsia="zh-CN"/>
                      <w14:textFill>
                        <w14:solidFill>
                          <w14:schemeClr w14:val="tx1"/>
                        </w14:solidFill>
                      </w14:textFill>
                    </w:rPr>
                    <w:t>24</w:t>
                  </w:r>
                  <w:r>
                    <w:rPr>
                      <w:color w:val="000000" w:themeColor="text1"/>
                      <w:sz w:val="21"/>
                      <w:szCs w:val="21"/>
                      <w:highlight w:val="none"/>
                      <w14:textFill>
                        <w14:solidFill>
                          <w14:schemeClr w14:val="tx1"/>
                        </w14:solidFill>
                      </w14:textFill>
                    </w:rPr>
                    <w:t>年本）》、《市场准入负面清单（2022年版）》、《外商投资准入特别管理措施（负面清单）（2020年版）》、《长江经济带发展负面清单指南（试行，2022年版）》等相关产业政策中禁止或淘汰类项目、产品、工艺、设备</w:t>
                  </w:r>
                  <w:r>
                    <w:rPr>
                      <w:rFonts w:hint="eastAsia"/>
                      <w:color w:val="000000" w:themeColor="text1"/>
                      <w:sz w:val="21"/>
                      <w:szCs w:val="21"/>
                      <w:highlight w:val="none"/>
                      <w:lang w:eastAsia="zh-CN"/>
                      <w14:textFill>
                        <w14:solidFill>
                          <w14:schemeClr w14:val="tx1"/>
                        </w14:solidFill>
                      </w14:textFill>
                    </w:rPr>
                    <w:t>；</w:t>
                  </w:r>
                </w:p>
                <w:p w14:paraId="68906419">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②</w:t>
                  </w:r>
                  <w:r>
                    <w:rPr>
                      <w:rFonts w:hint="eastAsia"/>
                      <w:color w:val="000000" w:themeColor="text1"/>
                      <w:sz w:val="21"/>
                      <w:szCs w:val="21"/>
                      <w:highlight w:val="none"/>
                      <w14:textFill>
                        <w14:solidFill>
                          <w14:schemeClr w14:val="tx1"/>
                        </w14:solidFill>
                      </w14:textFill>
                    </w:rPr>
                    <w:t>本项目不属于</w:t>
                  </w:r>
                  <w:r>
                    <w:rPr>
                      <w:color w:val="000000" w:themeColor="text1"/>
                      <w:sz w:val="21"/>
                      <w:szCs w:val="21"/>
                      <w:highlight w:val="none"/>
                      <w14:textFill>
                        <w14:solidFill>
                          <w14:schemeClr w14:val="tx1"/>
                        </w14:solidFill>
                      </w14:textFill>
                    </w:rPr>
                    <w:t>国家产能置换要求的严重过剩产能行业的项目</w:t>
                  </w:r>
                  <w:r>
                    <w:rPr>
                      <w:rFonts w:hint="eastAsia"/>
                      <w:color w:val="000000" w:themeColor="text1"/>
                      <w:sz w:val="21"/>
                      <w:szCs w:val="21"/>
                      <w:highlight w:val="none"/>
                      <w:lang w:eastAsia="zh-CN"/>
                      <w14:textFill>
                        <w14:solidFill>
                          <w14:schemeClr w14:val="tx1"/>
                        </w14:solidFill>
                      </w14:textFill>
                    </w:rPr>
                    <w:t>；</w:t>
                  </w:r>
                </w:p>
                <w:p w14:paraId="6B278BC1">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③</w:t>
                  </w:r>
                  <w:r>
                    <w:rPr>
                      <w:rFonts w:hint="eastAsia"/>
                      <w:color w:val="000000" w:themeColor="text1"/>
                      <w:sz w:val="21"/>
                      <w:szCs w:val="21"/>
                      <w:highlight w:val="none"/>
                      <w14:textFill>
                        <w14:solidFill>
                          <w14:schemeClr w14:val="tx1"/>
                        </w14:solidFill>
                      </w14:textFill>
                    </w:rPr>
                    <w:t>本项目不属于</w:t>
                  </w:r>
                  <w:r>
                    <w:rPr>
                      <w:color w:val="000000" w:themeColor="text1"/>
                      <w:sz w:val="21"/>
                      <w:szCs w:val="21"/>
                      <w:highlight w:val="none"/>
                      <w14:textFill>
                        <w14:solidFill>
                          <w14:schemeClr w14:val="tx1"/>
                        </w14:solidFill>
                      </w14:textFill>
                    </w:rPr>
                    <w:t>环境影响大的项目</w:t>
                  </w:r>
                  <w:r>
                    <w:rPr>
                      <w:rFonts w:hint="eastAsia"/>
                      <w:color w:val="000000" w:themeColor="text1"/>
                      <w:sz w:val="21"/>
                      <w:szCs w:val="21"/>
                      <w:highlight w:val="none"/>
                      <w14:textFill>
                        <w14:solidFill>
                          <w14:schemeClr w14:val="tx1"/>
                        </w14:solidFill>
                      </w14:textFill>
                    </w:rPr>
                    <w:t>，不属于</w:t>
                  </w:r>
                  <w:r>
                    <w:rPr>
                      <w:color w:val="000000" w:themeColor="text1"/>
                      <w:sz w:val="21"/>
                      <w:szCs w:val="21"/>
                      <w:highlight w:val="none"/>
                      <w14:textFill>
                        <w14:solidFill>
                          <w14:schemeClr w14:val="tx1"/>
                        </w14:solidFill>
                      </w14:textFill>
                    </w:rPr>
                    <w:t>钢铁、焦化、水泥（熟料）、印染（漂染）、废纸制浆造纸、陶瓷等项目</w:t>
                  </w:r>
                  <w:r>
                    <w:rPr>
                      <w:rFonts w:hint="eastAsia"/>
                      <w:color w:val="000000" w:themeColor="text1"/>
                      <w:sz w:val="21"/>
                      <w:szCs w:val="21"/>
                      <w:highlight w:val="none"/>
                      <w:lang w:eastAsia="zh-CN"/>
                      <w14:textFill>
                        <w14:solidFill>
                          <w14:schemeClr w14:val="tx1"/>
                        </w14:solidFill>
                      </w14:textFill>
                    </w:rPr>
                    <w:t>；</w:t>
                  </w:r>
                </w:p>
                <w:p w14:paraId="01337682">
                  <w:pPr>
                    <w:shd w:val="clear" w:color="auto" w:fill="auto"/>
                    <w:spacing w:line="240" w:lineRule="auto"/>
                    <w:ind w:firstLine="0" w:firstLineChars="0"/>
                    <w:jc w:val="center"/>
                    <w:rPr>
                      <w:rFonts w:hint="eastAsia" w:eastAsia="宋体"/>
                      <w:color w:val="000000" w:themeColor="text1"/>
                      <w:highlight w:val="none"/>
                      <w:lang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④本项目不属于“两高”项目</w:t>
                  </w:r>
                  <w:r>
                    <w:rPr>
                      <w:rFonts w:hint="eastAsia"/>
                      <w:color w:val="000000" w:themeColor="text1"/>
                      <w:sz w:val="21"/>
                      <w:szCs w:val="21"/>
                      <w:highlight w:val="none"/>
                      <w:lang w:eastAsia="zh-CN"/>
                      <w14:textFill>
                        <w14:solidFill>
                          <w14:schemeClr w14:val="tx1"/>
                        </w14:solidFill>
                      </w14:textFill>
                    </w:rPr>
                    <w:t>。</w:t>
                  </w:r>
                </w:p>
              </w:tc>
            </w:tr>
            <w:tr w14:paraId="292D5C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57C906CD">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62418C8E">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限制开发建设活动的要求</w:t>
                  </w:r>
                </w:p>
              </w:tc>
              <w:tc>
                <w:tcPr>
                  <w:tcW w:w="2880" w:type="dxa"/>
                  <w:noWrap w:val="0"/>
                  <w:vAlign w:val="center"/>
                </w:tcPr>
                <w:p w14:paraId="0FCF4680">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①与主导产业相关的“两高”类项目需按照国家及江西省相关政策要求严格控制引入，并经过环境影响充分论证。</w:t>
                  </w:r>
                </w:p>
                <w:p w14:paraId="397C33AE">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②严格限制新建剧毒化学品生产项目，严格控制引进涉及光气化、硝化等爆炸性化学品等高风险项目。</w:t>
                  </w:r>
                </w:p>
              </w:tc>
              <w:tc>
                <w:tcPr>
                  <w:tcW w:w="2224" w:type="dxa"/>
                  <w:noWrap w:val="0"/>
                  <w:vAlign w:val="center"/>
                </w:tcPr>
                <w:p w14:paraId="48E03460">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①</w:t>
                  </w:r>
                  <w:r>
                    <w:rPr>
                      <w:rFonts w:hint="eastAsia"/>
                      <w:color w:val="000000" w:themeColor="text1"/>
                      <w:sz w:val="21"/>
                      <w:szCs w:val="21"/>
                      <w:highlight w:val="none"/>
                      <w14:textFill>
                        <w14:solidFill>
                          <w14:schemeClr w14:val="tx1"/>
                        </w14:solidFill>
                      </w14:textFill>
                    </w:rPr>
                    <w:t>本项目不属于</w:t>
                  </w:r>
                  <w:r>
                    <w:rPr>
                      <w:color w:val="000000" w:themeColor="text1"/>
                      <w:sz w:val="21"/>
                      <w:szCs w:val="21"/>
                      <w:highlight w:val="none"/>
                      <w14:textFill>
                        <w14:solidFill>
                          <w14:schemeClr w14:val="tx1"/>
                        </w14:solidFill>
                      </w14:textFill>
                    </w:rPr>
                    <w:t>“两高”类项目</w:t>
                  </w:r>
                  <w:r>
                    <w:rPr>
                      <w:rFonts w:hint="eastAsia"/>
                      <w:color w:val="000000" w:themeColor="text1"/>
                      <w:sz w:val="21"/>
                      <w:szCs w:val="21"/>
                      <w:highlight w:val="none"/>
                      <w:lang w:eastAsia="zh-CN"/>
                      <w14:textFill>
                        <w14:solidFill>
                          <w14:schemeClr w14:val="tx1"/>
                        </w14:solidFill>
                      </w14:textFill>
                    </w:rPr>
                    <w:t>；</w:t>
                  </w:r>
                </w:p>
                <w:p w14:paraId="145FBA24">
                  <w:pPr>
                    <w:shd w:val="clear" w:color="auto" w:fill="auto"/>
                    <w:spacing w:line="240" w:lineRule="auto"/>
                    <w:ind w:firstLine="0" w:firstLineChars="0"/>
                    <w:jc w:val="center"/>
                    <w:rPr>
                      <w:color w:val="000000" w:themeColor="text1"/>
                      <w:highlight w:val="none"/>
                      <w14:textFill>
                        <w14:solidFill>
                          <w14:schemeClr w14:val="tx1"/>
                        </w14:solidFill>
                      </w14:textFill>
                    </w:rPr>
                  </w:pPr>
                  <w:r>
                    <w:rPr>
                      <w:color w:val="000000" w:themeColor="text1"/>
                      <w:sz w:val="21"/>
                      <w:szCs w:val="21"/>
                      <w:highlight w:val="none"/>
                      <w14:textFill>
                        <w14:solidFill>
                          <w14:schemeClr w14:val="tx1"/>
                        </w14:solidFill>
                      </w14:textFill>
                    </w:rPr>
                    <w:t>②</w:t>
                  </w:r>
                  <w:r>
                    <w:rPr>
                      <w:rFonts w:hint="eastAsia"/>
                      <w:color w:val="000000" w:themeColor="text1"/>
                      <w:sz w:val="21"/>
                      <w:szCs w:val="21"/>
                      <w:highlight w:val="none"/>
                      <w14:textFill>
                        <w14:solidFill>
                          <w14:schemeClr w14:val="tx1"/>
                        </w14:solidFill>
                      </w14:textFill>
                    </w:rPr>
                    <w:t>本项目不属于</w:t>
                  </w:r>
                  <w:r>
                    <w:rPr>
                      <w:color w:val="000000" w:themeColor="text1"/>
                      <w:sz w:val="21"/>
                      <w:szCs w:val="21"/>
                      <w:highlight w:val="none"/>
                      <w14:textFill>
                        <w14:solidFill>
                          <w14:schemeClr w14:val="tx1"/>
                        </w14:solidFill>
                      </w14:textFill>
                    </w:rPr>
                    <w:t>新建剧毒化学品生产项目，</w:t>
                  </w:r>
                  <w:r>
                    <w:rPr>
                      <w:rFonts w:hint="eastAsia"/>
                      <w:color w:val="000000" w:themeColor="text1"/>
                      <w:sz w:val="21"/>
                      <w:szCs w:val="21"/>
                      <w:highlight w:val="none"/>
                      <w14:textFill>
                        <w14:solidFill>
                          <w14:schemeClr w14:val="tx1"/>
                        </w14:solidFill>
                      </w14:textFill>
                    </w:rPr>
                    <w:t>不属于</w:t>
                  </w:r>
                  <w:r>
                    <w:rPr>
                      <w:color w:val="000000" w:themeColor="text1"/>
                      <w:sz w:val="21"/>
                      <w:szCs w:val="21"/>
                      <w:highlight w:val="none"/>
                      <w14:textFill>
                        <w14:solidFill>
                          <w14:schemeClr w14:val="tx1"/>
                        </w14:solidFill>
                      </w14:textFill>
                    </w:rPr>
                    <w:t>涉及光气化、硝化等爆炸性化学品等高风险项目。</w:t>
                  </w:r>
                </w:p>
              </w:tc>
            </w:tr>
            <w:tr w14:paraId="153097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restart"/>
                  <w:noWrap w:val="0"/>
                  <w:vAlign w:val="center"/>
                </w:tcPr>
                <w:p w14:paraId="37967D75">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污染</w:t>
                  </w:r>
                </w:p>
                <w:p w14:paraId="6A6C5570">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物排</w:t>
                  </w:r>
                </w:p>
                <w:p w14:paraId="33553670">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放管</w:t>
                  </w:r>
                </w:p>
                <w:p w14:paraId="3C954CAF">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控</w:t>
                  </w:r>
                </w:p>
              </w:tc>
              <w:tc>
                <w:tcPr>
                  <w:tcW w:w="1350" w:type="dxa"/>
                  <w:noWrap w:val="0"/>
                  <w:vAlign w:val="center"/>
                </w:tcPr>
                <w:p w14:paraId="5720106C">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现有源提标升级改造</w:t>
                  </w:r>
                </w:p>
              </w:tc>
              <w:tc>
                <w:tcPr>
                  <w:tcW w:w="2880" w:type="dxa"/>
                  <w:noWrap w:val="0"/>
                  <w:vAlign w:val="center"/>
                </w:tcPr>
                <w:p w14:paraId="081AA487">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现有企业提标改造或转型升级，不断提高清洁生产水平。</w:t>
                  </w:r>
                </w:p>
              </w:tc>
              <w:tc>
                <w:tcPr>
                  <w:tcW w:w="2224" w:type="dxa"/>
                  <w:noWrap w:val="0"/>
                  <w:vAlign w:val="center"/>
                </w:tcPr>
                <w:p w14:paraId="062CDBAD">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本项目为新建项目</w:t>
                  </w:r>
                </w:p>
              </w:tc>
            </w:tr>
            <w:tr w14:paraId="13EBE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1FB0D092">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72105AA5">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新增源等量或倍量替</w:t>
                  </w:r>
                </w:p>
                <w:p w14:paraId="52A2AD03">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代</w:t>
                  </w:r>
                </w:p>
              </w:tc>
              <w:tc>
                <w:tcPr>
                  <w:tcW w:w="2880" w:type="dxa"/>
                  <w:noWrap w:val="0"/>
                  <w:vAlign w:val="center"/>
                </w:tcPr>
                <w:p w14:paraId="54E5D5FD">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新建、扩建、改建项目污染物排放量符合总量控制指标要求。</w:t>
                  </w:r>
                </w:p>
              </w:tc>
              <w:tc>
                <w:tcPr>
                  <w:tcW w:w="2224" w:type="dxa"/>
                  <w:noWrap w:val="0"/>
                  <w:vAlign w:val="center"/>
                </w:tcPr>
                <w:p w14:paraId="4D7D2B6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r>
                    <w:rPr>
                      <w:color w:val="000000" w:themeColor="text1"/>
                      <w:sz w:val="21"/>
                      <w:szCs w:val="21"/>
                      <w:highlight w:val="none"/>
                      <w14:textFill>
                        <w14:solidFill>
                          <w14:schemeClr w14:val="tx1"/>
                        </w14:solidFill>
                      </w14:textFill>
                    </w:rPr>
                    <w:t>污染物排放量符合总量控制指标要求。</w:t>
                  </w:r>
                </w:p>
              </w:tc>
            </w:tr>
            <w:tr w14:paraId="43DDEC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44E80DCC">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189BF771">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新增源排放标准限值</w:t>
                  </w:r>
                </w:p>
              </w:tc>
              <w:tc>
                <w:tcPr>
                  <w:tcW w:w="2880" w:type="dxa"/>
                  <w:noWrap w:val="0"/>
                  <w:vAlign w:val="center"/>
                </w:tcPr>
                <w:p w14:paraId="17994E5B">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建、改建、扩建排放废水的项目，废水必须经预处理达到园区污水处理厂接管要求，其中一类污染物需在车间或污染治理设施排口处达标；新建、改建、扩建污水集中处理设施的出水水质应当达到《城镇污水处理厂污染物排放标准》一级A标准。</w:t>
                  </w:r>
                </w:p>
                <w:p w14:paraId="75F50C91">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严格控制五类重金属外排。</w:t>
                  </w:r>
                </w:p>
              </w:tc>
              <w:tc>
                <w:tcPr>
                  <w:tcW w:w="2224" w:type="dxa"/>
                  <w:noWrap w:val="0"/>
                  <w:vAlign w:val="center"/>
                </w:tcPr>
                <w:p w14:paraId="25257963">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生活污水近期经</w:t>
                  </w:r>
                  <w:r>
                    <w:rPr>
                      <w:rFonts w:hint="default" w:ascii="Times New Roman" w:hAnsi="Times New Roman" w:cs="Times New Roman"/>
                      <w:bCs/>
                      <w:color w:val="000000" w:themeColor="text1"/>
                      <w:sz w:val="21"/>
                      <w:szCs w:val="21"/>
                      <w:highlight w:val="none"/>
                      <w14:textFill>
                        <w14:solidFill>
                          <w14:schemeClr w14:val="tx1"/>
                        </w14:solidFill>
                      </w14:textFill>
                    </w:rPr>
                    <w:t>隔油池+化粪池+一体化污水处理设施</w:t>
                  </w:r>
                  <w:r>
                    <w:rPr>
                      <w:rFonts w:hint="eastAsia"/>
                      <w:color w:val="000000" w:themeColor="text1"/>
                      <w:sz w:val="21"/>
                      <w:szCs w:val="21"/>
                      <w:highlight w:val="none"/>
                      <w14:textFill>
                        <w14:solidFill>
                          <w14:schemeClr w14:val="tx1"/>
                        </w14:solidFill>
                      </w14:textFill>
                    </w:rPr>
                    <w:t>（A/O生物处理工艺）处理，远期待金山工业园污水处理厂正式投运后，经</w:t>
                  </w:r>
                  <w:r>
                    <w:rPr>
                      <w:rFonts w:hint="default" w:ascii="Times New Roman" w:hAnsi="Times New Roman" w:cs="Times New Roman"/>
                      <w:bCs/>
                      <w:color w:val="000000" w:themeColor="text1"/>
                      <w:sz w:val="21"/>
                      <w:szCs w:val="21"/>
                      <w:highlight w:val="none"/>
                      <w14:textFill>
                        <w14:solidFill>
                          <w14:schemeClr w14:val="tx1"/>
                        </w14:solidFill>
                      </w14:textFill>
                    </w:rPr>
                    <w:t>隔油池+化粪池+一体化污水处理设施</w:t>
                  </w:r>
                  <w:r>
                    <w:rPr>
                      <w:rFonts w:hint="eastAsia"/>
                      <w:color w:val="000000" w:themeColor="text1"/>
                      <w:sz w:val="21"/>
                      <w:szCs w:val="21"/>
                      <w:highlight w:val="none"/>
                      <w14:textFill>
                        <w14:solidFill>
                          <w14:schemeClr w14:val="tx1"/>
                        </w14:solidFill>
                      </w14:textFill>
                    </w:rPr>
                    <w:t>（A/O生物处理工艺）处理后排入金山工业园污水处理厂</w:t>
                  </w:r>
                  <w:r>
                    <w:rPr>
                      <w:rFonts w:hint="eastAsia"/>
                      <w:color w:val="000000" w:themeColor="text1"/>
                      <w:sz w:val="21"/>
                      <w:szCs w:val="21"/>
                      <w:highlight w:val="none"/>
                      <w:lang w:eastAsia="zh-CN"/>
                      <w14:textFill>
                        <w14:solidFill>
                          <w14:schemeClr w14:val="tx1"/>
                        </w14:solidFill>
                      </w14:textFill>
                    </w:rPr>
                    <w:t>。</w:t>
                  </w:r>
                </w:p>
              </w:tc>
            </w:tr>
            <w:tr w14:paraId="5E8F4B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0BE53216">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599B27C5">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污染物排放绩效水平准入要求</w:t>
                  </w:r>
                </w:p>
              </w:tc>
              <w:tc>
                <w:tcPr>
                  <w:tcW w:w="2880" w:type="dxa"/>
                  <w:noWrap w:val="0"/>
                  <w:vAlign w:val="center"/>
                </w:tcPr>
                <w:p w14:paraId="7C99620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保留现有的医药化工、精细化工企业等达到相应行业准入要求和清洁生产二级及以上水平。园区现有化工企业能效水平在规划末期达到“发改产业</w:t>
                  </w:r>
                  <w:r>
                    <w:rPr>
                      <w:rFonts w:hint="eastAsia"/>
                      <w:color w:val="000000" w:themeColor="text1"/>
                      <w:sz w:val="21"/>
                      <w:szCs w:val="21"/>
                      <w:highlight w:val="none"/>
                      <w:lang w:eastAsia="zh-CN"/>
                      <w14:textFill>
                        <w14:solidFill>
                          <w14:schemeClr w14:val="tx1"/>
                        </w14:solidFill>
                      </w14:textFill>
                    </w:rPr>
                    <w:t>〔</w:t>
                  </w:r>
                  <w:r>
                    <w:rPr>
                      <w:color w:val="000000" w:themeColor="text1"/>
                      <w:sz w:val="21"/>
                      <w:szCs w:val="21"/>
                      <w:highlight w:val="none"/>
                      <w14:textFill>
                        <w14:solidFill>
                          <w14:schemeClr w14:val="tx1"/>
                        </w14:solidFill>
                      </w14:textFill>
                    </w:rPr>
                    <w:t>2021</w:t>
                  </w:r>
                  <w:r>
                    <w:rPr>
                      <w:rFonts w:hint="eastAsia"/>
                      <w:color w:val="000000" w:themeColor="text1"/>
                      <w:sz w:val="21"/>
                      <w:szCs w:val="21"/>
                      <w:highlight w:val="none"/>
                      <w:lang w:eastAsia="zh-CN"/>
                      <w14:textFill>
                        <w14:solidFill>
                          <w14:schemeClr w14:val="tx1"/>
                        </w14:solidFill>
                      </w14:textFill>
                    </w:rPr>
                    <w:t>〕</w:t>
                  </w:r>
                  <w:r>
                    <w:rPr>
                      <w:color w:val="000000" w:themeColor="text1"/>
                      <w:sz w:val="21"/>
                      <w:szCs w:val="21"/>
                      <w:highlight w:val="none"/>
                      <w14:textFill>
                        <w14:solidFill>
                          <w14:schemeClr w14:val="tx1"/>
                        </w14:solidFill>
                      </w14:textFill>
                    </w:rPr>
                    <w:t>1609号”中标杆水平。</w:t>
                  </w:r>
                </w:p>
              </w:tc>
              <w:tc>
                <w:tcPr>
                  <w:tcW w:w="2224" w:type="dxa"/>
                  <w:noWrap w:val="0"/>
                  <w:vAlign w:val="center"/>
                </w:tcPr>
                <w:p w14:paraId="7F85093B">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不涉及</w:t>
                  </w:r>
                </w:p>
              </w:tc>
            </w:tr>
            <w:tr w14:paraId="35F5DF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restart"/>
                  <w:noWrap w:val="0"/>
                  <w:vAlign w:val="center"/>
                </w:tcPr>
                <w:p w14:paraId="02D925C8">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环境风险防控</w:t>
                  </w:r>
                </w:p>
              </w:tc>
              <w:tc>
                <w:tcPr>
                  <w:tcW w:w="1350" w:type="dxa"/>
                  <w:noWrap w:val="0"/>
                  <w:vAlign w:val="center"/>
                </w:tcPr>
                <w:p w14:paraId="7E14B9E1">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用地环境风险防控要求</w:t>
                  </w:r>
                </w:p>
              </w:tc>
              <w:tc>
                <w:tcPr>
                  <w:tcW w:w="2880" w:type="dxa"/>
                  <w:noWrap w:val="0"/>
                  <w:vAlign w:val="center"/>
                </w:tcPr>
                <w:p w14:paraId="35DDF9A6">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区内部分紧邻规划居住用地等环境敏感目标的工业用地，严格限制涉及使用剧毒化学品的企业进入。</w:t>
                  </w:r>
                </w:p>
              </w:tc>
              <w:tc>
                <w:tcPr>
                  <w:tcW w:w="2224" w:type="dxa"/>
                  <w:noWrap w:val="0"/>
                  <w:vAlign w:val="center"/>
                </w:tcPr>
                <w:p w14:paraId="442D6030">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本项目不属于紧邻</w:t>
                  </w:r>
                  <w:r>
                    <w:rPr>
                      <w:color w:val="000000" w:themeColor="text1"/>
                      <w:sz w:val="21"/>
                      <w:szCs w:val="21"/>
                      <w:highlight w:val="none"/>
                      <w14:textFill>
                        <w14:solidFill>
                          <w14:schemeClr w14:val="tx1"/>
                        </w14:solidFill>
                      </w14:textFill>
                    </w:rPr>
                    <w:t>规划居住用地等环境敏感目标的工业用地</w:t>
                  </w:r>
                  <w:r>
                    <w:rPr>
                      <w:rFonts w:hint="eastAsia"/>
                      <w:color w:val="000000" w:themeColor="text1"/>
                      <w:sz w:val="21"/>
                      <w:szCs w:val="21"/>
                      <w:highlight w:val="none"/>
                      <w14:textFill>
                        <w14:solidFill>
                          <w14:schemeClr w14:val="tx1"/>
                        </w14:solidFill>
                      </w14:textFill>
                    </w:rPr>
                    <w:t>，且不使用剧毒化学品</w:t>
                  </w:r>
                </w:p>
              </w:tc>
            </w:tr>
            <w:tr w14:paraId="611B30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4EB7BB26">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2FCCC189">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园区环境风险防控要求</w:t>
                  </w:r>
                </w:p>
              </w:tc>
              <w:tc>
                <w:tcPr>
                  <w:tcW w:w="2880" w:type="dxa"/>
                  <w:noWrap w:val="0"/>
                  <w:vAlign w:val="center"/>
                </w:tcPr>
                <w:p w14:paraId="5A9F0D80">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紧邻居住、行政等环境敏感点的工业用地，禁止新建环境风险等级高的建设项目。园区应建立三级环境风险防控体系。</w:t>
                  </w:r>
                </w:p>
              </w:tc>
              <w:tc>
                <w:tcPr>
                  <w:tcW w:w="2224" w:type="dxa"/>
                  <w:noWrap w:val="0"/>
                  <w:vAlign w:val="center"/>
                </w:tcPr>
                <w:p w14:paraId="5E0C243B">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本项目不属于紧邻</w:t>
                  </w:r>
                  <w:r>
                    <w:rPr>
                      <w:color w:val="000000" w:themeColor="text1"/>
                      <w:sz w:val="21"/>
                      <w:szCs w:val="21"/>
                      <w:highlight w:val="none"/>
                      <w14:textFill>
                        <w14:solidFill>
                          <w14:schemeClr w14:val="tx1"/>
                        </w14:solidFill>
                      </w14:textFill>
                    </w:rPr>
                    <w:t>规划居住用地等环境敏感目标的工业用地</w:t>
                  </w:r>
                  <w:r>
                    <w:rPr>
                      <w:rFonts w:hint="eastAsia"/>
                      <w:color w:val="000000" w:themeColor="text1"/>
                      <w:sz w:val="21"/>
                      <w:szCs w:val="21"/>
                      <w:highlight w:val="none"/>
                      <w14:textFill>
                        <w14:solidFill>
                          <w14:schemeClr w14:val="tx1"/>
                        </w14:solidFill>
                      </w14:textFill>
                    </w:rPr>
                    <w:t>。园区</w:t>
                  </w:r>
                  <w:r>
                    <w:rPr>
                      <w:rFonts w:hint="eastAsia"/>
                      <w:color w:val="000000" w:themeColor="text1"/>
                      <w:sz w:val="21"/>
                      <w:szCs w:val="21"/>
                      <w:highlight w:val="none"/>
                      <w:lang w:eastAsia="zh-CN"/>
                      <w14:textFill>
                        <w14:solidFill>
                          <w14:schemeClr w14:val="tx1"/>
                        </w14:solidFill>
                      </w14:textFill>
                    </w:rPr>
                    <w:t>后期将</w:t>
                  </w:r>
                  <w:r>
                    <w:rPr>
                      <w:rFonts w:hint="eastAsia"/>
                      <w:color w:val="000000" w:themeColor="text1"/>
                      <w:sz w:val="21"/>
                      <w:szCs w:val="21"/>
                      <w:highlight w:val="none"/>
                      <w14:textFill>
                        <w14:solidFill>
                          <w14:schemeClr w14:val="tx1"/>
                        </w14:solidFill>
                      </w14:textFill>
                    </w:rPr>
                    <w:t>建立三级环境风险防控体系</w:t>
                  </w:r>
                </w:p>
              </w:tc>
            </w:tr>
            <w:tr w14:paraId="214AFE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045B3A40">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62E2147C">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企业环境风险防控要求</w:t>
                  </w:r>
                </w:p>
              </w:tc>
              <w:tc>
                <w:tcPr>
                  <w:tcW w:w="2880" w:type="dxa"/>
                  <w:noWrap w:val="0"/>
                  <w:vAlign w:val="center"/>
                </w:tcPr>
                <w:p w14:paraId="20B2D79B">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增或改扩建存在环境风险的项目，在建设项目环评阶段须重点开展环境风险评价，与项目周边环境敏感目标之前控制合理的风险控制距离，提出并落实风险防范措施及应急联动要求，编制应急预案，并与园区应急预案联动。</w:t>
                  </w:r>
                </w:p>
              </w:tc>
              <w:tc>
                <w:tcPr>
                  <w:tcW w:w="2224" w:type="dxa"/>
                  <w:noWrap w:val="0"/>
                  <w:vAlign w:val="center"/>
                </w:tcPr>
                <w:p w14:paraId="71F289B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本项目已</w:t>
                  </w:r>
                  <w:r>
                    <w:rPr>
                      <w:color w:val="000000" w:themeColor="text1"/>
                      <w:sz w:val="21"/>
                      <w:szCs w:val="21"/>
                      <w:highlight w:val="none"/>
                      <w14:textFill>
                        <w14:solidFill>
                          <w14:schemeClr w14:val="tx1"/>
                        </w14:solidFill>
                      </w14:textFill>
                    </w:rPr>
                    <w:t>开展环境风险评价，与项目周边环境敏感目标之前控制合理的风险控制距离，提出并落实风险防范措施及应急联动要求</w:t>
                  </w:r>
                  <w:r>
                    <w:rPr>
                      <w:rFonts w:hint="eastAsia"/>
                      <w:color w:val="000000" w:themeColor="text1"/>
                      <w:sz w:val="21"/>
                      <w:szCs w:val="21"/>
                      <w:highlight w:val="none"/>
                      <w14:textFill>
                        <w14:solidFill>
                          <w14:schemeClr w14:val="tx1"/>
                        </w14:solidFill>
                      </w14:textFill>
                    </w:rPr>
                    <w:t>，本次环评要求企业后期按照要求编制应急预案，并与园区应急预案联动。</w:t>
                  </w:r>
                </w:p>
              </w:tc>
            </w:tr>
            <w:tr w14:paraId="577DFA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restart"/>
                  <w:noWrap w:val="0"/>
                  <w:vAlign w:val="center"/>
                </w:tcPr>
                <w:p w14:paraId="34E8C49B">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资源开发利用要求</w:t>
                  </w:r>
                </w:p>
              </w:tc>
              <w:tc>
                <w:tcPr>
                  <w:tcW w:w="1350" w:type="dxa"/>
                  <w:noWrap w:val="0"/>
                  <w:vAlign w:val="center"/>
                </w:tcPr>
                <w:p w14:paraId="0C24678F">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水资源利用效率要求</w:t>
                  </w:r>
                </w:p>
              </w:tc>
              <w:tc>
                <w:tcPr>
                  <w:tcW w:w="2880" w:type="dxa"/>
                  <w:noWrap w:val="0"/>
                  <w:vAlign w:val="center"/>
                </w:tcPr>
                <w:p w14:paraId="2B1DFB65">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单位工业增加值新鲜水耗≤8(m</w:t>
                  </w:r>
                  <w:r>
                    <w:rPr>
                      <w:color w:val="000000" w:themeColor="text1"/>
                      <w:sz w:val="21"/>
                      <w:szCs w:val="21"/>
                      <w:highlight w:val="none"/>
                      <w:vertAlign w:val="superscript"/>
                      <w14:textFill>
                        <w14:solidFill>
                          <w14:schemeClr w14:val="tx1"/>
                        </w14:solidFill>
                      </w14:textFill>
                    </w:rPr>
                    <w:t>3</w:t>
                  </w:r>
                  <w:r>
                    <w:rPr>
                      <w:color w:val="000000" w:themeColor="text1"/>
                      <w:sz w:val="21"/>
                      <w:szCs w:val="21"/>
                      <w:highlight w:val="none"/>
                      <w14:textFill>
                        <w14:solidFill>
                          <w14:schemeClr w14:val="tx1"/>
                        </w14:solidFill>
                      </w14:textFill>
                    </w:rPr>
                    <w:t>/万元)</w:t>
                  </w:r>
                </w:p>
              </w:tc>
              <w:tc>
                <w:tcPr>
                  <w:tcW w:w="2224" w:type="dxa"/>
                  <w:noWrap w:val="0"/>
                  <w:vAlign w:val="center"/>
                </w:tcPr>
                <w:p w14:paraId="57404C29">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r>
                    <w:rPr>
                      <w:color w:val="000000" w:themeColor="text1"/>
                      <w:sz w:val="21"/>
                      <w:szCs w:val="21"/>
                      <w:highlight w:val="none"/>
                      <w14:textFill>
                        <w14:solidFill>
                          <w14:schemeClr w14:val="tx1"/>
                        </w14:solidFill>
                      </w14:textFill>
                    </w:rPr>
                    <w:t>单位工业增加值新鲜水耗≤8(m</w:t>
                  </w:r>
                  <w:r>
                    <w:rPr>
                      <w:color w:val="000000" w:themeColor="text1"/>
                      <w:sz w:val="21"/>
                      <w:szCs w:val="21"/>
                      <w:highlight w:val="none"/>
                      <w:vertAlign w:val="superscript"/>
                      <w14:textFill>
                        <w14:solidFill>
                          <w14:schemeClr w14:val="tx1"/>
                        </w14:solidFill>
                      </w14:textFill>
                    </w:rPr>
                    <w:t>3</w:t>
                  </w:r>
                  <w:r>
                    <w:rPr>
                      <w:color w:val="000000" w:themeColor="text1"/>
                      <w:sz w:val="21"/>
                      <w:szCs w:val="21"/>
                      <w:highlight w:val="none"/>
                      <w14:textFill>
                        <w14:solidFill>
                          <w14:schemeClr w14:val="tx1"/>
                        </w14:solidFill>
                      </w14:textFill>
                    </w:rPr>
                    <w:t>/万元)</w:t>
                  </w:r>
                </w:p>
              </w:tc>
            </w:tr>
            <w:tr w14:paraId="780579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2CB21088">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6B3948ED">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土地资源利用要求</w:t>
                  </w:r>
                </w:p>
              </w:tc>
              <w:tc>
                <w:tcPr>
                  <w:tcW w:w="2880" w:type="dxa"/>
                  <w:noWrap w:val="0"/>
                  <w:vAlign w:val="center"/>
                </w:tcPr>
                <w:p w14:paraId="12BD9E13">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满足《江西省建设用地控制指标》（2018年）中的相关要求</w:t>
                  </w:r>
                </w:p>
              </w:tc>
              <w:tc>
                <w:tcPr>
                  <w:tcW w:w="2224" w:type="dxa"/>
                  <w:noWrap w:val="0"/>
                  <w:vAlign w:val="center"/>
                </w:tcPr>
                <w:p w14:paraId="4EA43D8F">
                  <w:pPr>
                    <w:shd w:val="clear" w:color="auto" w:fill="auto"/>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本项目满足</w:t>
                  </w:r>
                  <w:r>
                    <w:rPr>
                      <w:color w:val="000000" w:themeColor="text1"/>
                      <w:sz w:val="21"/>
                      <w:szCs w:val="21"/>
                      <w:highlight w:val="none"/>
                      <w14:textFill>
                        <w14:solidFill>
                          <w14:schemeClr w14:val="tx1"/>
                        </w14:solidFill>
                      </w14:textFill>
                    </w:rPr>
                    <w:t>《江西省建设用地控制指标》（2018年）中的相关要求</w:t>
                  </w:r>
                  <w:r>
                    <w:rPr>
                      <w:rFonts w:hint="eastAsia"/>
                      <w:color w:val="000000" w:themeColor="text1"/>
                      <w:sz w:val="21"/>
                      <w:szCs w:val="21"/>
                      <w:highlight w:val="none"/>
                      <w:lang w:eastAsia="zh-CN"/>
                      <w14:textFill>
                        <w14:solidFill>
                          <w14:schemeClr w14:val="tx1"/>
                        </w14:solidFill>
                      </w14:textFill>
                    </w:rPr>
                    <w:t>。</w:t>
                  </w:r>
                </w:p>
              </w:tc>
            </w:tr>
            <w:tr w14:paraId="2F414E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65542E27">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1565F7E6">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能源利用效率要求</w:t>
                  </w:r>
                </w:p>
              </w:tc>
              <w:tc>
                <w:tcPr>
                  <w:tcW w:w="2880" w:type="dxa"/>
                  <w:noWrap w:val="0"/>
                  <w:vAlign w:val="center"/>
                </w:tcPr>
                <w:p w14:paraId="69F3259D">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单位工业增加值能耗≤0.50(t标煤/万元)</w:t>
                  </w:r>
                </w:p>
              </w:tc>
              <w:tc>
                <w:tcPr>
                  <w:tcW w:w="2224" w:type="dxa"/>
                  <w:noWrap w:val="0"/>
                  <w:vAlign w:val="center"/>
                </w:tcPr>
                <w:p w14:paraId="3A199CB0">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r>
                    <w:rPr>
                      <w:color w:val="000000" w:themeColor="text1"/>
                      <w:sz w:val="21"/>
                      <w:szCs w:val="21"/>
                      <w:highlight w:val="none"/>
                      <w14:textFill>
                        <w14:solidFill>
                          <w14:schemeClr w14:val="tx1"/>
                        </w14:solidFill>
                      </w14:textFill>
                    </w:rPr>
                    <w:t>单位工业增加值能耗≤0.50(t标煤/万元)</w:t>
                  </w:r>
                </w:p>
              </w:tc>
            </w:tr>
            <w:tr w14:paraId="3298E0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47" w:type="dxa"/>
                  <w:vMerge w:val="continue"/>
                  <w:noWrap w:val="0"/>
                  <w:vAlign w:val="center"/>
                </w:tcPr>
                <w:p w14:paraId="052A571F">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p>
              </w:tc>
              <w:tc>
                <w:tcPr>
                  <w:tcW w:w="1350" w:type="dxa"/>
                  <w:noWrap w:val="0"/>
                  <w:vAlign w:val="center"/>
                </w:tcPr>
                <w:p w14:paraId="730C1DDA">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禁止使用燃料</w:t>
                  </w:r>
                </w:p>
              </w:tc>
              <w:tc>
                <w:tcPr>
                  <w:tcW w:w="2880" w:type="dxa"/>
                  <w:noWrap w:val="0"/>
                  <w:vAlign w:val="center"/>
                </w:tcPr>
                <w:p w14:paraId="0433301A">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禁止使用燃煤等高污染燃料</w:t>
                  </w:r>
                </w:p>
              </w:tc>
              <w:tc>
                <w:tcPr>
                  <w:tcW w:w="2224" w:type="dxa"/>
                  <w:noWrap w:val="0"/>
                  <w:vAlign w:val="center"/>
                </w:tcPr>
                <w:p w14:paraId="5E1817BF">
                  <w:pPr>
                    <w:shd w:val="clear" w:color="auto" w:fill="auto"/>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r>
                    <w:rPr>
                      <w:rFonts w:hint="eastAsia"/>
                      <w:color w:val="000000" w:themeColor="text1"/>
                      <w:sz w:val="21"/>
                      <w:szCs w:val="21"/>
                      <w:highlight w:val="none"/>
                      <w:lang w:val="en-US" w:eastAsia="zh-CN"/>
                      <w14:textFill>
                        <w14:solidFill>
                          <w14:schemeClr w14:val="tx1"/>
                        </w14:solidFill>
                      </w14:textFill>
                    </w:rPr>
                    <w:t>不使用燃料。</w:t>
                  </w:r>
                </w:p>
              </w:tc>
            </w:tr>
          </w:tbl>
          <w:p w14:paraId="2BAB2127">
            <w:pPr>
              <w:pStyle w:val="149"/>
              <w:shd w:val="clear" w:color="auto" w:fill="auto"/>
              <w:spacing w:line="240" w:lineRule="auto"/>
              <w:ind w:firstLine="0" w:firstLineChars="0"/>
              <w:jc w:val="center"/>
              <w:rPr>
                <w:rFonts w:hint="eastAsia"/>
                <w:b/>
                <w:bCs/>
                <w:color w:val="000000" w:themeColor="text1"/>
                <w:sz w:val="24"/>
                <w:szCs w:val="24"/>
                <w:highlight w:val="none"/>
                <w14:textFill>
                  <w14:solidFill>
                    <w14:schemeClr w14:val="tx1"/>
                  </w14:solidFill>
                </w14:textFill>
              </w:rPr>
            </w:pPr>
            <w:r>
              <w:rPr>
                <w:rFonts w:hint="eastAsia"/>
                <w:b/>
                <w:bCs/>
                <w:color w:val="000000" w:themeColor="text1"/>
                <w:sz w:val="24"/>
                <w:szCs w:val="24"/>
                <w:highlight w:val="none"/>
                <w14:textFill>
                  <w14:solidFill>
                    <w14:schemeClr w14:val="tx1"/>
                  </w14:solidFill>
                </w14:textFill>
              </w:rPr>
              <w:t>表1-3 园区生态准入清单</w:t>
            </w:r>
          </w:p>
          <w:tbl>
            <w:tblPr>
              <w:tblStyle w:val="32"/>
              <w:tblW w:w="4997" w:type="pct"/>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62"/>
              <w:gridCol w:w="659"/>
              <w:gridCol w:w="1861"/>
              <w:gridCol w:w="1169"/>
              <w:gridCol w:w="1374"/>
              <w:gridCol w:w="1587"/>
            </w:tblGrid>
            <w:tr w14:paraId="365594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25" w:type="pct"/>
                  <w:noWrap w:val="0"/>
                  <w:vAlign w:val="center"/>
                </w:tcPr>
                <w:p w14:paraId="21DBF728">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片区</w:t>
                  </w:r>
                </w:p>
              </w:tc>
              <w:tc>
                <w:tcPr>
                  <w:tcW w:w="463" w:type="pct"/>
                  <w:noWrap w:val="0"/>
                  <w:vAlign w:val="center"/>
                </w:tcPr>
                <w:p w14:paraId="15B08201">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规划产业</w:t>
                  </w:r>
                </w:p>
              </w:tc>
              <w:tc>
                <w:tcPr>
                  <w:tcW w:w="1307" w:type="pct"/>
                  <w:noWrap w:val="0"/>
                  <w:vAlign w:val="center"/>
                </w:tcPr>
                <w:p w14:paraId="0558743A">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限制发展项目</w:t>
                  </w:r>
                </w:p>
              </w:tc>
              <w:tc>
                <w:tcPr>
                  <w:tcW w:w="821" w:type="pct"/>
                  <w:noWrap w:val="0"/>
                  <w:vAlign w:val="center"/>
                </w:tcPr>
                <w:p w14:paraId="58063BFE">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禁止准入项目</w:t>
                  </w:r>
                </w:p>
              </w:tc>
              <w:tc>
                <w:tcPr>
                  <w:tcW w:w="965" w:type="pct"/>
                  <w:noWrap w:val="0"/>
                  <w:vAlign w:val="center"/>
                </w:tcPr>
                <w:p w14:paraId="70AA09F8">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允许准入项目的环境管理要求</w:t>
                  </w:r>
                </w:p>
              </w:tc>
              <w:tc>
                <w:tcPr>
                  <w:tcW w:w="1115" w:type="pct"/>
                  <w:noWrap w:val="0"/>
                  <w:vAlign w:val="center"/>
                </w:tcPr>
                <w:p w14:paraId="6629A37E">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本项目</w:t>
                  </w:r>
                </w:p>
              </w:tc>
            </w:tr>
            <w:tr w14:paraId="398DFE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25" w:type="pct"/>
                  <w:noWrap w:val="0"/>
                  <w:vAlign w:val="center"/>
                </w:tcPr>
                <w:p w14:paraId="61B8B618">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金山工业园</w:t>
                  </w:r>
                </w:p>
              </w:tc>
              <w:tc>
                <w:tcPr>
                  <w:tcW w:w="463" w:type="pct"/>
                  <w:noWrap w:val="0"/>
                  <w:vAlign w:val="center"/>
                </w:tcPr>
                <w:p w14:paraId="3F80C8AC">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新型建材、机械电子、有色金属制品</w:t>
                  </w:r>
                </w:p>
              </w:tc>
              <w:tc>
                <w:tcPr>
                  <w:tcW w:w="1307" w:type="pct"/>
                  <w:noWrap w:val="0"/>
                  <w:vAlign w:val="center"/>
                </w:tcPr>
                <w:p w14:paraId="19A4DA65">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1、因区域现状颗粒物（PM</w:t>
                  </w:r>
                  <w:r>
                    <w:rPr>
                      <w:color w:val="000000" w:themeColor="text1"/>
                      <w:sz w:val="21"/>
                      <w:szCs w:val="21"/>
                      <w:highlight w:val="none"/>
                      <w:vertAlign w:val="subscript"/>
                      <w14:textFill>
                        <w14:solidFill>
                          <w14:schemeClr w14:val="tx1"/>
                        </w14:solidFill>
                      </w14:textFill>
                    </w:rPr>
                    <w:t>10</w:t>
                  </w:r>
                  <w:r>
                    <w:rPr>
                      <w:color w:val="000000" w:themeColor="text1"/>
                      <w:sz w:val="21"/>
                      <w:szCs w:val="21"/>
                      <w:highlight w:val="none"/>
                      <w14:textFill>
                        <w14:solidFill>
                          <w14:schemeClr w14:val="tx1"/>
                        </w14:solidFill>
                      </w14:textFill>
                    </w:rPr>
                    <w:t>、PM</w:t>
                  </w:r>
                  <w:r>
                    <w:rPr>
                      <w:color w:val="000000" w:themeColor="text1"/>
                      <w:sz w:val="21"/>
                      <w:szCs w:val="21"/>
                      <w:highlight w:val="none"/>
                      <w:vertAlign w:val="subscript"/>
                      <w14:textFill>
                        <w14:solidFill>
                          <w14:schemeClr w14:val="tx1"/>
                        </w14:solidFill>
                      </w14:textFill>
                    </w:rPr>
                    <w:t>2.5</w:t>
                  </w:r>
                  <w:r>
                    <w:rPr>
                      <w:color w:val="000000" w:themeColor="text1"/>
                      <w:sz w:val="21"/>
                      <w:szCs w:val="21"/>
                      <w:highlight w:val="none"/>
                      <w14:textFill>
                        <w14:solidFill>
                          <w14:schemeClr w14:val="tx1"/>
                        </w14:solidFill>
                      </w14:textFill>
                    </w:rPr>
                    <w:t>）短期浓度占标率较高，园区应严控区域颗粒物排放，当企业排放的颗粒物（有组织和无组织）小时最大落地浓度占标率达到10%时，应当提出进一步削减颗粒物排放量（排放速率、排放总量）的措施。</w:t>
                  </w:r>
                </w:p>
                <w:p w14:paraId="783E36E9">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2、鉴于金山工业园位于乐平市主城区常年主导风向上风向且距离较近，园区应严格管控大气环境风险，限制大气环境风险潜势大于等于III级的项目入驻。</w:t>
                  </w:r>
                </w:p>
              </w:tc>
              <w:tc>
                <w:tcPr>
                  <w:tcW w:w="821" w:type="pct"/>
                  <w:noWrap w:val="0"/>
                  <w:vAlign w:val="center"/>
                </w:tcPr>
                <w:p w14:paraId="6AD72333">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1、不得引入化工等高能耗、高排放项目；</w:t>
                  </w:r>
                </w:p>
                <w:p w14:paraId="20389D8D">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2、不得引入燃用煤炭、原油、重油、渣油的项目。</w:t>
                  </w:r>
                </w:p>
                <w:p w14:paraId="17277E46">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3、不得引入废气、废水中排放五类重金属、二噁英类污染因子的项目</w:t>
                  </w:r>
                </w:p>
              </w:tc>
              <w:tc>
                <w:tcPr>
                  <w:tcW w:w="965" w:type="pct"/>
                  <w:noWrap w:val="0"/>
                  <w:vAlign w:val="center"/>
                </w:tcPr>
                <w:p w14:paraId="2839B780">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1、工业项目应符合产业政策，清洁生产水平达到国内先进水平；</w:t>
                  </w:r>
                </w:p>
                <w:p w14:paraId="3762686E">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2、新增主要污染物排放量的工业项目必须取得排污指标，且需按证排污；</w:t>
                  </w:r>
                </w:p>
                <w:p w14:paraId="3EB72D38">
                  <w:pPr>
                    <w:shd w:val="clear" w:color="auto" w:fill="auto"/>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3、工业项目排放污染物必须达到国家和地方规定的污染物排放标准</w:t>
                  </w:r>
                </w:p>
              </w:tc>
              <w:tc>
                <w:tcPr>
                  <w:tcW w:w="1115" w:type="pct"/>
                  <w:noWrap w:val="0"/>
                  <w:vAlign w:val="center"/>
                </w:tcPr>
                <w:p w14:paraId="656FF12B">
                  <w:pPr>
                    <w:shd w:val="clear" w:color="auto" w:fill="auto"/>
                    <w:spacing w:line="240" w:lineRule="auto"/>
                    <w:ind w:firstLine="0" w:firstLineChars="0"/>
                    <w:jc w:val="left"/>
                    <w:rPr>
                      <w:rFonts w:hint="eastAsia"/>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一、限制</w:t>
                  </w:r>
                </w:p>
                <w:p w14:paraId="793210D9">
                  <w:pPr>
                    <w:shd w:val="clear" w:color="auto" w:fill="auto"/>
                    <w:spacing w:line="240" w:lineRule="auto"/>
                    <w:ind w:firstLine="0" w:firstLineChars="0"/>
                    <w:jc w:val="left"/>
                    <w:rPr>
                      <w:rFonts w:hint="eastAsia"/>
                      <w:color w:val="000000" w:themeColor="text1"/>
                      <w:sz w:val="21"/>
                      <w:szCs w:val="21"/>
                      <w:highlight w:val="none"/>
                      <w:lang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1、颗粒物最大浓度占标率均小于10%</w:t>
                  </w:r>
                  <w:r>
                    <w:rPr>
                      <w:rFonts w:hint="eastAsia"/>
                      <w:color w:val="000000" w:themeColor="text1"/>
                      <w:sz w:val="21"/>
                      <w:szCs w:val="21"/>
                      <w:highlight w:val="none"/>
                      <w:lang w:eastAsia="zh-CN"/>
                      <w14:textFill>
                        <w14:solidFill>
                          <w14:schemeClr w14:val="tx1"/>
                        </w14:solidFill>
                      </w14:textFill>
                    </w:rPr>
                    <w:t>。</w:t>
                  </w:r>
                </w:p>
                <w:p w14:paraId="457B84B3">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2、环境风险潜势</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为Ⅰ</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w:t>
                  </w:r>
                </w:p>
                <w:p w14:paraId="105CE6BB">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二、禁止</w:t>
                  </w:r>
                </w:p>
                <w:p w14:paraId="074C98C3">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1、不属于两高项目；</w:t>
                  </w:r>
                </w:p>
                <w:p w14:paraId="2D265887">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2、不使用煤炭、原油、重油、渣油；</w:t>
                  </w:r>
                </w:p>
                <w:p w14:paraId="7DBF0DC4">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3、废气、废水不涉及五类重金属、二噁英排放。</w:t>
                  </w:r>
                </w:p>
                <w:p w14:paraId="5F4A5462">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三、允许</w:t>
                  </w:r>
                </w:p>
                <w:p w14:paraId="7778EFD4">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1、符合产生政策要求，满足清洁生产水平；</w:t>
                  </w:r>
                </w:p>
                <w:p w14:paraId="66AC052E">
                  <w:pPr>
                    <w:shd w:val="clear" w:color="auto" w:fill="auto"/>
                    <w:spacing w:line="240" w:lineRule="auto"/>
                    <w:ind w:firstLine="0" w:firstLineChars="0"/>
                    <w:jc w:val="left"/>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2、已取得总量控制指标文件，后续必须持证排污；</w:t>
                  </w:r>
                </w:p>
                <w:p w14:paraId="7FA84A27">
                  <w:pPr>
                    <w:shd w:val="clear" w:color="auto" w:fill="auto"/>
                    <w:spacing w:line="240" w:lineRule="auto"/>
                    <w:ind w:firstLine="0" w:firstLineChars="0"/>
                    <w:jc w:val="left"/>
                    <w:rPr>
                      <w:rFonts w:hint="default" w:eastAsia="宋体"/>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3、污染物经处理后均可达标排放</w:t>
                  </w:r>
                  <w:r>
                    <w:rPr>
                      <w:rFonts w:hint="eastAsia" w:cs="Times New Roman"/>
                      <w:color w:val="000000" w:themeColor="text1"/>
                      <w:sz w:val="21"/>
                      <w:szCs w:val="21"/>
                      <w:highlight w:val="none"/>
                      <w:lang w:val="en-US" w:eastAsia="zh-CN"/>
                      <w14:textFill>
                        <w14:solidFill>
                          <w14:schemeClr w14:val="tx1"/>
                        </w14:solidFill>
                      </w14:textFill>
                    </w:rPr>
                    <w:t>。</w:t>
                  </w:r>
                </w:p>
              </w:tc>
            </w:tr>
          </w:tbl>
          <w:p w14:paraId="0E0EBA3A">
            <w:pPr>
              <w:pStyle w:val="149"/>
              <w:shd w:val="clear" w:color="auto" w:fill="auto"/>
              <w:spacing w:line="360" w:lineRule="auto"/>
              <w:ind w:firstLine="480"/>
              <w:rPr>
                <w:rFonts w:hint="default"/>
                <w:color w:val="000000" w:themeColor="text1"/>
                <w:sz w:val="24"/>
                <w:szCs w:val="24"/>
                <w:highlight w:val="none"/>
                <w:lang w:val="en-US"/>
                <w14:textFill>
                  <w14:solidFill>
                    <w14:schemeClr w14:val="tx1"/>
                  </w14:solidFill>
                </w14:textFill>
              </w:rPr>
            </w:pPr>
            <w:r>
              <w:rPr>
                <w:rFonts w:hint="eastAsia"/>
                <w:color w:val="000000" w:themeColor="text1"/>
                <w:sz w:val="24"/>
                <w:szCs w:val="24"/>
                <w:highlight w:val="none"/>
                <w:lang w:val="en-US" w:eastAsia="zh-CN"/>
                <w14:textFill>
                  <w14:solidFill>
                    <w14:schemeClr w14:val="tx1"/>
                  </w14:solidFill>
                </w14:textFill>
              </w:rPr>
              <w:t>综上，本项目符合规划环评及准入清单要求。</w:t>
            </w:r>
          </w:p>
          <w:p w14:paraId="3BC5A151">
            <w:pPr>
              <w:shd w:val="clear" w:color="auto" w:fill="auto"/>
              <w:ind w:firstLine="480"/>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3、与规划环评审查意见的相符性</w:t>
            </w:r>
          </w:p>
          <w:p w14:paraId="2BA3A218">
            <w:pPr>
              <w:pStyle w:val="148"/>
              <w:shd w:val="clear" w:color="auto" w:fill="auto"/>
              <w:ind w:firstLine="48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根据《江西省环境保护厅关于江西</w:t>
            </w:r>
            <w:r>
              <w:rPr>
                <w:rFonts w:hint="eastAsia"/>
                <w:color w:val="000000" w:themeColor="text1"/>
                <w:highlight w:val="none"/>
                <w14:textFill>
                  <w14:solidFill>
                    <w14:schemeClr w14:val="tx1"/>
                  </w14:solidFill>
                </w14:textFill>
              </w:rPr>
              <w:t>乐平</w:t>
            </w:r>
            <w:r>
              <w:rPr>
                <w:color w:val="000000" w:themeColor="text1"/>
                <w:highlight w:val="none"/>
                <w14:textFill>
                  <w14:solidFill>
                    <w14:schemeClr w14:val="tx1"/>
                  </w14:solidFill>
                </w14:textFill>
              </w:rPr>
              <w:t>工业园区扩区</w:t>
            </w:r>
            <w:r>
              <w:rPr>
                <w:rFonts w:hint="eastAsia"/>
                <w:color w:val="000000" w:themeColor="text1"/>
                <w:highlight w:val="none"/>
                <w14:textFill>
                  <w14:solidFill>
                    <w14:schemeClr w14:val="tx1"/>
                  </w14:solidFill>
                </w14:textFill>
              </w:rPr>
              <w:t>调</w:t>
            </w:r>
            <w:r>
              <w:rPr>
                <w:color w:val="000000" w:themeColor="text1"/>
                <w:highlight w:val="none"/>
                <w14:textFill>
                  <w14:solidFill>
                    <w14:schemeClr w14:val="tx1"/>
                  </w14:solidFill>
                </w14:textFill>
              </w:rPr>
              <w:t>区规划环境影响报告书审查意见的函》（赣环评函</w:t>
            </w:r>
            <w:r>
              <w:rPr>
                <w:rFonts w:hint="eastAsia"/>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20</w:t>
            </w:r>
            <w:r>
              <w:rPr>
                <w:rFonts w:hint="eastAsia"/>
                <w:color w:val="000000" w:themeColor="text1"/>
                <w:highlight w:val="none"/>
                <w14:textFill>
                  <w14:solidFill>
                    <w14:schemeClr w14:val="tx1"/>
                  </w14:solidFill>
                </w14:textFill>
              </w:rPr>
              <w:t>23</w:t>
            </w:r>
            <w:r>
              <w:rPr>
                <w:rFonts w:hint="eastAsia"/>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67</w:t>
            </w:r>
            <w:r>
              <w:rPr>
                <w:color w:val="000000" w:themeColor="text1"/>
                <w:highlight w:val="none"/>
                <w14:textFill>
                  <w14:solidFill>
                    <w14:schemeClr w14:val="tx1"/>
                  </w14:solidFill>
                </w14:textFill>
              </w:rPr>
              <w:t>号），</w:t>
            </w:r>
            <w:r>
              <w:rPr>
                <w:rFonts w:hint="eastAsia"/>
                <w:color w:val="000000" w:themeColor="text1"/>
                <w:highlight w:val="none"/>
                <w14:textFill>
                  <w14:solidFill>
                    <w14:schemeClr w14:val="tx1"/>
                  </w14:solidFill>
                </w14:textFill>
              </w:rPr>
              <w:t>规划优化调整和实施建议如下：</w:t>
            </w:r>
          </w:p>
          <w:p w14:paraId="7ADE5159">
            <w:pPr>
              <w:shd w:val="clear" w:color="auto" w:fill="auto"/>
              <w:ind w:firstLine="480"/>
              <w:rPr>
                <w:rFonts w:eastAsia="Times New Roman"/>
                <w:color w:val="000000" w:themeColor="text1"/>
                <w:highlight w:val="none"/>
                <w:lang w:val="zh-CN"/>
                <w14:textFill>
                  <w14:solidFill>
                    <w14:schemeClr w14:val="tx1"/>
                  </w14:solidFill>
                </w14:textFill>
              </w:rPr>
            </w:pPr>
            <w:r>
              <w:rPr>
                <w:rFonts w:eastAsia="Times New Roman"/>
                <w:color w:val="000000" w:themeColor="text1"/>
                <w:highlight w:val="none"/>
                <w:lang w:val="zh-CN"/>
                <w14:textFill>
                  <w14:solidFill>
                    <w14:schemeClr w14:val="tx1"/>
                  </w14:solidFill>
                </w14:textFill>
              </w:rPr>
              <w:t>审查认为，江西乐平工业园区管理委员会在扩区调区规划中应充分考虑各环境要素敏感目标、环保基础设施、大气和水环境风险等环境因素，认真落实《报告书》提出的各项环境风险防范、预防或减缓不良环境影响的对策与措施，进一步优化产业定位及产业布局，有效落实本审查意见，确保江西乐平工业园区扩区调区规划实施的环境可行性。</w:t>
            </w:r>
          </w:p>
          <w:p w14:paraId="424B266D">
            <w:pPr>
              <w:shd w:val="clear" w:color="auto" w:fill="auto"/>
              <w:ind w:firstLine="480"/>
              <w:rPr>
                <w:rFonts w:eastAsia="Times New Roman"/>
                <w:color w:val="000000" w:themeColor="text1"/>
                <w:highlight w:val="none"/>
                <w:lang w:val="zh-CN"/>
                <w14:textFill>
                  <w14:solidFill>
                    <w14:schemeClr w14:val="tx1"/>
                  </w14:solidFill>
                </w14:textFill>
              </w:rPr>
            </w:pPr>
            <w:r>
              <w:rPr>
                <w:rFonts w:eastAsia="Times New Roman"/>
                <w:color w:val="000000" w:themeColor="text1"/>
                <w:highlight w:val="none"/>
                <w:lang w:val="zh-CN"/>
                <w14:textFill>
                  <w14:solidFill>
                    <w14:schemeClr w14:val="tx1"/>
                  </w14:solidFill>
                </w14:textFill>
              </w:rPr>
              <w:t>（一）在乐安河岸线外延1.0km范围内的塔山工业园规划用地应符合《长江保护法》及《江西省长江经济带发展负面清单实施细则》要求。金山工业园位于乐平市中心城区上风向、鸣山工业园位于乐平市和鄱阳县交界处，废气排放对园区周边敏感点容易造成影响，不宜引进废气量大的产业，限制火法冶炼等高污染、高能耗产业入驻。</w:t>
            </w:r>
          </w:p>
          <w:p w14:paraId="53DD0DB4">
            <w:pPr>
              <w:shd w:val="clear" w:color="auto" w:fill="auto"/>
              <w:ind w:firstLine="480"/>
              <w:rPr>
                <w:rFonts w:hint="default" w:eastAsia="宋体"/>
                <w:color w:val="000000" w:themeColor="text1"/>
                <w:highlight w:val="none"/>
                <w:lang w:val="en-US" w:eastAsia="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相符性分析：本项目废气主要为金属熔化废气、造型浇注废气、砂处理废气、切割打磨粉尘、抛丸粉尘、落砂粉尘、</w:t>
            </w:r>
            <w:r>
              <w:rPr>
                <w:rFonts w:hint="eastAsia"/>
                <w:color w:val="000000" w:themeColor="text1"/>
                <w:highlight w:val="none"/>
                <w:lang w:val="en-US" w:eastAsia="zh-CN"/>
                <w14:textFill>
                  <w14:solidFill>
                    <w14:schemeClr w14:val="tx1"/>
                  </w14:solidFill>
                </w14:textFill>
              </w:rPr>
              <w:t>冷却废气、</w:t>
            </w:r>
            <w:r>
              <w:rPr>
                <w:rFonts w:hint="eastAsia" w:eastAsia="宋体"/>
                <w:color w:val="000000" w:themeColor="text1"/>
                <w:highlight w:val="none"/>
                <w:lang w:val="en-US" w:eastAsia="zh-CN"/>
                <w14:textFill>
                  <w14:solidFill>
                    <w14:schemeClr w14:val="tx1"/>
                  </w14:solidFill>
                </w14:textFill>
              </w:rPr>
              <w:t>涂装废气等废均配套可行的环保治理措施，废气污染物均可达标排放，不属于废气排放量大的企业，且不属于火法冶炼等高污染、高能耗产业。</w:t>
            </w:r>
          </w:p>
          <w:p w14:paraId="6182B8B9">
            <w:pPr>
              <w:shd w:val="clear" w:color="auto" w:fill="auto"/>
              <w:ind w:firstLine="480"/>
              <w:rPr>
                <w:rFonts w:eastAsia="Times New Roman"/>
                <w:color w:val="000000" w:themeColor="text1"/>
                <w:highlight w:val="none"/>
                <w:lang w:val="zh-CN"/>
                <w14:textFill>
                  <w14:solidFill>
                    <w14:schemeClr w14:val="tx1"/>
                  </w14:solidFill>
                </w14:textFill>
              </w:rPr>
            </w:pPr>
            <w:r>
              <w:rPr>
                <w:rFonts w:eastAsia="Times New Roman"/>
                <w:color w:val="000000" w:themeColor="text1"/>
                <w:highlight w:val="none"/>
                <w:lang w:val="zh-CN"/>
                <w14:textFill>
                  <w14:solidFill>
                    <w14:schemeClr w14:val="tx1"/>
                  </w14:solidFill>
                </w14:textFill>
              </w:rPr>
              <w:t>（二）综合考虑产业之间的相容性，企业布局充分考虑相应的行业规范条件和环境防护距离要求，避免对规划区内及周边居住区的影响。金山园区现状各类工业、商用、居住、学校用地混杂，应合理布局各类规划用地，减少对环境敏感点的影响。规划实施过程中，对与规划产业不相容的现有企业，建议引导其适时搬迁、技改。</w:t>
            </w:r>
          </w:p>
          <w:p w14:paraId="37A11167">
            <w:pPr>
              <w:shd w:val="clear" w:color="auto" w:fill="auto"/>
              <w:ind w:firstLine="480"/>
              <w:rPr>
                <w:rFonts w:eastAsia="Times New Roman"/>
                <w:color w:val="000000" w:themeColor="text1"/>
                <w:highlight w:val="none"/>
                <w:lang w:val="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相符性分析：本项目为汽车零部件及配件制造</w:t>
            </w:r>
            <w:r>
              <w:rPr>
                <w:rFonts w:hint="eastAsia"/>
                <w:color w:val="000000" w:themeColor="text1"/>
                <w:highlight w:val="none"/>
                <w:lang w:val="en-US" w:eastAsia="zh-CN"/>
                <w14:textFill>
                  <w14:solidFill>
                    <w14:schemeClr w14:val="tx1"/>
                  </w14:solidFill>
                </w14:textFill>
              </w:rPr>
              <w:t>属于机械制造项目</w:t>
            </w:r>
            <w:r>
              <w:rPr>
                <w:rFonts w:hint="eastAsia" w:eastAsia="宋体"/>
                <w:color w:val="000000" w:themeColor="text1"/>
                <w:highlight w:val="none"/>
                <w:lang w:val="en-US" w:eastAsia="zh-CN"/>
                <w14:textFill>
                  <w14:solidFill>
                    <w14:schemeClr w14:val="tx1"/>
                  </w14:solidFill>
                </w14:textFill>
              </w:rPr>
              <w:t>，属于园区潜力产业发展项目。</w:t>
            </w:r>
          </w:p>
          <w:p w14:paraId="67BFC303">
            <w:pPr>
              <w:shd w:val="clear" w:color="auto" w:fill="auto"/>
              <w:ind w:firstLine="480"/>
              <w:rPr>
                <w:rFonts w:eastAsia="Times New Roman"/>
                <w:color w:val="000000" w:themeColor="text1"/>
                <w:highlight w:val="none"/>
                <w:lang w:val="zh-CN"/>
                <w14:textFill>
                  <w14:solidFill>
                    <w14:schemeClr w14:val="tx1"/>
                  </w14:solidFill>
                </w14:textFill>
              </w:rPr>
            </w:pPr>
            <w:r>
              <w:rPr>
                <w:rFonts w:eastAsia="Times New Roman"/>
                <w:color w:val="000000" w:themeColor="text1"/>
                <w:highlight w:val="none"/>
                <w:lang w:val="zh-CN"/>
                <w14:textFill>
                  <w14:solidFill>
                    <w14:schemeClr w14:val="tx1"/>
                  </w14:solidFill>
                </w14:textFill>
              </w:rPr>
              <w:t>（三）为进一步减小废水排放对乐安河水质的影响，规划近期应对塔山污水处理厂提标改造。塔山工业园应完善雨水管网规划，对雨水排口加强监控，并加强园区企业初期雨水收集。金山、鸣山园区应当在规划近期完成区域的集中污水处理厂及其配套管网建设，完善排污口论证相关手续。</w:t>
            </w:r>
          </w:p>
          <w:p w14:paraId="4F426AA0">
            <w:pPr>
              <w:shd w:val="clear" w:color="auto" w:fill="auto"/>
              <w:ind w:firstLine="480"/>
              <w:rPr>
                <w:rFonts w:eastAsia="Times New Roman"/>
                <w:color w:val="000000" w:themeColor="text1"/>
                <w:highlight w:val="none"/>
                <w:lang w:val="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相符性分析：本项目</w:t>
            </w:r>
            <w:r>
              <w:rPr>
                <w:rFonts w:hint="eastAsia"/>
                <w:color w:val="000000" w:themeColor="text1"/>
                <w:highlight w:val="none"/>
                <w:lang w:val="en-US" w:eastAsia="zh-CN"/>
                <w14:textFill>
                  <w14:solidFill>
                    <w14:schemeClr w14:val="tx1"/>
                  </w14:solidFill>
                </w14:textFill>
              </w:rPr>
              <w:t>外排废水仅生活污水，生活污水近期经隔油池+化粪池+一体化污水处理设施（A/O生物处理工艺）处理达到《污水综合排放标准》（GB8978-1996）表4中一级标准后排入园区管网，最终排入乐安河；远期待金山工业园污水处理厂正式投运后，经隔油池+化粪池+一体化污水处理设施处理后排入金山工业园污水处理厂，处理达到《城镇污水处理厂污染物排放标准》（GB18918-2002）一级A标准后外排至乐安河，对乐安河水质影响较小</w:t>
            </w:r>
            <w:r>
              <w:rPr>
                <w:rFonts w:hint="eastAsia" w:eastAsia="宋体"/>
                <w:color w:val="000000" w:themeColor="text1"/>
                <w:highlight w:val="none"/>
                <w:lang w:val="en-US" w:eastAsia="zh-CN"/>
                <w14:textFill>
                  <w14:solidFill>
                    <w14:schemeClr w14:val="tx1"/>
                  </w14:solidFill>
                </w14:textFill>
              </w:rPr>
              <w:t>。</w:t>
            </w:r>
          </w:p>
          <w:p w14:paraId="3DA86D16">
            <w:pPr>
              <w:shd w:val="clear" w:color="auto" w:fill="auto"/>
              <w:ind w:firstLine="480"/>
              <w:rPr>
                <w:rFonts w:eastAsia="Times New Roman"/>
                <w:color w:val="000000" w:themeColor="text1"/>
                <w:highlight w:val="none"/>
                <w:lang w:val="zh-CN"/>
                <w14:textFill>
                  <w14:solidFill>
                    <w14:schemeClr w14:val="tx1"/>
                  </w14:solidFill>
                </w14:textFill>
              </w:rPr>
            </w:pPr>
            <w:r>
              <w:rPr>
                <w:rFonts w:eastAsia="Times New Roman"/>
                <w:color w:val="000000" w:themeColor="text1"/>
                <w:highlight w:val="none"/>
                <w:lang w:val="zh-CN"/>
                <w14:textFill>
                  <w14:solidFill>
                    <w14:schemeClr w14:val="tx1"/>
                  </w14:solidFill>
                </w14:textFill>
              </w:rPr>
              <w:t>（四）塔山工业园应当在规划近期按照相关要求完成园区环境风险三级防范设施建设，确保园区环境风险可防可控。调查塔山工业园地下水污染情况，制定风险管控或修复方案等。</w:t>
            </w:r>
          </w:p>
          <w:p w14:paraId="57FB3D3F">
            <w:pPr>
              <w:shd w:val="clear" w:color="auto" w:fill="auto"/>
              <w:ind w:firstLine="480"/>
              <w:rPr>
                <w:rFonts w:eastAsia="Times New Roman"/>
                <w:color w:val="000000" w:themeColor="text1"/>
                <w:highlight w:val="none"/>
                <w:lang w:val="zh-CN"/>
                <w14:textFill>
                  <w14:solidFill>
                    <w14:schemeClr w14:val="tx1"/>
                  </w14:solidFill>
                </w14:textFill>
              </w:rPr>
            </w:pPr>
            <w:r>
              <w:rPr>
                <w:rFonts w:hint="eastAsia" w:eastAsia="宋体"/>
                <w:color w:val="000000" w:themeColor="text1"/>
                <w:highlight w:val="none"/>
                <w:lang w:val="en-US" w:eastAsia="zh-CN"/>
                <w14:textFill>
                  <w14:solidFill>
                    <w14:schemeClr w14:val="tx1"/>
                  </w14:solidFill>
                </w14:textFill>
              </w:rPr>
              <w:t>相符性分析：本项目</w:t>
            </w:r>
            <w:r>
              <w:rPr>
                <w:rFonts w:hint="eastAsia"/>
                <w:color w:val="000000" w:themeColor="text1"/>
                <w:highlight w:val="none"/>
                <w:lang w:val="en-US" w:eastAsia="zh-CN"/>
                <w14:textFill>
                  <w14:solidFill>
                    <w14:schemeClr w14:val="tx1"/>
                  </w14:solidFill>
                </w14:textFill>
              </w:rPr>
              <w:t>不在塔山工业园内</w:t>
            </w:r>
            <w:r>
              <w:rPr>
                <w:rFonts w:hint="eastAsia" w:eastAsia="宋体"/>
                <w:color w:val="000000" w:themeColor="text1"/>
                <w:highlight w:val="none"/>
                <w:lang w:val="en-US" w:eastAsia="zh-CN"/>
                <w14:textFill>
                  <w14:solidFill>
                    <w14:schemeClr w14:val="tx1"/>
                  </w14:solidFill>
                </w14:textFill>
              </w:rPr>
              <w:t>。</w:t>
            </w:r>
          </w:p>
          <w:p w14:paraId="5BB2A8D6">
            <w:pPr>
              <w:shd w:val="clear" w:color="auto" w:fill="auto"/>
              <w:ind w:firstLine="480"/>
              <w:rPr>
                <w:rFonts w:hint="default" w:ascii="Times New Roman" w:hAnsi="Times New Roman" w:eastAsia="宋体" w:cs="Times New Roman"/>
                <w:color w:val="000000" w:themeColor="text1"/>
                <w:highlight w:val="none"/>
                <w:lang w:val="zh-CN"/>
                <w14:textFill>
                  <w14:solidFill>
                    <w14:schemeClr w14:val="tx1"/>
                  </w14:solidFill>
                </w14:textFill>
              </w:rPr>
            </w:pPr>
            <w:r>
              <w:rPr>
                <w:rFonts w:hint="default" w:ascii="Times New Roman" w:hAnsi="Times New Roman" w:eastAsia="宋体" w:cs="Times New Roman"/>
                <w:color w:val="000000" w:themeColor="text1"/>
                <w:highlight w:val="none"/>
                <w:lang w:val="zh-CN"/>
                <w14:textFill>
                  <w14:solidFill>
                    <w14:schemeClr w14:val="tx1"/>
                  </w14:solidFill>
                </w14:textFill>
              </w:rPr>
              <w:t>（五）建议将塔山工业园周边且位于城镇开发边界内已开发成熟的企业纳入园区，并加强管理。积极发展低碳高效产业，推进能源消费结构转型，加快构建清洁低碳安全高效的能源体系。</w:t>
            </w:r>
          </w:p>
          <w:p w14:paraId="67EDB63E">
            <w:pPr>
              <w:pStyle w:val="21"/>
              <w:shd w:val="clear" w:color="auto" w:fill="auto"/>
              <w:ind w:firstLine="480"/>
              <w:rPr>
                <w:rFonts w:hint="eastAsia"/>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相符性分析：本项目不在塔山工业园内。</w:t>
            </w:r>
          </w:p>
          <w:p w14:paraId="1AF9F1AB">
            <w:pPr>
              <w:pStyle w:val="21"/>
              <w:shd w:val="clear" w:color="auto" w:fill="auto"/>
              <w:ind w:firstLine="480"/>
              <w:rPr>
                <w:rFonts w:hint="default" w:eastAsia="宋体"/>
                <w:color w:val="000000" w:themeColor="text1"/>
                <w:sz w:val="24"/>
                <w:highlight w:val="none"/>
                <w:lang w:val="en-US" w:eastAsia="zh-CN"/>
                <w14:textFill>
                  <w14:solidFill>
                    <w14:schemeClr w14:val="tx1"/>
                  </w14:solidFill>
                </w14:textFill>
              </w:rPr>
            </w:pPr>
            <w:r>
              <w:rPr>
                <w:rFonts w:hint="eastAsia"/>
                <w:color w:val="000000" w:themeColor="text1"/>
                <w:sz w:val="24"/>
                <w:highlight w:val="none"/>
                <w:lang w:val="en-US" w:eastAsia="zh-CN"/>
                <w14:textFill>
                  <w14:solidFill>
                    <w14:schemeClr w14:val="tx1"/>
                  </w14:solidFill>
                </w14:textFill>
              </w:rPr>
              <w:t>综上所述，本项目建设符合《江西省环境保护厅关于江西乐平工业园区扩区调区规划环境影响报告书审查意见的函》（赣环评函〔2023〕267号）的相关要求。</w:t>
            </w:r>
          </w:p>
        </w:tc>
      </w:tr>
      <w:tr w14:paraId="4E5E47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90" w:type="dxa"/>
            <w:noWrap w:val="0"/>
            <w:vAlign w:val="center"/>
          </w:tcPr>
          <w:p w14:paraId="1E18E2D3">
            <w:pPr>
              <w:pStyle w:val="71"/>
              <w:shd w:val="clear" w:color="auto" w:fill="auto"/>
              <w:spacing w:line="240" w:lineRule="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其他符合性分析</w:t>
            </w:r>
          </w:p>
        </w:tc>
        <w:tc>
          <w:tcPr>
            <w:tcW w:w="7332" w:type="dxa"/>
            <w:gridSpan w:val="3"/>
            <w:noWrap w:val="0"/>
            <w:vAlign w:val="center"/>
          </w:tcPr>
          <w:p w14:paraId="2F1E2148">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一、</w:t>
            </w:r>
            <w:r>
              <w:rPr>
                <w:color w:val="000000" w:themeColor="text1"/>
                <w:highlight w:val="none"/>
                <w14:textFill>
                  <w14:solidFill>
                    <w14:schemeClr w14:val="tx1"/>
                  </w14:solidFill>
                </w14:textFill>
              </w:rPr>
              <w:t>产业政策相符性</w:t>
            </w:r>
          </w:p>
          <w:p w14:paraId="58CA8C5A">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本项目为</w:t>
            </w:r>
            <w:r>
              <w:rPr>
                <w:rFonts w:hint="default" w:ascii="Times New Roman" w:hAnsi="Times New Roman" w:eastAsia="宋体" w:cs="Times New Roman"/>
                <w:color w:val="000000" w:themeColor="text1"/>
                <w:sz w:val="24"/>
                <w:highlight w:val="none"/>
                <w14:textFill>
                  <w14:solidFill>
                    <w14:schemeClr w14:val="tx1"/>
                  </w14:solidFill>
                </w14:textFill>
              </w:rPr>
              <w:t>汽车零部件及配件制造</w:t>
            </w:r>
            <w:r>
              <w:rPr>
                <w:color w:val="000000" w:themeColor="text1"/>
                <w:highlight w:val="none"/>
                <w14:textFill>
                  <w14:solidFill>
                    <w14:schemeClr w14:val="tx1"/>
                  </w14:solidFill>
                </w14:textFill>
              </w:rPr>
              <w:t>项目，根据《产业结构调整指导目录（20</w:t>
            </w:r>
            <w:r>
              <w:rPr>
                <w:rFonts w:hint="eastAsia"/>
                <w:color w:val="000000" w:themeColor="text1"/>
                <w:highlight w:val="none"/>
                <w:lang w:val="en-US" w:eastAsia="zh-CN"/>
                <w14:textFill>
                  <w14:solidFill>
                    <w14:schemeClr w14:val="tx1"/>
                  </w14:solidFill>
                </w14:textFill>
              </w:rPr>
              <w:t>24</w:t>
            </w:r>
            <w:r>
              <w:rPr>
                <w:color w:val="000000" w:themeColor="text1"/>
                <w:highlight w:val="none"/>
                <w14:textFill>
                  <w14:solidFill>
                    <w14:schemeClr w14:val="tx1"/>
                  </w14:solidFill>
                </w14:textFill>
              </w:rPr>
              <w:t>年本）》，本项目</w:t>
            </w:r>
            <w:r>
              <w:rPr>
                <w:rFonts w:hint="eastAsia"/>
                <w:color w:val="000000" w:themeColor="text1"/>
                <w:highlight w:val="none"/>
                <w:lang w:eastAsia="zh-CN"/>
                <w14:textFill>
                  <w14:solidFill>
                    <w14:schemeClr w14:val="tx1"/>
                  </w14:solidFill>
                </w14:textFill>
              </w:rPr>
              <w:t>为自动化</w:t>
            </w:r>
            <w:r>
              <w:rPr>
                <w:rFonts w:hint="eastAsia"/>
                <w:color w:val="000000" w:themeColor="text1"/>
                <w:highlight w:val="none"/>
                <w:lang w:val="en-US" w:eastAsia="zh-CN"/>
                <w14:textFill>
                  <w14:solidFill>
                    <w14:schemeClr w14:val="tx1"/>
                  </w14:solidFill>
                </w14:textFill>
              </w:rPr>
              <w:t>树脂</w:t>
            </w:r>
            <w:r>
              <w:rPr>
                <w:rFonts w:hint="eastAsia"/>
                <w:color w:val="000000" w:themeColor="text1"/>
                <w:highlight w:val="none"/>
                <w:lang w:eastAsia="zh-CN"/>
                <w14:textFill>
                  <w14:solidFill>
                    <w14:schemeClr w14:val="tx1"/>
                  </w14:solidFill>
                </w14:textFill>
              </w:rPr>
              <w:t>砂铸造，使用中频感应炉熔化碳钢、</w:t>
            </w:r>
            <w:r>
              <w:rPr>
                <w:rFonts w:hint="eastAsia"/>
                <w:color w:val="000000" w:themeColor="text1"/>
                <w:highlight w:val="none"/>
                <w:lang w:val="en-US" w:eastAsia="zh-CN"/>
                <w14:textFill>
                  <w14:solidFill>
                    <w14:schemeClr w14:val="tx1"/>
                  </w14:solidFill>
                </w14:textFill>
              </w:rPr>
              <w:t>生铁</w:t>
            </w:r>
            <w:r>
              <w:rPr>
                <w:rFonts w:hint="eastAsia"/>
                <w:color w:val="000000" w:themeColor="text1"/>
                <w:highlight w:val="none"/>
                <w:lang w:eastAsia="zh-CN"/>
                <w14:textFill>
                  <w14:solidFill>
                    <w14:schemeClr w14:val="tx1"/>
                  </w14:solidFill>
                </w14:textFill>
              </w:rPr>
              <w:t>新料</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硅铁等</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不属于鼓励类，</w:t>
            </w:r>
            <w:r>
              <w:rPr>
                <w:color w:val="000000" w:themeColor="text1"/>
                <w:highlight w:val="none"/>
                <w14:textFill>
                  <w14:solidFill>
                    <w14:schemeClr w14:val="tx1"/>
                  </w14:solidFill>
                </w14:textFill>
              </w:rPr>
              <w:t>不属于限制类</w:t>
            </w:r>
            <w:r>
              <w:rPr>
                <w:rFonts w:hint="eastAsia"/>
                <w:color w:val="000000" w:themeColor="text1"/>
                <w:highlight w:val="none"/>
                <w:lang w:eastAsia="zh-CN"/>
                <w14:textFill>
                  <w14:solidFill>
                    <w14:schemeClr w14:val="tx1"/>
                  </w14:solidFill>
                </w14:textFill>
              </w:rPr>
              <w:t>中的“不采用自动化造型设备的粘土砂型铸造项目、水玻璃熔模精密铸造项目、规模小于20万吨/年的离心球墨铸铁管项目、规模小于3万吨/年的离心灰铸铁管项目”</w:t>
            </w:r>
            <w:r>
              <w:rPr>
                <w:color w:val="000000" w:themeColor="text1"/>
                <w:highlight w:val="none"/>
                <w14:textFill>
                  <w14:solidFill>
                    <w14:schemeClr w14:val="tx1"/>
                  </w14:solidFill>
                </w14:textFill>
              </w:rPr>
              <w:t>和淘汰类</w:t>
            </w:r>
            <w:r>
              <w:rPr>
                <w:rFonts w:hint="eastAsia"/>
                <w:color w:val="000000" w:themeColor="text1"/>
                <w:highlight w:val="none"/>
                <w:lang w:eastAsia="zh-CN"/>
                <w14:textFill>
                  <w14:solidFill>
                    <w14:schemeClr w14:val="tx1"/>
                  </w14:solidFill>
                </w14:textFill>
              </w:rPr>
              <w:t>中的“砂型铸造粘土烘干砂型及型芯、砂型铸造油砂制芯、用于熔化废钢的工频和中频感应炉”</w:t>
            </w:r>
            <w:r>
              <w:rPr>
                <w:color w:val="000000" w:themeColor="text1"/>
                <w:highlight w:val="none"/>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不属于淘汰类项目，</w:t>
            </w:r>
            <w:r>
              <w:rPr>
                <w:color w:val="000000" w:themeColor="text1"/>
                <w:highlight w:val="none"/>
                <w14:textFill>
                  <w14:solidFill>
                    <w14:schemeClr w14:val="tx1"/>
                  </w14:solidFill>
                </w14:textFill>
              </w:rPr>
              <w:t>为允许类项目。</w:t>
            </w:r>
          </w:p>
          <w:p w14:paraId="3B718844">
            <w:pPr>
              <w:pStyle w:val="56"/>
              <w:shd w:val="clear" w:color="auto" w:fill="auto"/>
              <w:ind w:firstLine="480"/>
              <w:rPr>
                <w:color w:val="000000" w:themeColor="text1"/>
                <w:highlight w:val="none"/>
                <w14:textFill>
                  <w14:solidFill>
                    <w14:schemeClr w14:val="tx1"/>
                  </w14:solidFill>
                </w14:textFill>
              </w:rPr>
            </w:pPr>
            <w:r>
              <w:rPr>
                <w:rFonts w:hint="default"/>
                <w:color w:val="000000" w:themeColor="text1"/>
                <w:highlight w:val="none"/>
                <w14:textFill>
                  <w14:solidFill>
                    <w14:schemeClr w14:val="tx1"/>
                  </w14:solidFill>
                </w14:textFill>
              </w:rPr>
              <w:t>项目已取得</w:t>
            </w:r>
            <w:r>
              <w:rPr>
                <w:color w:val="000000" w:themeColor="text1"/>
                <w:highlight w:val="none"/>
                <w14:textFill>
                  <w14:solidFill>
                    <w14:schemeClr w14:val="tx1"/>
                  </w14:solidFill>
                </w14:textFill>
              </w:rPr>
              <w:t>乐平市发展和改革委员会</w:t>
            </w:r>
            <w:r>
              <w:rPr>
                <w:rFonts w:hint="default"/>
                <w:color w:val="000000" w:themeColor="text1"/>
                <w:highlight w:val="none"/>
                <w14:textFill>
                  <w14:solidFill>
                    <w14:schemeClr w14:val="tx1"/>
                  </w14:solidFill>
                </w14:textFill>
              </w:rPr>
              <w:t>关于本项目备案的通知（</w:t>
            </w:r>
            <w:r>
              <w:rPr>
                <w:color w:val="000000" w:themeColor="text1"/>
                <w:highlight w:val="none"/>
                <w14:textFill>
                  <w14:solidFill>
                    <w14:schemeClr w14:val="tx1"/>
                  </w14:solidFill>
                </w14:textFill>
              </w:rPr>
              <w:t>项目统一代码为：</w:t>
            </w:r>
            <w:r>
              <w:rPr>
                <w:rFonts w:hint="eastAsia"/>
                <w:color w:val="000000" w:themeColor="text1"/>
                <w:highlight w:val="none"/>
                <w:lang w:eastAsia="zh-CN"/>
                <w14:textFill>
                  <w14:solidFill>
                    <w14:schemeClr w14:val="tx1"/>
                  </w14:solidFill>
                </w14:textFill>
              </w:rPr>
              <w:t>2404-360281-04-05-551524</w:t>
            </w:r>
            <w:r>
              <w:rPr>
                <w:rFonts w:hint="default"/>
                <w:color w:val="000000" w:themeColor="text1"/>
                <w:highlight w:val="none"/>
                <w14:textFill>
                  <w14:solidFill>
                    <w14:schemeClr w14:val="tx1"/>
                  </w14:solidFill>
                </w14:textFill>
              </w:rPr>
              <w:t>），因此项目符合国家现行的有关产业政策</w:t>
            </w:r>
            <w:r>
              <w:rPr>
                <w:color w:val="000000" w:themeColor="text1"/>
                <w:highlight w:val="none"/>
                <w14:textFill>
                  <w14:solidFill>
                    <w14:schemeClr w14:val="tx1"/>
                  </w14:solidFill>
                </w14:textFill>
              </w:rPr>
              <w:t>。</w:t>
            </w:r>
          </w:p>
          <w:p w14:paraId="3CB22ECB">
            <w:pPr>
              <w:pStyle w:val="56"/>
              <w:shd w:val="clear" w:color="auto" w:fill="auto"/>
              <w:ind w:firstLine="482"/>
              <w:rPr>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二、选址可行性分析</w:t>
            </w:r>
          </w:p>
          <w:p w14:paraId="2711C962">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1、用地性质：本项目位于</w:t>
            </w:r>
            <w:r>
              <w:rPr>
                <w:rFonts w:hint="eastAsia"/>
                <w:color w:val="000000" w:themeColor="text1"/>
                <w:highlight w:val="none"/>
                <w:lang w:eastAsia="zh-CN"/>
                <w14:textFill>
                  <w14:solidFill>
                    <w14:schemeClr w14:val="tx1"/>
                  </w14:solidFill>
                </w14:textFill>
              </w:rPr>
              <w:t>江西省乐平市汽摩配小镇C10厂房</w:t>
            </w:r>
            <w:r>
              <w:rPr>
                <w:color w:val="000000" w:themeColor="text1"/>
                <w:highlight w:val="none"/>
                <w14:textFill>
                  <w14:solidFill>
                    <w14:schemeClr w14:val="tx1"/>
                  </w14:solidFill>
                </w14:textFill>
              </w:rPr>
              <w:t>，用地为工业用地。</w:t>
            </w:r>
          </w:p>
          <w:p w14:paraId="62DEBDAE">
            <w:pPr>
              <w:pStyle w:val="56"/>
              <w:shd w:val="clear" w:color="auto" w:fill="auto"/>
              <w:ind w:firstLine="480"/>
              <w:rPr>
                <w:rFonts w:hint="default"/>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default"/>
                <w:color w:val="000000" w:themeColor="text1"/>
                <w:highlight w:val="none"/>
                <w14:textFill>
                  <w14:solidFill>
                    <w14:schemeClr w14:val="tx1"/>
                  </w14:solidFill>
                </w14:textFill>
              </w:rPr>
              <w:t>本项目需设置以</w:t>
            </w:r>
            <w:r>
              <w:rPr>
                <w:color w:val="000000" w:themeColor="text1"/>
                <w:highlight w:val="none"/>
                <w14:textFill>
                  <w14:solidFill>
                    <w14:schemeClr w14:val="tx1"/>
                  </w14:solidFill>
                </w14:textFill>
              </w:rPr>
              <w:t>生产</w:t>
            </w:r>
            <w:r>
              <w:rPr>
                <w:rFonts w:hint="default"/>
                <w:color w:val="000000" w:themeColor="text1"/>
                <w:highlight w:val="none"/>
                <w14:textFill>
                  <w14:solidFill>
                    <w14:schemeClr w14:val="tx1"/>
                  </w14:solidFill>
                </w14:textFill>
              </w:rPr>
              <w:t>厂房为边界外延50m范围的卫生防护距离</w:t>
            </w:r>
            <w:r>
              <w:rPr>
                <w:color w:val="000000" w:themeColor="text1"/>
                <w:highlight w:val="none"/>
                <w14:textFill>
                  <w14:solidFill>
                    <w14:schemeClr w14:val="tx1"/>
                  </w14:solidFill>
                </w14:textFill>
              </w:rPr>
              <w:t>，距离生产厂房最近敏感点为北侧的</w:t>
            </w:r>
            <w:r>
              <w:rPr>
                <w:rFonts w:hint="eastAsia"/>
                <w:color w:val="000000" w:themeColor="text1"/>
                <w:highlight w:val="none"/>
                <w:lang w:val="en-US" w:eastAsia="zh-CN"/>
                <w14:textFill>
                  <w14:solidFill>
                    <w14:schemeClr w14:val="tx1"/>
                  </w14:solidFill>
                </w14:textFill>
              </w:rPr>
              <w:t>刘家</w:t>
            </w:r>
            <w:r>
              <w:rPr>
                <w:color w:val="000000" w:themeColor="text1"/>
                <w:highlight w:val="none"/>
                <w14:textFill>
                  <w14:solidFill>
                    <w14:schemeClr w14:val="tx1"/>
                  </w14:solidFill>
                </w14:textFill>
              </w:rPr>
              <w:t>，距离为</w:t>
            </w:r>
            <w:r>
              <w:rPr>
                <w:rFonts w:hint="eastAsia"/>
                <w:color w:val="000000" w:themeColor="text1"/>
                <w:highlight w:val="none"/>
                <w:lang w:val="en-US" w:eastAsia="zh-CN"/>
                <w14:textFill>
                  <w14:solidFill>
                    <w14:schemeClr w14:val="tx1"/>
                  </w14:solidFill>
                </w14:textFill>
              </w:rPr>
              <w:t>206</w:t>
            </w:r>
            <w:r>
              <w:rPr>
                <w:color w:val="000000" w:themeColor="text1"/>
                <w:highlight w:val="none"/>
                <w14:textFill>
                  <w14:solidFill>
                    <w14:schemeClr w14:val="tx1"/>
                  </w14:solidFill>
                </w14:textFill>
              </w:rPr>
              <w:t>m，故项目需设置的卫生防护距离内无敏感点。</w:t>
            </w:r>
          </w:p>
          <w:p w14:paraId="03D7D164">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3、本项目位于</w:t>
            </w:r>
            <w:r>
              <w:rPr>
                <w:rFonts w:hint="eastAsia"/>
                <w:color w:val="000000" w:themeColor="text1"/>
                <w:highlight w:val="none"/>
                <w:lang w:eastAsia="zh-CN"/>
                <w14:textFill>
                  <w14:solidFill>
                    <w14:schemeClr w14:val="tx1"/>
                  </w14:solidFill>
                </w14:textFill>
              </w:rPr>
              <w:t>江西省乐平市汽摩配小镇C10厂房</w:t>
            </w:r>
            <w:r>
              <w:rPr>
                <w:color w:val="000000" w:themeColor="text1"/>
                <w:highlight w:val="none"/>
                <w14:textFill>
                  <w14:solidFill>
                    <w14:schemeClr w14:val="tx1"/>
                  </w14:solidFill>
                </w14:textFill>
              </w:rPr>
              <w:t>，项目主要产生废水、废气，在落实本报告提出的措施后对项目周边环境影响不大。厂址不处在国家法律、法规、行政规章及规划确定或县级以上人民政府批准的饮用水水源保护区、自然保护区、风景名胜区、生态功能保护区等需要特殊保护的地区的范围内。</w:t>
            </w:r>
          </w:p>
          <w:p w14:paraId="6ED4A372">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4、与周边环境相容性</w:t>
            </w:r>
          </w:p>
          <w:p w14:paraId="632B566D">
            <w:pPr>
              <w:pStyle w:val="56"/>
              <w:shd w:val="clear" w:color="auto" w:fill="auto"/>
              <w:ind w:firstLine="480"/>
              <w:rPr>
                <w:rFonts w:hint="default"/>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本项目位于</w:t>
            </w:r>
            <w:r>
              <w:rPr>
                <w:rFonts w:hint="eastAsia"/>
                <w:color w:val="000000" w:themeColor="text1"/>
                <w:highlight w:val="none"/>
                <w:lang w:eastAsia="zh-CN"/>
                <w14:textFill>
                  <w14:solidFill>
                    <w14:schemeClr w14:val="tx1"/>
                  </w14:solidFill>
                </w14:textFill>
              </w:rPr>
              <w:t>江西省乐平市汽摩配小镇C10厂房</w:t>
            </w:r>
            <w:r>
              <w:rPr>
                <w:color w:val="000000" w:themeColor="text1"/>
                <w:highlight w:val="none"/>
                <w14:textFill>
                  <w14:solidFill>
                    <w14:schemeClr w14:val="tx1"/>
                  </w14:solidFill>
                </w14:textFill>
              </w:rPr>
              <w:t>，厂区北侧为</w:t>
            </w:r>
            <w:r>
              <w:rPr>
                <w:rFonts w:hint="eastAsia"/>
                <w:color w:val="000000" w:themeColor="text1"/>
                <w:highlight w:val="none"/>
                <w14:textFill>
                  <w14:solidFill>
                    <w14:schemeClr w14:val="tx1"/>
                  </w14:solidFill>
                </w14:textFill>
              </w:rPr>
              <w:t>江西宏亚金属材料有限公司</w:t>
            </w:r>
            <w:r>
              <w:rPr>
                <w:color w:val="000000" w:themeColor="text1"/>
                <w:highlight w:val="none"/>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西北侧为乐平百凯汽车配件有限公司，</w:t>
            </w:r>
            <w:r>
              <w:rPr>
                <w:color w:val="000000" w:themeColor="text1"/>
                <w:highlight w:val="none"/>
                <w14:textFill>
                  <w14:solidFill>
                    <w14:schemeClr w14:val="tx1"/>
                  </w14:solidFill>
                </w14:textFill>
              </w:rPr>
              <w:t>西侧为</w:t>
            </w:r>
            <w:r>
              <w:rPr>
                <w:rFonts w:hint="eastAsia"/>
                <w:color w:val="000000" w:themeColor="text1"/>
                <w:highlight w:val="none"/>
                <w14:textFill>
                  <w14:solidFill>
                    <w14:schemeClr w14:val="tx1"/>
                  </w14:solidFill>
                </w14:textFill>
              </w:rPr>
              <w:t>江西百典金属材料有限公司</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西南侧为江西鸿福金属材料有限公司</w:t>
            </w:r>
            <w:r>
              <w:rPr>
                <w:color w:val="000000" w:themeColor="text1"/>
                <w:highlight w:val="none"/>
                <w14:textFill>
                  <w14:solidFill>
                    <w14:schemeClr w14:val="tx1"/>
                  </w14:solidFill>
                </w14:textFill>
              </w:rPr>
              <w:t>，南侧为</w:t>
            </w:r>
            <w:r>
              <w:rPr>
                <w:rFonts w:hint="eastAsia"/>
                <w:color w:val="000000" w:themeColor="text1"/>
                <w:highlight w:val="none"/>
                <w14:textFill>
                  <w14:solidFill>
                    <w14:schemeClr w14:val="tx1"/>
                  </w14:solidFill>
                </w14:textFill>
              </w:rPr>
              <w:t>江西立泰金属材料有限公司</w:t>
            </w:r>
            <w:r>
              <w:rPr>
                <w:color w:val="000000" w:themeColor="text1"/>
                <w:highlight w:val="none"/>
                <w14:textFill>
                  <w14:solidFill>
                    <w14:schemeClr w14:val="tx1"/>
                  </w14:solidFill>
                </w14:textFill>
              </w:rPr>
              <w:t>，东侧为</w:t>
            </w:r>
            <w:r>
              <w:rPr>
                <w:rFonts w:hint="eastAsia"/>
                <w:color w:val="000000" w:themeColor="text1"/>
                <w:highlight w:val="none"/>
                <w:lang w:val="en-US" w:eastAsia="zh-CN"/>
                <w14:textFill>
                  <w14:solidFill>
                    <w14:schemeClr w14:val="tx1"/>
                  </w14:solidFill>
                </w14:textFill>
              </w:rPr>
              <w:t>金二路</w:t>
            </w:r>
            <w:r>
              <w:rPr>
                <w:color w:val="000000" w:themeColor="text1"/>
                <w:highlight w:val="none"/>
                <w14:textFill>
                  <w14:solidFill>
                    <w14:schemeClr w14:val="tx1"/>
                  </w14:solidFill>
                </w14:textFill>
              </w:rPr>
              <w:t>。项目周边无食品医药等敏感企业，故项目与周边环境相符。</w:t>
            </w:r>
          </w:p>
          <w:p w14:paraId="4F9BBCB4">
            <w:pPr>
              <w:pStyle w:val="56"/>
              <w:shd w:val="clear" w:color="auto" w:fill="auto"/>
              <w:ind w:firstLine="480"/>
              <w:rPr>
                <w:rFonts w:hint="default"/>
                <w:color w:val="000000" w:themeColor="text1"/>
                <w:highlight w:val="none"/>
                <w14:textFill>
                  <w14:solidFill>
                    <w14:schemeClr w14:val="tx1"/>
                  </w14:solidFill>
                </w14:textFill>
              </w:rPr>
            </w:pPr>
            <w:r>
              <w:rPr>
                <w:rFonts w:hint="default"/>
                <w:color w:val="000000" w:themeColor="text1"/>
                <w:highlight w:val="none"/>
                <w14:textFill>
                  <w14:solidFill>
                    <w14:schemeClr w14:val="tx1"/>
                  </w14:solidFill>
                </w14:textFill>
              </w:rPr>
              <w:t>综上，本项目选址从环境保护角度来看合理。</w:t>
            </w:r>
          </w:p>
          <w:p w14:paraId="1B765E1E">
            <w:pPr>
              <w:pStyle w:val="56"/>
              <w:shd w:val="clear" w:color="auto" w:fill="auto"/>
              <w:ind w:firstLine="482"/>
              <w:rPr>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三、“三线一单”相符性分析</w:t>
            </w:r>
          </w:p>
          <w:p w14:paraId="7F20C6EA">
            <w:pPr>
              <w:shd w:val="clear" w:color="auto" w:fill="auto"/>
              <w:autoSpaceDE w:val="0"/>
              <w:autoSpaceDN w:val="0"/>
              <w:adjustRightInd w:val="0"/>
              <w:ind w:firstLine="480"/>
              <w:rPr>
                <w:color w:val="000000" w:themeColor="text1"/>
                <w:highlight w:val="none"/>
                <w14:textFill>
                  <w14:solidFill>
                    <w14:schemeClr w14:val="tx1"/>
                  </w14:solidFill>
                </w14:textFill>
              </w:rPr>
            </w:pPr>
            <w:r>
              <w:rPr>
                <w:rFonts w:hAnsi="宋体"/>
                <w:color w:val="000000" w:themeColor="text1"/>
                <w:highlight w:val="none"/>
                <w14:textFill>
                  <w14:solidFill>
                    <w14:schemeClr w14:val="tx1"/>
                  </w14:solidFill>
                </w14:textFill>
              </w:rPr>
              <w:t>根据原环保部发布的《关于以改善环境质量为核心加强环境影响评价管理的通知》（环环评</w:t>
            </w:r>
            <w:r>
              <w:rPr>
                <w:rFonts w:hint="eastAsia" w:hAnsi="宋体"/>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2016</w:t>
            </w:r>
            <w:r>
              <w:rPr>
                <w:rFonts w:hint="eastAsia" w:hAnsi="宋体"/>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150</w:t>
            </w:r>
            <w:r>
              <w:rPr>
                <w:rFonts w:hAnsi="宋体"/>
                <w:color w:val="000000" w:themeColor="text1"/>
                <w:highlight w:val="none"/>
                <w14:textFill>
                  <w14:solidFill>
                    <w14:schemeClr w14:val="tx1"/>
                  </w14:solidFill>
                </w14:textFill>
              </w:rPr>
              <w:t>号）（以下简称《通知》），《通知》要求切实加强环境影响评价管理，落实</w:t>
            </w:r>
            <w:r>
              <w:rPr>
                <w:color w:val="000000" w:themeColor="text1"/>
                <w:highlight w:val="none"/>
                <w14:textFill>
                  <w14:solidFill>
                    <w14:schemeClr w14:val="tx1"/>
                  </w14:solidFill>
                </w14:textFill>
              </w:rPr>
              <w:t>“</w:t>
            </w:r>
            <w:r>
              <w:rPr>
                <w:rFonts w:hAnsi="宋体"/>
                <w:color w:val="000000" w:themeColor="text1"/>
                <w:highlight w:val="none"/>
                <w14:textFill>
                  <w14:solidFill>
                    <w14:schemeClr w14:val="tx1"/>
                  </w14:solidFill>
                </w14:textFill>
              </w:rPr>
              <w:t>生态保护红线、环境质量底线、资源利用上线和环境准入负面清单</w:t>
            </w:r>
            <w:r>
              <w:rPr>
                <w:color w:val="000000" w:themeColor="text1"/>
                <w:highlight w:val="none"/>
                <w14:textFill>
                  <w14:solidFill>
                    <w14:schemeClr w14:val="tx1"/>
                  </w14:solidFill>
                </w14:textFill>
              </w:rPr>
              <w:t>”</w:t>
            </w:r>
            <w:r>
              <w:rPr>
                <w:rFonts w:hAnsi="宋体"/>
                <w:color w:val="000000" w:themeColor="text1"/>
                <w:highlight w:val="none"/>
                <w14:textFill>
                  <w14:solidFill>
                    <w14:schemeClr w14:val="tx1"/>
                  </w14:solidFill>
                </w14:textFill>
              </w:rPr>
              <w:t>约束，建立项目环评审批与规划环评、现有项目环境管理、区域环境质量联动机制，更好地发挥环评制度从源头防范环境污染和生态破坏的作用，加快推进改善环境质量。</w:t>
            </w:r>
          </w:p>
          <w:p w14:paraId="009058D4">
            <w:pPr>
              <w:pStyle w:val="56"/>
              <w:shd w:val="clear" w:color="auto" w:fill="auto"/>
              <w:ind w:firstLine="482"/>
              <w:rPr>
                <w:rFonts w:hint="default"/>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1、</w:t>
            </w:r>
            <w:r>
              <w:rPr>
                <w:rFonts w:hint="default"/>
                <w:b/>
                <w:bCs/>
                <w:color w:val="000000" w:themeColor="text1"/>
                <w:highlight w:val="none"/>
                <w14:textFill>
                  <w14:solidFill>
                    <w14:schemeClr w14:val="tx1"/>
                  </w14:solidFill>
                </w14:textFill>
              </w:rPr>
              <w:t>生态保护红线</w:t>
            </w:r>
          </w:p>
          <w:p w14:paraId="2C11BC9C">
            <w:pPr>
              <w:shd w:val="clear" w:color="auto" w:fill="auto"/>
              <w:adjustRightInd w:val="0"/>
              <w:ind w:firstLine="480"/>
              <w:rPr>
                <w:color w:val="000000" w:themeColor="text1"/>
                <w:kern w:val="0"/>
                <w:highlight w:val="none"/>
                <w14:textFill>
                  <w14:solidFill>
                    <w14:schemeClr w14:val="tx1"/>
                  </w14:solidFill>
                </w14:textFill>
              </w:rPr>
            </w:pPr>
            <w:r>
              <w:rPr>
                <w:rFonts w:hAnsi="宋体"/>
                <w:color w:val="000000" w:themeColor="text1"/>
                <w:kern w:val="0"/>
                <w:highlight w:val="none"/>
                <w14:textFill>
                  <w14:solidFill>
                    <w14:schemeClr w14:val="tx1"/>
                  </w14:solidFill>
                </w14:textFill>
              </w:rPr>
              <w:t>项目位于</w:t>
            </w:r>
            <w:r>
              <w:rPr>
                <w:rFonts w:hint="eastAsia" w:hAnsi="宋体"/>
                <w:color w:val="000000" w:themeColor="text1"/>
                <w:kern w:val="0"/>
                <w:highlight w:val="none"/>
                <w:lang w:eastAsia="zh-CN"/>
                <w14:textFill>
                  <w14:solidFill>
                    <w14:schemeClr w14:val="tx1"/>
                  </w14:solidFill>
                </w14:textFill>
              </w:rPr>
              <w:t>江西省乐平市汽摩配小镇C10厂房</w:t>
            </w:r>
            <w:r>
              <w:rPr>
                <w:rFonts w:hAnsi="宋体"/>
                <w:color w:val="000000" w:themeColor="text1"/>
                <w:kern w:val="0"/>
                <w:highlight w:val="none"/>
                <w14:textFill>
                  <w14:solidFill>
                    <w14:schemeClr w14:val="tx1"/>
                  </w14:solidFill>
                </w14:textFill>
              </w:rPr>
              <w:t>，评价范围内无名胜古迹、风景区、自然保护区、饮用水源保护区等生态保护目标，地下水评价范围内无地下饮用水源取水口。根据生态红线图，项目不在生态红线范围内，符合生态保护红线要求。</w:t>
            </w:r>
          </w:p>
          <w:p w14:paraId="419DE78B">
            <w:pPr>
              <w:pStyle w:val="56"/>
              <w:shd w:val="clear" w:color="auto" w:fill="auto"/>
              <w:ind w:firstLine="482"/>
              <w:rPr>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2、环境质量底线</w:t>
            </w:r>
          </w:p>
          <w:p w14:paraId="6E146795">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区域环境空气属于《环境空气质量标准》（GB3095-2012）中二类功能区，地表水受纳水体属于《地表水环境质量标准》（GB3838-2002）中Ⅲ类功能区，区域声环境属于《声环境质量标准》（GB3096-2008）中3类功能区；区域环境质量现状较好，具有相应的环境容量。项目生产性废气经处理后达标排放</w:t>
            </w:r>
            <w:r>
              <w:rPr>
                <w:rFonts w:hint="eastAsia"/>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生活污水近期经</w:t>
            </w:r>
            <w:r>
              <w:rPr>
                <w:rFonts w:hint="default"/>
                <w:color w:val="000000" w:themeColor="text1"/>
                <w:highlight w:val="none"/>
                <w14:textFill>
                  <w14:solidFill>
                    <w14:schemeClr w14:val="tx1"/>
                  </w14:solidFill>
                </w14:textFill>
              </w:rPr>
              <w:t>隔油池+化粪池+一体化污水处理设施</w:t>
            </w:r>
            <w:r>
              <w:rPr>
                <w:color w:val="000000" w:themeColor="text1"/>
                <w:highlight w:val="none"/>
                <w14:textFill>
                  <w14:solidFill>
                    <w14:schemeClr w14:val="tx1"/>
                  </w14:solidFill>
                </w14:textFill>
              </w:rPr>
              <w:t>处理，达到《污水综合</w:t>
            </w:r>
            <w:r>
              <w:rPr>
                <w:bCs/>
                <w:color w:val="000000" w:themeColor="text1"/>
                <w:szCs w:val="21"/>
                <w:highlight w:val="none"/>
                <w14:textFill>
                  <w14:solidFill>
                    <w14:schemeClr w14:val="tx1"/>
                  </w14:solidFill>
                </w14:textFill>
              </w:rPr>
              <w:t>排放标准》（GB8978-1996）表4中一级标准后排入园区管网，最终排入乐安河；远期待金山工业园污水处理厂正式投运后，经</w:t>
            </w:r>
            <w:r>
              <w:rPr>
                <w:rFonts w:hint="eastAsia"/>
                <w:bCs/>
                <w:color w:val="000000" w:themeColor="text1"/>
                <w:szCs w:val="21"/>
                <w:highlight w:val="none"/>
                <w14:textFill>
                  <w14:solidFill>
                    <w14:schemeClr w14:val="tx1"/>
                  </w14:solidFill>
                </w14:textFill>
              </w:rPr>
              <w:t>化隔油池+化粪池+一体化污水处理设施</w:t>
            </w:r>
            <w:r>
              <w:rPr>
                <w:bCs/>
                <w:color w:val="000000" w:themeColor="text1"/>
                <w:szCs w:val="21"/>
                <w:highlight w:val="none"/>
                <w14:textFill>
                  <w14:solidFill>
                    <w14:schemeClr w14:val="tx1"/>
                  </w14:solidFill>
                </w14:textFill>
              </w:rPr>
              <w:t>处理后排入金山工业园污水处理厂，处理达到《城镇污水处理厂污染物排放标准》（GB18918-2002）一级A标准后外排至乐安河</w:t>
            </w:r>
            <w:r>
              <w:rPr>
                <w:rFonts w:hint="eastAsia"/>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项目产生的固体废物全部妥善处理，不直接排入环境</w:t>
            </w:r>
            <w:r>
              <w:rPr>
                <w:rFonts w:hint="eastAsia"/>
                <w:color w:val="000000" w:themeColor="text1"/>
                <w:highlight w:val="none"/>
                <w:lang w:eastAsia="zh-CN"/>
                <w14:textFill>
                  <w14:solidFill>
                    <w14:schemeClr w14:val="tx1"/>
                  </w14:solidFill>
                </w14:textFill>
              </w:rPr>
              <w:t>。</w:t>
            </w:r>
            <w:r>
              <w:rPr>
                <w:color w:val="000000" w:themeColor="text1"/>
                <w:highlight w:val="none"/>
                <w14:textFill>
                  <w14:solidFill>
                    <w14:schemeClr w14:val="tx1"/>
                  </w14:solidFill>
                </w14:textFill>
              </w:rPr>
              <w:t>项目三废排放不会明显降低区域环境质量现状；本项目建设不会对当地环境质量底线造成冲击。</w:t>
            </w:r>
          </w:p>
          <w:p w14:paraId="42A3E51F">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color w:val="000000" w:themeColor="text1"/>
                <w:highlight w:val="none"/>
                <w14:textFill>
                  <w14:solidFill>
                    <w14:schemeClr w14:val="tx1"/>
                  </w14:solidFill>
                </w14:textFill>
              </w:rPr>
              <w:t>资源利用上线</w:t>
            </w:r>
          </w:p>
          <w:p w14:paraId="5E89F6B5">
            <w:pPr>
              <w:shd w:val="clear" w:color="auto" w:fill="auto"/>
              <w:ind w:firstLine="480"/>
              <w:jc w:val="both"/>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资源是环境的载体，资源利用上线是促进资源能源节约，保障能源、水、土地等资源高效利用，不应突破的最高限值。本项目运营过程主要资源消耗为</w:t>
            </w:r>
            <w:r>
              <w:rPr>
                <w:rFonts w:hint="eastAsia"/>
                <w:color w:val="000000" w:themeColor="text1"/>
                <w:highlight w:val="none"/>
                <w14:textFill>
                  <w14:solidFill>
                    <w14:schemeClr w14:val="tx1"/>
                  </w14:solidFill>
                </w14:textFill>
              </w:rPr>
              <w:t>水、</w:t>
            </w:r>
            <w:r>
              <w:rPr>
                <w:color w:val="000000" w:themeColor="text1"/>
                <w:highlight w:val="none"/>
                <w14:textFill>
                  <w14:solidFill>
                    <w14:schemeClr w14:val="tx1"/>
                  </w14:solidFill>
                </w14:textFill>
              </w:rPr>
              <w:t>电</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对当地能源、水、土地资源影响不大，不会超出当地资源利用上线。</w:t>
            </w:r>
          </w:p>
          <w:p w14:paraId="19D92C9D">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环境准入负面清单</w:t>
            </w:r>
          </w:p>
          <w:p w14:paraId="17787318">
            <w:pPr>
              <w:shd w:val="clear" w:color="auto" w:fill="auto"/>
              <w:autoSpaceDE w:val="0"/>
              <w:autoSpaceDN w:val="0"/>
              <w:adjustRightInd w:val="0"/>
              <w:snapToGrid w:val="0"/>
              <w:ind w:firstLine="480"/>
              <w:rPr>
                <w:color w:val="000000" w:themeColor="text1"/>
                <w:highlight w:val="none"/>
                <w14:textFill>
                  <w14:solidFill>
                    <w14:schemeClr w14:val="tx1"/>
                  </w14:solidFill>
                </w14:textFill>
              </w:rPr>
            </w:pPr>
            <w:r>
              <w:rPr>
                <w:color w:val="000000" w:themeColor="text1"/>
                <w:szCs w:val="21"/>
                <w:highlight w:val="none"/>
                <w14:textFill>
                  <w14:solidFill>
                    <w14:schemeClr w14:val="tx1"/>
                  </w14:solidFill>
                </w14:textFill>
              </w:rPr>
              <w:t>与《关于印发景德镇市环境管控单位生态环境准入清单的通知》（景环字</w:t>
            </w:r>
            <w:r>
              <w:rPr>
                <w:rFonts w:hint="eastAsia"/>
                <w:color w:val="000000" w:themeColor="text1"/>
                <w:szCs w:val="21"/>
                <w:highlight w:val="none"/>
                <w:lang w:eastAsia="zh-CN"/>
                <w14:textFill>
                  <w14:solidFill>
                    <w14:schemeClr w14:val="tx1"/>
                  </w14:solidFill>
                </w14:textFill>
              </w:rPr>
              <w:t>〔</w:t>
            </w:r>
            <w:r>
              <w:rPr>
                <w:color w:val="000000" w:themeColor="text1"/>
                <w:szCs w:val="21"/>
                <w:highlight w:val="none"/>
                <w14:textFill>
                  <w14:solidFill>
                    <w14:schemeClr w14:val="tx1"/>
                  </w14:solidFill>
                </w14:textFill>
              </w:rPr>
              <w:t>2021</w:t>
            </w:r>
            <w:r>
              <w:rPr>
                <w:rFonts w:hint="eastAsia"/>
                <w:color w:val="000000" w:themeColor="text1"/>
                <w:szCs w:val="21"/>
                <w:highlight w:val="none"/>
                <w:lang w:eastAsia="zh-CN"/>
                <w14:textFill>
                  <w14:solidFill>
                    <w14:schemeClr w14:val="tx1"/>
                  </w14:solidFill>
                </w14:textFill>
              </w:rPr>
              <w:t>〕</w:t>
            </w:r>
            <w:r>
              <w:rPr>
                <w:color w:val="000000" w:themeColor="text1"/>
                <w:szCs w:val="21"/>
                <w:highlight w:val="none"/>
                <w14:textFill>
                  <w14:solidFill>
                    <w14:schemeClr w14:val="tx1"/>
                  </w14:solidFill>
                </w14:textFill>
              </w:rPr>
              <w:t>17号）相符性分析</w:t>
            </w:r>
          </w:p>
          <w:p w14:paraId="7A27FE47">
            <w:pPr>
              <w:shd w:val="clear" w:color="auto" w:fill="auto"/>
              <w:autoSpaceDE w:val="0"/>
              <w:autoSpaceDN w:val="0"/>
              <w:adjustRightInd w:val="0"/>
              <w:snapToGrid w:val="0"/>
              <w:ind w:firstLine="480"/>
              <w:rPr>
                <w:color w:val="000000" w:themeColor="text1"/>
                <w:szCs w:val="21"/>
                <w:highlight w:val="none"/>
                <w14:textFill>
                  <w14:solidFill>
                    <w14:schemeClr w14:val="tx1"/>
                  </w14:solidFill>
                </w14:textFill>
              </w:rPr>
            </w:pPr>
            <w:r>
              <w:rPr>
                <w:color w:val="000000" w:themeColor="text1"/>
                <w:szCs w:val="21"/>
                <w:highlight w:val="none"/>
                <w:lang w:val="zh-CN"/>
                <w14:textFill>
                  <w14:solidFill>
                    <w14:schemeClr w14:val="tx1"/>
                  </w14:solidFill>
                </w14:textFill>
              </w:rPr>
              <w:t>按照《江西省人民政府关于加快实施“三线一单”生态环境分区管控的意见》（赣府发〔2020〕17号）</w:t>
            </w:r>
            <w:r>
              <w:rPr>
                <w:rFonts w:hint="eastAsia"/>
                <w:color w:val="000000" w:themeColor="text1"/>
                <w:szCs w:val="21"/>
                <w:highlight w:val="none"/>
                <w:lang w:val="zh-CN"/>
                <w14:textFill>
                  <w14:solidFill>
                    <w14:schemeClr w14:val="tx1"/>
                  </w14:solidFill>
                </w14:textFill>
              </w:rPr>
              <w:t>、</w:t>
            </w:r>
            <w:r>
              <w:rPr>
                <w:color w:val="000000" w:themeColor="text1"/>
                <w:szCs w:val="21"/>
                <w:highlight w:val="none"/>
                <w:lang w:val="zh-CN"/>
                <w14:textFill>
                  <w14:solidFill>
                    <w14:schemeClr w14:val="tx1"/>
                  </w14:solidFill>
                </w14:textFill>
              </w:rPr>
              <w:t>《景德镇市人民政府关于印发景德镇市“三线一单”生态环境分区管控方案的通知》（景府发〔2020〕8号）</w:t>
            </w:r>
            <w:r>
              <w:rPr>
                <w:rFonts w:hint="eastAsia"/>
                <w:color w:val="000000" w:themeColor="text1"/>
                <w:szCs w:val="21"/>
                <w:highlight w:val="none"/>
                <w14:textFill>
                  <w14:solidFill>
                    <w14:schemeClr w14:val="tx1"/>
                  </w14:solidFill>
                </w14:textFill>
              </w:rPr>
              <w:t>要求</w:t>
            </w:r>
            <w:r>
              <w:rPr>
                <w:rFonts w:hint="eastAsia"/>
                <w:color w:val="000000" w:themeColor="text1"/>
                <w:szCs w:val="21"/>
                <w:highlight w:val="none"/>
                <w:lang w:val="en-US" w:eastAsia="zh-CN"/>
                <w14:textFill>
                  <w14:solidFill>
                    <w14:schemeClr w14:val="tx1"/>
                  </w14:solidFill>
                </w14:textFill>
              </w:rPr>
              <w:t>以及《景德镇市人民政府办公室关于公布景德镇市生态环境分区管控成果（2023版）的通知》（景府办字〔2024〕35号）</w:t>
            </w:r>
            <w:r>
              <w:rPr>
                <w:rFonts w:hint="eastAsia"/>
                <w:color w:val="000000" w:themeColor="text1"/>
                <w:szCs w:val="21"/>
                <w:highlight w:val="none"/>
                <w14:textFill>
                  <w14:solidFill>
                    <w14:schemeClr w14:val="tx1"/>
                  </w14:solidFill>
                </w14:textFill>
              </w:rPr>
              <w:t>。</w:t>
            </w:r>
            <w:r>
              <w:rPr>
                <w:color w:val="000000" w:themeColor="text1"/>
                <w:szCs w:val="21"/>
                <w:highlight w:val="none"/>
                <w:lang w:val="zh-CN"/>
                <w14:textFill>
                  <w14:solidFill>
                    <w14:schemeClr w14:val="tx1"/>
                  </w14:solidFill>
                </w14:textFill>
              </w:rPr>
              <w:t>按照《景德镇市“三线一单”生态环境分区管控方案》中</w:t>
            </w:r>
            <w:r>
              <w:rPr>
                <w:rFonts w:hint="eastAsia"/>
                <w:color w:val="000000" w:themeColor="text1"/>
                <w:szCs w:val="21"/>
                <w:highlight w:val="none"/>
                <w:lang w:val="zh-CN"/>
                <w14:textFill>
                  <w14:solidFill>
                    <w14:schemeClr w14:val="tx1"/>
                  </w14:solidFill>
                </w14:textFill>
              </w:rPr>
              <w:t>“</w:t>
            </w:r>
            <w:r>
              <w:rPr>
                <w:color w:val="000000" w:themeColor="text1"/>
                <w:szCs w:val="21"/>
                <w:highlight w:val="none"/>
                <w:lang w:val="zh-CN"/>
                <w14:textFill>
                  <w14:solidFill>
                    <w14:schemeClr w14:val="tx1"/>
                  </w14:solidFill>
                </w14:textFill>
              </w:rPr>
              <w:t>各管控单元分类实施生态环境准入清单</w:t>
            </w:r>
            <w:r>
              <w:rPr>
                <w:rFonts w:hint="eastAsia"/>
                <w:color w:val="000000" w:themeColor="text1"/>
                <w:szCs w:val="21"/>
                <w:highlight w:val="none"/>
                <w:lang w:val="zh-CN"/>
                <w14:textFill>
                  <w14:solidFill>
                    <w14:schemeClr w14:val="tx1"/>
                  </w14:solidFill>
                </w14:textFill>
              </w:rPr>
              <w:t>”</w:t>
            </w:r>
            <w:r>
              <w:rPr>
                <w:color w:val="000000" w:themeColor="text1"/>
                <w:szCs w:val="21"/>
                <w:highlight w:val="none"/>
                <w:lang w:val="zh-CN"/>
                <w14:textFill>
                  <w14:solidFill>
                    <w14:schemeClr w14:val="tx1"/>
                  </w14:solidFill>
                </w14:textFill>
              </w:rPr>
              <w:t>。</w:t>
            </w:r>
            <w:r>
              <w:rPr>
                <w:color w:val="000000" w:themeColor="text1"/>
                <w:szCs w:val="21"/>
                <w:highlight w:val="none"/>
                <w14:textFill>
                  <w14:solidFill>
                    <w14:schemeClr w14:val="tx1"/>
                  </w14:solidFill>
                </w14:textFill>
              </w:rPr>
              <w:t>景德镇</w:t>
            </w:r>
            <w:r>
              <w:rPr>
                <w:color w:val="000000" w:themeColor="text1"/>
                <w:szCs w:val="21"/>
                <w:highlight w:val="none"/>
                <w:lang w:val="zh-CN"/>
                <w14:textFill>
                  <w14:solidFill>
                    <w14:schemeClr w14:val="tx1"/>
                  </w14:solidFill>
                </w14:textFill>
              </w:rPr>
              <w:t>市生态环境局制定了</w:t>
            </w:r>
            <w:r>
              <w:rPr>
                <w:color w:val="000000" w:themeColor="text1"/>
                <w:szCs w:val="21"/>
                <w:highlight w:val="none"/>
                <w14:textFill>
                  <w14:solidFill>
                    <w14:schemeClr w14:val="tx1"/>
                  </w14:solidFill>
                </w14:textFill>
              </w:rPr>
              <w:t>环境管控单</w:t>
            </w:r>
            <w:r>
              <w:rPr>
                <w:rFonts w:hint="eastAsia"/>
                <w:color w:val="000000" w:themeColor="text1"/>
                <w:szCs w:val="21"/>
                <w:highlight w:val="none"/>
                <w14:textFill>
                  <w14:solidFill>
                    <w14:schemeClr w14:val="tx1"/>
                  </w14:solidFill>
                </w14:textFill>
              </w:rPr>
              <w:t>元</w:t>
            </w:r>
            <w:r>
              <w:rPr>
                <w:color w:val="000000" w:themeColor="text1"/>
                <w:szCs w:val="21"/>
                <w:highlight w:val="none"/>
                <w14:textFill>
                  <w14:solidFill>
                    <w14:schemeClr w14:val="tx1"/>
                  </w14:solidFill>
                </w14:textFill>
              </w:rPr>
              <w:t>生态环境准入清单</w:t>
            </w:r>
            <w:r>
              <w:rPr>
                <w:color w:val="000000" w:themeColor="text1"/>
                <w:szCs w:val="21"/>
                <w:highlight w:val="none"/>
                <w:lang w:val="zh-CN"/>
                <w14:textFill>
                  <w14:solidFill>
                    <w14:schemeClr w14:val="tx1"/>
                  </w14:solidFill>
                </w14:textFill>
              </w:rPr>
              <w:t>，实施生态环境分区管控。</w:t>
            </w:r>
          </w:p>
          <w:p w14:paraId="0C468284">
            <w:pPr>
              <w:shd w:val="clear" w:color="auto" w:fill="auto"/>
              <w:autoSpaceDE w:val="0"/>
              <w:autoSpaceDN w:val="0"/>
              <w:adjustRightInd w:val="0"/>
              <w:spacing w:line="240" w:lineRule="auto"/>
              <w:ind w:firstLine="0" w:firstLineChars="0"/>
              <w:jc w:val="center"/>
              <w:rPr>
                <w:rFonts w:hint="eastAsia"/>
                <w:b/>
                <w:bCs/>
                <w:color w:val="000000" w:themeColor="text1"/>
                <w:kern w:val="0"/>
                <w:highlight w:val="none"/>
                <w14:textFill>
                  <w14:solidFill>
                    <w14:schemeClr w14:val="tx1"/>
                  </w14:solidFill>
                </w14:textFill>
              </w:rPr>
            </w:pPr>
            <w:r>
              <w:rPr>
                <w:b/>
                <w:bCs/>
                <w:color w:val="000000" w:themeColor="text1"/>
                <w:kern w:val="0"/>
                <w:highlight w:val="none"/>
                <w14:textFill>
                  <w14:solidFill>
                    <w14:schemeClr w14:val="tx1"/>
                  </w14:solidFill>
                </w14:textFill>
              </w:rPr>
              <w:t>表1-</w:t>
            </w:r>
            <w:r>
              <w:rPr>
                <w:rFonts w:hint="eastAsia"/>
                <w:b/>
                <w:bCs/>
                <w:color w:val="000000" w:themeColor="text1"/>
                <w:kern w:val="0"/>
                <w:highlight w:val="none"/>
                <w14:textFill>
                  <w14:solidFill>
                    <w14:schemeClr w14:val="tx1"/>
                  </w14:solidFill>
                </w14:textFill>
              </w:rPr>
              <w:t>4 与景德镇市生态环境总体准入清单（2023版）相符性分析</w:t>
            </w:r>
          </w:p>
          <w:tbl>
            <w:tblPr>
              <w:tblStyle w:val="32"/>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643"/>
              <w:gridCol w:w="929"/>
              <w:gridCol w:w="686"/>
              <w:gridCol w:w="3078"/>
              <w:gridCol w:w="1776"/>
            </w:tblGrid>
            <w:tr w14:paraId="6A9246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noWrap w:val="0"/>
                  <w:tcMar>
                    <w:top w:w="75" w:type="dxa"/>
                    <w:left w:w="75" w:type="dxa"/>
                    <w:bottom w:w="75" w:type="dxa"/>
                    <w:right w:w="75" w:type="dxa"/>
                  </w:tcMar>
                  <w:vAlign w:val="center"/>
                </w:tcPr>
                <w:p w14:paraId="7232CA7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维度</w:t>
                  </w:r>
                </w:p>
              </w:tc>
              <w:tc>
                <w:tcPr>
                  <w:tcW w:w="653" w:type="pct"/>
                  <w:noWrap w:val="0"/>
                  <w:tcMar>
                    <w:top w:w="75" w:type="dxa"/>
                    <w:left w:w="75" w:type="dxa"/>
                    <w:bottom w:w="75" w:type="dxa"/>
                    <w:right w:w="75" w:type="dxa"/>
                  </w:tcMar>
                  <w:vAlign w:val="center"/>
                </w:tcPr>
                <w:p w14:paraId="2361CA9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清单编制要求</w:t>
                  </w:r>
                </w:p>
              </w:tc>
              <w:tc>
                <w:tcPr>
                  <w:tcW w:w="482" w:type="pct"/>
                  <w:noWrap w:val="0"/>
                  <w:tcMar>
                    <w:top w:w="75" w:type="dxa"/>
                    <w:left w:w="75" w:type="dxa"/>
                    <w:bottom w:w="75" w:type="dxa"/>
                    <w:right w:w="75" w:type="dxa"/>
                  </w:tcMar>
                  <w:vAlign w:val="center"/>
                </w:tcPr>
                <w:p w14:paraId="040CA6D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序号</w:t>
                  </w:r>
                </w:p>
              </w:tc>
              <w:tc>
                <w:tcPr>
                  <w:tcW w:w="2163" w:type="pct"/>
                  <w:noWrap w:val="0"/>
                  <w:tcMar>
                    <w:top w:w="75" w:type="dxa"/>
                    <w:left w:w="75" w:type="dxa"/>
                    <w:bottom w:w="75" w:type="dxa"/>
                    <w:right w:w="75" w:type="dxa"/>
                  </w:tcMar>
                  <w:vAlign w:val="center"/>
                </w:tcPr>
                <w:p w14:paraId="2327873F">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准入要求</w:t>
                  </w:r>
                </w:p>
              </w:tc>
              <w:tc>
                <w:tcPr>
                  <w:tcW w:w="1247" w:type="pct"/>
                  <w:noWrap w:val="0"/>
                  <w:tcMar>
                    <w:top w:w="75" w:type="dxa"/>
                    <w:left w:w="75" w:type="dxa"/>
                    <w:bottom w:w="75" w:type="dxa"/>
                    <w:right w:w="75" w:type="dxa"/>
                  </w:tcMar>
                  <w:vAlign w:val="center"/>
                </w:tcPr>
                <w:p w14:paraId="08761B0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符合性分析</w:t>
                  </w:r>
                </w:p>
              </w:tc>
            </w:tr>
            <w:tr w14:paraId="5D32CA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restart"/>
                  <w:noWrap w:val="0"/>
                  <w:tcMar>
                    <w:top w:w="75" w:type="dxa"/>
                    <w:left w:w="75" w:type="dxa"/>
                    <w:bottom w:w="75" w:type="dxa"/>
                    <w:right w:w="75" w:type="dxa"/>
                  </w:tcMar>
                  <w:vAlign w:val="center"/>
                </w:tcPr>
                <w:p w14:paraId="1A2DAAF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空间布局约束</w:t>
                  </w:r>
                </w:p>
              </w:tc>
              <w:tc>
                <w:tcPr>
                  <w:tcW w:w="653" w:type="pct"/>
                  <w:vMerge w:val="restart"/>
                  <w:noWrap w:val="0"/>
                  <w:tcMar>
                    <w:top w:w="75" w:type="dxa"/>
                    <w:left w:w="75" w:type="dxa"/>
                    <w:bottom w:w="75" w:type="dxa"/>
                    <w:right w:w="75" w:type="dxa"/>
                  </w:tcMar>
                  <w:vAlign w:val="center"/>
                </w:tcPr>
                <w:p w14:paraId="4896A9D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禁止开发建设活动的要求</w:t>
                  </w:r>
                </w:p>
              </w:tc>
              <w:tc>
                <w:tcPr>
                  <w:tcW w:w="482" w:type="pct"/>
                  <w:noWrap w:val="0"/>
                  <w:tcMar>
                    <w:top w:w="75" w:type="dxa"/>
                    <w:left w:w="75" w:type="dxa"/>
                    <w:bottom w:w="75" w:type="dxa"/>
                    <w:right w:w="75" w:type="dxa"/>
                  </w:tcMar>
                  <w:vAlign w:val="center"/>
                </w:tcPr>
                <w:p w14:paraId="3D0FE06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w:t>
                  </w:r>
                </w:p>
              </w:tc>
              <w:tc>
                <w:tcPr>
                  <w:tcW w:w="2163" w:type="pct"/>
                  <w:noWrap w:val="0"/>
                  <w:tcMar>
                    <w:top w:w="75" w:type="dxa"/>
                    <w:left w:w="75" w:type="dxa"/>
                    <w:bottom w:w="75" w:type="dxa"/>
                    <w:right w:w="75" w:type="dxa"/>
                  </w:tcMar>
                  <w:vAlign w:val="center"/>
                </w:tcPr>
                <w:p w14:paraId="16530D4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禁止商业性采伐生态公益林。</w:t>
                  </w:r>
                </w:p>
              </w:tc>
              <w:tc>
                <w:tcPr>
                  <w:tcW w:w="1247" w:type="pct"/>
                  <w:noWrap w:val="0"/>
                  <w:tcMar>
                    <w:top w:w="75" w:type="dxa"/>
                    <w:left w:w="75" w:type="dxa"/>
                    <w:bottom w:w="75" w:type="dxa"/>
                    <w:right w:w="75" w:type="dxa"/>
                  </w:tcMar>
                  <w:vAlign w:val="center"/>
                </w:tcPr>
                <w:p w14:paraId="21275B2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，不涉及商业性采伐生态公益林</w:t>
                  </w:r>
                </w:p>
              </w:tc>
            </w:tr>
            <w:tr w14:paraId="62B7C15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4DD0ACB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38FDF5D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71B47B25">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2</w:t>
                  </w:r>
                </w:p>
              </w:tc>
              <w:tc>
                <w:tcPr>
                  <w:tcW w:w="2163" w:type="pct"/>
                  <w:noWrap w:val="0"/>
                  <w:tcMar>
                    <w:top w:w="75" w:type="dxa"/>
                    <w:left w:w="75" w:type="dxa"/>
                    <w:bottom w:w="75" w:type="dxa"/>
                    <w:right w:w="75" w:type="dxa"/>
                  </w:tcMar>
                  <w:vAlign w:val="center"/>
                </w:tcPr>
                <w:p w14:paraId="356F53D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全面取缔河湖水库网箱养殖，禁止湖泊水库投放无机肥、有机肥和生物复合肥养殖。</w:t>
                  </w:r>
                </w:p>
              </w:tc>
              <w:tc>
                <w:tcPr>
                  <w:tcW w:w="1247" w:type="pct"/>
                  <w:noWrap w:val="0"/>
                  <w:tcMar>
                    <w:top w:w="75" w:type="dxa"/>
                    <w:left w:w="75" w:type="dxa"/>
                    <w:bottom w:w="75" w:type="dxa"/>
                    <w:right w:w="75" w:type="dxa"/>
                  </w:tcMar>
                  <w:vAlign w:val="center"/>
                </w:tcPr>
                <w:p w14:paraId="053B198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，不涉及河湖水库网箱养殖</w:t>
                  </w:r>
                </w:p>
              </w:tc>
            </w:tr>
            <w:tr w14:paraId="7F2CBB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1BEB4D1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2BB4934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3632AACF">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3</w:t>
                  </w:r>
                </w:p>
              </w:tc>
              <w:tc>
                <w:tcPr>
                  <w:tcW w:w="2163" w:type="pct"/>
                  <w:noWrap w:val="0"/>
                  <w:tcMar>
                    <w:top w:w="75" w:type="dxa"/>
                    <w:left w:w="75" w:type="dxa"/>
                    <w:bottom w:w="75" w:type="dxa"/>
                    <w:right w:w="75" w:type="dxa"/>
                  </w:tcMar>
                  <w:vAlign w:val="center"/>
                </w:tcPr>
                <w:p w14:paraId="6830ADD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禁止在居民区、学校、医疗和养老机构等周边新建有色金属冶炼、焦化等行业企业。</w:t>
                  </w:r>
                </w:p>
              </w:tc>
              <w:tc>
                <w:tcPr>
                  <w:tcW w:w="1247" w:type="pct"/>
                  <w:noWrap w:val="0"/>
                  <w:tcMar>
                    <w:top w:w="75" w:type="dxa"/>
                    <w:left w:w="75" w:type="dxa"/>
                    <w:bottom w:w="75" w:type="dxa"/>
                    <w:right w:w="75" w:type="dxa"/>
                  </w:tcMar>
                  <w:vAlign w:val="center"/>
                </w:tcPr>
                <w:p w14:paraId="2707AAD8">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，不属于有色金属冶炼、焦化等行业企业</w:t>
                  </w:r>
                </w:p>
              </w:tc>
            </w:tr>
            <w:tr w14:paraId="19B30A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2407C1A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411F900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05BA702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4</w:t>
                  </w:r>
                </w:p>
              </w:tc>
              <w:tc>
                <w:tcPr>
                  <w:tcW w:w="2163" w:type="pct"/>
                  <w:noWrap w:val="0"/>
                  <w:tcMar>
                    <w:top w:w="75" w:type="dxa"/>
                    <w:left w:w="75" w:type="dxa"/>
                    <w:bottom w:w="75" w:type="dxa"/>
                    <w:right w:w="75" w:type="dxa"/>
                  </w:tcMar>
                  <w:vAlign w:val="center"/>
                </w:tcPr>
                <w:p w14:paraId="1AB1D63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禁止在重要生态功能区、土壤环境质量超标区域、土壤污染事故频发区域、昌江源头保护区新建、改建、扩建增加对土壤产生污染的项目。</w:t>
                  </w:r>
                </w:p>
              </w:tc>
              <w:tc>
                <w:tcPr>
                  <w:tcW w:w="1247" w:type="pct"/>
                  <w:noWrap w:val="0"/>
                  <w:tcMar>
                    <w:top w:w="75" w:type="dxa"/>
                    <w:left w:w="75" w:type="dxa"/>
                    <w:bottom w:w="75" w:type="dxa"/>
                    <w:right w:w="75" w:type="dxa"/>
                  </w:tcMar>
                  <w:vAlign w:val="center"/>
                </w:tcPr>
                <w:p w14:paraId="7ED5B728">
                  <w:pPr>
                    <w:shd w:val="clear" w:color="auto" w:fill="auto"/>
                    <w:adjustRightInd w:val="0"/>
                    <w:snapToGrid w:val="0"/>
                    <w:spacing w:line="240" w:lineRule="auto"/>
                    <w:ind w:firstLine="0" w:firstLineChars="0"/>
                    <w:jc w:val="center"/>
                    <w:rPr>
                      <w:color w:val="000000" w:themeColor="text1"/>
                      <w:sz w:val="18"/>
                      <w:szCs w:val="18"/>
                      <w:highlight w:val="none"/>
                      <w14:textFill>
                        <w14:solidFill>
                          <w14:schemeClr w14:val="tx1"/>
                        </w14:solidFill>
                      </w14:textFill>
                    </w:rPr>
                  </w:pPr>
                  <w:r>
                    <w:rPr>
                      <w:color w:val="000000" w:themeColor="text1"/>
                      <w:sz w:val="21"/>
                      <w:szCs w:val="21"/>
                      <w:highlight w:val="none"/>
                      <w14:textFill>
                        <w14:solidFill>
                          <w14:schemeClr w14:val="tx1"/>
                        </w14:solidFill>
                      </w14:textFill>
                    </w:rPr>
                    <w:t>项目位于乐平市金山工业园区，不涉及重要生态功能区、土壤环境质量超标区域、土壤污染事故频发区域、昌江源头保护区</w:t>
                  </w:r>
                </w:p>
              </w:tc>
            </w:tr>
            <w:tr w14:paraId="73B27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1BB50AA8">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7B53E5C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4ECFA98F">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5</w:t>
                  </w:r>
                </w:p>
              </w:tc>
              <w:tc>
                <w:tcPr>
                  <w:tcW w:w="2163" w:type="pct"/>
                  <w:noWrap w:val="0"/>
                  <w:tcMar>
                    <w:top w:w="75" w:type="dxa"/>
                    <w:left w:w="75" w:type="dxa"/>
                    <w:bottom w:w="75" w:type="dxa"/>
                    <w:right w:w="75" w:type="dxa"/>
                  </w:tcMar>
                  <w:vAlign w:val="center"/>
                </w:tcPr>
                <w:p w14:paraId="1C122E6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禁止新建落后产能或产能严重过剩行业的建设项目。</w:t>
                  </w:r>
                </w:p>
              </w:tc>
              <w:tc>
                <w:tcPr>
                  <w:tcW w:w="1247" w:type="pct"/>
                  <w:noWrap w:val="0"/>
                  <w:tcMar>
                    <w:top w:w="75" w:type="dxa"/>
                    <w:left w:w="75" w:type="dxa"/>
                    <w:bottom w:w="75" w:type="dxa"/>
                    <w:right w:w="75" w:type="dxa"/>
                  </w:tcMar>
                  <w:vAlign w:val="center"/>
                </w:tcPr>
                <w:p w14:paraId="290AAB0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，不属于落后产能或产能严重过剩行业的建设项目</w:t>
                  </w:r>
                </w:p>
              </w:tc>
            </w:tr>
            <w:tr w14:paraId="59A3A9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142FEB0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150CD25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2A3BACA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6</w:t>
                  </w:r>
                </w:p>
              </w:tc>
              <w:tc>
                <w:tcPr>
                  <w:tcW w:w="2163" w:type="pct"/>
                  <w:noWrap w:val="0"/>
                  <w:tcMar>
                    <w:top w:w="75" w:type="dxa"/>
                    <w:left w:w="75" w:type="dxa"/>
                    <w:bottom w:w="75" w:type="dxa"/>
                    <w:right w:w="75" w:type="dxa"/>
                  </w:tcMar>
                  <w:vAlign w:val="center"/>
                </w:tcPr>
                <w:p w14:paraId="36937A4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禁止饶河（昌江）源头区发展规模化畜禽养殖。</w:t>
                  </w:r>
                </w:p>
              </w:tc>
              <w:tc>
                <w:tcPr>
                  <w:tcW w:w="1247" w:type="pct"/>
                  <w:noWrap w:val="0"/>
                  <w:tcMar>
                    <w:top w:w="75" w:type="dxa"/>
                    <w:left w:w="75" w:type="dxa"/>
                    <w:bottom w:w="75" w:type="dxa"/>
                    <w:right w:w="75" w:type="dxa"/>
                  </w:tcMar>
                  <w:vAlign w:val="center"/>
                </w:tcPr>
                <w:p w14:paraId="2283825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，不属于规模化畜禽养殖</w:t>
                  </w:r>
                </w:p>
              </w:tc>
            </w:tr>
            <w:tr w14:paraId="392D83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75869D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2BC56D7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2A54BF1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7</w:t>
                  </w:r>
                </w:p>
              </w:tc>
              <w:tc>
                <w:tcPr>
                  <w:tcW w:w="2163" w:type="pct"/>
                  <w:noWrap w:val="0"/>
                  <w:tcMar>
                    <w:top w:w="75" w:type="dxa"/>
                    <w:left w:w="75" w:type="dxa"/>
                    <w:bottom w:w="75" w:type="dxa"/>
                    <w:right w:w="75" w:type="dxa"/>
                  </w:tcMar>
                  <w:vAlign w:val="center"/>
                </w:tcPr>
                <w:p w14:paraId="213A420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禁止新建、扩建废轮胎、废塑料、废铝塑、废电子电器产品、废电池等重污染废旧物资综合利用项目。</w:t>
                  </w:r>
                </w:p>
              </w:tc>
              <w:tc>
                <w:tcPr>
                  <w:tcW w:w="1247" w:type="pct"/>
                  <w:noWrap w:val="0"/>
                  <w:tcMar>
                    <w:top w:w="75" w:type="dxa"/>
                    <w:left w:w="75" w:type="dxa"/>
                    <w:bottom w:w="75" w:type="dxa"/>
                    <w:right w:w="75" w:type="dxa"/>
                  </w:tcMar>
                  <w:vAlign w:val="center"/>
                </w:tcPr>
                <w:p w14:paraId="0C0623F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，不属于废轮胎、废塑料、废铝塑、废电子电器产品、废电池等重污染废旧物资综合利用项目</w:t>
                  </w:r>
                </w:p>
              </w:tc>
            </w:tr>
            <w:tr w14:paraId="7012F3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8A93F7F">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29CBEC94">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32B4B7F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8</w:t>
                  </w:r>
                </w:p>
              </w:tc>
              <w:tc>
                <w:tcPr>
                  <w:tcW w:w="2163" w:type="pct"/>
                  <w:noWrap w:val="0"/>
                  <w:tcMar>
                    <w:top w:w="75" w:type="dxa"/>
                    <w:left w:w="75" w:type="dxa"/>
                    <w:bottom w:w="75" w:type="dxa"/>
                    <w:right w:w="75" w:type="dxa"/>
                  </w:tcMar>
                  <w:vAlign w:val="center"/>
                </w:tcPr>
                <w:p w14:paraId="0E430C1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禁止侵占自然湿地等水源涵养空间，已侵占的限期予以恢复。</w:t>
                  </w:r>
                </w:p>
              </w:tc>
              <w:tc>
                <w:tcPr>
                  <w:tcW w:w="1247" w:type="pct"/>
                  <w:noWrap w:val="0"/>
                  <w:tcMar>
                    <w:top w:w="75" w:type="dxa"/>
                    <w:left w:w="75" w:type="dxa"/>
                    <w:bottom w:w="75" w:type="dxa"/>
                    <w:right w:w="75" w:type="dxa"/>
                  </w:tcMar>
                  <w:vAlign w:val="center"/>
                </w:tcPr>
                <w:p w14:paraId="74ED1165">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项目位于乐平市金山工业园区汽摩配工业小镇，未侵占自然湿地等水源涵养空间</w:t>
                  </w:r>
                </w:p>
              </w:tc>
            </w:tr>
            <w:tr w14:paraId="115523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E05A45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restart"/>
                  <w:noWrap w:val="0"/>
                  <w:tcMar>
                    <w:top w:w="75" w:type="dxa"/>
                    <w:left w:w="75" w:type="dxa"/>
                    <w:bottom w:w="75" w:type="dxa"/>
                    <w:right w:w="75" w:type="dxa"/>
                  </w:tcMar>
                  <w:vAlign w:val="center"/>
                </w:tcPr>
                <w:p w14:paraId="7C5EED9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限制开发建设活动的要求</w:t>
                  </w:r>
                </w:p>
              </w:tc>
              <w:tc>
                <w:tcPr>
                  <w:tcW w:w="482" w:type="pct"/>
                  <w:noWrap w:val="0"/>
                  <w:tcMar>
                    <w:top w:w="75" w:type="dxa"/>
                    <w:left w:w="75" w:type="dxa"/>
                    <w:bottom w:w="75" w:type="dxa"/>
                    <w:right w:w="75" w:type="dxa"/>
                  </w:tcMar>
                  <w:vAlign w:val="center"/>
                </w:tcPr>
                <w:p w14:paraId="09FA6A0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9</w:t>
                  </w:r>
                </w:p>
              </w:tc>
              <w:tc>
                <w:tcPr>
                  <w:tcW w:w="2163" w:type="pct"/>
                  <w:noWrap w:val="0"/>
                  <w:tcMar>
                    <w:top w:w="75" w:type="dxa"/>
                    <w:left w:w="75" w:type="dxa"/>
                    <w:bottom w:w="75" w:type="dxa"/>
                    <w:right w:w="75" w:type="dxa"/>
                  </w:tcMar>
                  <w:vAlign w:val="center"/>
                </w:tcPr>
                <w:p w14:paraId="3268177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昌江、乐安河干流5公里范围内不再新布局重化工园区，1公里范围内不得新上化工、造纸、印染、制革、冶炼等重污染项目；不得新建、改建、扩建《产业结构调整指导目录》（修正）中限制类和淘汰类项目。</w:t>
                  </w:r>
                </w:p>
              </w:tc>
              <w:tc>
                <w:tcPr>
                  <w:tcW w:w="1247" w:type="pct"/>
                  <w:noWrap w:val="0"/>
                  <w:tcMar>
                    <w:top w:w="75" w:type="dxa"/>
                    <w:left w:w="75" w:type="dxa"/>
                    <w:bottom w:w="75" w:type="dxa"/>
                    <w:right w:w="75" w:type="dxa"/>
                  </w:tcMar>
                  <w:vAlign w:val="center"/>
                </w:tcPr>
                <w:p w14:paraId="2D00546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项目为</w:t>
                  </w:r>
                  <w:r>
                    <w:rPr>
                      <w:rFonts w:hint="eastAsia"/>
                      <w:color w:val="000000" w:themeColor="text1"/>
                      <w:sz w:val="21"/>
                      <w:szCs w:val="21"/>
                      <w:highlight w:val="none"/>
                      <w14:textFill>
                        <w14:solidFill>
                          <w14:schemeClr w14:val="tx1"/>
                        </w14:solidFill>
                      </w14:textFill>
                    </w:rPr>
                    <w:t>汽车零部件及配件制造项目</w:t>
                  </w:r>
                  <w:r>
                    <w:rPr>
                      <w:color w:val="000000" w:themeColor="text1"/>
                      <w:sz w:val="21"/>
                      <w:szCs w:val="21"/>
                      <w:highlight w:val="none"/>
                      <w14:textFill>
                        <w14:solidFill>
                          <w14:schemeClr w14:val="tx1"/>
                        </w14:solidFill>
                      </w14:textFill>
                    </w:rPr>
                    <w:t>，不属于化工园区，不属于化工、造纸、印染、制革、冶炼等重污染项目</w:t>
                  </w:r>
                </w:p>
              </w:tc>
            </w:tr>
            <w:tr w14:paraId="42E0DD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48B20CD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5FBAA9D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0D23D45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10</w:t>
                  </w:r>
                </w:p>
              </w:tc>
              <w:tc>
                <w:tcPr>
                  <w:tcW w:w="2163" w:type="pct"/>
                  <w:noWrap w:val="0"/>
                  <w:tcMar>
                    <w:top w:w="75" w:type="dxa"/>
                    <w:left w:w="75" w:type="dxa"/>
                    <w:bottom w:w="75" w:type="dxa"/>
                    <w:right w:w="75" w:type="dxa"/>
                  </w:tcMar>
                  <w:vAlign w:val="center"/>
                </w:tcPr>
                <w:p w14:paraId="5D0FEAB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严把高耗能高排放项目准入关，坚决遏制高耗能高排放项目盲目发展</w:t>
                  </w:r>
                  <w:r>
                    <w:rPr>
                      <w:color w:val="000000" w:themeColor="text1"/>
                      <w:sz w:val="21"/>
                      <w:szCs w:val="21"/>
                      <w:highlight w:val="none"/>
                      <w14:textFill>
                        <w14:solidFill>
                          <w14:schemeClr w14:val="tx1"/>
                        </w14:solidFill>
                      </w14:textFill>
                    </w:rPr>
                    <w:t>。</w:t>
                  </w:r>
                </w:p>
              </w:tc>
              <w:tc>
                <w:tcPr>
                  <w:tcW w:w="1247" w:type="pct"/>
                  <w:noWrap w:val="0"/>
                  <w:tcMar>
                    <w:top w:w="75" w:type="dxa"/>
                    <w:left w:w="75" w:type="dxa"/>
                    <w:bottom w:w="75" w:type="dxa"/>
                    <w:right w:w="75" w:type="dxa"/>
                  </w:tcMar>
                  <w:vAlign w:val="center"/>
                </w:tcPr>
                <w:p w14:paraId="5234113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项目不属于“两高”行业</w:t>
                  </w:r>
                </w:p>
              </w:tc>
            </w:tr>
            <w:tr w14:paraId="53FD6F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6E73BF3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1F142B54">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5342340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11</w:t>
                  </w:r>
                </w:p>
              </w:tc>
              <w:tc>
                <w:tcPr>
                  <w:tcW w:w="2163" w:type="pct"/>
                  <w:noWrap w:val="0"/>
                  <w:tcMar>
                    <w:top w:w="75" w:type="dxa"/>
                    <w:left w:w="75" w:type="dxa"/>
                    <w:bottom w:w="75" w:type="dxa"/>
                    <w:right w:w="75" w:type="dxa"/>
                  </w:tcMar>
                  <w:vAlign w:val="center"/>
                </w:tcPr>
                <w:p w14:paraId="18BB64F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严格控制有色金属冶炼、石油加工、化工、焦化、电镀、印染、制革等行业企业准入，准入企业必须进入相应园区。</w:t>
                  </w:r>
                </w:p>
              </w:tc>
              <w:tc>
                <w:tcPr>
                  <w:tcW w:w="1247" w:type="pct"/>
                  <w:noWrap w:val="0"/>
                  <w:tcMar>
                    <w:top w:w="75" w:type="dxa"/>
                    <w:left w:w="75" w:type="dxa"/>
                    <w:bottom w:w="75" w:type="dxa"/>
                    <w:right w:w="75" w:type="dxa"/>
                  </w:tcMar>
                  <w:vAlign w:val="center"/>
                </w:tcPr>
                <w:p w14:paraId="7629062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项目不属于有色金属冶炼、石油加工、化工、焦化、电镀、印染、制革等行业企业</w:t>
                  </w:r>
                </w:p>
              </w:tc>
            </w:tr>
            <w:tr w14:paraId="753809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31F3B99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3D9785B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6185B15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12</w:t>
                  </w:r>
                </w:p>
              </w:tc>
              <w:tc>
                <w:tcPr>
                  <w:tcW w:w="2163" w:type="pct"/>
                  <w:noWrap w:val="0"/>
                  <w:tcMar>
                    <w:top w:w="75" w:type="dxa"/>
                    <w:left w:w="75" w:type="dxa"/>
                    <w:bottom w:w="75" w:type="dxa"/>
                    <w:right w:w="75" w:type="dxa"/>
                  </w:tcMar>
                  <w:vAlign w:val="center"/>
                </w:tcPr>
                <w:p w14:paraId="43C5246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强化燃煤锅炉废气精细管控，巩固燃煤锅炉整治成效，不再审批35蒸吨/小时及以下燃煤锅炉。</w:t>
                  </w:r>
                </w:p>
              </w:tc>
              <w:tc>
                <w:tcPr>
                  <w:tcW w:w="1247" w:type="pct"/>
                  <w:noWrap w:val="0"/>
                  <w:tcMar>
                    <w:top w:w="75" w:type="dxa"/>
                    <w:left w:w="75" w:type="dxa"/>
                    <w:bottom w:w="75" w:type="dxa"/>
                    <w:right w:w="75" w:type="dxa"/>
                  </w:tcMar>
                  <w:vAlign w:val="center"/>
                </w:tcPr>
                <w:p w14:paraId="44DB0C0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项目不涉及燃煤锅炉</w:t>
                  </w:r>
                </w:p>
              </w:tc>
            </w:tr>
            <w:tr w14:paraId="4C2BED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6DDF472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0D65F25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445309E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13</w:t>
                  </w:r>
                </w:p>
              </w:tc>
              <w:tc>
                <w:tcPr>
                  <w:tcW w:w="2163" w:type="pct"/>
                  <w:noWrap w:val="0"/>
                  <w:tcMar>
                    <w:top w:w="75" w:type="dxa"/>
                    <w:left w:w="75" w:type="dxa"/>
                    <w:bottom w:w="75" w:type="dxa"/>
                    <w:right w:w="75" w:type="dxa"/>
                  </w:tcMar>
                  <w:vAlign w:val="center"/>
                </w:tcPr>
                <w:p w14:paraId="09F3ACF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限养区内畜禽养殖规模实行严格限制，不得新建和扩建畜禽养殖场。</w:t>
                  </w:r>
                </w:p>
              </w:tc>
              <w:tc>
                <w:tcPr>
                  <w:tcW w:w="1247" w:type="pct"/>
                  <w:noWrap w:val="0"/>
                  <w:tcMar>
                    <w:top w:w="75" w:type="dxa"/>
                    <w:left w:w="75" w:type="dxa"/>
                    <w:bottom w:w="75" w:type="dxa"/>
                    <w:right w:w="75" w:type="dxa"/>
                  </w:tcMar>
                  <w:vAlign w:val="center"/>
                </w:tcPr>
                <w:p w14:paraId="1366F0AA">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项目不属于畜禽养殖</w:t>
                  </w:r>
                </w:p>
              </w:tc>
            </w:tr>
            <w:tr w14:paraId="4DB58D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0C1CD815">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11F1F26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53D663D0">
                  <w:pPr>
                    <w:shd w:val="clear" w:color="auto" w:fill="auto"/>
                    <w:adjustRightInd w:val="0"/>
                    <w:snapToGrid w:val="0"/>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14</w:t>
                  </w:r>
                </w:p>
              </w:tc>
              <w:tc>
                <w:tcPr>
                  <w:tcW w:w="2163" w:type="pct"/>
                  <w:noWrap w:val="0"/>
                  <w:tcMar>
                    <w:top w:w="75" w:type="dxa"/>
                    <w:left w:w="75" w:type="dxa"/>
                    <w:bottom w:w="75" w:type="dxa"/>
                    <w:right w:w="75" w:type="dxa"/>
                  </w:tcMar>
                  <w:vAlign w:val="center"/>
                </w:tcPr>
                <w:p w14:paraId="29C91ED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一般生态空间中零散城镇村建设用地、永久基本农田、特殊用地等，按国土空间规划的要求开展相关活动和开发行为。</w:t>
                  </w:r>
                </w:p>
              </w:tc>
              <w:tc>
                <w:tcPr>
                  <w:tcW w:w="1247" w:type="pct"/>
                  <w:noWrap w:val="0"/>
                  <w:tcMar>
                    <w:top w:w="75" w:type="dxa"/>
                    <w:left w:w="75" w:type="dxa"/>
                    <w:bottom w:w="75" w:type="dxa"/>
                    <w:right w:w="75" w:type="dxa"/>
                  </w:tcMar>
                  <w:vAlign w:val="center"/>
                </w:tcPr>
                <w:p w14:paraId="1F5F7CCB">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不涉及</w:t>
                  </w:r>
                </w:p>
              </w:tc>
            </w:tr>
            <w:tr w14:paraId="7090E1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6375211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restart"/>
                  <w:noWrap w:val="0"/>
                  <w:tcMar>
                    <w:top w:w="75" w:type="dxa"/>
                    <w:left w:w="75" w:type="dxa"/>
                    <w:bottom w:w="75" w:type="dxa"/>
                    <w:right w:w="75" w:type="dxa"/>
                  </w:tcMar>
                  <w:vAlign w:val="center"/>
                </w:tcPr>
                <w:p w14:paraId="0FB422C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不符合空间布局要求活动的退出要求</w:t>
                  </w:r>
                </w:p>
              </w:tc>
              <w:tc>
                <w:tcPr>
                  <w:tcW w:w="482" w:type="pct"/>
                  <w:noWrap w:val="0"/>
                  <w:tcMar>
                    <w:top w:w="75" w:type="dxa"/>
                    <w:left w:w="75" w:type="dxa"/>
                    <w:bottom w:w="75" w:type="dxa"/>
                    <w:right w:w="75" w:type="dxa"/>
                  </w:tcMar>
                  <w:vAlign w:val="center"/>
                </w:tcPr>
                <w:p w14:paraId="1A0E1461">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1</w:t>
                  </w:r>
                  <w:r>
                    <w:rPr>
                      <w:rFonts w:hint="eastAsia"/>
                      <w:color w:val="000000" w:themeColor="text1"/>
                      <w:sz w:val="21"/>
                      <w:szCs w:val="21"/>
                      <w:highlight w:val="none"/>
                      <w:lang w:val="en-US" w:eastAsia="zh-CN"/>
                      <w14:textFill>
                        <w14:solidFill>
                          <w14:schemeClr w14:val="tx1"/>
                        </w14:solidFill>
                      </w14:textFill>
                    </w:rPr>
                    <w:t>5</w:t>
                  </w:r>
                </w:p>
              </w:tc>
              <w:tc>
                <w:tcPr>
                  <w:tcW w:w="2163" w:type="pct"/>
                  <w:noWrap w:val="0"/>
                  <w:tcMar>
                    <w:top w:w="75" w:type="dxa"/>
                    <w:left w:w="75" w:type="dxa"/>
                    <w:bottom w:w="75" w:type="dxa"/>
                    <w:right w:w="75" w:type="dxa"/>
                  </w:tcMar>
                  <w:vAlign w:val="center"/>
                </w:tcPr>
                <w:p w14:paraId="19FC7EC4">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对饮用水源保护区内小（2）型及以上水库，禁止使用无机肥、有机肥、生物复合肥等进行养殖，积极推行人放天养；禁止在饮用水源保护区内新建、改建、扩建排放污染物的建设项目，已建成的排放污染物建设项目，由县级以上人民政府责令拆除或者关闭。对非饮用水源区小（2）型及以上水库，禁止使用无机肥、有机肥、生物复合肥等进行养殖；库区内畜禽养殖场、养殖小区应当及时收集、贮存、清运畜禽粪便、污水等，采取防渗漏雨和防恶臭等措施，防止粪便和污水渗漏、外溢。</w:t>
                  </w:r>
                </w:p>
              </w:tc>
              <w:tc>
                <w:tcPr>
                  <w:tcW w:w="1247" w:type="pct"/>
                  <w:noWrap w:val="0"/>
                  <w:tcMar>
                    <w:top w:w="75" w:type="dxa"/>
                    <w:left w:w="75" w:type="dxa"/>
                    <w:bottom w:w="75" w:type="dxa"/>
                    <w:right w:w="75" w:type="dxa"/>
                  </w:tcMar>
                  <w:vAlign w:val="center"/>
                </w:tcPr>
                <w:p w14:paraId="0229C553">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val="en-US" w:eastAsia="zh-CN"/>
                      <w14:textFill>
                        <w14:solidFill>
                          <w14:schemeClr w14:val="tx1"/>
                        </w14:solidFill>
                      </w14:textFill>
                    </w:rPr>
                  </w:pPr>
                  <w:r>
                    <w:rPr>
                      <w:color w:val="000000" w:themeColor="text1"/>
                      <w:sz w:val="21"/>
                      <w:szCs w:val="21"/>
                      <w:highlight w:val="none"/>
                      <w14:textFill>
                        <w14:solidFill>
                          <w14:schemeClr w14:val="tx1"/>
                        </w14:solidFill>
                      </w14:textFill>
                    </w:rPr>
                    <w:t>项目</w:t>
                  </w:r>
                  <w:r>
                    <w:rPr>
                      <w:rFonts w:hint="eastAsia"/>
                      <w:color w:val="000000" w:themeColor="text1"/>
                      <w:sz w:val="21"/>
                      <w:szCs w:val="21"/>
                      <w:highlight w:val="none"/>
                      <w:lang w:val="en-US" w:eastAsia="zh-CN"/>
                      <w14:textFill>
                        <w14:solidFill>
                          <w14:schemeClr w14:val="tx1"/>
                        </w14:solidFill>
                      </w14:textFill>
                    </w:rPr>
                    <w:t>不涉及肥料使用；项目建设位置不涉及饮用水源保护区；项目</w:t>
                  </w:r>
                  <w:r>
                    <w:rPr>
                      <w:color w:val="000000" w:themeColor="text1"/>
                      <w:sz w:val="21"/>
                      <w:szCs w:val="21"/>
                      <w:highlight w:val="none"/>
                      <w14:textFill>
                        <w14:solidFill>
                          <w14:schemeClr w14:val="tx1"/>
                        </w14:solidFill>
                      </w14:textFill>
                    </w:rPr>
                    <w:t>不属于畜禽养殖</w:t>
                  </w:r>
                  <w:r>
                    <w:rPr>
                      <w:rFonts w:hint="eastAsia"/>
                      <w:color w:val="000000" w:themeColor="text1"/>
                      <w:sz w:val="21"/>
                      <w:szCs w:val="21"/>
                      <w:highlight w:val="none"/>
                      <w:lang w:val="en-US" w:eastAsia="zh-CN"/>
                      <w14:textFill>
                        <w14:solidFill>
                          <w14:schemeClr w14:val="tx1"/>
                        </w14:solidFill>
                      </w14:textFill>
                    </w:rPr>
                    <w:t>项目。</w:t>
                  </w:r>
                </w:p>
              </w:tc>
            </w:tr>
            <w:tr w14:paraId="20B1AF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8EE426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010D65D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081BFC6C">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1</w:t>
                  </w:r>
                  <w:r>
                    <w:rPr>
                      <w:rFonts w:hint="eastAsia"/>
                      <w:color w:val="000000" w:themeColor="text1"/>
                      <w:sz w:val="21"/>
                      <w:szCs w:val="21"/>
                      <w:highlight w:val="none"/>
                      <w:lang w:val="en-US" w:eastAsia="zh-CN"/>
                      <w14:textFill>
                        <w14:solidFill>
                          <w14:schemeClr w14:val="tx1"/>
                        </w14:solidFill>
                      </w14:textFill>
                    </w:rPr>
                    <w:t>6</w:t>
                  </w:r>
                </w:p>
              </w:tc>
              <w:tc>
                <w:tcPr>
                  <w:tcW w:w="2163" w:type="pct"/>
                  <w:noWrap w:val="0"/>
                  <w:tcMar>
                    <w:top w:w="75" w:type="dxa"/>
                    <w:left w:w="75" w:type="dxa"/>
                    <w:bottom w:w="75" w:type="dxa"/>
                    <w:right w:w="75" w:type="dxa"/>
                  </w:tcMar>
                  <w:vAlign w:val="center"/>
                </w:tcPr>
                <w:p w14:paraId="51266B5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加快淘汰落后低效产能，巩固煤炭去产能成果。</w:t>
                  </w:r>
                </w:p>
              </w:tc>
              <w:tc>
                <w:tcPr>
                  <w:tcW w:w="1247" w:type="pct"/>
                  <w:noWrap w:val="0"/>
                  <w:tcMar>
                    <w:top w:w="75" w:type="dxa"/>
                    <w:left w:w="75" w:type="dxa"/>
                    <w:bottom w:w="75" w:type="dxa"/>
                    <w:right w:w="75" w:type="dxa"/>
                  </w:tcMar>
                  <w:vAlign w:val="center"/>
                </w:tcPr>
                <w:p w14:paraId="0DFD9BF8">
                  <w:pPr>
                    <w:shd w:val="clear" w:color="auto" w:fill="auto"/>
                    <w:adjustRightInd w:val="0"/>
                    <w:snapToGrid w:val="0"/>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color w:val="000000" w:themeColor="text1"/>
                      <w:sz w:val="21"/>
                      <w:szCs w:val="21"/>
                      <w:highlight w:val="none"/>
                      <w14:textFill>
                        <w14:solidFill>
                          <w14:schemeClr w14:val="tx1"/>
                        </w14:solidFill>
                      </w14:textFill>
                    </w:rPr>
                    <w:t>项目</w:t>
                  </w:r>
                  <w:r>
                    <w:rPr>
                      <w:rFonts w:hint="eastAsia"/>
                      <w:color w:val="000000" w:themeColor="text1"/>
                      <w:sz w:val="21"/>
                      <w:szCs w:val="21"/>
                      <w:highlight w:val="none"/>
                      <w:lang w:val="en-US" w:eastAsia="zh-CN"/>
                      <w14:textFill>
                        <w14:solidFill>
                          <w14:schemeClr w14:val="tx1"/>
                        </w14:solidFill>
                      </w14:textFill>
                    </w:rPr>
                    <w:t>不属于落后低效产能。</w:t>
                  </w:r>
                </w:p>
              </w:tc>
            </w:tr>
            <w:tr w14:paraId="26540F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restart"/>
                  <w:noWrap w:val="0"/>
                  <w:tcMar>
                    <w:top w:w="75" w:type="dxa"/>
                    <w:left w:w="75" w:type="dxa"/>
                    <w:bottom w:w="75" w:type="dxa"/>
                    <w:right w:w="75" w:type="dxa"/>
                  </w:tcMar>
                  <w:vAlign w:val="center"/>
                </w:tcPr>
                <w:p w14:paraId="276AE18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污染物排放管控</w:t>
                  </w:r>
                </w:p>
              </w:tc>
              <w:tc>
                <w:tcPr>
                  <w:tcW w:w="653" w:type="pct"/>
                  <w:noWrap w:val="0"/>
                  <w:tcMar>
                    <w:top w:w="75" w:type="dxa"/>
                    <w:left w:w="75" w:type="dxa"/>
                    <w:bottom w:w="75" w:type="dxa"/>
                    <w:right w:w="75" w:type="dxa"/>
                  </w:tcMar>
                  <w:vAlign w:val="center"/>
                </w:tcPr>
                <w:p w14:paraId="4193638D">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允许排放量要求</w:t>
                  </w:r>
                </w:p>
              </w:tc>
              <w:tc>
                <w:tcPr>
                  <w:tcW w:w="482" w:type="pct"/>
                  <w:noWrap w:val="0"/>
                  <w:tcMar>
                    <w:top w:w="75" w:type="dxa"/>
                    <w:left w:w="75" w:type="dxa"/>
                    <w:bottom w:w="75" w:type="dxa"/>
                    <w:right w:w="75" w:type="dxa"/>
                  </w:tcMar>
                  <w:vAlign w:val="center"/>
                </w:tcPr>
                <w:p w14:paraId="299B6E14">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1</w:t>
                  </w:r>
                  <w:r>
                    <w:rPr>
                      <w:rFonts w:hint="eastAsia"/>
                      <w:color w:val="000000" w:themeColor="text1"/>
                      <w:sz w:val="21"/>
                      <w:szCs w:val="21"/>
                      <w:highlight w:val="none"/>
                      <w:lang w:val="en-US" w:eastAsia="zh-CN"/>
                      <w14:textFill>
                        <w14:solidFill>
                          <w14:schemeClr w14:val="tx1"/>
                        </w14:solidFill>
                      </w14:textFill>
                    </w:rPr>
                    <w:t>7</w:t>
                  </w:r>
                </w:p>
              </w:tc>
              <w:tc>
                <w:tcPr>
                  <w:tcW w:w="2163" w:type="pct"/>
                  <w:noWrap w:val="0"/>
                  <w:tcMar>
                    <w:top w:w="75" w:type="dxa"/>
                    <w:left w:w="75" w:type="dxa"/>
                    <w:bottom w:w="75" w:type="dxa"/>
                    <w:right w:w="75" w:type="dxa"/>
                  </w:tcMar>
                  <w:vAlign w:val="center"/>
                </w:tcPr>
                <w:p w14:paraId="54AD706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到2025年，重点工程氮氧化物排放量减少695吨、挥发性有机物排放量减少470吨、COD排放量减少3372吨、氨氮排放量减少233吨。</w:t>
                  </w:r>
                </w:p>
              </w:tc>
              <w:tc>
                <w:tcPr>
                  <w:tcW w:w="1247" w:type="pct"/>
                  <w:noWrap w:val="0"/>
                  <w:tcMar>
                    <w:top w:w="75" w:type="dxa"/>
                    <w:left w:w="75" w:type="dxa"/>
                    <w:bottom w:w="75" w:type="dxa"/>
                    <w:right w:w="75" w:type="dxa"/>
                  </w:tcMar>
                  <w:vAlign w:val="center"/>
                </w:tcPr>
                <w:p w14:paraId="70EC4C9B">
                  <w:pPr>
                    <w:shd w:val="clear" w:color="auto" w:fill="auto"/>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项目按照要求申请总量</w:t>
                  </w: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lang w:val="en-US" w:eastAsia="zh-CN"/>
                      <w14:textFill>
                        <w14:solidFill>
                          <w14:schemeClr w14:val="tx1"/>
                        </w14:solidFill>
                      </w14:textFill>
                    </w:rPr>
                    <w:t>并取得总量文件。</w:t>
                  </w:r>
                </w:p>
              </w:tc>
            </w:tr>
            <w:tr w14:paraId="472E1D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700785F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restart"/>
                  <w:noWrap w:val="0"/>
                  <w:tcMar>
                    <w:top w:w="75" w:type="dxa"/>
                    <w:left w:w="75" w:type="dxa"/>
                    <w:bottom w:w="75" w:type="dxa"/>
                    <w:right w:w="75" w:type="dxa"/>
                  </w:tcMar>
                  <w:vAlign w:val="center"/>
                </w:tcPr>
                <w:p w14:paraId="03621C75">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现有源提标升级改造</w:t>
                  </w:r>
                </w:p>
              </w:tc>
              <w:tc>
                <w:tcPr>
                  <w:tcW w:w="482" w:type="pct"/>
                  <w:noWrap w:val="0"/>
                  <w:tcMar>
                    <w:top w:w="75" w:type="dxa"/>
                    <w:left w:w="75" w:type="dxa"/>
                    <w:bottom w:w="75" w:type="dxa"/>
                    <w:right w:w="75" w:type="dxa"/>
                  </w:tcMar>
                  <w:vAlign w:val="center"/>
                </w:tcPr>
                <w:p w14:paraId="074769D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18</w:t>
                  </w:r>
                </w:p>
              </w:tc>
              <w:tc>
                <w:tcPr>
                  <w:tcW w:w="2163" w:type="pct"/>
                  <w:noWrap w:val="0"/>
                  <w:tcMar>
                    <w:top w:w="75" w:type="dxa"/>
                    <w:left w:w="75" w:type="dxa"/>
                    <w:bottom w:w="75" w:type="dxa"/>
                    <w:right w:w="75" w:type="dxa"/>
                  </w:tcMar>
                  <w:vAlign w:val="center"/>
                </w:tcPr>
                <w:p w14:paraId="49F9C8B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推进重点行业超低排放改造，65蒸吨/小时以上的燃煤锅炉（含电力）全面实现超低排放，完成水泥、焦化行业全流程超低排放。推动陶瓷、石灰、玻璃、无机化工等行业炉窑实施清洁能源替代。</w:t>
                  </w:r>
                </w:p>
              </w:tc>
              <w:tc>
                <w:tcPr>
                  <w:tcW w:w="1247" w:type="pct"/>
                  <w:noWrap w:val="0"/>
                  <w:tcMar>
                    <w:top w:w="75" w:type="dxa"/>
                    <w:left w:w="75" w:type="dxa"/>
                    <w:bottom w:w="75" w:type="dxa"/>
                    <w:right w:w="75" w:type="dxa"/>
                  </w:tcMar>
                  <w:vAlign w:val="center"/>
                </w:tcPr>
                <w:p w14:paraId="053DE3EB">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val="en-US" w:eastAsia="zh-CN"/>
                      <w14:textFill>
                        <w14:solidFill>
                          <w14:schemeClr w14:val="tx1"/>
                        </w14:solidFill>
                      </w14:textFill>
                    </w:rPr>
                  </w:pPr>
                  <w:r>
                    <w:rPr>
                      <w:color w:val="000000" w:themeColor="text1"/>
                      <w:sz w:val="21"/>
                      <w:szCs w:val="21"/>
                      <w:highlight w:val="none"/>
                      <w14:textFill>
                        <w14:solidFill>
                          <w14:schemeClr w14:val="tx1"/>
                        </w14:solidFill>
                      </w14:textFill>
                    </w:rPr>
                    <w:t>项目不属于</w:t>
                  </w:r>
                  <w:r>
                    <w:rPr>
                      <w:rFonts w:hint="eastAsia"/>
                      <w:color w:val="000000" w:themeColor="text1"/>
                      <w:sz w:val="21"/>
                      <w:szCs w:val="21"/>
                      <w:highlight w:val="none"/>
                      <w:lang w:val="en-US" w:eastAsia="zh-CN"/>
                      <w14:textFill>
                        <w14:solidFill>
                          <w14:schemeClr w14:val="tx1"/>
                        </w14:solidFill>
                      </w14:textFill>
                    </w:rPr>
                    <w:t>燃煤锅炉、</w:t>
                  </w:r>
                  <w:r>
                    <w:rPr>
                      <w:rFonts w:hint="eastAsia"/>
                      <w:color w:val="000000" w:themeColor="text1"/>
                      <w:sz w:val="21"/>
                      <w:szCs w:val="21"/>
                      <w:highlight w:val="none"/>
                      <w14:textFill>
                        <w14:solidFill>
                          <w14:schemeClr w14:val="tx1"/>
                        </w14:solidFill>
                      </w14:textFill>
                    </w:rPr>
                    <w:t>水泥、焦化</w:t>
                  </w:r>
                  <w:r>
                    <w:rPr>
                      <w:rFonts w:hint="eastAsia"/>
                      <w:color w:val="000000" w:themeColor="text1"/>
                      <w:sz w:val="21"/>
                      <w:szCs w:val="21"/>
                      <w:highlight w:val="none"/>
                      <w:lang w:eastAsia="zh-CN"/>
                      <w14:textFill>
                        <w14:solidFill>
                          <w14:schemeClr w14:val="tx1"/>
                        </w14:solidFill>
                      </w14:textFill>
                    </w:rPr>
                    <w:t>、</w:t>
                  </w:r>
                  <w:r>
                    <w:rPr>
                      <w:rFonts w:hint="eastAsia"/>
                      <w:color w:val="000000" w:themeColor="text1"/>
                      <w:sz w:val="21"/>
                      <w:szCs w:val="21"/>
                      <w:highlight w:val="none"/>
                      <w14:textFill>
                        <w14:solidFill>
                          <w14:schemeClr w14:val="tx1"/>
                        </w14:solidFill>
                      </w14:textFill>
                    </w:rPr>
                    <w:t>陶瓷、石灰、玻璃、无机化工</w:t>
                  </w:r>
                  <w:r>
                    <w:rPr>
                      <w:rFonts w:hint="eastAsia"/>
                      <w:color w:val="000000" w:themeColor="text1"/>
                      <w:sz w:val="21"/>
                      <w:szCs w:val="21"/>
                      <w:highlight w:val="none"/>
                      <w:lang w:val="en-US" w:eastAsia="zh-CN"/>
                      <w14:textFill>
                        <w14:solidFill>
                          <w14:schemeClr w14:val="tx1"/>
                        </w14:solidFill>
                      </w14:textFill>
                    </w:rPr>
                    <w:t>行业。</w:t>
                  </w:r>
                </w:p>
              </w:tc>
            </w:tr>
            <w:tr w14:paraId="488CAF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318290E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587F10B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0FD19A1C">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19</w:t>
                  </w:r>
                </w:p>
              </w:tc>
              <w:tc>
                <w:tcPr>
                  <w:tcW w:w="2163" w:type="pct"/>
                  <w:noWrap w:val="0"/>
                  <w:tcMar>
                    <w:top w:w="75" w:type="dxa"/>
                    <w:left w:w="75" w:type="dxa"/>
                    <w:bottom w:w="75" w:type="dxa"/>
                    <w:right w:w="75" w:type="dxa"/>
                  </w:tcMar>
                  <w:vAlign w:val="center"/>
                </w:tcPr>
                <w:p w14:paraId="29EDBD2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持续推进重点区域重金属减排，严格重点区域涉重金属建设项目环境准入，新（改、扩）建涉重金属重点行业建设项目必须遵循“减量置换”或“等量替换”原则，开展重金属污染综合治理，完成重点行业重点重金属污染物减排目标任务。</w:t>
                  </w:r>
                </w:p>
              </w:tc>
              <w:tc>
                <w:tcPr>
                  <w:tcW w:w="1247" w:type="pct"/>
                  <w:noWrap w:val="0"/>
                  <w:tcMar>
                    <w:top w:w="75" w:type="dxa"/>
                    <w:left w:w="75" w:type="dxa"/>
                    <w:bottom w:w="75" w:type="dxa"/>
                    <w:right w:w="75" w:type="dxa"/>
                  </w:tcMar>
                  <w:vAlign w:val="center"/>
                </w:tcPr>
                <w:p w14:paraId="1479B4D0">
                  <w:pPr>
                    <w:shd w:val="clear" w:color="auto" w:fill="auto"/>
                    <w:adjustRightInd w:val="0"/>
                    <w:snapToGrid w:val="0"/>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color w:val="000000" w:themeColor="text1"/>
                      <w:sz w:val="21"/>
                      <w:szCs w:val="21"/>
                      <w:highlight w:val="none"/>
                      <w14:textFill>
                        <w14:solidFill>
                          <w14:schemeClr w14:val="tx1"/>
                        </w14:solidFill>
                      </w14:textFill>
                    </w:rPr>
                    <w:t>项目</w:t>
                  </w:r>
                  <w:r>
                    <w:rPr>
                      <w:rFonts w:hint="eastAsia"/>
                      <w:color w:val="000000" w:themeColor="text1"/>
                      <w:sz w:val="21"/>
                      <w:szCs w:val="21"/>
                      <w:highlight w:val="none"/>
                      <w:lang w:val="en-US" w:eastAsia="zh-CN"/>
                      <w14:textFill>
                        <w14:solidFill>
                          <w14:schemeClr w14:val="tx1"/>
                        </w14:solidFill>
                      </w14:textFill>
                    </w:rPr>
                    <w:t>不涉及重金属排放。</w:t>
                  </w:r>
                </w:p>
              </w:tc>
            </w:tr>
            <w:tr w14:paraId="14D701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3C8737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56E4B3C8">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3F9AB9EC">
                  <w:pPr>
                    <w:shd w:val="clear" w:color="auto" w:fill="auto"/>
                    <w:adjustRightInd w:val="0"/>
                    <w:snapToGrid w:val="0"/>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20</w:t>
                  </w:r>
                </w:p>
              </w:tc>
              <w:tc>
                <w:tcPr>
                  <w:tcW w:w="2163" w:type="pct"/>
                  <w:noWrap w:val="0"/>
                  <w:tcMar>
                    <w:top w:w="75" w:type="dxa"/>
                    <w:left w:w="75" w:type="dxa"/>
                    <w:bottom w:w="75" w:type="dxa"/>
                    <w:right w:w="75" w:type="dxa"/>
                  </w:tcMar>
                  <w:vAlign w:val="center"/>
                </w:tcPr>
                <w:p w14:paraId="5B87E5BA">
                  <w:pPr>
                    <w:shd w:val="clear" w:color="auto" w:fill="auto"/>
                    <w:adjustRightInd w:val="0"/>
                    <w:snapToGrid w:val="0"/>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深化消耗臭氧层物质和氢氟碳化物环境管理。</w:t>
                  </w:r>
                </w:p>
              </w:tc>
              <w:tc>
                <w:tcPr>
                  <w:tcW w:w="1247" w:type="pct"/>
                  <w:noWrap w:val="0"/>
                  <w:tcMar>
                    <w:top w:w="75" w:type="dxa"/>
                    <w:left w:w="75" w:type="dxa"/>
                    <w:bottom w:w="75" w:type="dxa"/>
                    <w:right w:w="75" w:type="dxa"/>
                  </w:tcMar>
                  <w:vAlign w:val="center"/>
                </w:tcPr>
                <w:p w14:paraId="51965100">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不涉及</w:t>
                  </w:r>
                </w:p>
              </w:tc>
            </w:tr>
            <w:tr w14:paraId="605212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371A530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vMerge w:val="continue"/>
                  <w:noWrap w:val="0"/>
                  <w:tcMar>
                    <w:top w:w="75" w:type="dxa"/>
                    <w:left w:w="75" w:type="dxa"/>
                    <w:bottom w:w="75" w:type="dxa"/>
                    <w:right w:w="75" w:type="dxa"/>
                  </w:tcMar>
                  <w:vAlign w:val="center"/>
                </w:tcPr>
                <w:p w14:paraId="188D7C37">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482" w:type="pct"/>
                  <w:noWrap w:val="0"/>
                  <w:tcMar>
                    <w:top w:w="75" w:type="dxa"/>
                    <w:left w:w="75" w:type="dxa"/>
                    <w:bottom w:w="75" w:type="dxa"/>
                    <w:right w:w="75" w:type="dxa"/>
                  </w:tcMar>
                  <w:vAlign w:val="center"/>
                </w:tcPr>
                <w:p w14:paraId="07E07A0B">
                  <w:pPr>
                    <w:shd w:val="clear" w:color="auto" w:fill="auto"/>
                    <w:adjustRightInd w:val="0"/>
                    <w:snapToGrid w:val="0"/>
                    <w:spacing w:line="240" w:lineRule="auto"/>
                    <w:ind w:firstLine="0" w:firstLineChars="0"/>
                    <w:jc w:val="center"/>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21</w:t>
                  </w:r>
                </w:p>
              </w:tc>
              <w:tc>
                <w:tcPr>
                  <w:tcW w:w="2163" w:type="pct"/>
                  <w:noWrap w:val="0"/>
                  <w:tcMar>
                    <w:top w:w="75" w:type="dxa"/>
                    <w:left w:w="75" w:type="dxa"/>
                    <w:bottom w:w="75" w:type="dxa"/>
                    <w:right w:w="75" w:type="dxa"/>
                  </w:tcMar>
                  <w:vAlign w:val="center"/>
                </w:tcPr>
                <w:p w14:paraId="323E7BCA">
                  <w:pPr>
                    <w:shd w:val="clear" w:color="auto" w:fill="auto"/>
                    <w:adjustRightInd w:val="0"/>
                    <w:snapToGrid w:val="0"/>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对焦化、水泥、医药化工、石化等重点行业进行清洁生产审核，针对节能减排关键领域和薄弱环节，采用先进适用清洁生产技术、工艺和装备，实施清洁生产技术改造。</w:t>
                  </w:r>
                </w:p>
              </w:tc>
              <w:tc>
                <w:tcPr>
                  <w:tcW w:w="1247" w:type="pct"/>
                  <w:noWrap w:val="0"/>
                  <w:tcMar>
                    <w:top w:w="75" w:type="dxa"/>
                    <w:left w:w="75" w:type="dxa"/>
                    <w:bottom w:w="75" w:type="dxa"/>
                    <w:right w:w="75" w:type="dxa"/>
                  </w:tcMar>
                  <w:vAlign w:val="center"/>
                </w:tcPr>
                <w:p w14:paraId="3024572A">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项目不属于</w:t>
                  </w:r>
                  <w:r>
                    <w:rPr>
                      <w:rFonts w:hint="eastAsia"/>
                      <w:color w:val="000000" w:themeColor="text1"/>
                      <w:sz w:val="21"/>
                      <w:szCs w:val="21"/>
                      <w:highlight w:val="none"/>
                      <w14:textFill>
                        <w14:solidFill>
                          <w14:schemeClr w14:val="tx1"/>
                        </w14:solidFill>
                      </w14:textFill>
                    </w:rPr>
                    <w:t>焦化、水泥、医药化工、石化等重点行业</w:t>
                  </w:r>
                  <w:r>
                    <w:rPr>
                      <w:rFonts w:hint="eastAsia"/>
                      <w:color w:val="000000" w:themeColor="text1"/>
                      <w:sz w:val="21"/>
                      <w:szCs w:val="21"/>
                      <w:highlight w:val="none"/>
                      <w:lang w:eastAsia="zh-CN"/>
                      <w14:textFill>
                        <w14:solidFill>
                          <w14:schemeClr w14:val="tx1"/>
                        </w14:solidFill>
                      </w14:textFill>
                    </w:rPr>
                    <w:t>。</w:t>
                  </w:r>
                </w:p>
              </w:tc>
            </w:tr>
            <w:tr w14:paraId="12E500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noWrap w:val="0"/>
                  <w:tcMar>
                    <w:top w:w="75" w:type="dxa"/>
                    <w:left w:w="75" w:type="dxa"/>
                    <w:bottom w:w="75" w:type="dxa"/>
                    <w:right w:w="75" w:type="dxa"/>
                  </w:tcMar>
                  <w:vAlign w:val="center"/>
                </w:tcPr>
                <w:p w14:paraId="190CBC7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环境风险防控</w:t>
                  </w:r>
                </w:p>
              </w:tc>
              <w:tc>
                <w:tcPr>
                  <w:tcW w:w="653" w:type="pct"/>
                  <w:noWrap w:val="0"/>
                  <w:tcMar>
                    <w:top w:w="75" w:type="dxa"/>
                    <w:left w:w="75" w:type="dxa"/>
                    <w:bottom w:w="75" w:type="dxa"/>
                    <w:right w:w="75" w:type="dxa"/>
                  </w:tcMar>
                  <w:vAlign w:val="center"/>
                </w:tcPr>
                <w:p w14:paraId="15BA24D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联防联控要求</w:t>
                  </w:r>
                </w:p>
              </w:tc>
              <w:tc>
                <w:tcPr>
                  <w:tcW w:w="482" w:type="pct"/>
                  <w:noWrap w:val="0"/>
                  <w:tcMar>
                    <w:top w:w="75" w:type="dxa"/>
                    <w:left w:w="75" w:type="dxa"/>
                    <w:bottom w:w="75" w:type="dxa"/>
                    <w:right w:w="75" w:type="dxa"/>
                  </w:tcMar>
                  <w:vAlign w:val="center"/>
                </w:tcPr>
                <w:p w14:paraId="3CBE8842">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2</w:t>
                  </w:r>
                  <w:r>
                    <w:rPr>
                      <w:rFonts w:hint="eastAsia"/>
                      <w:color w:val="000000" w:themeColor="text1"/>
                      <w:sz w:val="21"/>
                      <w:szCs w:val="21"/>
                      <w:highlight w:val="none"/>
                      <w:lang w:val="en-US" w:eastAsia="zh-CN"/>
                      <w14:textFill>
                        <w14:solidFill>
                          <w14:schemeClr w14:val="tx1"/>
                        </w14:solidFill>
                      </w14:textFill>
                    </w:rPr>
                    <w:t>2</w:t>
                  </w:r>
                </w:p>
              </w:tc>
              <w:tc>
                <w:tcPr>
                  <w:tcW w:w="2163" w:type="pct"/>
                  <w:noWrap w:val="0"/>
                  <w:tcMar>
                    <w:top w:w="75" w:type="dxa"/>
                    <w:left w:w="75" w:type="dxa"/>
                    <w:bottom w:w="75" w:type="dxa"/>
                    <w:right w:w="75" w:type="dxa"/>
                  </w:tcMar>
                  <w:vAlign w:val="center"/>
                </w:tcPr>
                <w:p w14:paraId="404A7CF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完善大气污染防治综合治理体系，持续开展部门联防联控，加强与周边有关城市的联防联控。建立健全跨流域上下游突发水污染事件联防联控机制，加强研判预警、拦污控污、信息通报、协同处置、纠纷调处、基础保障等工作，防范重大生态环境风险。</w:t>
                  </w:r>
                </w:p>
              </w:tc>
              <w:tc>
                <w:tcPr>
                  <w:tcW w:w="1247" w:type="pct"/>
                  <w:noWrap w:val="0"/>
                  <w:tcMar>
                    <w:top w:w="75" w:type="dxa"/>
                    <w:left w:w="75" w:type="dxa"/>
                    <w:bottom w:w="75" w:type="dxa"/>
                    <w:right w:w="75" w:type="dxa"/>
                  </w:tcMar>
                  <w:vAlign w:val="center"/>
                </w:tcPr>
                <w:p w14:paraId="7AE1864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不涉及</w:t>
                  </w:r>
                </w:p>
              </w:tc>
            </w:tr>
            <w:tr w14:paraId="3783C8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restart"/>
                  <w:noWrap w:val="0"/>
                  <w:tcMar>
                    <w:top w:w="75" w:type="dxa"/>
                    <w:left w:w="75" w:type="dxa"/>
                    <w:bottom w:w="75" w:type="dxa"/>
                    <w:right w:w="75" w:type="dxa"/>
                  </w:tcMar>
                  <w:vAlign w:val="center"/>
                </w:tcPr>
                <w:p w14:paraId="25DE885F">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资源利用效率要求</w:t>
                  </w:r>
                </w:p>
              </w:tc>
              <w:tc>
                <w:tcPr>
                  <w:tcW w:w="653" w:type="pct"/>
                  <w:noWrap w:val="0"/>
                  <w:tcMar>
                    <w:top w:w="75" w:type="dxa"/>
                    <w:left w:w="75" w:type="dxa"/>
                    <w:bottom w:w="75" w:type="dxa"/>
                    <w:right w:w="75" w:type="dxa"/>
                  </w:tcMar>
                  <w:vAlign w:val="center"/>
                </w:tcPr>
                <w:p w14:paraId="1B7C7700">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水资源利用总量要求</w:t>
                  </w:r>
                </w:p>
              </w:tc>
              <w:tc>
                <w:tcPr>
                  <w:tcW w:w="482" w:type="pct"/>
                  <w:noWrap w:val="0"/>
                  <w:tcMar>
                    <w:top w:w="75" w:type="dxa"/>
                    <w:left w:w="75" w:type="dxa"/>
                    <w:bottom w:w="75" w:type="dxa"/>
                    <w:right w:w="75" w:type="dxa"/>
                  </w:tcMar>
                  <w:vAlign w:val="center"/>
                </w:tcPr>
                <w:p w14:paraId="45AA42B0">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2</w:t>
                  </w:r>
                  <w:r>
                    <w:rPr>
                      <w:rFonts w:hint="eastAsia"/>
                      <w:color w:val="000000" w:themeColor="text1"/>
                      <w:sz w:val="21"/>
                      <w:szCs w:val="21"/>
                      <w:highlight w:val="none"/>
                      <w:lang w:val="en-US" w:eastAsia="zh-CN"/>
                      <w14:textFill>
                        <w14:solidFill>
                          <w14:schemeClr w14:val="tx1"/>
                        </w14:solidFill>
                      </w14:textFill>
                    </w:rPr>
                    <w:t>3</w:t>
                  </w:r>
                </w:p>
              </w:tc>
              <w:tc>
                <w:tcPr>
                  <w:tcW w:w="2163" w:type="pct"/>
                  <w:noWrap w:val="0"/>
                  <w:tcMar>
                    <w:top w:w="75" w:type="dxa"/>
                    <w:left w:w="75" w:type="dxa"/>
                    <w:bottom w:w="75" w:type="dxa"/>
                    <w:right w:w="75" w:type="dxa"/>
                  </w:tcMar>
                  <w:vAlign w:val="center"/>
                </w:tcPr>
                <w:p w14:paraId="2270E78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到2025年，全市用水总量控制在9.27亿立方米以内，万元工业增加值用水量比2020年下降20%，农田灌溉水有效利用系数0.522。</w:t>
                  </w:r>
                </w:p>
              </w:tc>
              <w:tc>
                <w:tcPr>
                  <w:tcW w:w="1247" w:type="pct"/>
                  <w:noWrap w:val="0"/>
                  <w:tcMar>
                    <w:top w:w="75" w:type="dxa"/>
                    <w:left w:w="75" w:type="dxa"/>
                    <w:bottom w:w="75" w:type="dxa"/>
                    <w:right w:w="75" w:type="dxa"/>
                  </w:tcMar>
                  <w:vAlign w:val="center"/>
                </w:tcPr>
                <w:p w14:paraId="18B8D411">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不涉及</w:t>
                  </w:r>
                </w:p>
              </w:tc>
            </w:tr>
            <w:tr w14:paraId="60094E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438D55DE">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noWrap w:val="0"/>
                  <w:tcMar>
                    <w:top w:w="75" w:type="dxa"/>
                    <w:left w:w="75" w:type="dxa"/>
                    <w:bottom w:w="75" w:type="dxa"/>
                    <w:right w:w="75" w:type="dxa"/>
                  </w:tcMar>
                  <w:vAlign w:val="center"/>
                </w:tcPr>
                <w:p w14:paraId="6B4D993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地下水开采要求</w:t>
                  </w:r>
                </w:p>
              </w:tc>
              <w:tc>
                <w:tcPr>
                  <w:tcW w:w="482" w:type="pct"/>
                  <w:noWrap w:val="0"/>
                  <w:tcMar>
                    <w:top w:w="75" w:type="dxa"/>
                    <w:left w:w="75" w:type="dxa"/>
                    <w:bottom w:w="75" w:type="dxa"/>
                    <w:right w:w="75" w:type="dxa"/>
                  </w:tcMar>
                  <w:vAlign w:val="center"/>
                </w:tcPr>
                <w:p w14:paraId="5DCBF12B">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2</w:t>
                  </w:r>
                  <w:r>
                    <w:rPr>
                      <w:rFonts w:hint="eastAsia"/>
                      <w:color w:val="000000" w:themeColor="text1"/>
                      <w:sz w:val="21"/>
                      <w:szCs w:val="21"/>
                      <w:highlight w:val="none"/>
                      <w:lang w:val="en-US" w:eastAsia="zh-CN"/>
                      <w14:textFill>
                        <w14:solidFill>
                          <w14:schemeClr w14:val="tx1"/>
                        </w14:solidFill>
                      </w14:textFill>
                    </w:rPr>
                    <w:t>4</w:t>
                  </w:r>
                </w:p>
              </w:tc>
              <w:tc>
                <w:tcPr>
                  <w:tcW w:w="2163" w:type="pct"/>
                  <w:noWrap w:val="0"/>
                  <w:tcMar>
                    <w:top w:w="75" w:type="dxa"/>
                    <w:left w:w="75" w:type="dxa"/>
                    <w:bottom w:w="75" w:type="dxa"/>
                    <w:right w:w="75" w:type="dxa"/>
                  </w:tcMar>
                  <w:vAlign w:val="center"/>
                </w:tcPr>
                <w:p w14:paraId="2BFF940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在地下水超采区，禁止农业、工业建设项目和服务业新增取用地下水，并逐步削减超采量，实现地下水采补平衡；严禁在城市自来水管网覆盖范围内打井取水，对原有自备水井要限期关闭。</w:t>
                  </w:r>
                </w:p>
              </w:tc>
              <w:tc>
                <w:tcPr>
                  <w:tcW w:w="1247" w:type="pct"/>
                  <w:noWrap w:val="0"/>
                  <w:tcMar>
                    <w:top w:w="75" w:type="dxa"/>
                    <w:left w:w="75" w:type="dxa"/>
                    <w:bottom w:w="75" w:type="dxa"/>
                    <w:right w:w="75" w:type="dxa"/>
                  </w:tcMar>
                  <w:vAlign w:val="center"/>
                </w:tcPr>
                <w:p w14:paraId="7807C4E6">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本项目使用自来水，不涉及地下水开采</w:t>
                  </w:r>
                </w:p>
              </w:tc>
            </w:tr>
            <w:tr w14:paraId="318D67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9ACAF78">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noWrap w:val="0"/>
                  <w:tcMar>
                    <w:top w:w="75" w:type="dxa"/>
                    <w:left w:w="75" w:type="dxa"/>
                    <w:bottom w:w="75" w:type="dxa"/>
                    <w:right w:w="75" w:type="dxa"/>
                  </w:tcMar>
                  <w:vAlign w:val="center"/>
                </w:tcPr>
                <w:p w14:paraId="49C479B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能源利用总量及效率要求</w:t>
                  </w:r>
                </w:p>
              </w:tc>
              <w:tc>
                <w:tcPr>
                  <w:tcW w:w="482" w:type="pct"/>
                  <w:noWrap w:val="0"/>
                  <w:tcMar>
                    <w:top w:w="75" w:type="dxa"/>
                    <w:left w:w="75" w:type="dxa"/>
                    <w:bottom w:w="75" w:type="dxa"/>
                    <w:right w:w="75" w:type="dxa"/>
                  </w:tcMar>
                  <w:vAlign w:val="center"/>
                </w:tcPr>
                <w:p w14:paraId="2D6316CE">
                  <w:pPr>
                    <w:shd w:val="clear" w:color="auto" w:fill="auto"/>
                    <w:adjustRightInd w:val="0"/>
                    <w:snapToGrid w:val="0"/>
                    <w:spacing w:line="240" w:lineRule="auto"/>
                    <w:ind w:firstLine="0" w:firstLineChars="0"/>
                    <w:jc w:val="center"/>
                    <w:rPr>
                      <w:rFonts w:hint="eastAsia" w:eastAsia="宋体"/>
                      <w:color w:val="000000" w:themeColor="text1"/>
                      <w:sz w:val="21"/>
                      <w:szCs w:val="21"/>
                      <w:highlight w:val="none"/>
                      <w:lang w:eastAsia="zh-CN"/>
                      <w14:textFill>
                        <w14:solidFill>
                          <w14:schemeClr w14:val="tx1"/>
                        </w14:solidFill>
                      </w14:textFill>
                    </w:rPr>
                  </w:pPr>
                  <w:r>
                    <w:rPr>
                      <w:color w:val="000000" w:themeColor="text1"/>
                      <w:sz w:val="21"/>
                      <w:szCs w:val="21"/>
                      <w:highlight w:val="none"/>
                      <w14:textFill>
                        <w14:solidFill>
                          <w14:schemeClr w14:val="tx1"/>
                        </w14:solidFill>
                      </w14:textFill>
                    </w:rPr>
                    <w:t>2</w:t>
                  </w:r>
                  <w:r>
                    <w:rPr>
                      <w:rFonts w:hint="eastAsia"/>
                      <w:color w:val="000000" w:themeColor="text1"/>
                      <w:sz w:val="21"/>
                      <w:szCs w:val="21"/>
                      <w:highlight w:val="none"/>
                      <w:lang w:val="en-US" w:eastAsia="zh-CN"/>
                      <w14:textFill>
                        <w14:solidFill>
                          <w14:schemeClr w14:val="tx1"/>
                        </w14:solidFill>
                      </w14:textFill>
                    </w:rPr>
                    <w:t>5</w:t>
                  </w:r>
                </w:p>
              </w:tc>
              <w:tc>
                <w:tcPr>
                  <w:tcW w:w="2163" w:type="pct"/>
                  <w:noWrap w:val="0"/>
                  <w:tcMar>
                    <w:top w:w="75" w:type="dxa"/>
                    <w:left w:w="75" w:type="dxa"/>
                    <w:bottom w:w="75" w:type="dxa"/>
                    <w:right w:w="75" w:type="dxa"/>
                  </w:tcMar>
                  <w:vAlign w:val="center"/>
                </w:tcPr>
                <w:p w14:paraId="3F9455C4">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大力发展可再生能源，到2025年，力争全市非化石能源占一次能源消费比重达20%以上。到2025年，全市单位地区生产总值能耗较2020年降低16.5%。</w:t>
                  </w:r>
                </w:p>
              </w:tc>
              <w:tc>
                <w:tcPr>
                  <w:tcW w:w="1247" w:type="pct"/>
                  <w:noWrap w:val="0"/>
                  <w:tcMar>
                    <w:top w:w="75" w:type="dxa"/>
                    <w:left w:w="75" w:type="dxa"/>
                    <w:bottom w:w="75" w:type="dxa"/>
                    <w:right w:w="75" w:type="dxa"/>
                  </w:tcMar>
                  <w:vAlign w:val="center"/>
                </w:tcPr>
                <w:p w14:paraId="3B5BF218">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不涉及</w:t>
                  </w:r>
                </w:p>
              </w:tc>
            </w:tr>
            <w:tr w14:paraId="4BCE36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52" w:type="pct"/>
                  <w:vMerge w:val="continue"/>
                  <w:noWrap w:val="0"/>
                  <w:tcMar>
                    <w:top w:w="75" w:type="dxa"/>
                    <w:left w:w="75" w:type="dxa"/>
                    <w:bottom w:w="75" w:type="dxa"/>
                    <w:right w:w="75" w:type="dxa"/>
                  </w:tcMar>
                  <w:vAlign w:val="center"/>
                </w:tcPr>
                <w:p w14:paraId="5F93707B">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p>
              </w:tc>
              <w:tc>
                <w:tcPr>
                  <w:tcW w:w="653" w:type="pct"/>
                  <w:noWrap w:val="0"/>
                  <w:tcMar>
                    <w:top w:w="75" w:type="dxa"/>
                    <w:left w:w="75" w:type="dxa"/>
                    <w:bottom w:w="75" w:type="dxa"/>
                    <w:right w:w="75" w:type="dxa"/>
                  </w:tcMar>
                  <w:vAlign w:val="center"/>
                </w:tcPr>
                <w:p w14:paraId="20C7B332">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禁燃区要求</w:t>
                  </w:r>
                </w:p>
              </w:tc>
              <w:tc>
                <w:tcPr>
                  <w:tcW w:w="482" w:type="pct"/>
                  <w:noWrap w:val="0"/>
                  <w:tcMar>
                    <w:top w:w="75" w:type="dxa"/>
                    <w:left w:w="75" w:type="dxa"/>
                    <w:bottom w:w="75" w:type="dxa"/>
                    <w:right w:w="75" w:type="dxa"/>
                  </w:tcMar>
                  <w:vAlign w:val="center"/>
                </w:tcPr>
                <w:p w14:paraId="3309EF2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24</w:t>
                  </w:r>
                </w:p>
              </w:tc>
              <w:tc>
                <w:tcPr>
                  <w:tcW w:w="2163" w:type="pct"/>
                  <w:noWrap w:val="0"/>
                  <w:tcMar>
                    <w:top w:w="75" w:type="dxa"/>
                    <w:left w:w="75" w:type="dxa"/>
                    <w:bottom w:w="75" w:type="dxa"/>
                    <w:right w:w="75" w:type="dxa"/>
                  </w:tcMar>
                  <w:vAlign w:val="center"/>
                </w:tcPr>
                <w:p w14:paraId="6DB714F9">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禁止在高污染燃料禁燃区内使用、销售高污染燃料，禁止新（改、扩）建高污染燃料燃用设施。除发电厂燃煤锅炉（含自备电厂）外，禁燃区范围现有燃煤设施全部予以拆除或进行清洁能源改造；发电厂燃煤锅炉（含自备电厂）排放的大气污染物实现超低排放要求。</w:t>
                  </w:r>
                </w:p>
              </w:tc>
              <w:tc>
                <w:tcPr>
                  <w:tcW w:w="1247" w:type="pct"/>
                  <w:noWrap w:val="0"/>
                  <w:tcMar>
                    <w:top w:w="75" w:type="dxa"/>
                    <w:left w:w="75" w:type="dxa"/>
                    <w:bottom w:w="75" w:type="dxa"/>
                    <w:right w:w="75" w:type="dxa"/>
                  </w:tcMar>
                  <w:vAlign w:val="center"/>
                </w:tcPr>
                <w:p w14:paraId="0F208993">
                  <w:pPr>
                    <w:shd w:val="clear" w:color="auto" w:fill="auto"/>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项目不涉及高污染燃料的使用。</w:t>
                  </w:r>
                </w:p>
              </w:tc>
            </w:tr>
          </w:tbl>
          <w:p w14:paraId="2E0B658C">
            <w:pPr>
              <w:shd w:val="clear" w:color="auto" w:fill="auto"/>
              <w:ind w:firstLine="48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根据表</w:t>
            </w:r>
            <w:r>
              <w:rPr>
                <w:rFonts w:hint="eastAsia"/>
                <w:color w:val="000000" w:themeColor="text1"/>
                <w:highlight w:val="none"/>
                <w14:textFill>
                  <w14:solidFill>
                    <w14:schemeClr w14:val="tx1"/>
                  </w14:solidFill>
                </w14:textFill>
              </w:rPr>
              <w:t>1-</w:t>
            </w:r>
            <w:r>
              <w:rPr>
                <w:rFonts w:hint="eastAsia"/>
                <w:color w:val="000000" w:themeColor="text1"/>
                <w:highlight w:val="none"/>
                <w:lang w:val="en-US" w:eastAsia="zh-CN"/>
                <w14:textFill>
                  <w14:solidFill>
                    <w14:schemeClr w14:val="tx1"/>
                  </w14:solidFill>
                </w14:textFill>
              </w:rPr>
              <w:t>4</w:t>
            </w:r>
            <w:r>
              <w:rPr>
                <w:color w:val="000000" w:themeColor="text1"/>
                <w:highlight w:val="none"/>
                <w14:textFill>
                  <w14:solidFill>
                    <w14:schemeClr w14:val="tx1"/>
                  </w14:solidFill>
                </w14:textFill>
              </w:rPr>
              <w:t>可知，本项目</w:t>
            </w:r>
            <w:r>
              <w:rPr>
                <w:rFonts w:hint="eastAsia"/>
                <w:color w:val="000000" w:themeColor="text1"/>
                <w:highlight w:val="none"/>
                <w14:textFill>
                  <w14:solidFill>
                    <w14:schemeClr w14:val="tx1"/>
                  </w14:solidFill>
                </w14:textFill>
              </w:rPr>
              <w:t>与景德镇市生态环境总体准入要求相符。</w:t>
            </w:r>
          </w:p>
          <w:p w14:paraId="35AD60FA">
            <w:pPr>
              <w:shd w:val="clear" w:color="auto" w:fill="auto"/>
              <w:autoSpaceDE w:val="0"/>
              <w:autoSpaceDN w:val="0"/>
              <w:adjustRightInd w:val="0"/>
              <w:snapToGrid w:val="0"/>
              <w:ind w:firstLine="480"/>
              <w:rPr>
                <w:color w:val="000000" w:themeColor="text1"/>
                <w:highlight w:val="none"/>
                <w14:textFill>
                  <w14:solidFill>
                    <w14:schemeClr w14:val="tx1"/>
                  </w14:solidFill>
                </w14:textFill>
              </w:rPr>
            </w:pPr>
            <w:r>
              <w:rPr>
                <w:rFonts w:hint="eastAsia"/>
                <w:color w:val="000000" w:themeColor="text1"/>
                <w:highlight w:val="none"/>
                <w:lang w:val="en-US" w:eastAsia="zh-CN"/>
                <w14:textFill>
                  <w14:solidFill>
                    <w14:schemeClr w14:val="tx1"/>
                  </w14:solidFill>
                </w14:textFill>
              </w:rPr>
              <w:t>根据《关于公布景德镇市环境管控单元生态环境准入清单(2023版)的通知》（景环环评字</w:t>
            </w:r>
            <w:r>
              <w:rPr>
                <w:rFonts w:hint="eastAsia"/>
                <w:color w:val="000000" w:themeColor="text1"/>
                <w:szCs w:val="21"/>
                <w:highlight w:val="none"/>
                <w:lang w:val="en-US" w:eastAsia="zh-CN"/>
                <w14:textFill>
                  <w14:solidFill>
                    <w14:schemeClr w14:val="tx1"/>
                  </w14:solidFill>
                </w14:textFill>
              </w:rPr>
              <w:t>〔2024〕37号</w:t>
            </w:r>
            <w:r>
              <w:rPr>
                <w:rFonts w:hint="eastAsia"/>
                <w:color w:val="000000" w:themeColor="text1"/>
                <w:highlight w:val="none"/>
                <w:lang w:val="en-US" w:eastAsia="zh-CN"/>
                <w14:textFill>
                  <w14:solidFill>
                    <w14:schemeClr w14:val="tx1"/>
                  </w14:solidFill>
                </w14:textFill>
              </w:rPr>
              <w:t>）可知，</w:t>
            </w:r>
            <w:r>
              <w:rPr>
                <w:color w:val="000000" w:themeColor="text1"/>
                <w:highlight w:val="none"/>
                <w14:textFill>
                  <w14:solidFill>
                    <w14:schemeClr w14:val="tx1"/>
                  </w14:solidFill>
                </w14:textFill>
              </w:rPr>
              <w:t>本项目位于</w:t>
            </w:r>
            <w:r>
              <w:rPr>
                <w:rFonts w:hint="eastAsia"/>
                <w:color w:val="000000" w:themeColor="text1"/>
                <w:kern w:val="0"/>
                <w:highlight w:val="none"/>
                <w14:textFill>
                  <w14:solidFill>
                    <w14:schemeClr w14:val="tx1"/>
                  </w14:solidFill>
                </w14:textFill>
              </w:rPr>
              <w:t>景德镇市乐平市金山工业园内</w:t>
            </w:r>
            <w:r>
              <w:rPr>
                <w:color w:val="000000" w:themeColor="text1"/>
                <w:highlight w:val="none"/>
                <w14:textFill>
                  <w14:solidFill>
                    <w14:schemeClr w14:val="tx1"/>
                  </w14:solidFill>
                </w14:textFill>
              </w:rPr>
              <w:t>，</w:t>
            </w:r>
            <w:r>
              <w:rPr>
                <w:color w:val="000000" w:themeColor="text1"/>
                <w:highlight w:val="none"/>
                <w:lang w:val="zh-CN"/>
                <w14:textFill>
                  <w14:solidFill>
                    <w14:schemeClr w14:val="tx1"/>
                  </w14:solidFill>
                </w14:textFill>
              </w:rPr>
              <w:t>属于</w:t>
            </w:r>
            <w:r>
              <w:rPr>
                <w:color w:val="000000" w:themeColor="text1"/>
                <w:highlight w:val="none"/>
                <w14:textFill>
                  <w14:solidFill>
                    <w14:schemeClr w14:val="tx1"/>
                  </w14:solidFill>
                </w14:textFill>
              </w:rPr>
              <w:t>重点管控单元，</w:t>
            </w:r>
            <w:r>
              <w:rPr>
                <w:rFonts w:hint="eastAsia"/>
                <w:color w:val="000000" w:themeColor="text1"/>
                <w:highlight w:val="none"/>
                <w14:textFill>
                  <w14:solidFill>
                    <w14:schemeClr w14:val="tx1"/>
                  </w14:solidFill>
                </w14:textFill>
              </w:rPr>
              <w:t>环境管控单元编码：ZH3602812000</w:t>
            </w:r>
            <w:r>
              <w:rPr>
                <w:rFonts w:hint="eastAsia"/>
                <w:color w:val="000000" w:themeColor="text1"/>
                <w:highlight w:val="none"/>
                <w:lang w:val="en-US" w:eastAsia="zh-CN"/>
                <w14:textFill>
                  <w14:solidFill>
                    <w14:schemeClr w14:val="tx1"/>
                  </w14:solidFill>
                </w14:textFill>
              </w:rPr>
              <w:t>1</w:t>
            </w:r>
            <w:r>
              <w:rPr>
                <w:color w:val="000000" w:themeColor="text1"/>
                <w:highlight w:val="none"/>
                <w:lang w:val="zh-CN"/>
                <w14:textFill>
                  <w14:solidFill>
                    <w14:schemeClr w14:val="tx1"/>
                  </w14:solidFill>
                </w14:textFill>
              </w:rPr>
              <w:t>。</w:t>
            </w:r>
            <w:r>
              <w:rPr>
                <w:rFonts w:hint="eastAsia"/>
                <w:color w:val="000000" w:themeColor="text1"/>
                <w:highlight w:val="none"/>
                <w:lang w:val="zh-CN"/>
                <w14:textFill>
                  <w14:solidFill>
                    <w14:schemeClr w14:val="tx1"/>
                  </w14:solidFill>
                </w14:textFill>
              </w:rPr>
              <w:t>与景德镇</w:t>
            </w:r>
            <w:r>
              <w:rPr>
                <w:rFonts w:hint="eastAsia"/>
                <w:color w:val="000000" w:themeColor="text1"/>
                <w:highlight w:val="none"/>
                <w14:textFill>
                  <w14:solidFill>
                    <w14:schemeClr w14:val="tx1"/>
                  </w14:solidFill>
                </w14:textFill>
              </w:rPr>
              <w:t>市</w:t>
            </w:r>
            <w:r>
              <w:rPr>
                <w:rFonts w:hint="eastAsia"/>
                <w:color w:val="000000" w:themeColor="text1"/>
                <w:highlight w:val="none"/>
                <w:lang w:val="zh-CN"/>
                <w14:textFill>
                  <w14:solidFill>
                    <w14:schemeClr w14:val="tx1"/>
                  </w14:solidFill>
                </w14:textFill>
              </w:rPr>
              <w:t>管控要求符合性分析见表</w:t>
            </w:r>
            <w:r>
              <w:rPr>
                <w:rFonts w:hint="eastAsia"/>
                <w:color w:val="000000" w:themeColor="text1"/>
                <w:highlight w:val="none"/>
                <w14:textFill>
                  <w14:solidFill>
                    <w14:schemeClr w14:val="tx1"/>
                  </w14:solidFill>
                </w14:textFill>
              </w:rPr>
              <w:t>1-5。</w:t>
            </w:r>
          </w:p>
          <w:p w14:paraId="2E79CD71">
            <w:pPr>
              <w:pStyle w:val="132"/>
              <w:shd w:val="clear" w:color="auto" w:fill="auto"/>
              <w:spacing w:line="240" w:lineRule="auto"/>
              <w:ind w:firstLine="482"/>
              <w:rPr>
                <w:rFonts w:hint="eastAsia"/>
                <w:color w:val="000000" w:themeColor="text1"/>
                <w:highlight w:val="none"/>
                <w:lang w:val="zh-CN"/>
                <w14:textFill>
                  <w14:solidFill>
                    <w14:schemeClr w14:val="tx1"/>
                  </w14:solidFill>
                </w14:textFill>
              </w:rPr>
            </w:pPr>
            <w:r>
              <w:rPr>
                <w:rFonts w:hint="eastAsia"/>
                <w:color w:val="000000" w:themeColor="text1"/>
                <w:highlight w:val="none"/>
                <w:lang w:val="zh-CN"/>
                <w14:textFill>
                  <w14:solidFill>
                    <w14:schemeClr w14:val="tx1"/>
                  </w14:solidFill>
                </w14:textFill>
              </w:rPr>
              <w:t>表</w:t>
            </w:r>
            <w:r>
              <w:rPr>
                <w:rFonts w:hint="eastAsia"/>
                <w:color w:val="000000" w:themeColor="text1"/>
                <w:highlight w:val="none"/>
                <w14:textFill>
                  <w14:solidFill>
                    <w14:schemeClr w14:val="tx1"/>
                  </w14:solidFill>
                </w14:textFill>
              </w:rPr>
              <w:t>1-5 具体管控单元</w:t>
            </w:r>
            <w:r>
              <w:rPr>
                <w:rFonts w:hint="eastAsia"/>
                <w:color w:val="000000" w:themeColor="text1"/>
                <w:highlight w:val="none"/>
                <w:lang w:val="zh-CN"/>
                <w14:textFill>
                  <w14:solidFill>
                    <w14:schemeClr w14:val="tx1"/>
                  </w14:solidFill>
                </w14:textFill>
              </w:rPr>
              <w:t>管控要求符合性分析</w:t>
            </w:r>
          </w:p>
          <w:tbl>
            <w:tblPr>
              <w:tblStyle w:val="32"/>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30"/>
              <w:gridCol w:w="675"/>
              <w:gridCol w:w="240"/>
              <w:gridCol w:w="1170"/>
              <w:gridCol w:w="2715"/>
              <w:gridCol w:w="1586"/>
            </w:tblGrid>
            <w:tr w14:paraId="2F35AC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530" w:type="dxa"/>
                  <w:gridSpan w:val="5"/>
                  <w:noWrap w:val="0"/>
                  <w:vAlign w:val="center"/>
                </w:tcPr>
                <w:p w14:paraId="77AB8EFF">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管控单位要求</w:t>
                  </w:r>
                </w:p>
              </w:tc>
              <w:tc>
                <w:tcPr>
                  <w:tcW w:w="1586" w:type="dxa"/>
                  <w:noWrap w:val="0"/>
                  <w:vAlign w:val="center"/>
                </w:tcPr>
                <w:p w14:paraId="033B3244">
                  <w:pPr>
                    <w:shd w:val="clear" w:color="auto" w:fill="auto"/>
                    <w:adjustRightInd w:val="0"/>
                    <w:snapToGrid w:val="0"/>
                    <w:spacing w:line="240" w:lineRule="auto"/>
                    <w:ind w:firstLine="0" w:firstLineChars="0"/>
                    <w:jc w:val="center"/>
                    <w:rPr>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本项目情况</w:t>
                  </w:r>
                </w:p>
              </w:tc>
            </w:tr>
            <w:tr w14:paraId="7B0C4A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restart"/>
                  <w:noWrap w:val="0"/>
                  <w:vAlign w:val="center"/>
                </w:tcPr>
                <w:p w14:paraId="182D7B2D">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空间布局约束</w:t>
                  </w:r>
                </w:p>
              </w:tc>
              <w:tc>
                <w:tcPr>
                  <w:tcW w:w="2085" w:type="dxa"/>
                  <w:gridSpan w:val="3"/>
                  <w:noWrap w:val="0"/>
                  <w:vAlign w:val="center"/>
                </w:tcPr>
                <w:p w14:paraId="21548972">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禁止</w:t>
                  </w:r>
                  <w:r>
                    <w:rPr>
                      <w:rFonts w:hint="eastAsia"/>
                      <w:color w:val="000000" w:themeColor="text1"/>
                      <w:kern w:val="0"/>
                      <w:sz w:val="21"/>
                      <w:szCs w:val="21"/>
                      <w:highlight w:val="none"/>
                      <w14:textFill>
                        <w14:solidFill>
                          <w14:schemeClr w14:val="tx1"/>
                        </w14:solidFill>
                      </w14:textFill>
                    </w:rPr>
                    <w:t>开发建设活动的要求</w:t>
                  </w:r>
                </w:p>
              </w:tc>
              <w:tc>
                <w:tcPr>
                  <w:tcW w:w="2715" w:type="dxa"/>
                  <w:noWrap w:val="0"/>
                  <w:vAlign w:val="center"/>
                </w:tcPr>
                <w:p w14:paraId="6312F985">
                  <w:pPr>
                    <w:shd w:val="clear" w:color="auto" w:fill="auto"/>
                    <w:adjustRightInd w:val="0"/>
                    <w:snapToGrid w:val="0"/>
                    <w:spacing w:line="240" w:lineRule="auto"/>
                    <w:ind w:firstLine="0" w:firstLineChars="0"/>
                    <w:jc w:val="both"/>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禁止新建落后产能或产能严重过剩行业的建设项目</w:t>
                  </w:r>
                  <w:r>
                    <w:rPr>
                      <w:rFonts w:hint="eastAsia"/>
                      <w:color w:val="000000" w:themeColor="text1"/>
                      <w:kern w:val="0"/>
                      <w:sz w:val="21"/>
                      <w:szCs w:val="21"/>
                      <w:highlight w:val="none"/>
                      <w14:textFill>
                        <w14:solidFill>
                          <w14:schemeClr w14:val="tx1"/>
                        </w14:solidFill>
                      </w14:textFill>
                    </w:rPr>
                    <w:t>。</w:t>
                  </w:r>
                </w:p>
              </w:tc>
              <w:tc>
                <w:tcPr>
                  <w:tcW w:w="1586" w:type="dxa"/>
                  <w:vMerge w:val="restart"/>
                  <w:noWrap w:val="0"/>
                  <w:vAlign w:val="center"/>
                </w:tcPr>
                <w:p w14:paraId="73F7D947">
                  <w:pPr>
                    <w:pStyle w:val="135"/>
                    <w:shd w:val="clear" w:color="auto" w:fill="auto"/>
                    <w:spacing w:line="240" w:lineRule="auto"/>
                    <w:ind w:firstLine="0" w:firstLineChars="0"/>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w:t>
                  </w:r>
                  <w:r>
                    <w:rPr>
                      <w:rFonts w:hint="eastAsia"/>
                      <w:color w:val="000000" w:themeColor="text1"/>
                      <w:kern w:val="0"/>
                      <w:sz w:val="21"/>
                      <w:szCs w:val="21"/>
                      <w:highlight w:val="none"/>
                      <w:lang w:val="en-US" w:eastAsia="zh-CN"/>
                      <w14:textFill>
                        <w14:solidFill>
                          <w14:schemeClr w14:val="tx1"/>
                        </w14:solidFill>
                      </w14:textFill>
                    </w:rPr>
                    <w:t>不属于落后和产能严重过剩项目。</w:t>
                  </w:r>
                </w:p>
              </w:tc>
            </w:tr>
            <w:tr w14:paraId="477EFA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4DED8E88">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p>
              </w:tc>
              <w:tc>
                <w:tcPr>
                  <w:tcW w:w="2085" w:type="dxa"/>
                  <w:gridSpan w:val="3"/>
                  <w:noWrap w:val="0"/>
                  <w:vAlign w:val="center"/>
                </w:tcPr>
                <w:p w14:paraId="72039CF8">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限制开发建设活动的要求</w:t>
                  </w:r>
                </w:p>
              </w:tc>
              <w:tc>
                <w:tcPr>
                  <w:tcW w:w="2715" w:type="dxa"/>
                  <w:noWrap w:val="0"/>
                  <w:vAlign w:val="center"/>
                </w:tcPr>
                <w:p w14:paraId="7DB7AD45">
                  <w:pPr>
                    <w:shd w:val="clear" w:color="auto" w:fill="auto"/>
                    <w:adjustRightInd w:val="0"/>
                    <w:snapToGrid w:val="0"/>
                    <w:spacing w:line="240" w:lineRule="auto"/>
                    <w:ind w:firstLine="0" w:firstLineChars="0"/>
                    <w:jc w:val="both"/>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严格限制落后产能或产能严重过剩行业的改扩建</w:t>
                  </w:r>
                  <w:r>
                    <w:rPr>
                      <w:rFonts w:hint="eastAsia"/>
                      <w:color w:val="000000" w:themeColor="text1"/>
                      <w:kern w:val="0"/>
                      <w:sz w:val="21"/>
                      <w:szCs w:val="21"/>
                      <w:highlight w:val="none"/>
                      <w14:textFill>
                        <w14:solidFill>
                          <w14:schemeClr w14:val="tx1"/>
                        </w14:solidFill>
                      </w14:textFill>
                    </w:rPr>
                    <w:t>。</w:t>
                  </w:r>
                </w:p>
              </w:tc>
              <w:tc>
                <w:tcPr>
                  <w:tcW w:w="1586" w:type="dxa"/>
                  <w:vMerge w:val="continue"/>
                  <w:noWrap w:val="0"/>
                  <w:vAlign w:val="center"/>
                </w:tcPr>
                <w:p w14:paraId="66406FE7">
                  <w:pPr>
                    <w:pStyle w:val="135"/>
                    <w:shd w:val="clear" w:color="auto" w:fill="auto"/>
                    <w:spacing w:line="240" w:lineRule="auto"/>
                    <w:ind w:firstLine="0" w:firstLineChars="0"/>
                    <w:rPr>
                      <w:rFonts w:hint="eastAsia"/>
                      <w:color w:val="000000" w:themeColor="text1"/>
                      <w:kern w:val="0"/>
                      <w:sz w:val="21"/>
                      <w:szCs w:val="21"/>
                      <w:highlight w:val="none"/>
                      <w14:textFill>
                        <w14:solidFill>
                          <w14:schemeClr w14:val="tx1"/>
                        </w14:solidFill>
                      </w14:textFill>
                    </w:rPr>
                  </w:pPr>
                </w:p>
              </w:tc>
            </w:tr>
            <w:tr w14:paraId="5907E3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76623B9A">
                  <w:pPr>
                    <w:pStyle w:val="135"/>
                    <w:shd w:val="clear" w:color="auto" w:fill="auto"/>
                    <w:spacing w:line="240" w:lineRule="auto"/>
                    <w:ind w:firstLine="0" w:firstLineChars="0"/>
                    <w:rPr>
                      <w:color w:val="000000" w:themeColor="text1"/>
                      <w:highlight w:val="none"/>
                      <w14:textFill>
                        <w14:solidFill>
                          <w14:schemeClr w14:val="tx1"/>
                        </w14:solidFill>
                      </w14:textFill>
                    </w:rPr>
                  </w:pPr>
                </w:p>
              </w:tc>
              <w:tc>
                <w:tcPr>
                  <w:tcW w:w="2085" w:type="dxa"/>
                  <w:gridSpan w:val="3"/>
                  <w:noWrap w:val="0"/>
                  <w:vAlign w:val="center"/>
                </w:tcPr>
                <w:p w14:paraId="12B4528C">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允许</w:t>
                  </w:r>
                  <w:r>
                    <w:rPr>
                      <w:rFonts w:hint="eastAsia"/>
                      <w:color w:val="000000" w:themeColor="text1"/>
                      <w:kern w:val="0"/>
                      <w:sz w:val="21"/>
                      <w:szCs w:val="21"/>
                      <w:highlight w:val="none"/>
                      <w14:textFill>
                        <w14:solidFill>
                          <w14:schemeClr w14:val="tx1"/>
                        </w14:solidFill>
                      </w14:textFill>
                    </w:rPr>
                    <w:t>开发建设活动的要求</w:t>
                  </w:r>
                </w:p>
              </w:tc>
              <w:tc>
                <w:tcPr>
                  <w:tcW w:w="2715" w:type="dxa"/>
                  <w:noWrap w:val="0"/>
                  <w:vAlign w:val="center"/>
                </w:tcPr>
                <w:p w14:paraId="6035B907">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符合园区国土空间规划、产业布局、主导产业及配套产业类型的项目</w:t>
                  </w:r>
                  <w:r>
                    <w:rPr>
                      <w:rFonts w:hint="eastAsia"/>
                      <w:color w:val="000000" w:themeColor="text1"/>
                      <w:kern w:val="0"/>
                      <w:sz w:val="21"/>
                      <w:szCs w:val="21"/>
                      <w:highlight w:val="none"/>
                      <w14:textFill>
                        <w14:solidFill>
                          <w14:schemeClr w14:val="tx1"/>
                        </w14:solidFill>
                      </w14:textFill>
                    </w:rPr>
                    <w:t>。</w:t>
                  </w:r>
                </w:p>
              </w:tc>
              <w:tc>
                <w:tcPr>
                  <w:tcW w:w="1586" w:type="dxa"/>
                  <w:vMerge w:val="restart"/>
                  <w:noWrap w:val="0"/>
                  <w:vAlign w:val="center"/>
                </w:tcPr>
                <w:p w14:paraId="229C2248">
                  <w:pPr>
                    <w:pStyle w:val="135"/>
                    <w:shd w:val="clear" w:color="auto" w:fill="auto"/>
                    <w:spacing w:line="240" w:lineRule="auto"/>
                    <w:ind w:firstLine="0" w:firstLineChars="0"/>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项目属于金山工业</w:t>
                  </w:r>
                  <w:r>
                    <w:rPr>
                      <w:rFonts w:hint="eastAsia"/>
                      <w:color w:val="000000" w:themeColor="text1"/>
                      <w:kern w:val="0"/>
                      <w:sz w:val="21"/>
                      <w:szCs w:val="21"/>
                      <w:highlight w:val="none"/>
                      <w:lang w:val="en-US" w:eastAsia="zh-CN"/>
                      <w14:textFill>
                        <w14:solidFill>
                          <w14:schemeClr w14:val="tx1"/>
                        </w14:solidFill>
                      </w14:textFill>
                    </w:rPr>
                    <w:t>园</w:t>
                  </w:r>
                  <w:r>
                    <w:rPr>
                      <w:rFonts w:hint="eastAsia"/>
                      <w:color w:val="000000" w:themeColor="text1"/>
                      <w:kern w:val="0"/>
                      <w:sz w:val="21"/>
                      <w:szCs w:val="21"/>
                      <w:highlight w:val="none"/>
                      <w14:textFill>
                        <w14:solidFill>
                          <w14:schemeClr w14:val="tx1"/>
                        </w14:solidFill>
                      </w14:textFill>
                    </w:rPr>
                    <w:t>潜力产业发展项目</w:t>
                  </w:r>
                </w:p>
              </w:tc>
            </w:tr>
            <w:tr w14:paraId="735F2B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3AC78F6C">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2085" w:type="dxa"/>
                  <w:gridSpan w:val="3"/>
                  <w:noWrap w:val="0"/>
                  <w:vAlign w:val="center"/>
                </w:tcPr>
                <w:p w14:paraId="7A55FA62">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不符合空间布局要求活动的退出要求</w:t>
                  </w:r>
                </w:p>
              </w:tc>
              <w:tc>
                <w:tcPr>
                  <w:tcW w:w="2715" w:type="dxa"/>
                  <w:noWrap w:val="0"/>
                  <w:vAlign w:val="center"/>
                </w:tcPr>
                <w:p w14:paraId="622963DF">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现有不符合园区国土空间规划、产业布局要求的项目，应结合园区发展要求，逐步退出或关停。</w:t>
                  </w:r>
                </w:p>
              </w:tc>
              <w:tc>
                <w:tcPr>
                  <w:tcW w:w="1586" w:type="dxa"/>
                  <w:vMerge w:val="continue"/>
                  <w:noWrap w:val="0"/>
                  <w:vAlign w:val="center"/>
                </w:tcPr>
                <w:p w14:paraId="1B9A9544">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p>
              </w:tc>
            </w:tr>
            <w:tr w14:paraId="77B86E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0BF9C679">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2085" w:type="dxa"/>
                  <w:gridSpan w:val="3"/>
                  <w:noWrap w:val="0"/>
                  <w:vAlign w:val="center"/>
                </w:tcPr>
                <w:p w14:paraId="63520134">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其他空间布局约束要求</w:t>
                  </w:r>
                </w:p>
              </w:tc>
              <w:tc>
                <w:tcPr>
                  <w:tcW w:w="2715" w:type="dxa"/>
                  <w:noWrap w:val="0"/>
                  <w:vAlign w:val="center"/>
                </w:tcPr>
                <w:p w14:paraId="40A5F646">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0360234D">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r w14:paraId="3F75E4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restart"/>
                  <w:noWrap w:val="0"/>
                  <w:vAlign w:val="center"/>
                </w:tcPr>
                <w:p w14:paraId="41E556F5">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污染物排放管控</w:t>
                  </w:r>
                </w:p>
              </w:tc>
              <w:tc>
                <w:tcPr>
                  <w:tcW w:w="2085" w:type="dxa"/>
                  <w:gridSpan w:val="3"/>
                  <w:noWrap w:val="0"/>
                  <w:vAlign w:val="center"/>
                </w:tcPr>
                <w:p w14:paraId="2EB52628">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现有源提标升级改造</w:t>
                  </w:r>
                </w:p>
              </w:tc>
              <w:tc>
                <w:tcPr>
                  <w:tcW w:w="2715" w:type="dxa"/>
                  <w:noWrap w:val="0"/>
                  <w:vAlign w:val="center"/>
                </w:tcPr>
                <w:p w14:paraId="30C7EC2C">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现有未达标排放企业应限期提标改造，达到相应的国家及地方污染物排放标准和总量控制要求。</w:t>
                  </w:r>
                </w:p>
              </w:tc>
              <w:tc>
                <w:tcPr>
                  <w:tcW w:w="1586" w:type="dxa"/>
                  <w:noWrap w:val="0"/>
                  <w:vAlign w:val="center"/>
                </w:tcPr>
                <w:p w14:paraId="73ADBDF9">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项目为新建项目</w:t>
                  </w:r>
                </w:p>
              </w:tc>
            </w:tr>
            <w:tr w14:paraId="1DC44E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5B0860AF">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2085" w:type="dxa"/>
                  <w:gridSpan w:val="3"/>
                  <w:noWrap w:val="0"/>
                  <w:vAlign w:val="center"/>
                </w:tcPr>
                <w:p w14:paraId="3AA3BD06">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新增源等量或倍量替代</w:t>
                  </w:r>
                </w:p>
              </w:tc>
              <w:tc>
                <w:tcPr>
                  <w:tcW w:w="2715" w:type="dxa"/>
                  <w:noWrap w:val="0"/>
                  <w:vAlign w:val="center"/>
                </w:tcPr>
                <w:p w14:paraId="04637546">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所在区域、流域控制单元环境质量未达到标准的，新建水污染物排放、大气污染物排放的项目应等量或倍量替代</w:t>
                  </w:r>
                </w:p>
              </w:tc>
              <w:tc>
                <w:tcPr>
                  <w:tcW w:w="1586" w:type="dxa"/>
                  <w:noWrap w:val="0"/>
                  <w:vAlign w:val="center"/>
                </w:tcPr>
                <w:p w14:paraId="20EB84E9">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项目所在区域、流域控制单元环境质量达到标准</w:t>
                  </w:r>
                </w:p>
              </w:tc>
            </w:tr>
            <w:tr w14:paraId="077351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3B69B9F6">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2085" w:type="dxa"/>
                  <w:gridSpan w:val="3"/>
                  <w:noWrap w:val="0"/>
                  <w:vAlign w:val="center"/>
                </w:tcPr>
                <w:p w14:paraId="432603CC">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新增源排放标准限制</w:t>
                  </w:r>
                </w:p>
              </w:tc>
              <w:tc>
                <w:tcPr>
                  <w:tcW w:w="2715" w:type="dxa"/>
                  <w:noWrap w:val="0"/>
                  <w:vAlign w:val="center"/>
                </w:tcPr>
                <w:p w14:paraId="21F5C53C">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新建有污染物排放的项目，其污染物排放应达到国家或地方规定的排放限值（含特别排放限值）要求。</w:t>
                  </w:r>
                </w:p>
              </w:tc>
              <w:tc>
                <w:tcPr>
                  <w:tcW w:w="1586" w:type="dxa"/>
                  <w:noWrap w:val="0"/>
                  <w:vAlign w:val="center"/>
                </w:tcPr>
                <w:p w14:paraId="7AF68489">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项目污染物能达标排放</w:t>
                  </w:r>
                </w:p>
              </w:tc>
            </w:tr>
            <w:tr w14:paraId="55094E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2BCF36E0">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2085" w:type="dxa"/>
                  <w:gridSpan w:val="3"/>
                  <w:noWrap w:val="0"/>
                  <w:vAlign w:val="center"/>
                </w:tcPr>
                <w:p w14:paraId="09BEAD53">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污染物排放绩效水平准入要求</w:t>
                  </w:r>
                </w:p>
              </w:tc>
              <w:tc>
                <w:tcPr>
                  <w:tcW w:w="2715" w:type="dxa"/>
                  <w:noWrap w:val="0"/>
                  <w:vAlign w:val="center"/>
                </w:tcPr>
                <w:p w14:paraId="0ACBF8DF">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污染物排放应达到相应的国家及地方污染物排放标准和总量控制要求</w:t>
                  </w:r>
                </w:p>
              </w:tc>
              <w:tc>
                <w:tcPr>
                  <w:tcW w:w="1586" w:type="dxa"/>
                  <w:noWrap w:val="0"/>
                  <w:vAlign w:val="center"/>
                </w:tcPr>
                <w:p w14:paraId="5820B072">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项目污染物能达标排放</w:t>
                  </w:r>
                  <w:r>
                    <w:rPr>
                      <w:rFonts w:hint="eastAsia"/>
                      <w:color w:val="000000" w:themeColor="text1"/>
                      <w:kern w:val="0"/>
                      <w:sz w:val="21"/>
                      <w:szCs w:val="21"/>
                      <w:highlight w:val="none"/>
                      <w:lang w:eastAsia="zh-CN"/>
                      <w14:textFill>
                        <w14:solidFill>
                          <w14:schemeClr w14:val="tx1"/>
                        </w14:solidFill>
                      </w14:textFill>
                    </w:rPr>
                    <w:t>，</w:t>
                  </w:r>
                  <w:r>
                    <w:rPr>
                      <w:rFonts w:hint="eastAsia"/>
                      <w:color w:val="000000" w:themeColor="text1"/>
                      <w:kern w:val="0"/>
                      <w:sz w:val="21"/>
                      <w:szCs w:val="21"/>
                      <w:highlight w:val="none"/>
                      <w:lang w:val="en-US" w:eastAsia="zh-CN"/>
                      <w14:textFill>
                        <w14:solidFill>
                          <w14:schemeClr w14:val="tx1"/>
                        </w14:solidFill>
                      </w14:textFill>
                    </w:rPr>
                    <w:t>已取得总量控制文件。</w:t>
                  </w:r>
                </w:p>
              </w:tc>
            </w:tr>
            <w:tr w14:paraId="07174A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27E6E2D1">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2085" w:type="dxa"/>
                  <w:gridSpan w:val="3"/>
                  <w:noWrap w:val="0"/>
                  <w:vAlign w:val="center"/>
                </w:tcPr>
                <w:p w14:paraId="57854F2A">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其他污染物排放管控要求</w:t>
                  </w:r>
                </w:p>
              </w:tc>
              <w:tc>
                <w:tcPr>
                  <w:tcW w:w="2715" w:type="dxa"/>
                  <w:noWrap w:val="0"/>
                  <w:vAlign w:val="center"/>
                </w:tcPr>
                <w:p w14:paraId="5D48AA1D">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34C8295A">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r w14:paraId="70CFC4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restart"/>
                  <w:noWrap w:val="0"/>
                  <w:vAlign w:val="center"/>
                </w:tcPr>
                <w:p w14:paraId="2959973C">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环境风险管控</w:t>
                  </w:r>
                </w:p>
              </w:tc>
              <w:tc>
                <w:tcPr>
                  <w:tcW w:w="675" w:type="dxa"/>
                  <w:vMerge w:val="restart"/>
                  <w:noWrap w:val="0"/>
                  <w:vAlign w:val="center"/>
                </w:tcPr>
                <w:p w14:paraId="08139714">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用地环境风险防控要求</w:t>
                  </w:r>
                </w:p>
              </w:tc>
              <w:tc>
                <w:tcPr>
                  <w:tcW w:w="1410" w:type="dxa"/>
                  <w:gridSpan w:val="2"/>
                  <w:noWrap w:val="0"/>
                  <w:vAlign w:val="center"/>
                </w:tcPr>
                <w:p w14:paraId="787D5D4C">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严格管控类农用地环境风险防控要求</w:t>
                  </w:r>
                </w:p>
              </w:tc>
              <w:tc>
                <w:tcPr>
                  <w:tcW w:w="2715" w:type="dxa"/>
                  <w:noWrap w:val="0"/>
                  <w:vAlign w:val="center"/>
                </w:tcPr>
                <w:p w14:paraId="384A9905">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490F70F2">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eastAsia="zh-CN"/>
                      <w14:textFill>
                        <w14:solidFill>
                          <w14:schemeClr w14:val="tx1"/>
                        </w14:solidFill>
                      </w14:textFill>
                    </w:rPr>
                  </w:pPr>
                  <w:r>
                    <w:rPr>
                      <w:rFonts w:hint="eastAsia"/>
                      <w:color w:val="000000" w:themeColor="text1"/>
                      <w:kern w:val="0"/>
                      <w:sz w:val="21"/>
                      <w:szCs w:val="21"/>
                      <w:highlight w:val="none"/>
                      <w:lang w:eastAsia="zh-CN"/>
                      <w14:textFill>
                        <w14:solidFill>
                          <w14:schemeClr w14:val="tx1"/>
                        </w14:solidFill>
                      </w14:textFill>
                    </w:rPr>
                    <w:t>/</w:t>
                  </w:r>
                </w:p>
              </w:tc>
            </w:tr>
            <w:tr w14:paraId="10A3A4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6A51FB26">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675" w:type="dxa"/>
                  <w:vMerge w:val="continue"/>
                  <w:noWrap w:val="0"/>
                  <w:vAlign w:val="center"/>
                </w:tcPr>
                <w:p w14:paraId="02571F46">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1410" w:type="dxa"/>
                  <w:gridSpan w:val="2"/>
                  <w:noWrap w:val="0"/>
                  <w:vAlign w:val="center"/>
                </w:tcPr>
                <w:p w14:paraId="5B6FF3FB">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安全利用类农用地环境风险防控要求</w:t>
                  </w:r>
                </w:p>
              </w:tc>
              <w:tc>
                <w:tcPr>
                  <w:tcW w:w="2715" w:type="dxa"/>
                  <w:noWrap w:val="0"/>
                  <w:vAlign w:val="center"/>
                </w:tcPr>
                <w:p w14:paraId="3EDDB9DF">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6121067E">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r w14:paraId="1A7A76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21979FB0">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675" w:type="dxa"/>
                  <w:vMerge w:val="continue"/>
                  <w:noWrap w:val="0"/>
                  <w:vAlign w:val="center"/>
                </w:tcPr>
                <w:p w14:paraId="4B63E2BC">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1410" w:type="dxa"/>
                  <w:gridSpan w:val="2"/>
                  <w:noWrap w:val="0"/>
                  <w:vAlign w:val="center"/>
                </w:tcPr>
                <w:p w14:paraId="2DE105B8">
                  <w:pPr>
                    <w:shd w:val="clear" w:color="auto" w:fill="auto"/>
                    <w:adjustRightInd w:val="0"/>
                    <w:snapToGrid w:val="0"/>
                    <w:spacing w:line="240" w:lineRule="auto"/>
                    <w:ind w:firstLine="0" w:firstLineChars="0"/>
                    <w:jc w:val="center"/>
                    <w:rPr>
                      <w:rFonts w:hint="default"/>
                      <w:color w:val="000000" w:themeColor="text1"/>
                      <w:kern w:val="0"/>
                      <w:sz w:val="21"/>
                      <w:szCs w:val="21"/>
                      <w:highlight w:val="none"/>
                      <w:lang w:val="en-US"/>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污染地块管控要求</w:t>
                  </w:r>
                </w:p>
              </w:tc>
              <w:tc>
                <w:tcPr>
                  <w:tcW w:w="2715" w:type="dxa"/>
                  <w:noWrap w:val="0"/>
                  <w:vAlign w:val="center"/>
                </w:tcPr>
                <w:p w14:paraId="374F091F">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已污染地块，应当依法开展土壤污染状况调查、治理与修复，符合相应规划用地土壤环境质量要求后，方可进入用地程序。</w:t>
                  </w:r>
                </w:p>
              </w:tc>
              <w:tc>
                <w:tcPr>
                  <w:tcW w:w="1586" w:type="dxa"/>
                  <w:noWrap w:val="0"/>
                  <w:vAlign w:val="center"/>
                </w:tcPr>
                <w:p w14:paraId="0D39A602">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不涉及</w:t>
                  </w:r>
                </w:p>
              </w:tc>
            </w:tr>
            <w:tr w14:paraId="4B31E4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0E68EE27">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675" w:type="dxa"/>
                  <w:noWrap w:val="0"/>
                  <w:vAlign w:val="center"/>
                </w:tcPr>
                <w:p w14:paraId="38329535">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园区环境风险防控要求</w:t>
                  </w:r>
                </w:p>
              </w:tc>
              <w:tc>
                <w:tcPr>
                  <w:tcW w:w="1410" w:type="dxa"/>
                  <w:gridSpan w:val="2"/>
                  <w:noWrap w:val="0"/>
                  <w:vAlign w:val="center"/>
                </w:tcPr>
                <w:p w14:paraId="35C35813">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园区敏感点风险准入类防控要求</w:t>
                  </w:r>
                </w:p>
              </w:tc>
              <w:tc>
                <w:tcPr>
                  <w:tcW w:w="2715" w:type="dxa"/>
                  <w:noWrap w:val="0"/>
                  <w:vAlign w:val="center"/>
                </w:tcPr>
                <w:p w14:paraId="4E8AC727">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紧邻居住、科教、医院等环境敏感点的工业用地，禁止新建环境风险潜势等级高的建设项目。</w:t>
                  </w:r>
                  <w:r>
                    <w:rPr>
                      <w:rFonts w:hint="eastAsia"/>
                      <w:color w:val="000000" w:themeColor="text1"/>
                      <w:kern w:val="0"/>
                      <w:sz w:val="21"/>
                      <w:szCs w:val="21"/>
                      <w:highlight w:val="none"/>
                      <w:lang w:val="en-US" w:eastAsia="zh-CN"/>
                      <w14:textFill>
                        <w14:solidFill>
                          <w14:schemeClr w14:val="tx1"/>
                        </w14:solidFill>
                      </w14:textFill>
                    </w:rPr>
                    <w:t>园区应建立环境风险防控体系。</w:t>
                  </w:r>
                </w:p>
              </w:tc>
              <w:tc>
                <w:tcPr>
                  <w:tcW w:w="1586" w:type="dxa"/>
                  <w:noWrap w:val="0"/>
                  <w:vAlign w:val="center"/>
                </w:tcPr>
                <w:p w14:paraId="55828E9A">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项目距离最近居住点</w:t>
                  </w:r>
                  <w:r>
                    <w:rPr>
                      <w:rFonts w:hint="eastAsia"/>
                      <w:color w:val="000000" w:themeColor="text1"/>
                      <w:kern w:val="0"/>
                      <w:sz w:val="21"/>
                      <w:szCs w:val="21"/>
                      <w:highlight w:val="none"/>
                      <w:lang w:val="en-US" w:eastAsia="zh-CN"/>
                      <w14:textFill>
                        <w14:solidFill>
                          <w14:schemeClr w14:val="tx1"/>
                        </w14:solidFill>
                      </w14:textFill>
                    </w:rPr>
                    <w:t>刘家133</w:t>
                  </w:r>
                  <w:r>
                    <w:rPr>
                      <w:rFonts w:hint="eastAsia"/>
                      <w:color w:val="000000" w:themeColor="text1"/>
                      <w:kern w:val="0"/>
                      <w:sz w:val="21"/>
                      <w:szCs w:val="21"/>
                      <w:highlight w:val="none"/>
                      <w14:textFill>
                        <w14:solidFill>
                          <w14:schemeClr w14:val="tx1"/>
                        </w14:solidFill>
                      </w14:textFill>
                    </w:rPr>
                    <w:t>m，不紧邻环境敏感点</w:t>
                  </w:r>
                  <w:r>
                    <w:rPr>
                      <w:rFonts w:hint="eastAsia"/>
                      <w:color w:val="000000" w:themeColor="text1"/>
                      <w:lang w:eastAsia="zh-CN"/>
                      <w14:textFill>
                        <w14:solidFill>
                          <w14:schemeClr w14:val="tx1"/>
                        </w14:solidFill>
                      </w14:textFill>
                    </w:rPr>
                    <w:t>，环境风险潜势为</w:t>
                  </w:r>
                  <w:r>
                    <w:rPr>
                      <w:rFonts w:hint="default" w:ascii="Times New Roman" w:hAnsi="Times New Roman" w:cs="Times New Roman"/>
                      <w:color w:val="000000" w:themeColor="text1"/>
                      <w:lang w:eastAsia="zh-CN"/>
                      <w14:textFill>
                        <w14:solidFill>
                          <w14:schemeClr w14:val="tx1"/>
                        </w14:solidFill>
                      </w14:textFill>
                    </w:rPr>
                    <w:t>Ⅰ</w:t>
                  </w:r>
                  <w:r>
                    <w:rPr>
                      <w:rFonts w:hint="eastAsia" w:ascii="Times New Roman" w:hAnsi="Times New Roman" w:cs="Times New Roman"/>
                      <w:color w:val="000000" w:themeColor="text1"/>
                      <w:lang w:val="en-US" w:eastAsia="zh-CN"/>
                      <w14:textFill>
                        <w14:solidFill>
                          <w14:schemeClr w14:val="tx1"/>
                        </w14:solidFill>
                      </w14:textFill>
                    </w:rPr>
                    <w:t>级</w:t>
                  </w:r>
                  <w:r>
                    <w:rPr>
                      <w:rFonts w:hint="eastAsia" w:ascii="Times New Roman" w:hAnsi="Times New Roman" w:cs="Times New Roman"/>
                      <w:color w:val="000000" w:themeColor="text1"/>
                      <w:lang w:eastAsia="zh-CN"/>
                      <w14:textFill>
                        <w14:solidFill>
                          <w14:schemeClr w14:val="tx1"/>
                        </w14:solidFill>
                      </w14:textFill>
                    </w:rPr>
                    <w:t>。</w:t>
                  </w:r>
                </w:p>
              </w:tc>
            </w:tr>
            <w:tr w14:paraId="674B06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2F1746BF">
                  <w:pPr>
                    <w:shd w:val="clear" w:color="auto" w:fill="auto"/>
                    <w:adjustRightInd w:val="0"/>
                    <w:snapToGrid w:val="0"/>
                    <w:spacing w:line="240" w:lineRule="auto"/>
                    <w:ind w:firstLine="0" w:firstLineChars="0"/>
                    <w:jc w:val="center"/>
                    <w:rPr>
                      <w:color w:val="000000" w:themeColor="text1"/>
                      <w:highlight w:val="none"/>
                      <w14:textFill>
                        <w14:solidFill>
                          <w14:schemeClr w14:val="tx1"/>
                        </w14:solidFill>
                      </w14:textFill>
                    </w:rPr>
                  </w:pPr>
                </w:p>
              </w:tc>
              <w:tc>
                <w:tcPr>
                  <w:tcW w:w="675" w:type="dxa"/>
                  <w:vMerge w:val="restart"/>
                  <w:noWrap w:val="0"/>
                  <w:vAlign w:val="center"/>
                </w:tcPr>
                <w:p w14:paraId="3A4157E5">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企业环境风险防控要求</w:t>
                  </w:r>
                </w:p>
              </w:tc>
              <w:tc>
                <w:tcPr>
                  <w:tcW w:w="1410" w:type="dxa"/>
                  <w:gridSpan w:val="2"/>
                  <w:noWrap w:val="0"/>
                  <w:vAlign w:val="center"/>
                </w:tcPr>
                <w:p w14:paraId="4800124E">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eastAsia="zh-CN"/>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企业</w:t>
                  </w:r>
                  <w:r>
                    <w:rPr>
                      <w:rFonts w:hint="eastAsia"/>
                      <w:color w:val="000000" w:themeColor="text1"/>
                      <w:kern w:val="0"/>
                      <w:sz w:val="21"/>
                      <w:szCs w:val="21"/>
                      <w:highlight w:val="none"/>
                      <w:lang w:val="en-US" w:eastAsia="zh-CN"/>
                      <w14:textFill>
                        <w14:solidFill>
                          <w14:schemeClr w14:val="tx1"/>
                        </w14:solidFill>
                      </w14:textFill>
                    </w:rPr>
                    <w:t>环境</w:t>
                  </w:r>
                  <w:r>
                    <w:rPr>
                      <w:rFonts w:hint="eastAsia"/>
                      <w:color w:val="000000" w:themeColor="text1"/>
                      <w:kern w:val="0"/>
                      <w:sz w:val="21"/>
                      <w:szCs w:val="21"/>
                      <w:highlight w:val="none"/>
                      <w14:textFill>
                        <w14:solidFill>
                          <w14:schemeClr w14:val="tx1"/>
                        </w14:solidFill>
                      </w14:textFill>
                    </w:rPr>
                    <w:t>风险防控</w:t>
                  </w:r>
                  <w:r>
                    <w:rPr>
                      <w:rFonts w:hint="eastAsia"/>
                      <w:color w:val="000000" w:themeColor="text1"/>
                      <w:kern w:val="0"/>
                      <w:sz w:val="21"/>
                      <w:szCs w:val="21"/>
                      <w:highlight w:val="none"/>
                      <w:lang w:val="en-US" w:eastAsia="zh-CN"/>
                      <w14:textFill>
                        <w14:solidFill>
                          <w14:schemeClr w14:val="tx1"/>
                        </w14:solidFill>
                      </w14:textFill>
                    </w:rPr>
                    <w:t>要求</w:t>
                  </w:r>
                </w:p>
              </w:tc>
              <w:tc>
                <w:tcPr>
                  <w:tcW w:w="2715" w:type="dxa"/>
                  <w:noWrap w:val="0"/>
                  <w:vAlign w:val="center"/>
                </w:tcPr>
                <w:p w14:paraId="2B7EBA77">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涉及危险化学品及产生大量</w:t>
                  </w:r>
                  <w:r>
                    <w:rPr>
                      <w:rFonts w:hint="eastAsia"/>
                      <w:color w:val="000000" w:themeColor="text1"/>
                      <w:kern w:val="0"/>
                      <w:sz w:val="21"/>
                      <w:szCs w:val="21"/>
                      <w:highlight w:val="none"/>
                      <w:lang w:val="en-US" w:eastAsia="zh-CN"/>
                      <w14:textFill>
                        <w14:solidFill>
                          <w14:schemeClr w14:val="tx1"/>
                        </w14:solidFill>
                      </w14:textFill>
                    </w:rPr>
                    <w:t>废</w:t>
                  </w:r>
                  <w:r>
                    <w:rPr>
                      <w:rFonts w:hint="eastAsia"/>
                      <w:color w:val="000000" w:themeColor="text1"/>
                      <w:kern w:val="0"/>
                      <w:sz w:val="21"/>
                      <w:szCs w:val="21"/>
                      <w:highlight w:val="none"/>
                      <w14:textFill>
                        <w14:solidFill>
                          <w14:schemeClr w14:val="tx1"/>
                        </w14:solidFill>
                      </w14:textFill>
                    </w:rPr>
                    <w:t>水的企业，以及利用或处置固体度物(含危险度物)的企业，按相关要求编制突发环境事件应急预案，配套防扬散、防流失、防渗漏及事故收集池等有效措施，防止因渗漏污染地下水、土壤，以及因事故度水直排污染地表水。</w:t>
                  </w:r>
                </w:p>
              </w:tc>
              <w:tc>
                <w:tcPr>
                  <w:tcW w:w="1586" w:type="dxa"/>
                  <w:noWrap w:val="0"/>
                  <w:vAlign w:val="center"/>
                </w:tcPr>
                <w:p w14:paraId="24765B67">
                  <w:pPr>
                    <w:shd w:val="clear" w:color="auto" w:fill="auto"/>
                    <w:adjustRightInd w:val="0"/>
                    <w:snapToGrid w:val="0"/>
                    <w:spacing w:line="240" w:lineRule="auto"/>
                    <w:ind w:firstLine="0" w:firstLineChars="0"/>
                    <w:jc w:val="center"/>
                    <w:rPr>
                      <w:rFonts w:hint="default"/>
                      <w:color w:val="000000" w:themeColor="text1"/>
                      <w:kern w:val="0"/>
                      <w:sz w:val="21"/>
                      <w:szCs w:val="21"/>
                      <w:highlight w:val="none"/>
                      <w:lang w:val="en-US"/>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环境风险评价内容已明确要求建设单位编制突发环境事件应急预案并配套风险防范设施。</w:t>
                  </w:r>
                </w:p>
              </w:tc>
            </w:tr>
            <w:tr w14:paraId="623CD2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6D54618B">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675" w:type="dxa"/>
                  <w:vMerge w:val="continue"/>
                  <w:noWrap w:val="0"/>
                  <w:vAlign w:val="center"/>
                </w:tcPr>
                <w:p w14:paraId="36B921E3">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1410" w:type="dxa"/>
                  <w:gridSpan w:val="2"/>
                  <w:noWrap w:val="0"/>
                  <w:vAlign w:val="center"/>
                </w:tcPr>
                <w:p w14:paraId="4F096598">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其他环境风险防控要求</w:t>
                  </w:r>
                </w:p>
              </w:tc>
              <w:tc>
                <w:tcPr>
                  <w:tcW w:w="2715" w:type="dxa"/>
                  <w:noWrap w:val="0"/>
                  <w:vAlign w:val="center"/>
                </w:tcPr>
                <w:p w14:paraId="53E2ACBB">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15B27E9C">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r w14:paraId="11DE4A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restart"/>
                  <w:noWrap w:val="0"/>
                  <w:vAlign w:val="center"/>
                </w:tcPr>
                <w:p w14:paraId="66F0CBF7">
                  <w:pPr>
                    <w:shd w:val="clear" w:color="auto" w:fill="auto"/>
                    <w:adjustRightInd w:val="0"/>
                    <w:snapToGrid w:val="0"/>
                    <w:spacing w:line="240" w:lineRule="auto"/>
                    <w:ind w:firstLine="0" w:firstLineChars="0"/>
                    <w:jc w:val="center"/>
                    <w:rPr>
                      <w:rFonts w:hint="eastAsia"/>
                      <w:b/>
                      <w:bCs/>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资源利用效率要求</w:t>
                  </w:r>
                </w:p>
              </w:tc>
              <w:tc>
                <w:tcPr>
                  <w:tcW w:w="2085" w:type="dxa"/>
                  <w:gridSpan w:val="3"/>
                  <w:noWrap w:val="0"/>
                  <w:vAlign w:val="center"/>
                </w:tcPr>
                <w:p w14:paraId="50519471">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水资源利用效率要求</w:t>
                  </w:r>
                </w:p>
              </w:tc>
              <w:tc>
                <w:tcPr>
                  <w:tcW w:w="2715" w:type="dxa"/>
                  <w:noWrap w:val="0"/>
                  <w:vAlign w:val="center"/>
                </w:tcPr>
                <w:p w14:paraId="4C94F3C4">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621AE7AA">
                  <w:pPr>
                    <w:shd w:val="clear" w:color="auto" w:fill="auto"/>
                    <w:adjustRightInd w:val="0"/>
                    <w:snapToGrid w:val="0"/>
                    <w:spacing w:line="240" w:lineRule="auto"/>
                    <w:ind w:firstLine="0" w:firstLineChars="0"/>
                    <w:jc w:val="center"/>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w:t>
                  </w:r>
                </w:p>
              </w:tc>
            </w:tr>
            <w:tr w14:paraId="32B96A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337B4587">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p>
              </w:tc>
              <w:tc>
                <w:tcPr>
                  <w:tcW w:w="2085" w:type="dxa"/>
                  <w:gridSpan w:val="3"/>
                  <w:noWrap w:val="0"/>
                  <w:vAlign w:val="center"/>
                </w:tcPr>
                <w:p w14:paraId="3EBCA1D4">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地下水开采要求</w:t>
                  </w:r>
                </w:p>
              </w:tc>
              <w:tc>
                <w:tcPr>
                  <w:tcW w:w="2715" w:type="dxa"/>
                  <w:noWrap w:val="0"/>
                  <w:vAlign w:val="center"/>
                </w:tcPr>
                <w:p w14:paraId="799E9E40">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07F176CD">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r w14:paraId="735850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6A423962">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2085" w:type="dxa"/>
                  <w:gridSpan w:val="3"/>
                  <w:noWrap w:val="0"/>
                  <w:vAlign w:val="center"/>
                </w:tcPr>
                <w:p w14:paraId="3E3B1485">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能源利用总量效率要求</w:t>
                  </w:r>
                </w:p>
              </w:tc>
              <w:tc>
                <w:tcPr>
                  <w:tcW w:w="2715" w:type="dxa"/>
                  <w:noWrap w:val="0"/>
                  <w:vAlign w:val="center"/>
                </w:tcPr>
                <w:p w14:paraId="424D84C7">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w:t>
                  </w:r>
                </w:p>
              </w:tc>
              <w:tc>
                <w:tcPr>
                  <w:tcW w:w="1586" w:type="dxa"/>
                  <w:noWrap w:val="0"/>
                  <w:vAlign w:val="center"/>
                </w:tcPr>
                <w:p w14:paraId="712A7524">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w:t>
                  </w:r>
                </w:p>
              </w:tc>
            </w:tr>
            <w:tr w14:paraId="27FE81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015CE962">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2085" w:type="dxa"/>
                  <w:gridSpan w:val="3"/>
                  <w:noWrap w:val="0"/>
                  <w:vAlign w:val="center"/>
                </w:tcPr>
                <w:p w14:paraId="6616F9C0">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其他资源利用要求</w:t>
                  </w:r>
                </w:p>
              </w:tc>
              <w:tc>
                <w:tcPr>
                  <w:tcW w:w="2715" w:type="dxa"/>
                  <w:noWrap w:val="0"/>
                  <w:vAlign w:val="center"/>
                </w:tcPr>
                <w:p w14:paraId="1259D4B3">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w:t>
                  </w:r>
                </w:p>
              </w:tc>
              <w:tc>
                <w:tcPr>
                  <w:tcW w:w="1586" w:type="dxa"/>
                  <w:noWrap w:val="0"/>
                  <w:vAlign w:val="center"/>
                </w:tcPr>
                <w:p w14:paraId="6380EF4E">
                  <w:pPr>
                    <w:shd w:val="clear" w:color="auto" w:fill="auto"/>
                    <w:adjustRightInd w:val="0"/>
                    <w:snapToGrid w:val="0"/>
                    <w:spacing w:line="240" w:lineRule="auto"/>
                    <w:ind w:firstLine="0" w:firstLineChars="0"/>
                    <w:jc w:val="center"/>
                    <w:rPr>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w:t>
                  </w:r>
                </w:p>
              </w:tc>
            </w:tr>
            <w:tr w14:paraId="1865A6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restart"/>
                  <w:noWrap w:val="0"/>
                  <w:vAlign w:val="center"/>
                </w:tcPr>
                <w:p w14:paraId="3EDE100C">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b/>
                      <w:bCs/>
                      <w:color w:val="000000" w:themeColor="text1"/>
                      <w:kern w:val="0"/>
                      <w:sz w:val="21"/>
                      <w:szCs w:val="21"/>
                      <w:highlight w:val="none"/>
                      <w14:textFill>
                        <w14:solidFill>
                          <w14:schemeClr w14:val="tx1"/>
                        </w14:solidFill>
                      </w14:textFill>
                    </w:rPr>
                    <w:t>资源利用效率要求</w:t>
                  </w:r>
                </w:p>
              </w:tc>
              <w:tc>
                <w:tcPr>
                  <w:tcW w:w="915" w:type="dxa"/>
                  <w:gridSpan w:val="2"/>
                  <w:shd w:val="clear" w:color="auto" w:fill="auto"/>
                  <w:noWrap w:val="0"/>
                  <w:vAlign w:val="center"/>
                </w:tcPr>
                <w:p w14:paraId="148C6B35">
                  <w:pPr>
                    <w:shd w:val="clear" w:color="auto" w:fill="auto"/>
                    <w:adjustRightInd w:val="0"/>
                    <w:snapToGrid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水资源利用效率要求</w:t>
                  </w:r>
                </w:p>
              </w:tc>
              <w:tc>
                <w:tcPr>
                  <w:tcW w:w="1170" w:type="dxa"/>
                  <w:shd w:val="clear" w:color="auto" w:fill="auto"/>
                  <w:noWrap w:val="0"/>
                  <w:vAlign w:val="center"/>
                </w:tcPr>
                <w:p w14:paraId="235D059A">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园区工业用水重复利用率限值（%）</w:t>
                  </w:r>
                </w:p>
              </w:tc>
              <w:tc>
                <w:tcPr>
                  <w:tcW w:w="2715" w:type="dxa"/>
                  <w:noWrap w:val="0"/>
                  <w:vAlign w:val="center"/>
                </w:tcPr>
                <w:p w14:paraId="54EEF634">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default" w:eastAsia="宋体"/>
                      <w:color w:val="000000" w:themeColor="text1"/>
                      <w:kern w:val="0"/>
                      <w:sz w:val="21"/>
                      <w:szCs w:val="21"/>
                      <w:highlight w:val="none"/>
                      <w:lang w:val="en-US" w:eastAsia="zh-CN"/>
                      <w14:textFill>
                        <w14:solidFill>
                          <w14:schemeClr w14:val="tx1"/>
                        </w14:solidFill>
                      </w14:textFill>
                    </w:rPr>
                    <w:t>园区工业用水重复利用率不得低于行业清洁生产国内先进水平。</w:t>
                  </w:r>
                </w:p>
              </w:tc>
              <w:tc>
                <w:tcPr>
                  <w:tcW w:w="1586" w:type="dxa"/>
                  <w:noWrap w:val="0"/>
                  <w:vAlign w:val="center"/>
                </w:tcPr>
                <w:p w14:paraId="096E5D8D">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项目清洁生产水平满足要求。</w:t>
                  </w:r>
                </w:p>
              </w:tc>
            </w:tr>
            <w:tr w14:paraId="40AA88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52037CCF">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915" w:type="dxa"/>
                  <w:gridSpan w:val="2"/>
                  <w:shd w:val="clear" w:color="auto" w:fill="auto"/>
                  <w:noWrap w:val="0"/>
                  <w:vAlign w:val="center"/>
                </w:tcPr>
                <w:p w14:paraId="05E5C523">
                  <w:pPr>
                    <w:shd w:val="clear" w:color="auto" w:fill="auto"/>
                    <w:adjustRightInd w:val="0"/>
                    <w:snapToGrid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地下水开采要求</w:t>
                  </w:r>
                </w:p>
              </w:tc>
              <w:tc>
                <w:tcPr>
                  <w:tcW w:w="1170" w:type="dxa"/>
                  <w:shd w:val="clear" w:color="auto" w:fill="auto"/>
                  <w:noWrap w:val="0"/>
                  <w:vAlign w:val="center"/>
                </w:tcPr>
                <w:p w14:paraId="6F2B3D08">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新增地下水开采总量限值（万m</w:t>
                  </w:r>
                  <w:r>
                    <w:rPr>
                      <w:rFonts w:hint="eastAsia"/>
                      <w:color w:val="000000" w:themeColor="text1"/>
                      <w:kern w:val="0"/>
                      <w:sz w:val="21"/>
                      <w:szCs w:val="21"/>
                      <w:highlight w:val="none"/>
                      <w:vertAlign w:val="superscript"/>
                      <w:lang w:val="en-US" w:eastAsia="zh-CN"/>
                      <w14:textFill>
                        <w14:solidFill>
                          <w14:schemeClr w14:val="tx1"/>
                        </w14:solidFill>
                      </w14:textFill>
                    </w:rPr>
                    <w:t>3</w:t>
                  </w:r>
                  <w:r>
                    <w:rPr>
                      <w:rFonts w:hint="eastAsia"/>
                      <w:color w:val="000000" w:themeColor="text1"/>
                      <w:kern w:val="0"/>
                      <w:sz w:val="21"/>
                      <w:szCs w:val="21"/>
                      <w:highlight w:val="none"/>
                      <w:lang w:val="en-US" w:eastAsia="zh-CN"/>
                      <w14:textFill>
                        <w14:solidFill>
                          <w14:schemeClr w14:val="tx1"/>
                        </w14:solidFill>
                      </w14:textFill>
                    </w:rPr>
                    <w:t>/a）</w:t>
                  </w:r>
                </w:p>
              </w:tc>
              <w:tc>
                <w:tcPr>
                  <w:tcW w:w="2715" w:type="dxa"/>
                  <w:noWrap w:val="0"/>
                  <w:vAlign w:val="center"/>
                </w:tcPr>
                <w:p w14:paraId="675AF727">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新增地下水开采总量不得超过补给水平。</w:t>
                  </w:r>
                </w:p>
              </w:tc>
              <w:tc>
                <w:tcPr>
                  <w:tcW w:w="1586" w:type="dxa"/>
                  <w:noWrap w:val="0"/>
                  <w:vAlign w:val="center"/>
                </w:tcPr>
                <w:p w14:paraId="310C4F84">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项目不开采地下水</w:t>
                  </w:r>
                </w:p>
              </w:tc>
            </w:tr>
            <w:tr w14:paraId="276152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30" w:type="dxa"/>
                  <w:vMerge w:val="continue"/>
                  <w:noWrap w:val="0"/>
                  <w:vAlign w:val="center"/>
                </w:tcPr>
                <w:p w14:paraId="745FA9A6">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p>
              </w:tc>
              <w:tc>
                <w:tcPr>
                  <w:tcW w:w="915" w:type="dxa"/>
                  <w:gridSpan w:val="2"/>
                  <w:shd w:val="clear" w:color="auto" w:fill="auto"/>
                  <w:noWrap w:val="0"/>
                  <w:vAlign w:val="center"/>
                </w:tcPr>
                <w:p w14:paraId="041B44AA">
                  <w:pPr>
                    <w:shd w:val="clear" w:color="auto" w:fill="auto"/>
                    <w:adjustRightInd w:val="0"/>
                    <w:snapToGrid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olor w:val="000000" w:themeColor="text1"/>
                      <w:kern w:val="0"/>
                      <w:sz w:val="21"/>
                      <w:szCs w:val="21"/>
                      <w:highlight w:val="none"/>
                      <w14:textFill>
                        <w14:solidFill>
                          <w14:schemeClr w14:val="tx1"/>
                        </w14:solidFill>
                      </w14:textFill>
                    </w:rPr>
                    <w:t>能源利用总量效率要求</w:t>
                  </w:r>
                </w:p>
              </w:tc>
              <w:tc>
                <w:tcPr>
                  <w:tcW w:w="1170" w:type="dxa"/>
                  <w:shd w:val="clear" w:color="auto" w:fill="auto"/>
                  <w:noWrap w:val="0"/>
                  <w:vAlign w:val="center"/>
                </w:tcPr>
                <w:p w14:paraId="4AFC6290">
                  <w:pPr>
                    <w:shd w:val="clear" w:color="auto" w:fill="auto"/>
                    <w:adjustRightInd w:val="0"/>
                    <w:snapToGrid w:val="0"/>
                    <w:spacing w:line="240" w:lineRule="auto"/>
                    <w:ind w:firstLine="0" w:firstLineChars="0"/>
                    <w:jc w:val="center"/>
                    <w:rPr>
                      <w:rFonts w:hint="eastAsia"/>
                      <w:color w:val="000000" w:themeColor="text1"/>
                      <w:kern w:val="0"/>
                      <w:sz w:val="21"/>
                      <w:szCs w:val="21"/>
                      <w:highlight w:val="none"/>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万元国内生产总值能耗下降比例（%）</w:t>
                  </w:r>
                </w:p>
              </w:tc>
              <w:tc>
                <w:tcPr>
                  <w:tcW w:w="2715" w:type="dxa"/>
                  <w:noWrap w:val="0"/>
                  <w:vAlign w:val="center"/>
                </w:tcPr>
                <w:p w14:paraId="70978B4E">
                  <w:pPr>
                    <w:shd w:val="clear" w:color="auto" w:fill="auto"/>
                    <w:adjustRightInd w:val="0"/>
                    <w:snapToGrid w:val="0"/>
                    <w:spacing w:line="240" w:lineRule="auto"/>
                    <w:ind w:firstLine="0" w:firstLineChars="0"/>
                    <w:jc w:val="center"/>
                    <w:rPr>
                      <w:rFonts w:hint="default"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c>
                <w:tcPr>
                  <w:tcW w:w="1586" w:type="dxa"/>
                  <w:noWrap w:val="0"/>
                  <w:vAlign w:val="center"/>
                </w:tcPr>
                <w:p w14:paraId="4C059E7D">
                  <w:pPr>
                    <w:shd w:val="clear" w:color="auto" w:fill="auto"/>
                    <w:adjustRightInd w:val="0"/>
                    <w:snapToGrid w:val="0"/>
                    <w:spacing w:line="240" w:lineRule="auto"/>
                    <w:ind w:firstLine="0" w:firstLineChars="0"/>
                    <w:jc w:val="center"/>
                    <w:rPr>
                      <w:rFonts w:hint="eastAsia" w:eastAsia="宋体"/>
                      <w:color w:val="000000" w:themeColor="text1"/>
                      <w:kern w:val="0"/>
                      <w:sz w:val="21"/>
                      <w:szCs w:val="21"/>
                      <w:highlight w:val="none"/>
                      <w:lang w:val="en-US" w:eastAsia="zh-CN"/>
                      <w14:textFill>
                        <w14:solidFill>
                          <w14:schemeClr w14:val="tx1"/>
                        </w14:solidFill>
                      </w14:textFill>
                    </w:rPr>
                  </w:pPr>
                  <w:r>
                    <w:rPr>
                      <w:rFonts w:hint="eastAsia"/>
                      <w:color w:val="000000" w:themeColor="text1"/>
                      <w:kern w:val="0"/>
                      <w:sz w:val="21"/>
                      <w:szCs w:val="21"/>
                      <w:highlight w:val="none"/>
                      <w:lang w:val="en-US" w:eastAsia="zh-CN"/>
                      <w14:textFill>
                        <w14:solidFill>
                          <w14:schemeClr w14:val="tx1"/>
                        </w14:solidFill>
                      </w14:textFill>
                    </w:rPr>
                    <w:t>/</w:t>
                  </w:r>
                </w:p>
              </w:tc>
            </w:tr>
          </w:tbl>
          <w:p w14:paraId="54FB47C5">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综上，本项目建设符合生态保护红线、环境质量底线、资源利用上线、环境准入负面清单的要求。</w:t>
            </w:r>
          </w:p>
          <w:p w14:paraId="3314356E">
            <w:pPr>
              <w:pStyle w:val="56"/>
              <w:shd w:val="clear" w:color="auto" w:fill="auto"/>
              <w:ind w:firstLine="482"/>
              <w:rPr>
                <w:b/>
                <w:bCs/>
                <w:color w:val="000000" w:themeColor="text1"/>
                <w:szCs w:val="21"/>
                <w:highlight w:val="none"/>
                <w14:textFill>
                  <w14:solidFill>
                    <w14:schemeClr w14:val="tx1"/>
                  </w14:solidFill>
                </w14:textFill>
              </w:rPr>
            </w:pPr>
            <w:r>
              <w:rPr>
                <w:b/>
                <w:bCs/>
                <w:color w:val="000000" w:themeColor="text1"/>
                <w:szCs w:val="21"/>
                <w:highlight w:val="none"/>
                <w14:textFill>
                  <w14:solidFill>
                    <w14:schemeClr w14:val="tx1"/>
                  </w14:solidFill>
                </w14:textFill>
              </w:rPr>
              <w:t>四、与</w:t>
            </w:r>
            <w:r>
              <w:rPr>
                <w:rFonts w:hint="default"/>
                <w:b/>
                <w:bCs/>
                <w:color w:val="000000" w:themeColor="text1"/>
                <w:szCs w:val="20"/>
                <w:highlight w:val="none"/>
                <w14:textFill>
                  <w14:solidFill>
                    <w14:schemeClr w14:val="tx1"/>
                  </w14:solidFill>
                </w14:textFill>
              </w:rPr>
              <w:t>《江西省长江经济带发展负面清单实施细则（试行，2022年版）》（赣长江办〔2022〕7号）相符性分析</w:t>
            </w:r>
          </w:p>
          <w:p w14:paraId="1A880BDF">
            <w:pPr>
              <w:shd w:val="clear" w:color="auto" w:fill="auto"/>
              <w:spacing w:line="240" w:lineRule="auto"/>
              <w:ind w:firstLine="0" w:firstLineChars="0"/>
              <w:jc w:val="center"/>
              <w:rPr>
                <w:color w:val="000000" w:themeColor="text1"/>
                <w:highlight w:val="none"/>
                <w14:textFill>
                  <w14:solidFill>
                    <w14:schemeClr w14:val="tx1"/>
                  </w14:solidFill>
                </w14:textFill>
              </w:rPr>
            </w:pPr>
            <w:r>
              <w:rPr>
                <w:b/>
                <w:bCs/>
                <w:snapToGrid w:val="0"/>
                <w:color w:val="000000" w:themeColor="text1"/>
                <w:kern w:val="0"/>
                <w:highlight w:val="none"/>
                <w14:textFill>
                  <w14:solidFill>
                    <w14:schemeClr w14:val="tx1"/>
                  </w14:solidFill>
                </w14:textFill>
              </w:rPr>
              <w:t>表1</w:t>
            </w:r>
            <w:r>
              <w:rPr>
                <w:rFonts w:hint="eastAsia"/>
                <w:b/>
                <w:bCs/>
                <w:snapToGrid w:val="0"/>
                <w:color w:val="000000" w:themeColor="text1"/>
                <w:kern w:val="0"/>
                <w:highlight w:val="none"/>
                <w14:textFill>
                  <w14:solidFill>
                    <w14:schemeClr w14:val="tx1"/>
                  </w14:solidFill>
                </w14:textFill>
              </w:rPr>
              <w:t>-</w:t>
            </w:r>
            <w:r>
              <w:rPr>
                <w:rFonts w:hint="eastAsia"/>
                <w:b/>
                <w:bCs/>
                <w:snapToGrid w:val="0"/>
                <w:color w:val="000000" w:themeColor="text1"/>
                <w:kern w:val="0"/>
                <w:highlight w:val="none"/>
                <w:lang w:val="en-US" w:eastAsia="zh-CN"/>
                <w14:textFill>
                  <w14:solidFill>
                    <w14:schemeClr w14:val="tx1"/>
                  </w14:solidFill>
                </w14:textFill>
              </w:rPr>
              <w:t>6</w:t>
            </w:r>
            <w:r>
              <w:rPr>
                <w:b/>
                <w:bCs/>
                <w:snapToGrid w:val="0"/>
                <w:color w:val="000000" w:themeColor="text1"/>
                <w:kern w:val="0"/>
                <w:highlight w:val="none"/>
                <w14:textFill>
                  <w14:solidFill>
                    <w14:schemeClr w14:val="tx1"/>
                  </w14:solidFill>
                </w14:textFill>
              </w:rPr>
              <w:t xml:space="preserve"> 与江西省长江经济带发展负面清单相符性分析表</w:t>
            </w:r>
          </w:p>
          <w:tbl>
            <w:tblPr>
              <w:tblStyle w:val="32"/>
              <w:tblW w:w="4997" w:type="pct"/>
              <w:tblInd w:w="1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3"/>
              <w:gridCol w:w="4174"/>
              <w:gridCol w:w="1639"/>
              <w:gridCol w:w="636"/>
            </w:tblGrid>
            <w:tr w14:paraId="343EF8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noWrap w:val="0"/>
                  <w:vAlign w:val="center"/>
                </w:tcPr>
                <w:p w14:paraId="4240CA9A">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w:t>
                  </w:r>
                </w:p>
              </w:tc>
              <w:tc>
                <w:tcPr>
                  <w:tcW w:w="2933" w:type="pct"/>
                  <w:noWrap w:val="0"/>
                  <w:vAlign w:val="center"/>
                </w:tcPr>
                <w:p w14:paraId="6364708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内容</w:t>
                  </w:r>
                </w:p>
              </w:tc>
              <w:tc>
                <w:tcPr>
                  <w:tcW w:w="1152" w:type="pct"/>
                  <w:noWrap w:val="0"/>
                  <w:vAlign w:val="center"/>
                </w:tcPr>
                <w:p w14:paraId="05675C8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拟建项目情况</w:t>
                  </w:r>
                </w:p>
              </w:tc>
              <w:tc>
                <w:tcPr>
                  <w:tcW w:w="447" w:type="pct"/>
                  <w:noWrap w:val="0"/>
                  <w:vAlign w:val="center"/>
                </w:tcPr>
                <w:p w14:paraId="1CC6EFFA">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相符性</w:t>
                  </w:r>
                </w:p>
              </w:tc>
            </w:tr>
            <w:tr w14:paraId="2B38D0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restart"/>
                  <w:noWrap w:val="0"/>
                  <w:vAlign w:val="center"/>
                </w:tcPr>
                <w:p w14:paraId="627C8BEB">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严格岸线河段管控</w:t>
                  </w:r>
                </w:p>
              </w:tc>
              <w:tc>
                <w:tcPr>
                  <w:tcW w:w="2933" w:type="pct"/>
                  <w:noWrap w:val="0"/>
                  <w:vAlign w:val="center"/>
                </w:tcPr>
                <w:p w14:paraId="321EA05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禁止建设不符合国家和省级港口布局规划以及港口总体规划的码头项目。禁止建设不符合《长江干线过江通道布局规划》的过长江通道项目。</w:t>
                  </w:r>
                </w:p>
              </w:tc>
              <w:tc>
                <w:tcPr>
                  <w:tcW w:w="1152" w:type="pct"/>
                  <w:noWrap w:val="0"/>
                  <w:vAlign w:val="center"/>
                </w:tcPr>
                <w:p w14:paraId="2724F3E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项目不属于码头项目、过长江通道项目</w:t>
                  </w:r>
                </w:p>
              </w:tc>
              <w:tc>
                <w:tcPr>
                  <w:tcW w:w="447" w:type="pct"/>
                  <w:noWrap w:val="0"/>
                  <w:vAlign w:val="center"/>
                </w:tcPr>
                <w:p w14:paraId="22755F8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28CD53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31711121">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593FAE0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禁止在自然保护区核心区、缓冲区的岸线和河段范围内投资建设旅游和生产经营项目。</w:t>
                  </w:r>
                </w:p>
              </w:tc>
              <w:tc>
                <w:tcPr>
                  <w:tcW w:w="1152" w:type="pct"/>
                  <w:noWrap w:val="0"/>
                  <w:vAlign w:val="center"/>
                </w:tcPr>
                <w:p w14:paraId="45842575">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项目不在自然保护区核心区、缓冲区的岸线和河段范围内</w:t>
                  </w:r>
                </w:p>
              </w:tc>
              <w:tc>
                <w:tcPr>
                  <w:tcW w:w="447" w:type="pct"/>
                  <w:noWrap w:val="0"/>
                  <w:vAlign w:val="center"/>
                </w:tcPr>
                <w:p w14:paraId="76D014A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2AF812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121EAFC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7826A5CA">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禁止在风景名胜区核心景区的岸线和河段范围内开展以下行为：</w:t>
                  </w:r>
                </w:p>
                <w:p w14:paraId="612316A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（一）开山、采石、开矿、开荒、修坟立碑等破坏景观、植被和地形地貌的活动。</w:t>
                  </w:r>
                </w:p>
                <w:p w14:paraId="33BA2AD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（二）修建储存爆炸性、易燃性、放射性、毒害性、腐蚀性物品的设施。</w:t>
                  </w:r>
                </w:p>
                <w:p w14:paraId="719B85D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（三）违反风景名胜区规划，建设与风景名胜资源保护无关的设施。</w:t>
                  </w:r>
                </w:p>
              </w:tc>
              <w:tc>
                <w:tcPr>
                  <w:tcW w:w="1152" w:type="pct"/>
                  <w:noWrap w:val="0"/>
                  <w:vAlign w:val="center"/>
                </w:tcPr>
                <w:p w14:paraId="5EF6EA4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项目不在风景名胜区核心景区的岸线和河段范围内</w:t>
                  </w:r>
                </w:p>
              </w:tc>
              <w:tc>
                <w:tcPr>
                  <w:tcW w:w="447" w:type="pct"/>
                  <w:noWrap w:val="0"/>
                  <w:vAlign w:val="center"/>
                </w:tcPr>
                <w:p w14:paraId="60C4C9AB">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279269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1373B82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3A53DAC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禁止在饮用水水源一级保护区的岸线和河段范围内开展下列行为：</w:t>
                  </w:r>
                </w:p>
                <w:p w14:paraId="0307DEA8">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（一）新建、改建、扩建与供水设施和保护水源无关的建设项目；已建成的与供水设施和保护水源无关的建设项目，由县级以上人民政府责令拆除或者关闭。</w:t>
                  </w:r>
                </w:p>
                <w:p w14:paraId="6466794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（二）禁止在饮用水水源一级保护区内从事网箱养殖、旅游、游泳、垂钓或者其他可能污染饮用水水体的活动。</w:t>
                  </w:r>
                </w:p>
              </w:tc>
              <w:tc>
                <w:tcPr>
                  <w:tcW w:w="1152" w:type="pct"/>
                  <w:noWrap w:val="0"/>
                  <w:vAlign w:val="center"/>
                </w:tcPr>
                <w:p w14:paraId="05DECCF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项目不在饮用水水源一级保护区的岸线和河段范围内</w:t>
                  </w:r>
                </w:p>
              </w:tc>
              <w:tc>
                <w:tcPr>
                  <w:tcW w:w="447" w:type="pct"/>
                  <w:noWrap w:val="0"/>
                  <w:vAlign w:val="center"/>
                </w:tcPr>
                <w:p w14:paraId="7AA3AEC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06BB68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746CE6EA">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00C0A32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禁止在饮用水水源二级保护区的岸线和河段范围内开展下列行为：</w:t>
                  </w:r>
                </w:p>
                <w:p w14:paraId="6156CFC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（一）新建、改建、扩建排放污染物的建设项目；已建成的排放污染物的建设项目，由县级以上人民政府责令拆除或者关闭。</w:t>
                  </w:r>
                </w:p>
                <w:p w14:paraId="0113892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（二）在饮用水水源二级保护区内从事网箱养殖、旅游等活动的，应当按照规定采取措施，防止污染饮用水水体。</w:t>
                  </w:r>
                </w:p>
              </w:tc>
              <w:tc>
                <w:tcPr>
                  <w:tcW w:w="1152" w:type="pct"/>
                  <w:noWrap w:val="0"/>
                  <w:vAlign w:val="center"/>
                </w:tcPr>
                <w:p w14:paraId="04136BBB">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项目不在饮用水水源二级保护区的岸线和河段范围内</w:t>
                  </w:r>
                </w:p>
              </w:tc>
              <w:tc>
                <w:tcPr>
                  <w:tcW w:w="447" w:type="pct"/>
                  <w:noWrap w:val="0"/>
                  <w:vAlign w:val="center"/>
                </w:tcPr>
                <w:p w14:paraId="526A0E51">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20245A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75B80DFB">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3270B98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禁止在水产种质资源保护区的岸线和河段范围内新建围湖（河）造田（地）等投资建设项目。</w:t>
                  </w:r>
                </w:p>
                <w:p w14:paraId="5D1130C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单位和个人在水产种质资源保护区内从事水生生物资源调查、科学研究、教学实习、参观游览、影视拍摄等活动，应当遵守有关法律法规和保护区管理制度，不得损害水产种质资源及其生存环境。</w:t>
                  </w:r>
                </w:p>
              </w:tc>
              <w:tc>
                <w:tcPr>
                  <w:tcW w:w="1152" w:type="pct"/>
                  <w:noWrap w:val="0"/>
                  <w:vAlign w:val="center"/>
                </w:tcPr>
                <w:p w14:paraId="0D790C11">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项目不在水产种质资源保护区的岸线和河段范围内</w:t>
                  </w:r>
                </w:p>
              </w:tc>
              <w:tc>
                <w:tcPr>
                  <w:tcW w:w="447" w:type="pct"/>
                  <w:noWrap w:val="0"/>
                  <w:vAlign w:val="center"/>
                </w:tcPr>
                <w:p w14:paraId="1FFABAA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2F72B8C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70E5246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5AE4852A">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除国家规定的外，禁止在国家湿地公园的岸线和河段范围内挖沙、采矿以及任何不符合主体功能定位的投资建设项目.</w:t>
                  </w:r>
                </w:p>
              </w:tc>
              <w:tc>
                <w:tcPr>
                  <w:tcW w:w="1152" w:type="pct"/>
                  <w:noWrap w:val="0"/>
                  <w:vAlign w:val="center"/>
                </w:tcPr>
                <w:p w14:paraId="7D6691D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项目不在国家湿地公园的岸线和河段范围内</w:t>
                  </w:r>
                </w:p>
              </w:tc>
              <w:tc>
                <w:tcPr>
                  <w:tcW w:w="447" w:type="pct"/>
                  <w:noWrap w:val="0"/>
                  <w:vAlign w:val="center"/>
                </w:tcPr>
                <w:p w14:paraId="1771A1B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69C487F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0BEAE79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4E15F3B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w:t>
                  </w:r>
                </w:p>
              </w:tc>
              <w:tc>
                <w:tcPr>
                  <w:tcW w:w="1152" w:type="pct"/>
                  <w:noWrap w:val="0"/>
                  <w:vAlign w:val="center"/>
                </w:tcPr>
                <w:p w14:paraId="63E28B0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项目不利用、占用长江流域河湖岸线，不在《长江岸线保护和开发利用总体规划》划定的岸线保护区和保留区内</w:t>
                  </w:r>
                </w:p>
              </w:tc>
              <w:tc>
                <w:tcPr>
                  <w:tcW w:w="447" w:type="pct"/>
                  <w:noWrap w:val="0"/>
                  <w:vAlign w:val="center"/>
                </w:tcPr>
                <w:p w14:paraId="17FC489B">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78E5DF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038F083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3A62FAEE">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禁止在《全国重要江河湖泊水功能区划》划定的河段保护区、保留区内投资建设不利于水资源及自然生态保护的项目。</w:t>
                  </w:r>
                </w:p>
              </w:tc>
              <w:tc>
                <w:tcPr>
                  <w:tcW w:w="1152" w:type="pct"/>
                  <w:noWrap w:val="0"/>
                  <w:vAlign w:val="center"/>
                </w:tcPr>
                <w:p w14:paraId="7738E1A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项目不在《全国重要江河湖泊水功能区划》划定的河段保护区、保留区内</w:t>
                  </w:r>
                </w:p>
              </w:tc>
              <w:tc>
                <w:tcPr>
                  <w:tcW w:w="447" w:type="pct"/>
                  <w:noWrap w:val="0"/>
                  <w:vAlign w:val="center"/>
                </w:tcPr>
                <w:p w14:paraId="6FB8CD6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1B659C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restart"/>
                  <w:noWrap w:val="0"/>
                  <w:vAlign w:val="center"/>
                </w:tcPr>
                <w:p w14:paraId="383429D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严格</w:t>
                  </w:r>
                </w:p>
                <w:p w14:paraId="215F017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区域</w:t>
                  </w:r>
                </w:p>
                <w:p w14:paraId="36F57E68">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活动</w:t>
                  </w:r>
                </w:p>
                <w:p w14:paraId="474A331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管控</w:t>
                  </w:r>
                </w:p>
              </w:tc>
              <w:tc>
                <w:tcPr>
                  <w:tcW w:w="2933" w:type="pct"/>
                  <w:noWrap w:val="0"/>
                  <w:vAlign w:val="center"/>
                </w:tcPr>
                <w:p w14:paraId="0EF5901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禁止未经许可在长江干支流及湖泊新设、改设或扩大排污口。</w:t>
                  </w:r>
                </w:p>
              </w:tc>
              <w:tc>
                <w:tcPr>
                  <w:tcW w:w="1152" w:type="pct"/>
                  <w:noWrap w:val="0"/>
                  <w:vAlign w:val="center"/>
                </w:tcPr>
                <w:p w14:paraId="4D52E9D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项目不在长江干支流及湖泊新设、改设或扩大排污口</w:t>
                  </w:r>
                </w:p>
              </w:tc>
              <w:tc>
                <w:tcPr>
                  <w:tcW w:w="447" w:type="pct"/>
                  <w:noWrap w:val="0"/>
                  <w:vAlign w:val="center"/>
                </w:tcPr>
                <w:p w14:paraId="578B0A3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3F8605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19067B3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17FD7E8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禁止在长江干流江西段、鄱阳湖和《率先全面禁捕的长江流域水生生物保护区名录》中的水生生物保护区开展生产性捕捞。</w:t>
                  </w:r>
                </w:p>
              </w:tc>
              <w:tc>
                <w:tcPr>
                  <w:tcW w:w="1152" w:type="pct"/>
                  <w:noWrap w:val="0"/>
                  <w:vAlign w:val="center"/>
                </w:tcPr>
                <w:p w14:paraId="4E09FE7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项目不开展生产性捕捞</w:t>
                  </w:r>
                </w:p>
              </w:tc>
              <w:tc>
                <w:tcPr>
                  <w:tcW w:w="447" w:type="pct"/>
                  <w:noWrap w:val="0"/>
                  <w:vAlign w:val="center"/>
                </w:tcPr>
                <w:p w14:paraId="68597F69">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70A0AA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0B6A3E61">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0F9EFA1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禁止在长江干支流、重要湖泊岸线一公里范围内新建、扩建化工园区和化工项目。</w:t>
                  </w:r>
                </w:p>
              </w:tc>
              <w:tc>
                <w:tcPr>
                  <w:tcW w:w="1152" w:type="pct"/>
                  <w:noWrap w:val="0"/>
                  <w:vAlign w:val="center"/>
                </w:tcPr>
                <w:p w14:paraId="52B83E1B">
                  <w:pPr>
                    <w:shd w:val="clear" w:color="auto" w:fill="auto"/>
                    <w:spacing w:line="240" w:lineRule="auto"/>
                    <w:ind w:firstLine="0" w:firstLineChars="0"/>
                    <w:jc w:val="center"/>
                    <w:rPr>
                      <w:rFonts w:hint="eastAsia"/>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w:t>
                  </w:r>
                  <w:r>
                    <w:rPr>
                      <w:rFonts w:hint="eastAsia"/>
                      <w:snapToGrid w:val="0"/>
                      <w:color w:val="000000" w:themeColor="text1"/>
                      <w:kern w:val="0"/>
                      <w:sz w:val="21"/>
                      <w:szCs w:val="21"/>
                      <w:highlight w:val="none"/>
                      <w14:textFill>
                        <w14:solidFill>
                          <w14:schemeClr w14:val="tx1"/>
                        </w14:solidFill>
                      </w14:textFill>
                    </w:rPr>
                    <w:t>为汽车零部件及配件制造项目</w:t>
                  </w:r>
                  <w:r>
                    <w:rPr>
                      <w:snapToGrid w:val="0"/>
                      <w:color w:val="000000" w:themeColor="text1"/>
                      <w:kern w:val="0"/>
                      <w:sz w:val="21"/>
                      <w:szCs w:val="21"/>
                      <w:highlight w:val="none"/>
                      <w14:textFill>
                        <w14:solidFill>
                          <w14:schemeClr w14:val="tx1"/>
                        </w14:solidFill>
                      </w14:textFill>
                    </w:rPr>
                    <w:t>，</w:t>
                  </w:r>
                  <w:r>
                    <w:rPr>
                      <w:rFonts w:hint="eastAsia"/>
                      <w:snapToGrid w:val="0"/>
                      <w:color w:val="000000" w:themeColor="text1"/>
                      <w:kern w:val="0"/>
                      <w:sz w:val="21"/>
                      <w:szCs w:val="21"/>
                      <w:highlight w:val="none"/>
                      <w14:textFill>
                        <w14:solidFill>
                          <w14:schemeClr w14:val="tx1"/>
                        </w14:solidFill>
                      </w14:textFill>
                    </w:rPr>
                    <w:t>不在</w:t>
                  </w:r>
                  <w:r>
                    <w:rPr>
                      <w:snapToGrid w:val="0"/>
                      <w:color w:val="000000" w:themeColor="text1"/>
                      <w:kern w:val="0"/>
                      <w:sz w:val="21"/>
                      <w:szCs w:val="21"/>
                      <w:highlight w:val="none"/>
                      <w14:textFill>
                        <w14:solidFill>
                          <w14:schemeClr w14:val="tx1"/>
                        </w14:solidFill>
                      </w14:textFill>
                    </w:rPr>
                    <w:t>长江干支流、重要湖泊岸线一公里范围内</w:t>
                  </w:r>
                </w:p>
              </w:tc>
              <w:tc>
                <w:tcPr>
                  <w:tcW w:w="447" w:type="pct"/>
                  <w:noWrap w:val="0"/>
                  <w:vAlign w:val="center"/>
                </w:tcPr>
                <w:p w14:paraId="70D26DD5">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1E9DF3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37E4FCD6">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779F88B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禁止在长江干流岸线三公里范围内和重要支流岸线一公里范围内新建、改建、扩建尾矿库、冶炼渣库和磷石膏库，以提升安全、生态环境保护水平为目的的改建除外。</w:t>
                  </w:r>
                </w:p>
              </w:tc>
              <w:tc>
                <w:tcPr>
                  <w:tcW w:w="1152" w:type="pct"/>
                  <w:noWrap w:val="0"/>
                  <w:vAlign w:val="center"/>
                </w:tcPr>
                <w:p w14:paraId="1D100E7E">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拟建项目不涉及尾矿库、冶炼渣库和磷石膏库</w:t>
                  </w:r>
                </w:p>
              </w:tc>
              <w:tc>
                <w:tcPr>
                  <w:tcW w:w="447" w:type="pct"/>
                  <w:noWrap w:val="0"/>
                  <w:vAlign w:val="center"/>
                </w:tcPr>
                <w:p w14:paraId="3A0E5A9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7B18EC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04CE0699">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5034D18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禁止在合规园区外新建、扩建钢铁、石化、化工、焦化、建材、有色、制浆造纸等高污染项目。</w:t>
                  </w:r>
                </w:p>
              </w:tc>
              <w:tc>
                <w:tcPr>
                  <w:tcW w:w="1152" w:type="pct"/>
                  <w:noWrap w:val="0"/>
                  <w:vAlign w:val="center"/>
                </w:tcPr>
                <w:p w14:paraId="72A4C42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rFonts w:hint="eastAsia"/>
                      <w:snapToGrid w:val="0"/>
                      <w:color w:val="000000" w:themeColor="text1"/>
                      <w:kern w:val="0"/>
                      <w:sz w:val="21"/>
                      <w:szCs w:val="21"/>
                      <w:highlight w:val="none"/>
                      <w14:textFill>
                        <w14:solidFill>
                          <w14:schemeClr w14:val="tx1"/>
                        </w14:solidFill>
                      </w14:textFill>
                    </w:rPr>
                    <w:t>项目为汽车零部件及配件制造项目，不属于</w:t>
                  </w:r>
                  <w:r>
                    <w:rPr>
                      <w:snapToGrid w:val="0"/>
                      <w:color w:val="000000" w:themeColor="text1"/>
                      <w:kern w:val="0"/>
                      <w:sz w:val="21"/>
                      <w:szCs w:val="21"/>
                      <w:highlight w:val="none"/>
                      <w14:textFill>
                        <w14:solidFill>
                          <w14:schemeClr w14:val="tx1"/>
                        </w14:solidFill>
                      </w14:textFill>
                    </w:rPr>
                    <w:t>钢铁、石化、化工、焦化、建材、有色、制浆造纸等高污染项目。</w:t>
                  </w:r>
                </w:p>
              </w:tc>
              <w:tc>
                <w:tcPr>
                  <w:tcW w:w="447" w:type="pct"/>
                  <w:noWrap w:val="0"/>
                  <w:vAlign w:val="center"/>
                </w:tcPr>
                <w:p w14:paraId="763B469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48CAD7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restart"/>
                  <w:noWrap w:val="0"/>
                  <w:vAlign w:val="center"/>
                </w:tcPr>
                <w:p w14:paraId="089C2B5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严格产业准入</w:t>
                  </w:r>
                </w:p>
              </w:tc>
              <w:tc>
                <w:tcPr>
                  <w:tcW w:w="2933" w:type="pct"/>
                  <w:noWrap w:val="0"/>
                  <w:vAlign w:val="center"/>
                </w:tcPr>
                <w:p w14:paraId="1BDFD01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禁止新建、扩建不符合国家石化、现代煤化工等产业布局规划的项目。</w:t>
                  </w:r>
                </w:p>
              </w:tc>
              <w:tc>
                <w:tcPr>
                  <w:tcW w:w="1152" w:type="pct"/>
                  <w:noWrap w:val="0"/>
                  <w:vAlign w:val="center"/>
                </w:tcPr>
                <w:p w14:paraId="66DC43A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项目不属于国家石化、现代煤化工等项目</w:t>
                  </w:r>
                </w:p>
              </w:tc>
              <w:tc>
                <w:tcPr>
                  <w:tcW w:w="447" w:type="pct"/>
                  <w:noWrap w:val="0"/>
                  <w:vAlign w:val="center"/>
                </w:tcPr>
                <w:p w14:paraId="172C08E3">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51CFFE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312DAE9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503CF920">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新建、扩建法律法规和相关政策明令禁止的落后产能项目，严格执行《产业结构调整指导目录》中淘汰类和限制类有关规定，禁止开展投资建设属于淘汰类的项目及其相关活动，禁止开展投资新建、扩建属于限制类的项目及其相关活动。对于属于限制类的现有生产能力，允许企业在一定期限内采取措施改造升级，严禁以改造为名扩大产能。</w:t>
                  </w:r>
                </w:p>
              </w:tc>
              <w:tc>
                <w:tcPr>
                  <w:tcW w:w="1152" w:type="pct"/>
                  <w:noWrap w:val="0"/>
                  <w:vAlign w:val="center"/>
                </w:tcPr>
                <w:p w14:paraId="24154B2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拟建项目不属于落后产能项目，不属于《产业结构调整指导目录》中淘汰类和限制类项目。</w:t>
                  </w:r>
                </w:p>
              </w:tc>
              <w:tc>
                <w:tcPr>
                  <w:tcW w:w="447" w:type="pct"/>
                  <w:noWrap w:val="0"/>
                  <w:vAlign w:val="center"/>
                </w:tcPr>
                <w:p w14:paraId="457EB88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5E11CE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71734FBC">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1DEFDE2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新建、扩建不符合国家产能置换要求的钢铁、水泥熟料、平板玻璃等严重过剩产能项目。严格执行《国务院关于化解产能严重过剩矛盾的指导意见》，各地各部门不得以任何名义、任何方式备案新增产能。对确有必要建设的，必须严格执行产能置换实施办法，实施减量或等量置换，依法依规办理有关手续。</w:t>
                  </w:r>
                </w:p>
              </w:tc>
              <w:tc>
                <w:tcPr>
                  <w:tcW w:w="1152" w:type="pct"/>
                  <w:noWrap w:val="0"/>
                  <w:vAlign w:val="center"/>
                </w:tcPr>
                <w:p w14:paraId="1690626E">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拟建项目不属于严重过剩产能项目。</w:t>
                  </w:r>
                </w:p>
              </w:tc>
              <w:tc>
                <w:tcPr>
                  <w:tcW w:w="447" w:type="pct"/>
                  <w:noWrap w:val="0"/>
                  <w:vAlign w:val="center"/>
                </w:tcPr>
                <w:p w14:paraId="518327D7">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r w14:paraId="47FC34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66" w:type="pct"/>
                  <w:vMerge w:val="continue"/>
                  <w:noWrap w:val="0"/>
                  <w:vAlign w:val="center"/>
                </w:tcPr>
                <w:p w14:paraId="46BCD5E2">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p>
              </w:tc>
              <w:tc>
                <w:tcPr>
                  <w:tcW w:w="2933" w:type="pct"/>
                  <w:noWrap w:val="0"/>
                  <w:vAlign w:val="center"/>
                </w:tcPr>
                <w:p w14:paraId="44ECAC6D">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禁止新建、扩建不符合要求的高耗能高排放项目。严格执行《江西省人民政府办公厅关于严格高耗能高排放项目准入管理的实施意见》（赣府厅发〔2021〕33号），加强项目审查论证，落实等量、减量替代要求，规范项目行政审批。</w:t>
                  </w:r>
                </w:p>
              </w:tc>
              <w:tc>
                <w:tcPr>
                  <w:tcW w:w="1152" w:type="pct"/>
                  <w:noWrap w:val="0"/>
                  <w:vAlign w:val="center"/>
                </w:tcPr>
                <w:p w14:paraId="4D3C21CF">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项目</w:t>
                  </w:r>
                  <w:r>
                    <w:rPr>
                      <w:rFonts w:hint="eastAsia"/>
                      <w:snapToGrid w:val="0"/>
                      <w:color w:val="000000" w:themeColor="text1"/>
                      <w:kern w:val="0"/>
                      <w:sz w:val="21"/>
                      <w:szCs w:val="21"/>
                      <w:highlight w:val="none"/>
                      <w14:textFill>
                        <w14:solidFill>
                          <w14:schemeClr w14:val="tx1"/>
                        </w14:solidFill>
                      </w14:textFill>
                    </w:rPr>
                    <w:t>不属于两高项目</w:t>
                  </w:r>
                </w:p>
              </w:tc>
              <w:tc>
                <w:tcPr>
                  <w:tcW w:w="447" w:type="pct"/>
                  <w:noWrap w:val="0"/>
                  <w:vAlign w:val="center"/>
                </w:tcPr>
                <w:p w14:paraId="4DCB61E4">
                  <w:pPr>
                    <w:shd w:val="clear" w:color="auto" w:fill="auto"/>
                    <w:spacing w:line="240" w:lineRule="auto"/>
                    <w:ind w:firstLine="0" w:firstLineChars="0"/>
                    <w:jc w:val="center"/>
                    <w:rPr>
                      <w:snapToGrid w:val="0"/>
                      <w:color w:val="000000" w:themeColor="text1"/>
                      <w:kern w:val="0"/>
                      <w:sz w:val="21"/>
                      <w:szCs w:val="21"/>
                      <w:highlight w:val="none"/>
                      <w14:textFill>
                        <w14:solidFill>
                          <w14:schemeClr w14:val="tx1"/>
                        </w14:solidFill>
                      </w14:textFill>
                    </w:rPr>
                  </w:pPr>
                  <w:r>
                    <w:rPr>
                      <w:snapToGrid w:val="0"/>
                      <w:color w:val="000000" w:themeColor="text1"/>
                      <w:kern w:val="0"/>
                      <w:sz w:val="21"/>
                      <w:szCs w:val="21"/>
                      <w:highlight w:val="none"/>
                      <w14:textFill>
                        <w14:solidFill>
                          <w14:schemeClr w14:val="tx1"/>
                        </w14:solidFill>
                      </w14:textFill>
                    </w:rPr>
                    <w:t>符合</w:t>
                  </w:r>
                </w:p>
              </w:tc>
            </w:tr>
          </w:tbl>
          <w:p w14:paraId="72AB0B25">
            <w:pPr>
              <w:pStyle w:val="130"/>
              <w:ind w:firstLine="482"/>
              <w:rPr>
                <w:rFonts w:hint="eastAsia" w:ascii="Times New Roman" w:hAnsi="Times New Roman" w:eastAsia="宋体" w:cs="Times New Roman"/>
                <w:b/>
                <w:color w:val="000000" w:themeColor="text1"/>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五、</w:t>
            </w:r>
            <w:r>
              <w:rPr>
                <w:rFonts w:hint="default" w:ascii="Times New Roman" w:hAnsi="Times New Roman" w:eastAsia="宋体" w:cs="Times New Roman"/>
                <w:b/>
                <w:color w:val="000000" w:themeColor="text1"/>
                <w:highlight w:val="none"/>
                <w:lang w:val="en-US" w:eastAsia="zh-CN"/>
                <w14:textFill>
                  <w14:solidFill>
                    <w14:schemeClr w14:val="tx1"/>
                  </w14:solidFill>
                </w14:textFill>
              </w:rPr>
              <w:t>与《鄱阳湖生态经济区环境保护条例》相容性分析</w:t>
            </w:r>
          </w:p>
          <w:p w14:paraId="755AFB3F">
            <w:pPr>
              <w:pStyle w:val="130"/>
              <w:ind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鄱阳湖生态经济区分为湖体核心保护区、滨湖控制开发带和高效集约发展区。鄱阳湖生态经济区包括南昌、景德镇、鹰潭三个设区的市，以及九江、新余、抚州、宜春、上饶、吉安六个设区的市的部分县（市、区），共三十八个县（市、区）。按照国务院批准的《鄱阳湖生态经济区规划》，本项目属于高效集约发展区。</w:t>
            </w:r>
          </w:p>
          <w:p w14:paraId="5A25DF57">
            <w:pPr>
              <w:pStyle w:val="130"/>
              <w:ind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本项目与《鄱阳湖生态经济区环境保护条例》相符性见下表。</w:t>
            </w:r>
          </w:p>
          <w:p w14:paraId="5D55D29F">
            <w:pPr>
              <w:widowControl/>
              <w:spacing w:line="360" w:lineRule="auto"/>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cs="Times New Roman"/>
                <w:b/>
                <w:color w:val="000000" w:themeColor="text1"/>
                <w:spacing w:val="7"/>
                <w:kern w:val="0"/>
                <w:szCs w:val="21"/>
                <w:highlight w:val="none"/>
                <w:lang w:val="en-US" w:eastAsia="zh-CN"/>
                <w14:textFill>
                  <w14:solidFill>
                    <w14:schemeClr w14:val="tx1"/>
                  </w14:solidFill>
                </w14:textFill>
              </w:rPr>
              <w:t>7</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与《鄱阳湖生态经济区环境保护条例》相符性</w:t>
            </w:r>
          </w:p>
          <w:tbl>
            <w:tblPr>
              <w:tblStyle w:val="32"/>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77"/>
              <w:gridCol w:w="3598"/>
              <w:gridCol w:w="2253"/>
              <w:gridCol w:w="787"/>
            </w:tblGrid>
            <w:tr w14:paraId="5F8E9E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335" w:type="pct"/>
                  <w:tcBorders>
                    <w:tl2br w:val="nil"/>
                    <w:tr2bl w:val="nil"/>
                  </w:tcBorders>
                  <w:noWrap w:val="0"/>
                  <w:vAlign w:val="center"/>
                </w:tcPr>
                <w:p w14:paraId="6B757CAC">
                  <w:pPr>
                    <w:shd w:val="clear" w:color="auto" w:fill="auto"/>
                    <w:spacing w:line="240" w:lineRule="auto"/>
                    <w:ind w:firstLine="0" w:firstLineChars="0"/>
                    <w:jc w:val="cente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t>序号</w:t>
                  </w:r>
                </w:p>
              </w:tc>
              <w:tc>
                <w:tcPr>
                  <w:tcW w:w="2528" w:type="pct"/>
                  <w:tcBorders>
                    <w:tl2br w:val="nil"/>
                    <w:tr2bl w:val="nil"/>
                  </w:tcBorders>
                  <w:noWrap w:val="0"/>
                  <w:vAlign w:val="center"/>
                </w:tcPr>
                <w:p w14:paraId="390FE80F">
                  <w:pPr>
                    <w:shd w:val="clear" w:color="auto" w:fill="auto"/>
                    <w:spacing w:line="240" w:lineRule="auto"/>
                    <w:ind w:firstLine="0" w:firstLineChars="0"/>
                    <w:jc w:val="cente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t>《鄱阳湖生态经济区环境保护条例》</w:t>
                  </w:r>
                </w:p>
              </w:tc>
              <w:tc>
                <w:tcPr>
                  <w:tcW w:w="1583" w:type="pct"/>
                  <w:tcBorders>
                    <w:tl2br w:val="nil"/>
                    <w:tr2bl w:val="nil"/>
                  </w:tcBorders>
                  <w:noWrap w:val="0"/>
                  <w:vAlign w:val="center"/>
                </w:tcPr>
                <w:p w14:paraId="66BC0ABB">
                  <w:pPr>
                    <w:shd w:val="clear" w:color="auto" w:fill="auto"/>
                    <w:spacing w:line="240" w:lineRule="auto"/>
                    <w:ind w:firstLine="0" w:firstLineChars="0"/>
                    <w:jc w:val="cente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t>本项目情况</w:t>
                  </w:r>
                </w:p>
              </w:tc>
              <w:tc>
                <w:tcPr>
                  <w:tcW w:w="553" w:type="pct"/>
                  <w:tcBorders>
                    <w:tl2br w:val="nil"/>
                    <w:tr2bl w:val="nil"/>
                  </w:tcBorders>
                  <w:noWrap w:val="0"/>
                  <w:vAlign w:val="center"/>
                </w:tcPr>
                <w:p w14:paraId="3D4A932A">
                  <w:pPr>
                    <w:shd w:val="clear" w:color="auto" w:fill="auto"/>
                    <w:spacing w:line="240" w:lineRule="auto"/>
                    <w:ind w:firstLine="0" w:firstLineChars="0"/>
                    <w:jc w:val="cente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
                      <w:bCs/>
                      <w:snapToGrid w:val="0"/>
                      <w:color w:val="000000" w:themeColor="text1"/>
                      <w:kern w:val="0"/>
                      <w:sz w:val="21"/>
                      <w:szCs w:val="21"/>
                      <w:highlight w:val="none"/>
                      <w14:textFill>
                        <w14:solidFill>
                          <w14:schemeClr w14:val="tx1"/>
                        </w14:solidFill>
                      </w14:textFill>
                    </w:rPr>
                    <w:t>相符性</w:t>
                  </w:r>
                </w:p>
              </w:tc>
            </w:tr>
            <w:tr w14:paraId="4AE444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335" w:type="pct"/>
                  <w:tcBorders>
                    <w:tl2br w:val="nil"/>
                    <w:tr2bl w:val="nil"/>
                  </w:tcBorders>
                  <w:noWrap w:val="0"/>
                  <w:vAlign w:val="center"/>
                </w:tcPr>
                <w:p w14:paraId="33C05FD8">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1</w:t>
                  </w:r>
                </w:p>
              </w:tc>
              <w:tc>
                <w:tcPr>
                  <w:tcW w:w="2528" w:type="pct"/>
                  <w:tcBorders>
                    <w:tl2br w:val="nil"/>
                    <w:tr2bl w:val="nil"/>
                  </w:tcBorders>
                  <w:noWrap w:val="0"/>
                  <w:vAlign w:val="center"/>
                </w:tcPr>
                <w:p w14:paraId="3BE150FA">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在高效集约发展区内，县级以上人民政府应当科学划分生态保护、农业发展、城镇建设和产业集聚区域。在高效集约发展区内进行开发建设活动，不得影响自然保护区、自然和文化遗产、风景名胜区、森林公园、湿地公园、地质公园以及饮用水源地、水源涵养区的生态环境和安全。</w:t>
                  </w:r>
                </w:p>
              </w:tc>
              <w:tc>
                <w:tcPr>
                  <w:tcW w:w="1583" w:type="pct"/>
                  <w:tcBorders>
                    <w:tl2br w:val="nil"/>
                    <w:tr2bl w:val="nil"/>
                  </w:tcBorders>
                  <w:noWrap w:val="0"/>
                  <w:vAlign w:val="center"/>
                </w:tcPr>
                <w:p w14:paraId="017CC8DD">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本项目</w:t>
                  </w:r>
                  <w:r>
                    <w:rPr>
                      <w:rFonts w:hint="default"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位于</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金山工业园</w:t>
                  </w:r>
                  <w:r>
                    <w:rPr>
                      <w:rFonts w:hint="default"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不影响自然保护区、自然和文化遗产、风景名胜区、森林公园、湿地公园、地质公园以及饮用水源地、水源涵养区的生态环境和安全。</w:t>
                  </w:r>
                </w:p>
              </w:tc>
              <w:tc>
                <w:tcPr>
                  <w:tcW w:w="553" w:type="pct"/>
                  <w:tcBorders>
                    <w:tl2br w:val="nil"/>
                    <w:tr2bl w:val="nil"/>
                  </w:tcBorders>
                  <w:noWrap w:val="0"/>
                  <w:vAlign w:val="center"/>
                </w:tcPr>
                <w:p w14:paraId="6730C535">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符合</w:t>
                  </w:r>
                </w:p>
              </w:tc>
            </w:tr>
            <w:tr w14:paraId="2446B8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335" w:type="pct"/>
                  <w:tcBorders>
                    <w:tl2br w:val="nil"/>
                    <w:tr2bl w:val="nil"/>
                  </w:tcBorders>
                  <w:noWrap w:val="0"/>
                  <w:vAlign w:val="center"/>
                </w:tcPr>
                <w:p w14:paraId="586E5BCF">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2</w:t>
                  </w:r>
                </w:p>
              </w:tc>
              <w:tc>
                <w:tcPr>
                  <w:tcW w:w="2528" w:type="pct"/>
                  <w:tcBorders>
                    <w:tl2br w:val="nil"/>
                    <w:tr2bl w:val="nil"/>
                  </w:tcBorders>
                  <w:noWrap w:val="0"/>
                  <w:vAlign w:val="center"/>
                </w:tcPr>
                <w:p w14:paraId="55A5E70D">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在高效集约发展区内，县级以上人民政府应当根据鄱阳湖生态经济区规划和国家的产业政策，将节能、节水、节地、节材、资源综合利用、可再生能源、可循环利用项目列为重点投资领域；鼓励发展低能耗、高附加值的高新技术产业，控制高耗能、高污染、资源性项目；鼓励对废水、废气、固体废弃物等的循环利用，推进传统产业升级改造，优化产业结构。新建工业项目应当进入工业园区。工业园区应当加强环境保护设施建设及绿化工程建设。</w:t>
                  </w:r>
                </w:p>
              </w:tc>
              <w:tc>
                <w:tcPr>
                  <w:tcW w:w="1583" w:type="pct"/>
                  <w:tcBorders>
                    <w:tl2br w:val="nil"/>
                    <w:tr2bl w:val="nil"/>
                  </w:tcBorders>
                  <w:noWrap w:val="0"/>
                  <w:vAlign w:val="center"/>
                </w:tcPr>
                <w:p w14:paraId="4E70128D">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本项目位于</w:t>
                  </w:r>
                  <w:r>
                    <w:rPr>
                      <w:rFonts w:hint="eastAsia"/>
                      <w:color w:val="000000" w:themeColor="text1"/>
                      <w:kern w:val="0"/>
                      <w:sz w:val="21"/>
                      <w:szCs w:val="21"/>
                      <w:highlight w:val="none"/>
                      <w14:textFill>
                        <w14:solidFill>
                          <w14:schemeClr w14:val="tx1"/>
                        </w14:solidFill>
                      </w14:textFill>
                    </w:rPr>
                    <w:t>金山工业</w:t>
                  </w:r>
                  <w:r>
                    <w:rPr>
                      <w:rFonts w:hint="eastAsia"/>
                      <w:color w:val="000000" w:themeColor="text1"/>
                      <w:kern w:val="0"/>
                      <w:sz w:val="21"/>
                      <w:szCs w:val="21"/>
                      <w:highlight w:val="none"/>
                      <w:lang w:val="en-US" w:eastAsia="zh-CN"/>
                      <w14:textFill>
                        <w14:solidFill>
                          <w14:schemeClr w14:val="tx1"/>
                        </w14:solidFill>
                      </w14:textFill>
                    </w:rPr>
                    <w:t>园</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，项目不属于《产业结构调整指导目录（20</w:t>
                  </w:r>
                  <w:r>
                    <w:rPr>
                      <w:rFonts w:hint="eastAsia"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24</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年本）》</w:t>
                  </w:r>
                  <w:r>
                    <w:rPr>
                      <w:rFonts w:hint="eastAsia"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鼓励类、</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限制类、淘汰类，为允许类，符合国家相关产业政策。</w:t>
                  </w:r>
                </w:p>
              </w:tc>
              <w:tc>
                <w:tcPr>
                  <w:tcW w:w="553" w:type="pct"/>
                  <w:tcBorders>
                    <w:tl2br w:val="nil"/>
                    <w:tr2bl w:val="nil"/>
                  </w:tcBorders>
                  <w:noWrap w:val="0"/>
                  <w:vAlign w:val="center"/>
                </w:tcPr>
                <w:p w14:paraId="5CD6B463">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符合</w:t>
                  </w:r>
                </w:p>
              </w:tc>
            </w:tr>
            <w:tr w14:paraId="2F3882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335" w:type="pct"/>
                  <w:tcBorders>
                    <w:tl2br w:val="nil"/>
                    <w:tr2bl w:val="nil"/>
                  </w:tcBorders>
                  <w:noWrap w:val="0"/>
                  <w:vAlign w:val="center"/>
                </w:tcPr>
                <w:p w14:paraId="4A324585">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3</w:t>
                  </w:r>
                </w:p>
              </w:tc>
              <w:tc>
                <w:tcPr>
                  <w:tcW w:w="2528" w:type="pct"/>
                  <w:tcBorders>
                    <w:tl2br w:val="nil"/>
                    <w:tr2bl w:val="nil"/>
                  </w:tcBorders>
                  <w:noWrap w:val="0"/>
                  <w:vAlign w:val="center"/>
                </w:tcPr>
                <w:p w14:paraId="1079E974">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鄱阳湖生态经济区内污水处理厂出水应当达到国务院环境保护主管部门发布的《污水处理厂污染物排放标准》一级标准的B标准，对排放湖泊水库的执行A标准</w:t>
                  </w:r>
                </w:p>
              </w:tc>
              <w:tc>
                <w:tcPr>
                  <w:tcW w:w="1583" w:type="pct"/>
                  <w:tcBorders>
                    <w:tl2br w:val="nil"/>
                    <w:tr2bl w:val="nil"/>
                  </w:tcBorders>
                  <w:noWrap w:val="0"/>
                  <w:vAlign w:val="center"/>
                </w:tcPr>
                <w:p w14:paraId="11751D09">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w:t>
                  </w:r>
                </w:p>
              </w:tc>
              <w:tc>
                <w:tcPr>
                  <w:tcW w:w="553" w:type="pct"/>
                  <w:tcBorders>
                    <w:tl2br w:val="nil"/>
                    <w:tr2bl w:val="nil"/>
                  </w:tcBorders>
                  <w:noWrap w:val="0"/>
                  <w:vAlign w:val="center"/>
                </w:tcPr>
                <w:p w14:paraId="044F731B">
                  <w:pPr>
                    <w:shd w:val="clear" w:color="auto" w:fill="auto"/>
                    <w:spacing w:line="240" w:lineRule="auto"/>
                    <w:ind w:firstLine="0" w:firstLineChars="0"/>
                    <w:jc w:val="cente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符合</w:t>
                  </w:r>
                </w:p>
              </w:tc>
            </w:tr>
          </w:tbl>
          <w:p w14:paraId="552C76AD">
            <w:pPr>
              <w:pStyle w:val="56"/>
              <w:shd w:val="clear" w:color="auto" w:fill="auto"/>
              <w:ind w:firstLine="480"/>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b/>
                <w:bCs/>
                <w:color w:val="000000" w:themeColor="text1"/>
                <w:sz w:val="24"/>
                <w:szCs w:val="24"/>
                <w:highlight w:val="none"/>
                <w:lang w:val="en-US" w:eastAsia="zh-CN"/>
                <w14:textFill>
                  <w14:solidFill>
                    <w14:schemeClr w14:val="tx1"/>
                  </w14:solidFill>
                </w14:textFill>
              </w:rPr>
              <w:t>六</w:t>
            </w:r>
            <w:r>
              <w:rPr>
                <w:rFonts w:hint="eastAsia"/>
                <w:b/>
                <w:bCs/>
                <w:color w:val="000000" w:themeColor="text1"/>
                <w:sz w:val="24"/>
                <w:szCs w:val="24"/>
                <w:highlight w:val="none"/>
                <w:lang w:eastAsia="zh-CN"/>
                <w14:textFill>
                  <w14:solidFill>
                    <w14:schemeClr w14:val="tx1"/>
                  </w14:solidFill>
                </w14:textFill>
              </w:rPr>
              <w:t>、与</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《铸造企业规范条件》（T/CFA0310021—2023）</w:t>
            </w: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相符性分析</w:t>
            </w:r>
          </w:p>
          <w:p w14:paraId="3CD445F6">
            <w:pPr>
              <w:pStyle w:val="56"/>
              <w:shd w:val="clear" w:color="auto" w:fill="auto"/>
              <w:ind w:firstLine="480"/>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本项目与中国铸造协会《铸造企业规范条件》（T/CFA0310021-2023）相符性分析，详见下表。</w:t>
            </w:r>
          </w:p>
          <w:p w14:paraId="0CC17501">
            <w:pPr>
              <w:pStyle w:val="56"/>
              <w:keepNext w:val="0"/>
              <w:keepLines w:val="0"/>
              <w:pageBreakBefore w:val="0"/>
              <w:widowControl w:val="0"/>
              <w:shd w:val="clear" w:color="auto" w:fill="auto"/>
              <w:kinsoku/>
              <w:wordWrap w:val="0"/>
              <w:overflowPunct/>
              <w:topLinePunct w:val="0"/>
              <w:autoSpaceDE/>
              <w:autoSpaceDN/>
              <w:bidi w:val="0"/>
              <w:adjustRightInd/>
              <w:snapToGrid/>
              <w:spacing w:line="240" w:lineRule="auto"/>
              <w:ind w:firstLine="0" w:firstLineChars="0"/>
              <w:jc w:val="center"/>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Cs w:val="21"/>
                <w:highlight w:val="none"/>
                <w:lang w:eastAsia="zh-CN"/>
                <w14:textFill>
                  <w14:solidFill>
                    <w14:schemeClr w14:val="tx1"/>
                  </w14:solidFill>
                </w14:textFill>
              </w:rPr>
              <w:t>表</w:t>
            </w:r>
            <w:r>
              <w:rPr>
                <w:rFonts w:hint="eastAsia"/>
                <w:b/>
                <w:bCs/>
                <w:color w:val="000000" w:themeColor="text1"/>
                <w:szCs w:val="21"/>
                <w:highlight w:val="none"/>
                <w:lang w:val="en-US" w:eastAsia="zh-CN"/>
                <w14:textFill>
                  <w14:solidFill>
                    <w14:schemeClr w14:val="tx1"/>
                  </w14:solidFill>
                </w14:textFill>
              </w:rPr>
              <w:t>1-8 与</w:t>
            </w:r>
            <w:r>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t>《铸造企业规范条件》（T/CFA0310021—2023）</w:t>
            </w: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相符性分析一览表</w:t>
            </w:r>
          </w:p>
          <w:tbl>
            <w:tblPr>
              <w:tblStyle w:val="33"/>
              <w:tblW w:w="711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3559"/>
              <w:gridCol w:w="2800"/>
            </w:tblGrid>
            <w:tr w14:paraId="13CBF7D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5CB5EF4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分类</w:t>
                  </w:r>
                </w:p>
              </w:tc>
              <w:tc>
                <w:tcPr>
                  <w:tcW w:w="3559" w:type="dxa"/>
                  <w:tcBorders>
                    <w:tl2br w:val="nil"/>
                    <w:tr2bl w:val="nil"/>
                  </w:tcBorders>
                  <w:noWrap w:val="0"/>
                  <w:vAlign w:val="center"/>
                </w:tcPr>
                <w:p w14:paraId="228724B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具体要求</w:t>
                  </w:r>
                </w:p>
              </w:tc>
              <w:tc>
                <w:tcPr>
                  <w:tcW w:w="2800" w:type="dxa"/>
                  <w:tcBorders>
                    <w:tl2br w:val="nil"/>
                    <w:tr2bl w:val="nil"/>
                  </w:tcBorders>
                  <w:noWrap w:val="0"/>
                  <w:vAlign w:val="center"/>
                </w:tcPr>
                <w:p w14:paraId="2625C0A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本项目情况</w:t>
                  </w:r>
                </w:p>
              </w:tc>
            </w:tr>
            <w:tr w14:paraId="200647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restart"/>
                  <w:tcBorders>
                    <w:tl2br w:val="nil"/>
                    <w:tr2bl w:val="nil"/>
                  </w:tcBorders>
                  <w:noWrap w:val="0"/>
                  <w:vAlign w:val="center"/>
                </w:tcPr>
                <w:p w14:paraId="0D1498D7">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建设条件与布局</w:t>
                  </w:r>
                </w:p>
              </w:tc>
              <w:tc>
                <w:tcPr>
                  <w:tcW w:w="3559" w:type="dxa"/>
                  <w:tcBorders>
                    <w:tl2br w:val="nil"/>
                    <w:tr2bl w:val="nil"/>
                  </w:tcBorders>
                  <w:noWrap w:val="0"/>
                  <w:vAlign w:val="center"/>
                </w:tcPr>
                <w:p w14:paraId="61991F43">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企业的布局及厂址的确定应符合国家相关法律法规、产业政策以及各地方政府装备制造业和铸造行业的总体规划要求</w:t>
                  </w:r>
                </w:p>
              </w:tc>
              <w:tc>
                <w:tcPr>
                  <w:tcW w:w="2800" w:type="dxa"/>
                  <w:tcBorders>
                    <w:tl2br w:val="nil"/>
                    <w:tr2bl w:val="nil"/>
                  </w:tcBorders>
                  <w:noWrap w:val="0"/>
                  <w:vAlign w:val="center"/>
                </w:tcPr>
                <w:p w14:paraId="7FE3D767">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项目位于江西省乐平市金山工业园汽摩配小镇，项目符合国家相关法律法规、产业政策以及各地方政府装备制造业和铸造行业的总体规划要求。</w:t>
                  </w:r>
                </w:p>
              </w:tc>
            </w:tr>
            <w:tr w14:paraId="599124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00620759">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296305F8">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企业生产场所应依法取得土地使用权并符合土地使用性质。</w:t>
                  </w:r>
                </w:p>
              </w:tc>
              <w:tc>
                <w:tcPr>
                  <w:tcW w:w="2800" w:type="dxa"/>
                  <w:tcBorders>
                    <w:tl2br w:val="nil"/>
                    <w:tr2bl w:val="nil"/>
                  </w:tcBorders>
                  <w:noWrap w:val="0"/>
                  <w:vAlign w:val="center"/>
                </w:tcPr>
                <w:p w14:paraId="4CAB41C5">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建设单位已依法取得土地使用权并符合土地使用性质，详见附件</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四</w:t>
                  </w:r>
                </w:p>
              </w:tc>
            </w:tr>
            <w:tr w14:paraId="63AFDA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095F650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cs="Times New Roman"/>
                      <w:snapToGrid w:val="0"/>
                      <w:color w:val="000000" w:themeColor="text1"/>
                      <w:kern w:val="0"/>
                      <w:sz w:val="21"/>
                      <w:szCs w:val="21"/>
                      <w:highlight w:val="none"/>
                      <w:lang w:val="en-US" w:eastAsia="zh-CN" w:bidi="ar-SA"/>
                      <w14:textFill>
                        <w14:solidFill>
                          <w14:schemeClr w14:val="tx1"/>
                        </w14:solidFill>
                      </w14:textFill>
                    </w:rPr>
                    <w:t>企业规模</w:t>
                  </w:r>
                </w:p>
              </w:tc>
              <w:tc>
                <w:tcPr>
                  <w:tcW w:w="3559" w:type="dxa"/>
                  <w:tcBorders>
                    <w:tl2br w:val="nil"/>
                    <w:tr2bl w:val="nil"/>
                  </w:tcBorders>
                  <w:noWrap w:val="0"/>
                  <w:vAlign w:val="center"/>
                </w:tcPr>
                <w:p w14:paraId="1D44960D">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铸铁，年参考产量</w:t>
                  </w:r>
                  <w:r>
                    <w:rPr>
                      <w:rFonts w:hint="default" w:ascii="Arial" w:hAnsi="Arial" w:cs="Arial"/>
                      <w:snapToGrid w:val="0"/>
                      <w:color w:val="000000" w:themeColor="text1"/>
                      <w:kern w:val="0"/>
                      <w:sz w:val="21"/>
                      <w:szCs w:val="21"/>
                      <w:highlight w:val="none"/>
                      <w:lang w:val="en-US" w:eastAsia="zh-CN" w:bidi="ar-SA"/>
                      <w14:textFill>
                        <w14:solidFill>
                          <w14:schemeClr w14:val="tx1"/>
                        </w14:solidFill>
                      </w14:textFill>
                    </w:rPr>
                    <w:t>≥</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10000吨。</w:t>
                  </w:r>
                </w:p>
              </w:tc>
              <w:tc>
                <w:tcPr>
                  <w:tcW w:w="2800" w:type="dxa"/>
                  <w:tcBorders>
                    <w:tl2br w:val="nil"/>
                    <w:tr2bl w:val="nil"/>
                  </w:tcBorders>
                  <w:noWrap w:val="0"/>
                  <w:vAlign w:val="center"/>
                </w:tcPr>
                <w:p w14:paraId="6181FF65">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本项目产能为10400吨</w:t>
                  </w:r>
                </w:p>
              </w:tc>
            </w:tr>
            <w:tr w14:paraId="17F09E7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restart"/>
                  <w:tcBorders>
                    <w:tl2br w:val="nil"/>
                    <w:tr2bl w:val="nil"/>
                  </w:tcBorders>
                  <w:noWrap w:val="0"/>
                  <w:vAlign w:val="center"/>
                </w:tcPr>
                <w:p w14:paraId="1E894F14">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生产工艺</w:t>
                  </w:r>
                </w:p>
              </w:tc>
              <w:tc>
                <w:tcPr>
                  <w:tcW w:w="3559" w:type="dxa"/>
                  <w:tcBorders>
                    <w:tl2br w:val="nil"/>
                    <w:tr2bl w:val="nil"/>
                  </w:tcBorders>
                  <w:noWrap w:val="0"/>
                  <w:vAlign w:val="center"/>
                </w:tcPr>
                <w:p w14:paraId="56FD8CA2">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企业应根据生产铸件的材质、品种、批量，合理选择低污染、低排放、低能耗、经济高效的铸造工艺。</w:t>
                  </w:r>
                </w:p>
              </w:tc>
              <w:tc>
                <w:tcPr>
                  <w:tcW w:w="2800" w:type="dxa"/>
                  <w:tcBorders>
                    <w:tl2br w:val="nil"/>
                    <w:tr2bl w:val="nil"/>
                  </w:tcBorders>
                  <w:noWrap w:val="0"/>
                  <w:vAlign w:val="center"/>
                </w:tcPr>
                <w:p w14:paraId="7251D30D">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本项目使用树脂砂铸造工艺，不属于国家明令淘汰的生产工艺。</w:t>
                  </w:r>
                </w:p>
              </w:tc>
            </w:tr>
            <w:tr w14:paraId="036352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0AAAE17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675AFEDF">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不应使用国家明令淘汰的生产工艺。不应采用粘土砂干型/芯、油砂制芯、七〇砂制型/芯等落后铸造工艺；粘土砂批量铸件生产企业不应采用手工造型；水玻璃熔模精密铸造企业模壳硬化不应采用氯化铵硬化工艺；铝合金、锌合金等有色金属熔炼不应采用六氯乙烷等有毒有害的精炼剂。</w:t>
                  </w:r>
                </w:p>
              </w:tc>
              <w:tc>
                <w:tcPr>
                  <w:tcW w:w="2800" w:type="dxa"/>
                  <w:tcBorders>
                    <w:tl2br w:val="nil"/>
                    <w:tr2bl w:val="nil"/>
                  </w:tcBorders>
                  <w:noWrap w:val="0"/>
                  <w:vAlign w:val="center"/>
                </w:tcPr>
                <w:p w14:paraId="459134C4">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本项目使用树脂砂</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、湿性粘土砂</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铸造工艺，不使用粘土砂干型/芯、油砂制芯、七〇砂制型/芯等落后铸造工艺，不属于国家明令淘汰的生产工艺。</w:t>
                  </w:r>
                  <w:r>
                    <w:rPr>
                      <w:rFonts w:hint="eastAsia"/>
                      <w:color w:val="000000" w:themeColor="text1"/>
                      <w:sz w:val="21"/>
                      <w:szCs w:val="21"/>
                      <w:lang w:val="en-US" w:eastAsia="zh-CN"/>
                      <w14:textFill>
                        <w14:solidFill>
                          <w14:schemeClr w14:val="tx1"/>
                        </w14:solidFill>
                      </w14:textFill>
                    </w:rPr>
                    <w:t>项目使用自动化造型设备。</w:t>
                  </w:r>
                </w:p>
              </w:tc>
            </w:tr>
            <w:tr w14:paraId="1AC482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0FE55D5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6999BC48">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新（改、扩）建粘土砂型铸造项目应采用自动化造型；新（改、扩）建熔模精密铸造项目不应采用水玻璃熔模精密铸造工艺。</w:t>
                  </w:r>
                </w:p>
              </w:tc>
              <w:tc>
                <w:tcPr>
                  <w:tcW w:w="2800" w:type="dxa"/>
                  <w:tcBorders>
                    <w:tl2br w:val="nil"/>
                    <w:tr2bl w:val="nil"/>
                  </w:tcBorders>
                  <w:noWrap w:val="0"/>
                  <w:vAlign w:val="center"/>
                </w:tcPr>
                <w:p w14:paraId="32BB23C3">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本项目使用树脂砂</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、湿性粘土砂</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铸造工艺。</w:t>
                  </w:r>
                  <w:r>
                    <w:rPr>
                      <w:rFonts w:hint="eastAsia"/>
                      <w:color w:val="000000" w:themeColor="text1"/>
                      <w:sz w:val="21"/>
                      <w:szCs w:val="21"/>
                      <w:lang w:val="en-US" w:eastAsia="zh-CN"/>
                      <w14:textFill>
                        <w14:solidFill>
                          <w14:schemeClr w14:val="tx1"/>
                        </w14:solidFill>
                      </w14:textFill>
                    </w:rPr>
                    <w:t>项目使用自动化造型设备。</w:t>
                  </w:r>
                </w:p>
              </w:tc>
            </w:tr>
            <w:tr w14:paraId="78390B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restart"/>
                  <w:tcBorders>
                    <w:tl2br w:val="nil"/>
                    <w:tr2bl w:val="nil"/>
                  </w:tcBorders>
                  <w:noWrap w:val="0"/>
                  <w:vAlign w:val="center"/>
                </w:tcPr>
                <w:p w14:paraId="53637DFB">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生产装备</w:t>
                  </w:r>
                </w:p>
              </w:tc>
              <w:tc>
                <w:tcPr>
                  <w:tcW w:w="3559" w:type="dxa"/>
                  <w:tcBorders>
                    <w:tl2br w:val="nil"/>
                    <w:tr2bl w:val="nil"/>
                  </w:tcBorders>
                  <w:noWrap w:val="0"/>
                  <w:vAlign w:val="center"/>
                </w:tcPr>
                <w:p w14:paraId="2AB49F34">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企业不应使用国家明令淘汰的生产装备，如：无芯工频感应电炉、0.25吨及以上无磁轭的铝壳中频感应电炉等。</w:t>
                  </w:r>
                </w:p>
              </w:tc>
              <w:tc>
                <w:tcPr>
                  <w:tcW w:w="2800" w:type="dxa"/>
                  <w:tcBorders>
                    <w:tl2br w:val="nil"/>
                    <w:tr2bl w:val="nil"/>
                  </w:tcBorders>
                  <w:noWrap w:val="0"/>
                  <w:vAlign w:val="center"/>
                </w:tcPr>
                <w:p w14:paraId="123DC697">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台中频炉，不属于国家明令淘汰的生产装备</w:t>
                  </w:r>
                </w:p>
              </w:tc>
            </w:tr>
            <w:tr w14:paraId="33F1D5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0FF36F8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14B870F8">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铸件生产企业采用冲天炉熔炼，其设备熔化率宜大于10吨/小时。</w:t>
                  </w:r>
                </w:p>
              </w:tc>
              <w:tc>
                <w:tcPr>
                  <w:tcW w:w="2800" w:type="dxa"/>
                  <w:tcBorders>
                    <w:tl2br w:val="nil"/>
                    <w:tr2bl w:val="nil"/>
                  </w:tcBorders>
                  <w:noWrap w:val="0"/>
                  <w:vAlign w:val="center"/>
                </w:tcPr>
                <w:p w14:paraId="6D215EE8">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zh-CN"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台中频电炉，不使用冲天炉</w:t>
                  </w:r>
                </w:p>
              </w:tc>
            </w:tr>
            <w:tr w14:paraId="2A1339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3334FDF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727FB6F0">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熔炼（化）及炉前检测设备：企业应配备与生产能力相匹配的熔炼、保温和精炼设备，如冲天炉、中频感应电炉、电弧炉、精炼炉（AOD、VOD、LF 炉等）、电阻炉、燃气炉、保温炉等。熔炼、保温和精炼设备炉前应配置必要的化学成分分析、金属液温度测量等检测仪器。</w:t>
                  </w:r>
                </w:p>
              </w:tc>
              <w:tc>
                <w:tcPr>
                  <w:tcW w:w="2800" w:type="dxa"/>
                  <w:tcBorders>
                    <w:tl2br w:val="nil"/>
                    <w:tr2bl w:val="nil"/>
                  </w:tcBorders>
                  <w:noWrap w:val="0"/>
                  <w:vAlign w:val="center"/>
                </w:tcPr>
                <w:p w14:paraId="48C20E00">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本项目使用</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3</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台中频电炉，不属于国家明令淘汰的生产装备</w:t>
                  </w:r>
                </w:p>
              </w:tc>
            </w:tr>
            <w:tr w14:paraId="38A4CF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79B8BE0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5BAA96A2">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成型设备：企业应配备与产品及生产能力相匹配的造型、制芯及其它成型设备（线），如粘土砂造型机（线）、树脂砂混砂机、壳型（芯）机、铁模覆砂生产线、水玻璃砂生产线、消失模/V法/实型铸造设备、离心铸造设备、压铸设备、低压铸造设备、重力铸造设备、挤压铸造设备、差压铸造设备、熔模铸造设备（线）、制芯设备、快速成型设备等。</w:t>
                  </w:r>
                </w:p>
              </w:tc>
              <w:tc>
                <w:tcPr>
                  <w:tcW w:w="2800" w:type="dxa"/>
                  <w:tcBorders>
                    <w:tl2br w:val="nil"/>
                    <w:tr2bl w:val="nil"/>
                  </w:tcBorders>
                  <w:noWrap w:val="0"/>
                  <w:vAlign w:val="center"/>
                </w:tcPr>
                <w:p w14:paraId="1ABF6807">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本项目配备一条树脂砂铸造生产线</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和</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一条粘土砂铸造生产线同时配备砂再生线，进行造型、制芯及成型的工艺制造，达到年产</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10400</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吨铸件</w:t>
                  </w:r>
                </w:p>
              </w:tc>
            </w:tr>
            <w:tr w14:paraId="443044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7" w:type="dxa"/>
                  <w:vMerge w:val="continue"/>
                  <w:tcBorders>
                    <w:tl2br w:val="nil"/>
                    <w:tr2bl w:val="nil"/>
                  </w:tcBorders>
                  <w:noWrap w:val="0"/>
                  <w:vAlign w:val="center"/>
                </w:tcPr>
                <w:p w14:paraId="226F4D9F">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145DA7FE">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砂处理及砂再生设备：采用粘土砂、树脂自硬砂、酯硬化水玻璃砂铸造工艺的企业应配备完善的砂处理及砂再生设备，各种旧砂的回用率应达到表2的要求。采用普通水玻璃砂型铸造工艺的企业宜合理配置再生设备。</w:t>
                  </w:r>
                </w:p>
              </w:tc>
              <w:tc>
                <w:tcPr>
                  <w:tcW w:w="2800" w:type="dxa"/>
                  <w:tcBorders>
                    <w:tl2br w:val="nil"/>
                    <w:tr2bl w:val="nil"/>
                  </w:tcBorders>
                  <w:noWrap w:val="0"/>
                  <w:vAlign w:val="center"/>
                </w:tcPr>
                <w:p w14:paraId="378CF3E3">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本项采用树脂砂</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、湿性粘土砂</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铸造，已配备完善的砂处理及砂再生设备，</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粘土</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砂的回用率为99.</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64</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%≥95%，</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树脂砂</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的回用率为94.2%≥90%，满足表2要求</w:t>
                  </w:r>
                  <w:r>
                    <w:rPr>
                      <w:rFonts w:hint="eastAsia" w:ascii="Times New Roman" w:hAnsi="Times New Roman" w:cs="Times New Roman"/>
                      <w:snapToGrid w:val="0"/>
                      <w:color w:val="000000" w:themeColor="text1"/>
                      <w:kern w:val="0"/>
                      <w:sz w:val="21"/>
                      <w:szCs w:val="21"/>
                      <w:highlight w:val="none"/>
                      <w:lang w:val="en-US" w:eastAsia="zh-CN" w:bidi="ar-SA"/>
                      <w14:textFill>
                        <w14:solidFill>
                          <w14:schemeClr w14:val="tx1"/>
                        </w14:solidFill>
                      </w14:textFill>
                    </w:rPr>
                    <w:t>。</w:t>
                  </w:r>
                </w:p>
              </w:tc>
            </w:tr>
            <w:tr w14:paraId="512428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restart"/>
                  <w:tcBorders>
                    <w:tl2br w:val="nil"/>
                    <w:tr2bl w:val="nil"/>
                  </w:tcBorders>
                  <w:noWrap w:val="0"/>
                  <w:vAlign w:val="center"/>
                </w:tcPr>
                <w:p w14:paraId="7F550B03">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环境保护</w:t>
                  </w:r>
                </w:p>
              </w:tc>
              <w:tc>
                <w:tcPr>
                  <w:tcW w:w="3559" w:type="dxa"/>
                  <w:tcBorders>
                    <w:tl2br w:val="nil"/>
                    <w:tr2bl w:val="nil"/>
                  </w:tcBorders>
                  <w:noWrap w:val="0"/>
                  <w:vAlign w:val="center"/>
                </w:tcPr>
                <w:p w14:paraId="2EF6F78F">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企业应遵守国家环保相关法律法规和标准要求，并按要求取得排污许可证。</w:t>
                  </w:r>
                </w:p>
              </w:tc>
              <w:tc>
                <w:tcPr>
                  <w:tcW w:w="2800" w:type="dxa"/>
                  <w:tcBorders>
                    <w:tl2br w:val="nil"/>
                    <w:tr2bl w:val="nil"/>
                  </w:tcBorders>
                  <w:noWrap w:val="0"/>
                  <w:vAlign w:val="center"/>
                </w:tcPr>
                <w:p w14:paraId="75F849D2">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企业将遵守国家环保相关法律法规和标准要求，并按要求取得排污许可证。</w:t>
                  </w:r>
                </w:p>
              </w:tc>
            </w:tr>
            <w:tr w14:paraId="6939F2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vMerge w:val="continue"/>
                  <w:tcBorders>
                    <w:tl2br w:val="nil"/>
                    <w:tr2bl w:val="nil"/>
                  </w:tcBorders>
                  <w:noWrap w:val="0"/>
                  <w:vAlign w:val="center"/>
                </w:tcPr>
                <w:p w14:paraId="3E3D9B4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c>
                <w:tcPr>
                  <w:tcW w:w="3559" w:type="dxa"/>
                  <w:tcBorders>
                    <w:tl2br w:val="nil"/>
                    <w:tr2bl w:val="nil"/>
                  </w:tcBorders>
                  <w:noWrap w:val="0"/>
                  <w:vAlign w:val="center"/>
                </w:tcPr>
                <w:p w14:paraId="62701240">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企业应配置完善的环保处理装置，废气、弃物、危险废弃物等排放与处置措施应符合国家及地方环保法规和标准的规定</w:t>
                  </w:r>
                </w:p>
              </w:tc>
              <w:tc>
                <w:tcPr>
                  <w:tcW w:w="2800" w:type="dxa"/>
                  <w:tcBorders>
                    <w:tl2br w:val="nil"/>
                    <w:tr2bl w:val="nil"/>
                  </w:tcBorders>
                  <w:noWrap w:val="0"/>
                  <w:vAlign w:val="center"/>
                </w:tcPr>
                <w:p w14:paraId="71C4BF44">
                  <w:pPr>
                    <w:pStyle w:val="96"/>
                    <w:keepNext w:val="0"/>
                    <w:keepLines w:val="0"/>
                    <w:pageBreakBefore w:val="0"/>
                    <w:widowControl w:val="0"/>
                    <w:shd w:val="clear" w:color="auto" w:fill="auto"/>
                    <w:kinsoku/>
                    <w:overflowPunct/>
                    <w:topLinePunct w:val="0"/>
                    <w:autoSpaceDE/>
                    <w:autoSpaceDN/>
                    <w:bidi w:val="0"/>
                    <w:adjustRightInd/>
                    <w:snapToGrid/>
                    <w:spacing w:line="240" w:lineRule="auto"/>
                    <w:ind w:left="0" w:leftChars="0" w:right="0" w:rightChars="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企业已配置完善的环保处理装置，废气、弃物、危险废弃物等排放与处置措施符合国家及地方环保法规和标准的规定</w:t>
                  </w:r>
                </w:p>
              </w:tc>
            </w:tr>
          </w:tbl>
          <w:p w14:paraId="5DEC0776">
            <w:pPr>
              <w:numPr>
                <w:ilvl w:val="0"/>
                <w:numId w:val="0"/>
              </w:numPr>
              <w:shd w:val="clear" w:color="auto" w:fill="auto"/>
              <w:spacing w:line="360" w:lineRule="auto"/>
              <w:jc w:val="left"/>
              <w:rPr>
                <w:rFonts w:hint="eastAsia" w:ascii="宋体" w:hAnsi="宋体" w:eastAsia="宋体" w:cs="宋体"/>
                <w:b/>
                <w:bCs/>
                <w:color w:val="000000" w:themeColor="text1"/>
                <w:kern w:val="2"/>
                <w:sz w:val="24"/>
                <w:szCs w:val="24"/>
                <w:highlight w:val="none"/>
                <w:lang w:eastAsia="zh-CN"/>
                <w14:textFill>
                  <w14:solidFill>
                    <w14:schemeClr w14:val="tx1"/>
                  </w14:solidFill>
                </w14:textFill>
              </w:rPr>
            </w:pPr>
            <w:r>
              <w:rPr>
                <w:rFonts w:hint="eastAsia"/>
                <w:b/>
                <w:bCs/>
                <w:snapToGrid w:val="0"/>
                <w:color w:val="000000" w:themeColor="text1"/>
                <w:kern w:val="0"/>
                <w:sz w:val="24"/>
                <w:szCs w:val="24"/>
                <w:highlight w:val="none"/>
                <w:lang w:val="en-US" w:eastAsia="zh-CN"/>
                <w14:textFill>
                  <w14:solidFill>
                    <w14:schemeClr w14:val="tx1"/>
                  </w14:solidFill>
                </w14:textFill>
              </w:rPr>
              <w:t>七、</w:t>
            </w:r>
            <w:r>
              <w:rPr>
                <w:rFonts w:hint="eastAsia"/>
                <w:b/>
                <w:bCs/>
                <w:snapToGrid w:val="0"/>
                <w:color w:val="000000" w:themeColor="text1"/>
                <w:kern w:val="0"/>
                <w:sz w:val="24"/>
                <w:szCs w:val="24"/>
                <w:highlight w:val="none"/>
                <w:lang w:eastAsia="zh-CN"/>
                <w14:textFill>
                  <w14:solidFill>
                    <w14:schemeClr w14:val="tx1"/>
                  </w14:solidFill>
                </w14:textFill>
              </w:rPr>
              <w:t>与</w:t>
            </w:r>
            <w:r>
              <w:rPr>
                <w:rFonts w:hint="eastAsia" w:ascii="宋体" w:hAnsi="宋体" w:eastAsia="宋体" w:cs="宋体"/>
                <w:b/>
                <w:bCs/>
                <w:color w:val="000000" w:themeColor="text1"/>
                <w:kern w:val="2"/>
                <w:sz w:val="24"/>
                <w:szCs w:val="24"/>
                <w:highlight w:val="none"/>
                <w14:textFill>
                  <w14:solidFill>
                    <w14:schemeClr w14:val="tx1"/>
                  </w14:solidFill>
                </w14:textFill>
              </w:rPr>
              <w:t>《工业和信息化部、国家发展和改革委员会、生态环境部关于推动铸造和锻压行业高质量发展的指导意见》（工信部联通〔2023〕40号）</w:t>
            </w:r>
            <w:r>
              <w:rPr>
                <w:rFonts w:hint="eastAsia" w:ascii="宋体" w:hAnsi="宋体" w:eastAsia="宋体" w:cs="宋体"/>
                <w:b/>
                <w:bCs/>
                <w:color w:val="000000" w:themeColor="text1"/>
                <w:kern w:val="2"/>
                <w:sz w:val="24"/>
                <w:szCs w:val="24"/>
                <w:highlight w:val="none"/>
                <w:lang w:eastAsia="zh-CN"/>
                <w14:textFill>
                  <w14:solidFill>
                    <w14:schemeClr w14:val="tx1"/>
                  </w14:solidFill>
                </w14:textFill>
              </w:rPr>
              <w:t>相符性分析</w:t>
            </w:r>
          </w:p>
          <w:p w14:paraId="591A092C">
            <w:pPr>
              <w:pStyle w:val="56"/>
              <w:shd w:val="clear" w:color="auto" w:fill="auto"/>
              <w:ind w:firstLine="480"/>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本项目与</w:t>
            </w:r>
            <w:r>
              <w:rPr>
                <w:rFonts w:hint="eastAsia" w:ascii="宋体" w:hAnsi="宋体" w:eastAsia="宋体" w:cs="宋体"/>
                <w:color w:val="000000" w:themeColor="text1"/>
                <w:kern w:val="2"/>
                <w:sz w:val="24"/>
                <w:szCs w:val="24"/>
                <w:highlight w:val="none"/>
                <w14:textFill>
                  <w14:solidFill>
                    <w14:schemeClr w14:val="tx1"/>
                  </w14:solidFill>
                </w14:textFill>
              </w:rPr>
              <w:t>《工业和信息化部、国家发展和改革委员会、生态环境部关于推动铸造和锻压行业高质量发展的指导意见》（工信部联通〔2023〕40号）</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相符性分析，详见下表。</w:t>
            </w:r>
          </w:p>
          <w:p w14:paraId="2CC49B44">
            <w:pPr>
              <w:pStyle w:val="56"/>
              <w:keepNext w:val="0"/>
              <w:keepLines w:val="0"/>
              <w:pageBreakBefore w:val="0"/>
              <w:widowControl w:val="0"/>
              <w:shd w:val="clear" w:color="auto" w:fill="auto"/>
              <w:kinsoku/>
              <w:wordWrap w:val="0"/>
              <w:overflowPunct/>
              <w:topLinePunct w:val="0"/>
              <w:autoSpaceDE/>
              <w:autoSpaceDN/>
              <w:bidi w:val="0"/>
              <w:adjustRightInd/>
              <w:snapToGrid/>
              <w:spacing w:line="240" w:lineRule="auto"/>
              <w:ind w:firstLine="0" w:firstLineChars="0"/>
              <w:jc w:val="center"/>
              <w:textAlignment w:val="auto"/>
              <w:rPr>
                <w:rFonts w:hint="eastAsia" w:eastAsia="宋体"/>
                <w:b/>
                <w:bCs/>
                <w:color w:val="000000" w:themeColor="text1"/>
                <w:sz w:val="24"/>
                <w:szCs w:val="24"/>
                <w:highlight w:val="none"/>
                <w:lang w:eastAsia="zh-CN"/>
                <w14:textFill>
                  <w14:solidFill>
                    <w14:schemeClr w14:val="tx1"/>
                  </w14:solidFill>
                </w14:textFill>
              </w:rPr>
            </w:pPr>
            <w:r>
              <w:rPr>
                <w:rFonts w:hint="eastAsia"/>
                <w:b/>
                <w:bCs/>
                <w:color w:val="000000" w:themeColor="text1"/>
                <w:szCs w:val="21"/>
                <w:highlight w:val="none"/>
                <w:lang w:eastAsia="zh-CN"/>
                <w14:textFill>
                  <w14:solidFill>
                    <w14:schemeClr w14:val="tx1"/>
                  </w14:solidFill>
                </w14:textFill>
              </w:rPr>
              <w:t>表</w:t>
            </w:r>
            <w:r>
              <w:rPr>
                <w:rFonts w:hint="eastAsia"/>
                <w:b/>
                <w:bCs/>
                <w:color w:val="000000" w:themeColor="text1"/>
                <w:szCs w:val="21"/>
                <w:highlight w:val="none"/>
                <w:lang w:val="en-US" w:eastAsia="zh-CN"/>
                <w14:textFill>
                  <w14:solidFill>
                    <w14:schemeClr w14:val="tx1"/>
                  </w14:solidFill>
                </w14:textFill>
              </w:rPr>
              <w:t>1-9 与《工业和信息化部、国家发展和改革委员会、生态环境部关于推动铸造和锻压行业高质量发展的指导意见》（工信部联通〔2023〕40号）</w:t>
            </w: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相符性分析一览表</w:t>
            </w:r>
          </w:p>
          <w:tbl>
            <w:tblPr>
              <w:tblStyle w:val="33"/>
              <w:tblW w:w="711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3559"/>
              <w:gridCol w:w="2800"/>
            </w:tblGrid>
            <w:tr w14:paraId="34E8CB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7313976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序号</w:t>
                  </w:r>
                </w:p>
              </w:tc>
              <w:tc>
                <w:tcPr>
                  <w:tcW w:w="3559" w:type="dxa"/>
                  <w:tcBorders>
                    <w:tl2br w:val="nil"/>
                    <w:tr2bl w:val="nil"/>
                  </w:tcBorders>
                  <w:noWrap w:val="0"/>
                  <w:vAlign w:val="center"/>
                </w:tcPr>
                <w:p w14:paraId="38EAEBD1">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具体要求</w:t>
                  </w:r>
                </w:p>
              </w:tc>
              <w:tc>
                <w:tcPr>
                  <w:tcW w:w="2800" w:type="dxa"/>
                  <w:tcBorders>
                    <w:tl2br w:val="nil"/>
                    <w:tr2bl w:val="nil"/>
                  </w:tcBorders>
                  <w:noWrap w:val="0"/>
                  <w:vAlign w:val="center"/>
                </w:tcPr>
                <w:p w14:paraId="237AE5B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本项目情况</w:t>
                  </w:r>
                </w:p>
              </w:tc>
            </w:tr>
            <w:tr w14:paraId="1A6DE2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712F674E">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1</w:t>
                  </w:r>
                </w:p>
              </w:tc>
              <w:tc>
                <w:tcPr>
                  <w:tcW w:w="3559" w:type="dxa"/>
                  <w:tcBorders>
                    <w:tl2br w:val="nil"/>
                    <w:tr2bl w:val="nil"/>
                  </w:tcBorders>
                  <w:noWrap w:val="0"/>
                  <w:vAlign w:val="center"/>
                </w:tcPr>
                <w:p w14:paraId="2851350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推进产业结构优化。严格执行节能、环保、质量、安全技术等相关法律法规标准和《产业结构调整指导目录》等政策，依法依规淘汰工艺装备落后、污染物排放不达标、生产安全无保障的落后产能。鼓励大气污染防治重点区域加大淘汰落后力度。铸造企业不得采用无芯工频感应电炉、无磁轭（≥0.25吨）铝壳中频感应电炉、水玻璃熔模精密铸造氯化铵硬化模壳、铝合金六氯乙烷精炼等淘汰类工艺和装备。加快存量项目升级改造，推进企业合理选择低污染、低能耗、经济高效的先进工艺技术，提升行业竞争能力。强化铸造和锻压与装备制造业协同布局，引导具备条件的企业入园集聚发展，提升产业链供应链协同配套能力，构建布局合理、错位互补、供需联动、协同发展的产业格局。</w:t>
                  </w:r>
                </w:p>
              </w:tc>
              <w:tc>
                <w:tcPr>
                  <w:tcW w:w="2800" w:type="dxa"/>
                  <w:tcBorders>
                    <w:tl2br w:val="nil"/>
                    <w:tr2bl w:val="nil"/>
                  </w:tcBorders>
                  <w:noWrap w:val="0"/>
                  <w:vAlign w:val="center"/>
                </w:tcPr>
                <w:p w14:paraId="5A122077">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本项目严格执行节能、环保、质量、安全技术等相关法律法规标准和《产业结构调整指导目录》等政策，本项目不属于淘汰工艺装备落后、污染物排放不达标、生产安全无保障的落后产能，</w:t>
                  </w:r>
                  <w:r>
                    <w:rPr>
                      <w:rFonts w:hint="eastAsia" w:cs="Times New Roman"/>
                      <w:snapToGrid w:val="0"/>
                      <w:color w:val="000000" w:themeColor="text1"/>
                      <w:kern w:val="0"/>
                      <w:sz w:val="21"/>
                      <w:szCs w:val="21"/>
                      <w:highlight w:val="none"/>
                      <w:lang w:val="en-US" w:eastAsia="zh-CN" w:bidi="ar-SA"/>
                      <w14:textFill>
                        <w14:solidFill>
                          <w14:schemeClr w14:val="tx1"/>
                        </w14:solidFill>
                      </w14:textFill>
                    </w:rPr>
                    <w:t>项目使用的熔化设备为无芯中频感应电炉，使用的模为树脂砂和粘土砂模，并配备砂再生线，不属于文件要求落后淘汰的工艺和设备</w:t>
                  </w: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w:t>
                  </w:r>
                </w:p>
              </w:tc>
            </w:tr>
            <w:tr w14:paraId="7EE444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159667E3">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2</w:t>
                  </w:r>
                </w:p>
              </w:tc>
              <w:tc>
                <w:tcPr>
                  <w:tcW w:w="3559" w:type="dxa"/>
                  <w:tcBorders>
                    <w:tl2br w:val="nil"/>
                    <w:tr2bl w:val="nil"/>
                  </w:tcBorders>
                  <w:noWrap w:val="0"/>
                  <w:vAlign w:val="center"/>
                </w:tcPr>
                <w:p w14:paraId="3FADC3F6">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加快绿色低碳转型。推进绿色方式贯穿铸造和锻压生产全流程，开发绿色原辅材料、推广绿色工艺、建设绿色工厂、发展绿色园区，深入推进园区循环化改造。推动企业依法披露环境信息，接受社会监督。积极开展清洁生产，做好节能监察执法、节能诊断服务工作，深入挖掘节能潜力。鼓励企业采用高效节能熔炼、热处理等设备，提高余热利用水平。推广短流程铸造，鼓励铸造行业冲天炉（10吨/小时及以下）改为电炉。推进铸造废砂再生处理技术应用、废旧金属循环再生与利用。推广整体化大型化短流程低成本锻压技术，推广环保润滑介质应用，加大非调质钢使用比例等。</w:t>
                  </w:r>
                </w:p>
              </w:tc>
              <w:tc>
                <w:tcPr>
                  <w:tcW w:w="2800" w:type="dxa"/>
                  <w:tcBorders>
                    <w:tl2br w:val="nil"/>
                    <w:tr2bl w:val="nil"/>
                  </w:tcBorders>
                  <w:noWrap w:val="0"/>
                  <w:vAlign w:val="center"/>
                </w:tcPr>
                <w:p w14:paraId="6ACC87D8">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项目企业依法披露环境信息，接受社会监督。积极开展清洁生产，做好节能监察执法、节能诊断服务工作，深入挖掘节能潜力，项目建设一条树脂砂再生生产线和一条粘土砂再生生产线</w:t>
                  </w:r>
                  <w:r>
                    <w:rPr>
                      <w:rFonts w:hint="eastAsia" w:cs="Times New Roman"/>
                      <w:snapToGrid w:val="0"/>
                      <w:color w:val="000000" w:themeColor="text1"/>
                      <w:kern w:val="0"/>
                      <w:sz w:val="21"/>
                      <w:szCs w:val="21"/>
                      <w:highlight w:val="none"/>
                      <w:lang w:val="en-US" w:eastAsia="zh-CN" w:bidi="ar-SA"/>
                      <w14:textFill>
                        <w14:solidFill>
                          <w14:schemeClr w14:val="tx1"/>
                        </w14:solidFill>
                      </w14:textFill>
                    </w:rPr>
                    <w:t>。</w:t>
                  </w:r>
                </w:p>
              </w:tc>
            </w:tr>
            <w:tr w14:paraId="792122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4AAB5DEE">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3</w:t>
                  </w:r>
                </w:p>
              </w:tc>
              <w:tc>
                <w:tcPr>
                  <w:tcW w:w="3559" w:type="dxa"/>
                  <w:tcBorders>
                    <w:tl2br w:val="nil"/>
                    <w:tr2bl w:val="nil"/>
                  </w:tcBorders>
                  <w:noWrap w:val="0"/>
                  <w:vAlign w:val="center"/>
                </w:tcPr>
                <w:p w14:paraId="71823AD0">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提升环保治理水平。依法申领排污许可证，严格持证排污、按证排污并按排污许可证规定落实自行监测、台账记录、执行报告、信息公开等要求。综合考虑生产工艺、原辅材料使用、无组织排放控制、污染治理设施运行效果等，建设一批达到重污染天气应对绩效分级A级水平的环保标杆企业，带动行业环保水平提升。铸造企业严格执行《铸造工业大气污染物排放标准》（GB 39726）及地方排放标准，加强无组织排放控制，不能稳定达标排放的，限期完成设施升级改造，不具备改造条件及改造后仍不能达标的，依法依规进行淘汰。鼓励铸造用生铁企业参照钢铁行业超低排放改造要求开展有组织、无组织和清洁运输超低排放改造，支持行业协会公示进展情况。</w:t>
                  </w:r>
                </w:p>
              </w:tc>
              <w:tc>
                <w:tcPr>
                  <w:tcW w:w="2800" w:type="dxa"/>
                  <w:tcBorders>
                    <w:tl2br w:val="nil"/>
                    <w:tr2bl w:val="nil"/>
                  </w:tcBorders>
                  <w:noWrap w:val="0"/>
                  <w:vAlign w:val="center"/>
                </w:tcPr>
                <w:p w14:paraId="3B636E86">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后期将依法申领排污许可证，严格持证排污、按证排污并按排污许可证规定落实自行监测、台账记录、执行报告、信息公开等要求。综合考虑生产工艺、原辅材料使用、无组织排放控制、污染治理设施运行效果等。建设单位已严格执行《铸造工业大气污染物排放标准》（GB 39726）及地方排放标准，加强无组织排放控制，</w:t>
                  </w:r>
                </w:p>
              </w:tc>
            </w:tr>
          </w:tbl>
          <w:p w14:paraId="74758C22">
            <w:pPr>
              <w:numPr>
                <w:ilvl w:val="0"/>
                <w:numId w:val="0"/>
              </w:numPr>
              <w:shd w:val="clear" w:color="auto" w:fill="auto"/>
              <w:spacing w:line="360" w:lineRule="auto"/>
              <w:jc w:val="left"/>
              <w:rPr>
                <w:rFonts w:hint="eastAsia" w:ascii="宋体" w:hAnsi="宋体" w:eastAsia="宋体" w:cs="宋体"/>
                <w:b/>
                <w:bCs/>
                <w:color w:val="000000" w:themeColor="text1"/>
                <w:kern w:val="2"/>
                <w:sz w:val="24"/>
                <w:szCs w:val="24"/>
                <w:highlight w:val="none"/>
                <w:lang w:eastAsia="zh-CN"/>
                <w14:textFill>
                  <w14:solidFill>
                    <w14:schemeClr w14:val="tx1"/>
                  </w14:solidFill>
                </w14:textFill>
              </w:rPr>
            </w:pPr>
            <w:r>
              <w:rPr>
                <w:rFonts w:hint="eastAsia"/>
                <w:b/>
                <w:bCs/>
                <w:snapToGrid w:val="0"/>
                <w:color w:val="000000" w:themeColor="text1"/>
                <w:kern w:val="0"/>
                <w:sz w:val="24"/>
                <w:szCs w:val="24"/>
                <w:highlight w:val="none"/>
                <w:lang w:val="en-US" w:eastAsia="zh-CN"/>
                <w14:textFill>
                  <w14:solidFill>
                    <w14:schemeClr w14:val="tx1"/>
                  </w14:solidFill>
                </w14:textFill>
              </w:rPr>
              <w:t>八、</w:t>
            </w:r>
            <w:r>
              <w:rPr>
                <w:rFonts w:hint="eastAsia"/>
                <w:b/>
                <w:bCs/>
                <w:snapToGrid w:val="0"/>
                <w:color w:val="000000" w:themeColor="text1"/>
                <w:kern w:val="0"/>
                <w:sz w:val="24"/>
                <w:szCs w:val="24"/>
                <w:highlight w:val="none"/>
                <w:lang w:eastAsia="zh-CN"/>
                <w14:textFill>
                  <w14:solidFill>
                    <w14:schemeClr w14:val="tx1"/>
                  </w14:solidFill>
                </w14:textFill>
              </w:rPr>
              <w:t>与《铸造防尘技术规程》（GB8959-2007）相符性分析</w:t>
            </w:r>
          </w:p>
          <w:p w14:paraId="259B10FE">
            <w:pPr>
              <w:pStyle w:val="56"/>
              <w:keepNext w:val="0"/>
              <w:keepLines w:val="0"/>
              <w:pageBreakBefore w:val="0"/>
              <w:widowControl w:val="0"/>
              <w:shd w:val="clear" w:color="auto" w:fill="auto"/>
              <w:kinsoku/>
              <w:wordWrap w:val="0"/>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表1-</w:t>
            </w:r>
            <w:r>
              <w:rPr>
                <w:rFonts w:hint="eastAsia" w:cs="Times New Roman"/>
                <w:b/>
                <w:bCs/>
                <w:color w:val="000000" w:themeColor="text1"/>
                <w:sz w:val="24"/>
                <w:szCs w:val="24"/>
                <w:highlight w:val="none"/>
                <w:lang w:val="en-US" w:eastAsia="zh-CN"/>
                <w14:textFill>
                  <w14:solidFill>
                    <w14:schemeClr w14:val="tx1"/>
                  </w14:solidFill>
                </w14:textFill>
              </w:rPr>
              <w:t xml:space="preserve">10 </w:t>
            </w:r>
            <w:r>
              <w:rPr>
                <w:rFonts w:hint="eastAsia"/>
                <w:b/>
                <w:bCs/>
                <w:color w:val="000000" w:themeColor="text1"/>
                <w:szCs w:val="21"/>
                <w:highlight w:val="none"/>
                <w:lang w:val="en-US" w:eastAsia="zh-CN"/>
                <w14:textFill>
                  <w14:solidFill>
                    <w14:schemeClr w14:val="tx1"/>
                  </w14:solidFill>
                </w14:textFill>
              </w:rPr>
              <w:t>与</w:t>
            </w:r>
            <w:r>
              <w:rPr>
                <w:rFonts w:hint="eastAsia"/>
                <w:b/>
                <w:bCs/>
                <w:snapToGrid w:val="0"/>
                <w:color w:val="000000" w:themeColor="text1"/>
                <w:kern w:val="0"/>
                <w:sz w:val="24"/>
                <w:szCs w:val="24"/>
                <w:highlight w:val="none"/>
                <w:lang w:eastAsia="zh-CN"/>
                <w14:textFill>
                  <w14:solidFill>
                    <w14:schemeClr w14:val="tx1"/>
                  </w14:solidFill>
                </w14:textFill>
              </w:rPr>
              <w:t>《铸造防尘技术规程》（GB8959-2007）相符性</w:t>
            </w:r>
            <w:r>
              <w:rPr>
                <w:rFonts w:hint="eastAsia" w:ascii="Times New Roman" w:hAnsi="Times New Roman" w:eastAsia="宋体" w:cs="Times New Roman"/>
                <w:b/>
                <w:bCs/>
                <w:color w:val="000000" w:themeColor="text1"/>
                <w:sz w:val="24"/>
                <w:szCs w:val="24"/>
                <w:highlight w:val="none"/>
                <w:lang w:val="en-US" w:eastAsia="zh-CN"/>
                <w14:textFill>
                  <w14:solidFill>
                    <w14:schemeClr w14:val="tx1"/>
                  </w14:solidFill>
                </w14:textFill>
              </w:rPr>
              <w:t>一览表</w:t>
            </w:r>
          </w:p>
          <w:tbl>
            <w:tblPr>
              <w:tblStyle w:val="33"/>
              <w:tblW w:w="711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3698"/>
              <w:gridCol w:w="2661"/>
            </w:tblGrid>
            <w:tr w14:paraId="46D98B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29F2A138">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序号</w:t>
                  </w:r>
                </w:p>
              </w:tc>
              <w:tc>
                <w:tcPr>
                  <w:tcW w:w="3698" w:type="dxa"/>
                  <w:tcBorders>
                    <w:tl2br w:val="nil"/>
                    <w:tr2bl w:val="nil"/>
                  </w:tcBorders>
                  <w:noWrap w:val="0"/>
                  <w:vAlign w:val="center"/>
                </w:tcPr>
                <w:p w14:paraId="0DEC83A0">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具体要求</w:t>
                  </w:r>
                </w:p>
              </w:tc>
              <w:tc>
                <w:tcPr>
                  <w:tcW w:w="2661" w:type="dxa"/>
                  <w:tcBorders>
                    <w:tl2br w:val="nil"/>
                    <w:tr2bl w:val="nil"/>
                  </w:tcBorders>
                  <w:noWrap w:val="0"/>
                  <w:vAlign w:val="center"/>
                </w:tcPr>
                <w:p w14:paraId="36E3891C">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本项目情况</w:t>
                  </w:r>
                </w:p>
              </w:tc>
            </w:tr>
            <w:tr w14:paraId="4DAA23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116" w:type="dxa"/>
                  <w:gridSpan w:val="3"/>
                  <w:tcBorders>
                    <w:tl2br w:val="nil"/>
                    <w:tr2bl w:val="nil"/>
                  </w:tcBorders>
                  <w:noWrap w:val="0"/>
                  <w:vAlign w:val="center"/>
                </w:tcPr>
                <w:p w14:paraId="72E74432">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防尘的工艺措施</w:t>
                  </w:r>
                </w:p>
              </w:tc>
            </w:tr>
            <w:tr w14:paraId="47ACFA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74C322CA">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1</w:t>
                  </w:r>
                </w:p>
              </w:tc>
              <w:tc>
                <w:tcPr>
                  <w:tcW w:w="3698" w:type="dxa"/>
                  <w:tcBorders>
                    <w:tl2br w:val="nil"/>
                    <w:tr2bl w:val="nil"/>
                  </w:tcBorders>
                  <w:noWrap w:val="0"/>
                  <w:vAlign w:val="center"/>
                </w:tcPr>
                <w:p w14:paraId="119E6C4B">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工艺设备和生产流程的布局应根据生产纲领、金属种类、工艺水平、厂区场地和厂房条件等结合防尘技术综合考虑，均应设计合理的除尘系统。</w:t>
                  </w:r>
                </w:p>
              </w:tc>
              <w:tc>
                <w:tcPr>
                  <w:tcW w:w="2661" w:type="dxa"/>
                  <w:tcBorders>
                    <w:tl2br w:val="nil"/>
                    <w:tr2bl w:val="nil"/>
                  </w:tcBorders>
                  <w:noWrap w:val="0"/>
                  <w:vAlign w:val="center"/>
                </w:tcPr>
                <w:p w14:paraId="48317E5E">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项目工艺设备和生产流程的布局已根据生产纲领、金属种类、工艺水平、厂区场地和厂房条件等结合防尘技术综合考虑，均已设计合理的除尘系统。</w:t>
                  </w:r>
                </w:p>
              </w:tc>
            </w:tr>
            <w:tr w14:paraId="696258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57250241">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2</w:t>
                  </w:r>
                </w:p>
              </w:tc>
              <w:tc>
                <w:tcPr>
                  <w:tcW w:w="3698" w:type="dxa"/>
                  <w:tcBorders>
                    <w:tl2br w:val="nil"/>
                    <w:tr2bl w:val="nil"/>
                  </w:tcBorders>
                  <w:noWrap w:val="0"/>
                  <w:vAlign w:val="center"/>
                </w:tcPr>
                <w:p w14:paraId="4877582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污染较小的造型和制芯工部在集中采暖地区应布置在非采暖季节最小频率风向的下风侧，在非集中采暖地区应位于全年最小频率风向的下风侧。</w:t>
                  </w:r>
                </w:p>
              </w:tc>
              <w:tc>
                <w:tcPr>
                  <w:tcW w:w="2661" w:type="dxa"/>
                  <w:tcBorders>
                    <w:tl2br w:val="nil"/>
                    <w:tr2bl w:val="nil"/>
                  </w:tcBorders>
                  <w:noWrap w:val="0"/>
                  <w:vAlign w:val="center"/>
                </w:tcPr>
                <w:p w14:paraId="5738C12F">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项目污染较小的造型和制芯工部位于全年最小频率风向的下风侧</w:t>
                  </w:r>
                </w:p>
              </w:tc>
            </w:tr>
            <w:tr w14:paraId="4F0EC5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24AE078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3</w:t>
                  </w:r>
                </w:p>
              </w:tc>
              <w:tc>
                <w:tcPr>
                  <w:tcW w:w="3698" w:type="dxa"/>
                  <w:tcBorders>
                    <w:tl2br w:val="nil"/>
                    <w:tr2bl w:val="nil"/>
                  </w:tcBorders>
                  <w:noWrap w:val="0"/>
                  <w:vAlign w:val="center"/>
                </w:tcPr>
                <w:p w14:paraId="21D351FC">
                  <w:pPr>
                    <w:keepNext w:val="0"/>
                    <w:keepLines w:val="0"/>
                    <w:pageBreakBefore w:val="0"/>
                    <w:widowControl w:val="0"/>
                    <w:shd w:val="clear" w:color="auto" w:fill="auto"/>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砂处理和清理等工部宜用轻质材料或实体墙等设施和车间其他工部隔开，大型铸造工厂的砂处理、清理工部可布置在单独的厂房内。</w:t>
                  </w:r>
                </w:p>
              </w:tc>
              <w:tc>
                <w:tcPr>
                  <w:tcW w:w="2661" w:type="dxa"/>
                  <w:tcBorders>
                    <w:tl2br w:val="nil"/>
                    <w:tr2bl w:val="nil"/>
                  </w:tcBorders>
                  <w:noWrap w:val="0"/>
                  <w:vAlign w:val="center"/>
                </w:tcPr>
                <w:p w14:paraId="5EA02BE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w:t>
                  </w:r>
                  <w:r>
                    <w:rPr>
                      <w:rFonts w:hint="default" w:ascii="Times New Roman" w:hAnsi="Times New Roman" w:eastAsia="Times New Roman"/>
                      <w:color w:val="000000" w:themeColor="text1"/>
                      <w:sz w:val="21"/>
                      <w:szCs w:val="21"/>
                      <w:highlight w:val="none"/>
                      <w:lang w:val="zh-CN"/>
                      <w14:textFill>
                        <w14:solidFill>
                          <w14:schemeClr w14:val="tx1"/>
                        </w14:solidFill>
                      </w14:textFill>
                    </w:rPr>
                    <w:t>砂处理和清理等工部宜</w:t>
                  </w:r>
                  <w:r>
                    <w:rPr>
                      <w:rFonts w:hint="eastAsia" w:ascii="Times New Roman" w:hAnsi="Times New Roman" w:eastAsia="Times New Roman"/>
                      <w:color w:val="000000" w:themeColor="text1"/>
                      <w:sz w:val="21"/>
                      <w:szCs w:val="21"/>
                      <w:highlight w:val="none"/>
                      <w:lang w:val="zh-CN"/>
                      <w14:textFill>
                        <w14:solidFill>
                          <w14:schemeClr w14:val="tx1"/>
                        </w14:solidFill>
                      </w14:textFill>
                    </w:rPr>
                    <w:t>已用</w:t>
                  </w:r>
                  <w:r>
                    <w:rPr>
                      <w:rFonts w:hint="default" w:ascii="Times New Roman" w:hAnsi="Times New Roman" w:eastAsia="Times New Roman"/>
                      <w:color w:val="000000" w:themeColor="text1"/>
                      <w:sz w:val="21"/>
                      <w:szCs w:val="21"/>
                      <w:highlight w:val="none"/>
                      <w:lang w:val="zh-CN"/>
                      <w14:textFill>
                        <w14:solidFill>
                          <w14:schemeClr w14:val="tx1"/>
                        </w14:solidFill>
                      </w14:textFill>
                    </w:rPr>
                    <w:t>轻质材料或实体墙等设施和车间其他工部隔开</w:t>
                  </w:r>
                </w:p>
              </w:tc>
            </w:tr>
            <w:tr w14:paraId="2BAB87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54C814B9">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4</w:t>
                  </w:r>
                </w:p>
              </w:tc>
              <w:tc>
                <w:tcPr>
                  <w:tcW w:w="3698" w:type="dxa"/>
                  <w:tcBorders>
                    <w:tl2br w:val="nil"/>
                    <w:tr2bl w:val="nil"/>
                  </w:tcBorders>
                  <w:noWrap w:val="0"/>
                  <w:vAlign w:val="center"/>
                </w:tcPr>
                <w:p w14:paraId="558A911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浇注区应布置在车间通风良好的位置。</w:t>
                  </w:r>
                </w:p>
              </w:tc>
              <w:tc>
                <w:tcPr>
                  <w:tcW w:w="2661" w:type="dxa"/>
                  <w:tcBorders>
                    <w:tl2br w:val="nil"/>
                    <w:tr2bl w:val="nil"/>
                  </w:tcBorders>
                  <w:noWrap w:val="0"/>
                  <w:vAlign w:val="center"/>
                </w:tcPr>
                <w:p w14:paraId="1F67CB2B">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项目浇注区</w:t>
                  </w:r>
                  <w:r>
                    <w:rPr>
                      <w:rFonts w:hint="default" w:ascii="Times New Roman" w:hAnsi="Times New Roman" w:eastAsia="Times New Roman"/>
                      <w:color w:val="000000" w:themeColor="text1"/>
                      <w:sz w:val="21"/>
                      <w:szCs w:val="21"/>
                      <w:highlight w:val="none"/>
                      <w:lang w:val="zh-CN"/>
                      <w14:textFill>
                        <w14:solidFill>
                          <w14:schemeClr w14:val="tx1"/>
                        </w14:solidFill>
                      </w14:textFill>
                    </w:rPr>
                    <w:t>布置在车间通风良好的位置。</w:t>
                  </w:r>
                </w:p>
              </w:tc>
            </w:tr>
            <w:tr w14:paraId="670EE0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2FD30073">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5</w:t>
                  </w:r>
                </w:p>
              </w:tc>
              <w:tc>
                <w:tcPr>
                  <w:tcW w:w="3698" w:type="dxa"/>
                  <w:tcBorders>
                    <w:tl2br w:val="nil"/>
                    <w:tr2bl w:val="nil"/>
                  </w:tcBorders>
                  <w:noWrap w:val="0"/>
                  <w:vAlign w:val="center"/>
                </w:tcPr>
                <w:p w14:paraId="7320D8E2">
                  <w:pPr>
                    <w:keepNext w:val="0"/>
                    <w:keepLines w:val="0"/>
                    <w:pageBreakBefore w:val="0"/>
                    <w:widowControl w:val="0"/>
                    <w:shd w:val="clear" w:color="auto" w:fill="auto"/>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合箱、落砂、开箱、清砂、打磨、切割、焊补等工序宜固定作业工位或场地，便于采取防尘措施。</w:t>
                  </w:r>
                </w:p>
                <w:p w14:paraId="7DAE895F">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p>
              </w:tc>
              <w:tc>
                <w:tcPr>
                  <w:tcW w:w="2661" w:type="dxa"/>
                  <w:tcBorders>
                    <w:tl2br w:val="nil"/>
                    <w:tr2bl w:val="nil"/>
                  </w:tcBorders>
                  <w:noWrap w:val="0"/>
                  <w:vAlign w:val="center"/>
                </w:tcPr>
                <w:p w14:paraId="23A23BAD">
                  <w:pPr>
                    <w:keepNext w:val="0"/>
                    <w:keepLines w:val="0"/>
                    <w:pageBreakBefore w:val="0"/>
                    <w:widowControl w:val="0"/>
                    <w:shd w:val="clear" w:color="auto" w:fill="auto"/>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合箱、落砂、开箱、清砂、打磨、切割、焊补等工序</w:t>
                  </w:r>
                  <w:r>
                    <w:rPr>
                      <w:rFonts w:hint="eastAsia" w:ascii="Times New Roman" w:hAnsi="Times New Roman" w:eastAsia="Times New Roman"/>
                      <w:color w:val="000000" w:themeColor="text1"/>
                      <w:sz w:val="21"/>
                      <w:szCs w:val="21"/>
                      <w:highlight w:val="none"/>
                      <w:lang w:val="zh-CN"/>
                      <w14:textFill>
                        <w14:solidFill>
                          <w14:schemeClr w14:val="tx1"/>
                        </w14:solidFill>
                      </w14:textFill>
                    </w:rPr>
                    <w:t>已</w:t>
                  </w:r>
                  <w:r>
                    <w:rPr>
                      <w:rFonts w:hint="default" w:ascii="Times New Roman" w:hAnsi="Times New Roman" w:eastAsia="Times New Roman"/>
                      <w:color w:val="000000" w:themeColor="text1"/>
                      <w:sz w:val="21"/>
                      <w:szCs w:val="21"/>
                      <w:highlight w:val="none"/>
                      <w:lang w:val="zh-CN"/>
                      <w14:textFill>
                        <w14:solidFill>
                          <w14:schemeClr w14:val="tx1"/>
                        </w14:solidFill>
                      </w14:textFill>
                    </w:rPr>
                    <w:t>固定作业工位或场地，便于采取防尘措施。</w:t>
                  </w:r>
                </w:p>
                <w:p w14:paraId="4164A8D2">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p>
              </w:tc>
            </w:tr>
            <w:tr w14:paraId="67DE29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6925E274">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6</w:t>
                  </w:r>
                </w:p>
              </w:tc>
              <w:tc>
                <w:tcPr>
                  <w:tcW w:w="3698" w:type="dxa"/>
                  <w:tcBorders>
                    <w:tl2br w:val="nil"/>
                    <w:tr2bl w:val="nil"/>
                  </w:tcBorders>
                  <w:noWrap w:val="0"/>
                  <w:vAlign w:val="center"/>
                </w:tcPr>
                <w:p w14:paraId="7829114D">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大批量生产的清理工作台连续成排布置时，应将各工作台面分隔开。</w:t>
                  </w:r>
                </w:p>
              </w:tc>
              <w:tc>
                <w:tcPr>
                  <w:tcW w:w="2661" w:type="dxa"/>
                  <w:tcBorders>
                    <w:tl2br w:val="nil"/>
                    <w:tr2bl w:val="nil"/>
                  </w:tcBorders>
                  <w:noWrap w:val="0"/>
                  <w:vAlign w:val="center"/>
                </w:tcPr>
                <w:p w14:paraId="3D6474F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Times New Roman"/>
                      <w:color w:val="000000" w:themeColor="text1"/>
                      <w:sz w:val="21"/>
                      <w:szCs w:val="21"/>
                      <w:highlight w:val="none"/>
                      <w:lang w:val="zh-CN"/>
                      <w14:textFill>
                        <w14:solidFill>
                          <w14:schemeClr w14:val="tx1"/>
                        </w14:solidFill>
                      </w14:textFill>
                    </w:rPr>
                    <w:t>项目</w:t>
                  </w:r>
                  <w:r>
                    <w:rPr>
                      <w:rFonts w:hint="default" w:ascii="Times New Roman" w:hAnsi="Times New Roman" w:eastAsia="Times New Roman"/>
                      <w:color w:val="000000" w:themeColor="text1"/>
                      <w:sz w:val="21"/>
                      <w:szCs w:val="21"/>
                      <w:highlight w:val="none"/>
                      <w:lang w:val="zh-CN"/>
                      <w14:textFill>
                        <w14:solidFill>
                          <w14:schemeClr w14:val="tx1"/>
                        </w14:solidFill>
                      </w14:textFill>
                    </w:rPr>
                    <w:t>各</w:t>
                  </w:r>
                  <w:r>
                    <w:rPr>
                      <w:rFonts w:hint="eastAsia" w:ascii="Times New Roman" w:hAnsi="Times New Roman" w:eastAsia="Times New Roman"/>
                      <w:color w:val="000000" w:themeColor="text1"/>
                      <w:sz w:val="21"/>
                      <w:szCs w:val="21"/>
                      <w:highlight w:val="none"/>
                      <w:lang w:val="zh-CN"/>
                      <w14:textFill>
                        <w14:solidFill>
                          <w14:schemeClr w14:val="tx1"/>
                        </w14:solidFill>
                      </w14:textFill>
                    </w:rPr>
                    <w:t>清理</w:t>
                  </w:r>
                  <w:r>
                    <w:rPr>
                      <w:rFonts w:hint="default" w:ascii="Times New Roman" w:hAnsi="Times New Roman" w:eastAsia="Times New Roman"/>
                      <w:color w:val="000000" w:themeColor="text1"/>
                      <w:sz w:val="21"/>
                      <w:szCs w:val="21"/>
                      <w:highlight w:val="none"/>
                      <w:lang w:val="zh-CN"/>
                      <w14:textFill>
                        <w14:solidFill>
                          <w14:schemeClr w14:val="tx1"/>
                        </w14:solidFill>
                      </w14:textFill>
                    </w:rPr>
                    <w:t>工作台面</w:t>
                  </w:r>
                  <w:r>
                    <w:rPr>
                      <w:rFonts w:hint="eastAsia" w:ascii="Times New Roman" w:hAnsi="Times New Roman" w:eastAsia="Times New Roman"/>
                      <w:color w:val="000000" w:themeColor="text1"/>
                      <w:sz w:val="21"/>
                      <w:szCs w:val="21"/>
                      <w:highlight w:val="none"/>
                      <w:lang w:val="zh-CN"/>
                      <w14:textFill>
                        <w14:solidFill>
                          <w14:schemeClr w14:val="tx1"/>
                        </w14:solidFill>
                      </w14:textFill>
                    </w:rPr>
                    <w:t>为</w:t>
                  </w:r>
                  <w:r>
                    <w:rPr>
                      <w:rFonts w:hint="default" w:ascii="Times New Roman" w:hAnsi="Times New Roman" w:eastAsia="Times New Roman"/>
                      <w:color w:val="000000" w:themeColor="text1"/>
                      <w:sz w:val="21"/>
                      <w:szCs w:val="21"/>
                      <w:highlight w:val="none"/>
                      <w:lang w:val="zh-CN"/>
                      <w14:textFill>
                        <w14:solidFill>
                          <w14:schemeClr w14:val="tx1"/>
                        </w14:solidFill>
                      </w14:textFill>
                    </w:rPr>
                    <w:t>分隔开。</w:t>
                  </w:r>
                </w:p>
              </w:tc>
            </w:tr>
            <w:tr w14:paraId="456C55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5D08E3B7">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7</w:t>
                  </w:r>
                </w:p>
              </w:tc>
              <w:tc>
                <w:tcPr>
                  <w:tcW w:w="3698" w:type="dxa"/>
                  <w:tcBorders>
                    <w:tl2br w:val="nil"/>
                    <w:tr2bl w:val="nil"/>
                  </w:tcBorders>
                  <w:noWrap w:val="0"/>
                  <w:vAlign w:val="center"/>
                </w:tcPr>
                <w:p w14:paraId="41270A76">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在布置工艺设备时，应为除尘系统的工艺流程（包括除尘罩位置、风管敷设、平台位置、除尘器设置、粉尘集中处理或污泥清除等）的合理布局提供必要的平面位置和立体空间等条件。</w:t>
                  </w:r>
                </w:p>
              </w:tc>
              <w:tc>
                <w:tcPr>
                  <w:tcW w:w="2661" w:type="dxa"/>
                  <w:tcBorders>
                    <w:tl2br w:val="nil"/>
                    <w:tr2bl w:val="nil"/>
                  </w:tcBorders>
                  <w:noWrap w:val="0"/>
                  <w:vAlign w:val="center"/>
                </w:tcPr>
                <w:p w14:paraId="3F840A9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Times New Roman"/>
                      <w:color w:val="000000" w:themeColor="text1"/>
                      <w:sz w:val="21"/>
                      <w:szCs w:val="21"/>
                      <w:highlight w:val="none"/>
                      <w:lang w:val="zh-CN"/>
                      <w14:textFill>
                        <w14:solidFill>
                          <w14:schemeClr w14:val="tx1"/>
                        </w14:solidFill>
                      </w14:textFill>
                    </w:rPr>
                    <w:t>项目</w:t>
                  </w:r>
                  <w:r>
                    <w:rPr>
                      <w:rFonts w:hint="default" w:ascii="Times New Roman" w:hAnsi="Times New Roman" w:eastAsia="Times New Roman"/>
                      <w:color w:val="000000" w:themeColor="text1"/>
                      <w:sz w:val="21"/>
                      <w:szCs w:val="21"/>
                      <w:highlight w:val="none"/>
                      <w:lang w:val="zh-CN"/>
                      <w14:textFill>
                        <w14:solidFill>
                          <w14:schemeClr w14:val="tx1"/>
                        </w14:solidFill>
                      </w14:textFill>
                    </w:rPr>
                    <w:t>在布置工艺设备时，</w:t>
                  </w:r>
                  <w:r>
                    <w:rPr>
                      <w:rFonts w:hint="eastAsia" w:ascii="Times New Roman" w:hAnsi="Times New Roman" w:eastAsia="Times New Roman"/>
                      <w:color w:val="000000" w:themeColor="text1"/>
                      <w:sz w:val="21"/>
                      <w:szCs w:val="21"/>
                      <w:highlight w:val="none"/>
                      <w:lang w:val="zh-CN"/>
                      <w14:textFill>
                        <w14:solidFill>
                          <w14:schemeClr w14:val="tx1"/>
                        </w14:solidFill>
                      </w14:textFill>
                    </w:rPr>
                    <w:t>已</w:t>
                  </w:r>
                  <w:r>
                    <w:rPr>
                      <w:rFonts w:hint="default" w:ascii="Times New Roman" w:hAnsi="Times New Roman" w:eastAsia="Times New Roman"/>
                      <w:color w:val="000000" w:themeColor="text1"/>
                      <w:sz w:val="21"/>
                      <w:szCs w:val="21"/>
                      <w:highlight w:val="none"/>
                      <w:lang w:val="zh-CN"/>
                      <w14:textFill>
                        <w14:solidFill>
                          <w14:schemeClr w14:val="tx1"/>
                        </w14:solidFill>
                      </w14:textFill>
                    </w:rPr>
                    <w:t>为除尘系统的工艺流程（包括除尘罩位置、风管敷设、平台位置、除尘器设置、粉尘集中处理或污泥清除等）的合理布局提供必要的平面位置和立体空间等条件。</w:t>
                  </w:r>
                </w:p>
              </w:tc>
            </w:tr>
            <w:tr w14:paraId="084BF0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757" w:type="dxa"/>
                  <w:tcBorders>
                    <w:tl2br w:val="nil"/>
                    <w:tr2bl w:val="nil"/>
                  </w:tcBorders>
                  <w:noWrap w:val="0"/>
                  <w:vAlign w:val="center"/>
                </w:tcPr>
                <w:p w14:paraId="68240325">
                  <w:pPr>
                    <w:pStyle w:val="56"/>
                    <w:keepNext w:val="0"/>
                    <w:keepLines w:val="0"/>
                    <w:pageBreakBefore w:val="0"/>
                    <w:widowControl w:val="0"/>
                    <w:shd w:val="clear" w:color="auto" w:fill="auto"/>
                    <w:kinsoku/>
                    <w:overflowPunct/>
                    <w:topLinePunct w:val="0"/>
                    <w:autoSpaceDE/>
                    <w:autoSpaceDN/>
                    <w:bidi w:val="0"/>
                    <w:adjustRightInd/>
                    <w:snapToGrid/>
                    <w:spacing w:line="240" w:lineRule="auto"/>
                    <w:ind w:left="0" w:right="0" w:firstLine="0" w:firstLineChars="0"/>
                    <w:jc w:val="center"/>
                    <w:textAlignment w:val="auto"/>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8</w:t>
                  </w:r>
                </w:p>
              </w:tc>
              <w:tc>
                <w:tcPr>
                  <w:tcW w:w="3698" w:type="dxa"/>
                  <w:tcBorders>
                    <w:tl2br w:val="nil"/>
                    <w:tr2bl w:val="nil"/>
                  </w:tcBorders>
                  <w:noWrap w:val="0"/>
                  <w:vAlign w:val="center"/>
                </w:tcPr>
                <w:p w14:paraId="0FD38DB1">
                  <w:pPr>
                    <w:keepNext w:val="0"/>
                    <w:keepLines w:val="0"/>
                    <w:pageBreakBefore w:val="0"/>
                    <w:widowControl w:val="0"/>
                    <w:shd w:val="clear" w:color="auto" w:fill="auto"/>
                    <w:kinsoku/>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Times New Roman"/>
                      <w:color w:val="000000" w:themeColor="text1"/>
                      <w:sz w:val="21"/>
                      <w:szCs w:val="21"/>
                      <w:highlight w:val="none"/>
                      <w:lang w:val="zh-CN"/>
                      <w14:textFill>
                        <w14:solidFill>
                          <w14:schemeClr w14:val="tx1"/>
                        </w14:solidFill>
                      </w14:textFill>
                    </w:rPr>
                  </w:pPr>
                  <w:r>
                    <w:rPr>
                      <w:rFonts w:hint="default" w:ascii="Times New Roman" w:hAnsi="Times New Roman" w:eastAsia="Times New Roman"/>
                      <w:color w:val="000000" w:themeColor="text1"/>
                      <w:sz w:val="21"/>
                      <w:szCs w:val="21"/>
                      <w:highlight w:val="none"/>
                      <w:lang w:val="zh-CN"/>
                      <w14:textFill>
                        <w14:solidFill>
                          <w14:schemeClr w14:val="tx1"/>
                        </w14:solidFill>
                      </w14:textFill>
                    </w:rPr>
                    <w:t>工艺设备的运行控制，应与除尘系统的运行联锁控制，应确保通风除尘设备先于工艺设备提前运行和滞后于工艺设备停止运行。</w:t>
                  </w:r>
                </w:p>
              </w:tc>
              <w:tc>
                <w:tcPr>
                  <w:tcW w:w="2661" w:type="dxa"/>
                  <w:tcBorders>
                    <w:tl2br w:val="nil"/>
                    <w:tr2bl w:val="nil"/>
                  </w:tcBorders>
                  <w:noWrap w:val="0"/>
                  <w:vAlign w:val="center"/>
                </w:tcPr>
                <w:p w14:paraId="73D2E2BD">
                  <w:pPr>
                    <w:keepNext w:val="0"/>
                    <w:keepLines w:val="0"/>
                    <w:pageBreakBefore w:val="0"/>
                    <w:widowControl w:val="0"/>
                    <w:shd w:val="clear" w:color="auto" w:fill="auto"/>
                    <w:kinsoku/>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t>项目</w:t>
                  </w:r>
                  <w:r>
                    <w:rPr>
                      <w:rFonts w:hint="default" w:ascii="Times New Roman" w:hAnsi="Times New Roman" w:eastAsia="Times New Roman"/>
                      <w:color w:val="000000" w:themeColor="text1"/>
                      <w:sz w:val="21"/>
                      <w:szCs w:val="21"/>
                      <w:highlight w:val="none"/>
                      <w:lang w:val="zh-CN"/>
                      <w14:textFill>
                        <w14:solidFill>
                          <w14:schemeClr w14:val="tx1"/>
                        </w14:solidFill>
                      </w14:textFill>
                    </w:rPr>
                    <w:t>工艺设备的运行控制，</w:t>
                  </w:r>
                  <w:r>
                    <w:rPr>
                      <w:rFonts w:hint="eastAsia" w:ascii="Times New Roman" w:hAnsi="Times New Roman" w:eastAsia="Times New Roman"/>
                      <w:color w:val="000000" w:themeColor="text1"/>
                      <w:sz w:val="21"/>
                      <w:szCs w:val="21"/>
                      <w:highlight w:val="none"/>
                      <w:lang w:val="zh-CN"/>
                      <w14:textFill>
                        <w14:solidFill>
                          <w14:schemeClr w14:val="tx1"/>
                        </w14:solidFill>
                      </w14:textFill>
                    </w:rPr>
                    <w:t>已</w:t>
                  </w:r>
                  <w:r>
                    <w:rPr>
                      <w:rFonts w:hint="default" w:ascii="Times New Roman" w:hAnsi="Times New Roman" w:eastAsia="Times New Roman"/>
                      <w:color w:val="000000" w:themeColor="text1"/>
                      <w:sz w:val="21"/>
                      <w:szCs w:val="21"/>
                      <w:highlight w:val="none"/>
                      <w:lang w:val="zh-CN"/>
                      <w14:textFill>
                        <w14:solidFill>
                          <w14:schemeClr w14:val="tx1"/>
                        </w14:solidFill>
                      </w14:textFill>
                    </w:rPr>
                    <w:t>与除尘系统的运行联锁控制，确保通风除尘设备先于工艺设备提前运行和滞后于工艺设备停止运行。</w:t>
                  </w:r>
                </w:p>
              </w:tc>
            </w:tr>
          </w:tbl>
          <w:p w14:paraId="7B6F1932">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九、</w:t>
            </w:r>
            <w:r>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t>与</w:t>
            </w:r>
            <w:r>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t>《2020年挥发性有机物治理攻坚方案》（环大气〔2020〕33号）相符性分析</w:t>
            </w:r>
          </w:p>
          <w:p w14:paraId="2ADABCFB">
            <w:pPr>
              <w:widowControl/>
              <w:spacing w:line="360" w:lineRule="auto"/>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cs="Times New Roman"/>
                <w:b/>
                <w:color w:val="000000" w:themeColor="text1"/>
                <w:spacing w:val="7"/>
                <w:kern w:val="0"/>
                <w:szCs w:val="21"/>
                <w:highlight w:val="none"/>
                <w:lang w:val="en-US" w:eastAsia="zh-CN"/>
                <w14:textFill>
                  <w14:solidFill>
                    <w14:schemeClr w14:val="tx1"/>
                  </w14:solidFill>
                </w14:textFill>
              </w:rPr>
              <w:t>11</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w:t>
            </w:r>
            <w:r>
              <w:rPr>
                <w:rFonts w:hint="eastAsia" w:cs="Times New Roman"/>
                <w:b/>
                <w:color w:val="000000" w:themeColor="text1"/>
                <w:spacing w:val="7"/>
                <w:kern w:val="0"/>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2020年挥发性有机物治理攻坚方案相符性分析</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978"/>
              <w:gridCol w:w="3222"/>
              <w:gridCol w:w="1318"/>
              <w:gridCol w:w="539"/>
            </w:tblGrid>
            <w:tr w14:paraId="632811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48" w:type="pct"/>
                  <w:tcBorders>
                    <w:tl2br w:val="nil"/>
                    <w:tr2bl w:val="nil"/>
                  </w:tcBorders>
                  <w:noWrap w:val="0"/>
                  <w:vAlign w:val="center"/>
                </w:tcPr>
                <w:p w14:paraId="25D7599B">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文件</w:t>
                  </w:r>
                </w:p>
              </w:tc>
              <w:tc>
                <w:tcPr>
                  <w:tcW w:w="711" w:type="pct"/>
                  <w:tcBorders>
                    <w:tl2br w:val="nil"/>
                    <w:tr2bl w:val="nil"/>
                  </w:tcBorders>
                  <w:noWrap w:val="0"/>
                  <w:vAlign w:val="center"/>
                </w:tcPr>
                <w:p w14:paraId="5BB29644">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类别</w:t>
                  </w:r>
                </w:p>
              </w:tc>
              <w:tc>
                <w:tcPr>
                  <w:tcW w:w="2288" w:type="pct"/>
                  <w:tcBorders>
                    <w:tl2br w:val="nil"/>
                    <w:tr2bl w:val="nil"/>
                  </w:tcBorders>
                  <w:noWrap w:val="0"/>
                  <w:vAlign w:val="center"/>
                </w:tcPr>
                <w:p w14:paraId="4AEF55B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要求</w:t>
                  </w:r>
                </w:p>
              </w:tc>
              <w:tc>
                <w:tcPr>
                  <w:tcW w:w="949" w:type="pct"/>
                  <w:tcBorders>
                    <w:tl2br w:val="nil"/>
                    <w:tr2bl w:val="nil"/>
                  </w:tcBorders>
                  <w:noWrap w:val="0"/>
                  <w:vAlign w:val="center"/>
                </w:tcPr>
                <w:p w14:paraId="6069B973">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本项目</w:t>
                  </w:r>
                </w:p>
              </w:tc>
              <w:tc>
                <w:tcPr>
                  <w:tcW w:w="402" w:type="pct"/>
                  <w:tcBorders>
                    <w:tl2br w:val="nil"/>
                    <w:tr2bl w:val="nil"/>
                  </w:tcBorders>
                  <w:noWrap w:val="0"/>
                  <w:vAlign w:val="center"/>
                </w:tcPr>
                <w:p w14:paraId="1715A1B3">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相符性</w:t>
                  </w:r>
                </w:p>
              </w:tc>
            </w:tr>
            <w:tr w14:paraId="48E9B0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vMerge w:val="restart"/>
                  <w:tcBorders>
                    <w:tl2br w:val="nil"/>
                    <w:tr2bl w:val="nil"/>
                  </w:tcBorders>
                  <w:noWrap w:val="0"/>
                  <w:vAlign w:val="center"/>
                </w:tcPr>
                <w:p w14:paraId="78B89177">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环大气〔2020〕33号</w:t>
                  </w:r>
                </w:p>
              </w:tc>
              <w:tc>
                <w:tcPr>
                  <w:tcW w:w="711" w:type="pct"/>
                  <w:tcBorders>
                    <w:tl2br w:val="nil"/>
                    <w:tr2bl w:val="nil"/>
                  </w:tcBorders>
                  <w:noWrap w:val="0"/>
                  <w:vAlign w:val="center"/>
                </w:tcPr>
                <w:p w14:paraId="317E31A7">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一、大力推进源头替代有效减少</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产生</w:t>
                  </w:r>
                </w:p>
              </w:tc>
              <w:tc>
                <w:tcPr>
                  <w:tcW w:w="2288" w:type="pct"/>
                  <w:tcBorders>
                    <w:tl2br w:val="nil"/>
                    <w:tr2bl w:val="nil"/>
                  </w:tcBorders>
                  <w:noWrap w:val="0"/>
                  <w:vAlign w:val="center"/>
                </w:tcPr>
                <w:p w14:paraId="7E13330E">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严格落实国家和地方产品</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含量限值标准。2020年7月1日起，船舶涂料和地坪涂料生产、销售和使用应满足新颁布实施的国家产品有害物质限量标准要求。京津冀地区建筑类涂料和胶粘剂产品须满足《建筑类涂料与胶粘剂挥发性有机化合物含量限值标准》要求。督促生产企业提前做好油墨、胶粘剂、清洗剂及木器、车辆、建筑用外墙、工业防护涂料等有害物质限量标准实施准备工作，在标准正式生效前有序完成切换，有条件的地区根据环境空气质量改善需要提前实施。</w:t>
                  </w:r>
                </w:p>
                <w:p w14:paraId="322B6DF0">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大力推进低（无）</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含量原辅材料替代。将全面使用符合国家要求的低</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含量原辅材料的企业纳入正面清单和政府绿色采购清单。企业应建立原辅材料台账，记录</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原辅材料名称、成分、</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含量、采购量、使用量、库存量、回收方式、回收量等信息，并保存相关证明材料。</w:t>
                  </w:r>
                </w:p>
              </w:tc>
              <w:tc>
                <w:tcPr>
                  <w:tcW w:w="949" w:type="pct"/>
                  <w:tcBorders>
                    <w:tl2br w:val="nil"/>
                    <w:tr2bl w:val="nil"/>
                  </w:tcBorders>
                  <w:noWrap w:val="0"/>
                  <w:vAlign w:val="center"/>
                </w:tcPr>
                <w:p w14:paraId="72E97CD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1、本项目不属于船舶涂料和地坪涂料生产、销售和使用，也不属于京津冀地区。</w:t>
                  </w:r>
                </w:p>
                <w:p w14:paraId="157DF92B">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2、</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，项目</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涂装</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过程产生的有机废气采取“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w:t>
                  </w:r>
                </w:p>
              </w:tc>
              <w:tc>
                <w:tcPr>
                  <w:tcW w:w="402" w:type="pct"/>
                  <w:tcBorders>
                    <w:tl2br w:val="nil"/>
                    <w:tr2bl w:val="nil"/>
                  </w:tcBorders>
                  <w:noWrap w:val="0"/>
                  <w:vAlign w:val="center"/>
                </w:tcPr>
                <w:p w14:paraId="0B4476B8">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79B41C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vMerge w:val="continue"/>
                  <w:tcBorders>
                    <w:tl2br w:val="nil"/>
                    <w:tr2bl w:val="nil"/>
                  </w:tcBorders>
                  <w:noWrap w:val="0"/>
                  <w:vAlign w:val="center"/>
                </w:tcPr>
                <w:p w14:paraId="755C9D47">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p>
              </w:tc>
              <w:tc>
                <w:tcPr>
                  <w:tcW w:w="711" w:type="pct"/>
                  <w:tcBorders>
                    <w:tl2br w:val="nil"/>
                    <w:tr2bl w:val="nil"/>
                  </w:tcBorders>
                  <w:noWrap w:val="0"/>
                  <w:vAlign w:val="center"/>
                </w:tcPr>
                <w:p w14:paraId="777922C2">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二、全面落实标准要求，强化无组织排放控制</w:t>
                  </w:r>
                </w:p>
              </w:tc>
              <w:tc>
                <w:tcPr>
                  <w:tcW w:w="2288" w:type="pct"/>
                  <w:tcBorders>
                    <w:tl2br w:val="nil"/>
                    <w:tr2bl w:val="nil"/>
                  </w:tcBorders>
                  <w:noWrap w:val="0"/>
                  <w:vAlign w:val="center"/>
                </w:tcPr>
                <w:p w14:paraId="2326DAB6">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2020年7月1日起，全面执行《挥发性有机物无组织排放控制标准》，重点区域应落实无组织排放特别控制要求。各地要加大标准生效时间、涉及行业及控制要求等宣贯力度，通过现场指导、组织培训、新媒体信息推送、发放明白纸等多种方式，督促指导企业对照标准要求开展含</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物料（包括含</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原辅材料、含</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产品、含</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废料以及有机聚合物材料等）储存、转移和输送、设备与管线组件泄漏、敞开液面逸散以及工艺过程等无组织排放环节排查整治，对达不到要求的加快整改。指导企业制定</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无组织排放控制规程，细化到具体工序和生产环节，以及启停机、检维修作业等，落实到具体责任人；健全内部考核制度，严格按照操作规程生产。</w:t>
                  </w:r>
                </w:p>
              </w:tc>
              <w:tc>
                <w:tcPr>
                  <w:tcW w:w="949" w:type="pct"/>
                  <w:tcBorders>
                    <w:tl2br w:val="nil"/>
                    <w:tr2bl w:val="nil"/>
                  </w:tcBorders>
                  <w:noWrap w:val="0"/>
                  <w:vAlign w:val="center"/>
                </w:tcPr>
                <w:p w14:paraId="085F346A">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本项目按照《挥发性有机物无组织排放控制标准》要求提出相关要求。</w:t>
                  </w:r>
                </w:p>
              </w:tc>
              <w:tc>
                <w:tcPr>
                  <w:tcW w:w="402" w:type="pct"/>
                  <w:tcBorders>
                    <w:tl2br w:val="nil"/>
                    <w:tr2bl w:val="nil"/>
                  </w:tcBorders>
                  <w:noWrap w:val="0"/>
                  <w:vAlign w:val="center"/>
                </w:tcPr>
                <w:p w14:paraId="395B9C4D">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0ECF5B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vMerge w:val="continue"/>
                  <w:tcBorders>
                    <w:tl2br w:val="nil"/>
                    <w:tr2bl w:val="nil"/>
                  </w:tcBorders>
                  <w:noWrap w:val="0"/>
                  <w:vAlign w:val="center"/>
                </w:tcPr>
                <w:p w14:paraId="3665176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p>
              </w:tc>
              <w:tc>
                <w:tcPr>
                  <w:tcW w:w="711" w:type="pct"/>
                  <w:tcBorders>
                    <w:tl2br w:val="nil"/>
                    <w:tr2bl w:val="nil"/>
                  </w:tcBorders>
                  <w:noWrap w:val="0"/>
                  <w:vAlign w:val="center"/>
                </w:tcPr>
                <w:p w14:paraId="27EA7DB9">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三、聚焦治污设施“三率”，提升综合治理效率</w:t>
                  </w:r>
                </w:p>
              </w:tc>
              <w:tc>
                <w:tcPr>
                  <w:tcW w:w="2288" w:type="pct"/>
                  <w:tcBorders>
                    <w:tl2br w:val="nil"/>
                    <w:tr2bl w:val="nil"/>
                  </w:tcBorders>
                  <w:noWrap w:val="0"/>
                  <w:vAlign w:val="center"/>
                </w:tcPr>
                <w:p w14:paraId="107D4089">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组织企业对现有</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废气收集率、治理设施同步运行率和去除率开展自查，重点关注单一采用光氧化、光催化、低温等离子、一次性活性炭吸附、喷淋吸收等工艺的治理设施，7月15日前完成。对达不到要求的</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收集、治理设施进行更换或升级改造，确保实现达标排放。除恶臭异味治理外，一般不采用低温等离子、光催化、光氧化等技术。行业排放标准中规定特别排放限值和控制要求的，应按相关规定执行；未制定行业标准的应执行大气污染物综合排放标准和挥发性有机物无组织排放控制标准；已制定更严格地方排放标准的，按地方标准执行。</w:t>
                  </w:r>
                </w:p>
              </w:tc>
              <w:tc>
                <w:tcPr>
                  <w:tcW w:w="949" w:type="pct"/>
                  <w:tcBorders>
                    <w:tl2br w:val="nil"/>
                    <w:tr2bl w:val="nil"/>
                  </w:tcBorders>
                  <w:noWrap w:val="0"/>
                  <w:vAlign w:val="center"/>
                </w:tcPr>
                <w:p w14:paraId="54CC32EB">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本项目为新建项目，</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涂装</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过程产生的有机废气采取“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w:t>
                  </w:r>
                </w:p>
              </w:tc>
              <w:tc>
                <w:tcPr>
                  <w:tcW w:w="402" w:type="pct"/>
                  <w:tcBorders>
                    <w:tl2br w:val="nil"/>
                    <w:tr2bl w:val="nil"/>
                  </w:tcBorders>
                  <w:noWrap w:val="0"/>
                  <w:vAlign w:val="center"/>
                </w:tcPr>
                <w:p w14:paraId="7A8984C6">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3DA054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vMerge w:val="continue"/>
                  <w:tcBorders>
                    <w:tl2br w:val="nil"/>
                    <w:tr2bl w:val="nil"/>
                  </w:tcBorders>
                  <w:noWrap w:val="0"/>
                  <w:vAlign w:val="center"/>
                </w:tcPr>
                <w:p w14:paraId="4BBF5710">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p>
              </w:tc>
              <w:tc>
                <w:tcPr>
                  <w:tcW w:w="711" w:type="pct"/>
                  <w:tcBorders>
                    <w:tl2br w:val="nil"/>
                    <w:tr2bl w:val="nil"/>
                  </w:tcBorders>
                  <w:noWrap w:val="0"/>
                  <w:vAlign w:val="center"/>
                </w:tcPr>
                <w:p w14:paraId="11E136E4">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四、深化园区和集群整治，促进产业绿色发</w:t>
                  </w:r>
                </w:p>
              </w:tc>
              <w:tc>
                <w:tcPr>
                  <w:tcW w:w="2288" w:type="pct"/>
                  <w:tcBorders>
                    <w:tl2br w:val="nil"/>
                    <w:tr2bl w:val="nil"/>
                  </w:tcBorders>
                  <w:noWrap w:val="0"/>
                  <w:vAlign w:val="center"/>
                </w:tcPr>
                <w:p w14:paraId="172FE7A6">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7月15日前，各城市根据本地产业结构特征、</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排放来源等，重点针对烯烃、芳香烃、醛类等O</w:t>
                  </w:r>
                  <w:r>
                    <w:rPr>
                      <w:rFonts w:hint="default" w:ascii="Times New Roman" w:hAnsi="Times New Roman" w:eastAsia="宋体" w:cs="Times New Roman"/>
                      <w:b w:val="0"/>
                      <w:bCs/>
                      <w:color w:val="000000" w:themeColor="text1"/>
                      <w:sz w:val="21"/>
                      <w:szCs w:val="21"/>
                      <w:highlight w:val="none"/>
                      <w:vertAlign w:val="subscript"/>
                      <w:lang w:val="en-US" w:eastAsia="zh-CN"/>
                      <w14:textFill>
                        <w14:solidFill>
                          <w14:schemeClr w14:val="tx1"/>
                        </w14:solidFill>
                      </w14:textFill>
                    </w:rPr>
                    <w:t>3</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生成潜势大的</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物种，确定本地</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控制重点行业，组织完成涉</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工业园区、企业集群、重点管控企业排查，明确</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主要产生环节，逐一建立管理台账。</w:t>
                  </w:r>
                </w:p>
              </w:tc>
              <w:tc>
                <w:tcPr>
                  <w:tcW w:w="949" w:type="pct"/>
                  <w:tcBorders>
                    <w:tl2br w:val="nil"/>
                    <w:tr2bl w:val="nil"/>
                  </w:tcBorders>
                  <w:noWrap w:val="0"/>
                  <w:vAlign w:val="center"/>
                </w:tcPr>
                <w:p w14:paraId="5423C07D">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由项目所在的</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江西乐平工业园区</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组织实施。</w:t>
                  </w:r>
                </w:p>
              </w:tc>
              <w:tc>
                <w:tcPr>
                  <w:tcW w:w="402" w:type="pct"/>
                  <w:tcBorders>
                    <w:tl2br w:val="nil"/>
                    <w:tr2bl w:val="nil"/>
                  </w:tcBorders>
                  <w:noWrap w:val="0"/>
                  <w:vAlign w:val="center"/>
                </w:tcPr>
                <w:p w14:paraId="0F5F7912">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45C65F3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8" w:type="pct"/>
                  <w:vMerge w:val="continue"/>
                  <w:tcBorders>
                    <w:tl2br w:val="nil"/>
                    <w:tr2bl w:val="nil"/>
                  </w:tcBorders>
                  <w:noWrap w:val="0"/>
                  <w:vAlign w:val="center"/>
                </w:tcPr>
                <w:p w14:paraId="5C324532">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p>
              </w:tc>
              <w:tc>
                <w:tcPr>
                  <w:tcW w:w="711" w:type="pct"/>
                  <w:tcBorders>
                    <w:tl2br w:val="nil"/>
                    <w:tr2bl w:val="nil"/>
                  </w:tcBorders>
                  <w:noWrap w:val="0"/>
                  <w:vAlign w:val="center"/>
                </w:tcPr>
                <w:p w14:paraId="0EF9A21A">
                  <w:pPr>
                    <w:pStyle w:val="159"/>
                    <w:keepNext w:val="0"/>
                    <w:keepLines w:val="0"/>
                    <w:pageBreakBefore w:val="0"/>
                    <w:widowControl w:val="0"/>
                    <w:kinsoku/>
                    <w:wordWrap/>
                    <w:overflowPunct/>
                    <w:topLinePunct w:val="0"/>
                    <w:autoSpaceDE/>
                    <w:autoSpaceDN/>
                    <w:bidi w:val="0"/>
                    <w:snapToGrid/>
                    <w:ind w:firstLine="0" w:firstLineChars="0"/>
                    <w:textAlignment w:val="auto"/>
                    <w:rPr>
                      <w:rFonts w:hint="default" w:ascii="Times New Roman" w:hAnsi="Times New Roman" w:eastAsia="宋体" w:cs="Times New Roman"/>
                      <w:b w:val="0"/>
                      <w:bCs/>
                      <w:color w:val="000000" w:themeColor="text1"/>
                      <w:kern w:val="0"/>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1"/>
                      <w:szCs w:val="21"/>
                      <w:highlight w:val="none"/>
                      <w:vertAlign w:val="baseline"/>
                      <w:lang w:val="en-US" w:eastAsia="zh-CN" w:bidi="ar-SA"/>
                      <w14:textFill>
                        <w14:solidFill>
                          <w14:schemeClr w14:val="tx1"/>
                        </w14:solidFill>
                      </w14:textFill>
                    </w:rPr>
                    <w:t>五、强化油品储运销监管，实现减污降耗增效</w:t>
                  </w:r>
                </w:p>
              </w:tc>
              <w:tc>
                <w:tcPr>
                  <w:tcW w:w="2288" w:type="pct"/>
                  <w:tcBorders>
                    <w:tl2br w:val="nil"/>
                    <w:tr2bl w:val="nil"/>
                  </w:tcBorders>
                  <w:noWrap w:val="0"/>
                  <w:vAlign w:val="center"/>
                </w:tcPr>
                <w:p w14:paraId="30C87D02">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加大汽油、石脑油、煤油以及原油等油品储运销全过程</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TVOC</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放控制，在保障安全的前提下，重点推进储油库、油罐车、加油站油气回收治理，加大油气排放监管力度，并要求企业建立日查、自检、年检和维保制度。储油库应采用底部装油方式，装油时产生的油气应进行密闭收集和回收处理，处理装置出入口应安装气体流量传感器。</w:t>
                  </w:r>
                </w:p>
              </w:tc>
              <w:tc>
                <w:tcPr>
                  <w:tcW w:w="949" w:type="pct"/>
                  <w:tcBorders>
                    <w:tl2br w:val="nil"/>
                    <w:tr2bl w:val="nil"/>
                  </w:tcBorders>
                  <w:noWrap w:val="0"/>
                  <w:vAlign w:val="center"/>
                </w:tcPr>
                <w:p w14:paraId="1131DB9D">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本项目不涉及汽油、石脑油、煤油以及原油。</w:t>
                  </w:r>
                </w:p>
              </w:tc>
              <w:tc>
                <w:tcPr>
                  <w:tcW w:w="402" w:type="pct"/>
                  <w:tcBorders>
                    <w:tl2br w:val="nil"/>
                    <w:tr2bl w:val="nil"/>
                  </w:tcBorders>
                  <w:noWrap w:val="0"/>
                  <w:vAlign w:val="center"/>
                </w:tcPr>
                <w:p w14:paraId="26A9562C">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bl>
          <w:p w14:paraId="2AB50765">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十、</w:t>
            </w:r>
            <w:r>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t>与</w:t>
            </w:r>
            <w:r>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t>《江西省深入打好污染防治攻坚战能源结构调整专项行动实施方案》等二十一个专项行动实施方案（赣环委办字〔2022〕22号）相符性分析</w:t>
            </w:r>
          </w:p>
          <w:p w14:paraId="4D5A6B11">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2</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赣环委办字〔2022〕22号相符性分析</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3541"/>
              <w:gridCol w:w="1823"/>
              <w:gridCol w:w="673"/>
            </w:tblGrid>
            <w:tr w14:paraId="5AA8CA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56" w:type="pct"/>
                  <w:tcBorders>
                    <w:tl2br w:val="nil"/>
                    <w:tr2bl w:val="nil"/>
                  </w:tcBorders>
                  <w:noWrap w:val="0"/>
                  <w:vAlign w:val="center"/>
                </w:tcPr>
                <w:p w14:paraId="20D0A17C">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类别</w:t>
                  </w:r>
                </w:p>
              </w:tc>
              <w:tc>
                <w:tcPr>
                  <w:tcW w:w="2488" w:type="pct"/>
                  <w:tcBorders>
                    <w:tl2br w:val="nil"/>
                    <w:tr2bl w:val="nil"/>
                  </w:tcBorders>
                  <w:noWrap w:val="0"/>
                  <w:vAlign w:val="center"/>
                </w:tcPr>
                <w:p w14:paraId="2CA19D0A">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要求</w:t>
                  </w:r>
                </w:p>
              </w:tc>
              <w:tc>
                <w:tcPr>
                  <w:tcW w:w="1281" w:type="pct"/>
                  <w:tcBorders>
                    <w:tl2br w:val="nil"/>
                    <w:tr2bl w:val="nil"/>
                  </w:tcBorders>
                  <w:noWrap w:val="0"/>
                  <w:vAlign w:val="center"/>
                </w:tcPr>
                <w:p w14:paraId="476C0343">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本项目</w:t>
                  </w:r>
                </w:p>
              </w:tc>
              <w:tc>
                <w:tcPr>
                  <w:tcW w:w="472" w:type="pct"/>
                  <w:tcBorders>
                    <w:tl2br w:val="nil"/>
                    <w:tr2bl w:val="nil"/>
                  </w:tcBorders>
                  <w:noWrap w:val="0"/>
                  <w:vAlign w:val="center"/>
                </w:tcPr>
                <w:p w14:paraId="13B171CE">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bCs w:val="0"/>
                      <w:color w:val="000000" w:themeColor="text1"/>
                      <w:sz w:val="21"/>
                      <w:szCs w:val="21"/>
                      <w:highlight w:val="none"/>
                      <w:vertAlign w:val="baseline"/>
                      <w:lang w:val="en-US" w:eastAsia="zh-CN"/>
                      <w14:textFill>
                        <w14:solidFill>
                          <w14:schemeClr w14:val="tx1"/>
                        </w14:solidFill>
                      </w14:textFill>
                    </w:rPr>
                    <w:t>相符性</w:t>
                  </w:r>
                </w:p>
              </w:tc>
            </w:tr>
            <w:tr w14:paraId="52FCD3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56" w:type="pct"/>
                  <w:tcBorders>
                    <w:tl2br w:val="nil"/>
                    <w:tr2bl w:val="nil"/>
                  </w:tcBorders>
                  <w:noWrap w:val="0"/>
                  <w:vAlign w:val="center"/>
                </w:tcPr>
                <w:p w14:paraId="5F2051DC">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大力推进VOCs原辅材料源头替代</w:t>
                  </w:r>
                </w:p>
              </w:tc>
              <w:tc>
                <w:tcPr>
                  <w:tcW w:w="2488" w:type="pct"/>
                  <w:tcBorders>
                    <w:tl2br w:val="nil"/>
                    <w:tr2bl w:val="nil"/>
                  </w:tcBorders>
                  <w:noWrap w:val="0"/>
                  <w:vAlign w:val="center"/>
                </w:tcPr>
                <w:p w14:paraId="13D33C92">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严格落实国家和地方产品VOCs含量限制标准，对溶剂型涂料、油墨、胶粘剂、清洗剂使用企业制定低VOCs含量原辅材料替代计划。到2025年，溶剂型工业涂料、油墨、胶粘剂等使用量下降比例达到国家要求。推动建立多部门联合执法机制，组织开展含VOCs原辅材料达标情况联合检查，定期对生产企业、销售场所进行检查抽查，曝光不合格产品并追溯其生产、销售、进口、使用企业，依法追究责任。</w:t>
                  </w:r>
                </w:p>
              </w:tc>
              <w:tc>
                <w:tcPr>
                  <w:tcW w:w="1281" w:type="pct"/>
                  <w:tcBorders>
                    <w:tl2br w:val="nil"/>
                    <w:tr2bl w:val="nil"/>
                  </w:tcBorders>
                  <w:noWrap w:val="0"/>
                  <w:vAlign w:val="center"/>
                </w:tcPr>
                <w:p w14:paraId="3981DDFB">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p>
              </w:tc>
              <w:tc>
                <w:tcPr>
                  <w:tcW w:w="472" w:type="pct"/>
                  <w:tcBorders>
                    <w:tl2br w:val="nil"/>
                    <w:tr2bl w:val="nil"/>
                  </w:tcBorders>
                  <w:noWrap w:val="0"/>
                  <w:vAlign w:val="center"/>
                </w:tcPr>
                <w:p w14:paraId="617DF91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2226AB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56" w:type="pct"/>
                  <w:tcBorders>
                    <w:tl2br w:val="nil"/>
                    <w:tr2bl w:val="nil"/>
                  </w:tcBorders>
                  <w:noWrap w:val="0"/>
                  <w:vAlign w:val="center"/>
                </w:tcPr>
                <w:p w14:paraId="59366139">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全面加强VOCs无组织排放控制</w:t>
                  </w:r>
                </w:p>
              </w:tc>
              <w:tc>
                <w:tcPr>
                  <w:tcW w:w="2488" w:type="pct"/>
                  <w:tcBorders>
                    <w:tl2br w:val="nil"/>
                    <w:tr2bl w:val="nil"/>
                  </w:tcBorders>
                  <w:noWrap w:val="0"/>
                  <w:vAlign w:val="center"/>
                </w:tcPr>
                <w:p w14:paraId="148DBEAE">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加强含VOCs物料全方位、全链条、全环节密闭管理，做好VOCs物料储存、转移和输送、设备与管线组件泄漏、敞开液面逸散以及工艺过程等无组织排放环节的管理。生产应优先采用密闭设备、在密闭空间中操作或采用全密闭集气罩收集方式，原则上应保持微负压状态，并根据相关规范合理设置通风量；采用局部集气罩的，距集气罩开口面最远处的VOCs无组织排放位置控制风速应不低于0.3米/秒。对VOCs物料储罐和污水集输、储存、处理设施开展排查，督促企业按要求开展专项治理。</w:t>
                  </w:r>
                </w:p>
              </w:tc>
              <w:tc>
                <w:tcPr>
                  <w:tcW w:w="1281" w:type="pct"/>
                  <w:tcBorders>
                    <w:tl2br w:val="nil"/>
                    <w:tr2bl w:val="nil"/>
                  </w:tcBorders>
                  <w:noWrap w:val="0"/>
                  <w:vAlign w:val="center"/>
                </w:tcPr>
                <w:p w14:paraId="350146E7">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喷漆房</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w:t>
                  </w:r>
                </w:p>
              </w:tc>
              <w:tc>
                <w:tcPr>
                  <w:tcW w:w="472" w:type="pct"/>
                  <w:tcBorders>
                    <w:tl2br w:val="nil"/>
                    <w:tr2bl w:val="nil"/>
                  </w:tcBorders>
                  <w:noWrap w:val="0"/>
                  <w:vAlign w:val="center"/>
                </w:tcPr>
                <w:p w14:paraId="754CE385">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77C74C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56" w:type="pct"/>
                  <w:tcBorders>
                    <w:tl2br w:val="nil"/>
                    <w:tr2bl w:val="nil"/>
                  </w:tcBorders>
                  <w:noWrap w:val="0"/>
                  <w:vAlign w:val="center"/>
                </w:tcPr>
                <w:p w14:paraId="600AF92C">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持续提升治污设施“三率”</w:t>
                  </w:r>
                </w:p>
              </w:tc>
              <w:tc>
                <w:tcPr>
                  <w:tcW w:w="2488" w:type="pct"/>
                  <w:tcBorders>
                    <w:tl2br w:val="nil"/>
                    <w:tr2bl w:val="nil"/>
                  </w:tcBorders>
                  <w:noWrap w:val="0"/>
                  <w:vAlign w:val="center"/>
                </w:tcPr>
                <w:p w14:paraId="6496BA76">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组织开展现有VOCs废气收集率、治理设施同步运行率和去除率自查，对达不到要求的VOCs收集、治理设施进行更换或升级改造，实现达标排放。对单一采用光氧化、光催化、低温等离子、一次活性炭吸附、喷淋吸收、生物法等工艺设施的，要重点加强效果评估。行业排放标准中规定特别排放限值和控制要求的，应按相关规定执行；未制定行业标准的应执行《大气污染物综合排放标准》和《挥发性有机物无组织排放控制标准》。</w:t>
                  </w:r>
                </w:p>
              </w:tc>
              <w:tc>
                <w:tcPr>
                  <w:tcW w:w="1281" w:type="pct"/>
                  <w:tcBorders>
                    <w:tl2br w:val="nil"/>
                    <w:tr2bl w:val="nil"/>
                  </w:tcBorders>
                  <w:noWrap w:val="0"/>
                  <w:vAlign w:val="center"/>
                </w:tcPr>
                <w:p w14:paraId="1B9A7425">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喷漆房</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排气筒排放”的组合方式进行处理，废气排放标准满足《铸造工业大气污染物排放标准》和《挥发性有机物无组织排放控制标准》。</w:t>
                  </w:r>
                </w:p>
              </w:tc>
              <w:tc>
                <w:tcPr>
                  <w:tcW w:w="472" w:type="pct"/>
                  <w:tcBorders>
                    <w:tl2br w:val="nil"/>
                    <w:tr2bl w:val="nil"/>
                  </w:tcBorders>
                  <w:noWrap w:val="0"/>
                  <w:vAlign w:val="center"/>
                </w:tcPr>
                <w:p w14:paraId="37580AA4">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r w14:paraId="16F36C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756" w:type="pct"/>
                  <w:tcBorders>
                    <w:tl2br w:val="nil"/>
                    <w:tr2bl w:val="nil"/>
                  </w:tcBorders>
                  <w:noWrap w:val="0"/>
                  <w:vAlign w:val="center"/>
                </w:tcPr>
                <w:p w14:paraId="6B5C12BD">
                  <w:pPr>
                    <w:pStyle w:val="159"/>
                    <w:keepNext w:val="0"/>
                    <w:keepLines w:val="0"/>
                    <w:pageBreakBefore w:val="0"/>
                    <w:widowControl w:val="0"/>
                    <w:kinsoku/>
                    <w:wordWrap/>
                    <w:overflowPunct/>
                    <w:topLinePunct w:val="0"/>
                    <w:autoSpaceDE/>
                    <w:autoSpaceDN/>
                    <w:bidi w:val="0"/>
                    <w:snapToGrid/>
                    <w:ind w:firstLine="0" w:firstLineChars="0"/>
                    <w:textAlignment w:val="auto"/>
                    <w:rPr>
                      <w:rFonts w:hint="default" w:ascii="Times New Roman" w:hAnsi="Times New Roman" w:eastAsia="宋体" w:cs="Times New Roman"/>
                      <w:b w:val="0"/>
                      <w:bCs/>
                      <w:color w:val="000000" w:themeColor="text1"/>
                      <w:kern w:val="0"/>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kern w:val="0"/>
                      <w:sz w:val="21"/>
                      <w:szCs w:val="21"/>
                      <w:highlight w:val="none"/>
                      <w:vertAlign w:val="baseline"/>
                      <w:lang w:val="en-US" w:eastAsia="zh-CN" w:bidi="ar-SA"/>
                      <w14:textFill>
                        <w14:solidFill>
                          <w14:schemeClr w14:val="tx1"/>
                        </w14:solidFill>
                      </w14:textFill>
                    </w:rPr>
                    <w:t>持续推进重点行业、重点企业及重点园区开展整治</w:t>
                  </w:r>
                </w:p>
              </w:tc>
              <w:tc>
                <w:tcPr>
                  <w:tcW w:w="2488" w:type="pct"/>
                  <w:tcBorders>
                    <w:tl2br w:val="nil"/>
                    <w:tr2bl w:val="nil"/>
                  </w:tcBorders>
                  <w:noWrap w:val="0"/>
                  <w:vAlign w:val="center"/>
                </w:tcPr>
                <w:p w14:paraId="4FEACA6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严格石化、化工、工业涂装、包装印刷等重点行业挥发性有机物全过程管控。督促重点企业按《VOCs综合治理“一企一策”约束性大纲》的要求编制一企一策方案，明确企业VOCs综合治理任务时间节点和工作目标，建立管理台账并实施针对性治理。以提高园区VOCs管理水平及企业VOCs治理能力为目标，跟踪督促重点园区编制“一园一策”方案并加快实施，推进园区VOCs治理工作入深向实。组织专家对各地市重点企业“一企一策”和重。</w:t>
                  </w:r>
                </w:p>
              </w:tc>
              <w:tc>
                <w:tcPr>
                  <w:tcW w:w="1281" w:type="pct"/>
                  <w:tcBorders>
                    <w:tl2br w:val="nil"/>
                    <w:tr2bl w:val="nil"/>
                  </w:tcBorders>
                  <w:noWrap w:val="0"/>
                  <w:vAlign w:val="center"/>
                </w:tcPr>
                <w:p w14:paraId="5C6B2EF9">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both"/>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项目使用水性涂料，属于低挥发性有机涂料，不属于重点行业企业</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p>
              </w:tc>
              <w:tc>
                <w:tcPr>
                  <w:tcW w:w="472" w:type="pct"/>
                  <w:tcBorders>
                    <w:tl2br w:val="nil"/>
                    <w:tr2bl w:val="nil"/>
                  </w:tcBorders>
                  <w:noWrap w:val="0"/>
                  <w:vAlign w:val="center"/>
                </w:tcPr>
                <w:p w14:paraId="55842C2F">
                  <w:pPr>
                    <w:pStyle w:val="130"/>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符合</w:t>
                  </w:r>
                </w:p>
              </w:tc>
            </w:tr>
          </w:tbl>
          <w:p w14:paraId="348F6C20">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十一、</w:t>
            </w:r>
            <w:r>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t>与《关于印发〈重点行业挥发性有机物综合治理方案〉的通知》（环大气〔2019〕53号）相符性分析</w:t>
            </w:r>
          </w:p>
          <w:p w14:paraId="7B5E11E6">
            <w:pPr>
              <w:widowControl/>
              <w:spacing w:line="360" w:lineRule="auto"/>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3</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环大气〔2019〕53号相符性分析</w:t>
            </w:r>
          </w:p>
          <w:tbl>
            <w:tblPr>
              <w:tblStyle w:val="16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4634"/>
              <w:gridCol w:w="1311"/>
              <w:gridCol w:w="535"/>
            </w:tblGrid>
            <w:tr w14:paraId="71428F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2" w:type="pct"/>
                  <w:tcBorders>
                    <w:tl2br w:val="nil"/>
                    <w:tr2bl w:val="nil"/>
                  </w:tcBorders>
                  <w:noWrap w:val="0"/>
                  <w:vAlign w:val="center"/>
                </w:tcPr>
                <w:p w14:paraId="6C26F711">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项目</w:t>
                  </w:r>
                </w:p>
              </w:tc>
              <w:tc>
                <w:tcPr>
                  <w:tcW w:w="3283" w:type="pct"/>
                  <w:tcBorders>
                    <w:tl2br w:val="nil"/>
                    <w:tr2bl w:val="nil"/>
                  </w:tcBorders>
                  <w:noWrap w:val="0"/>
                  <w:vAlign w:val="center"/>
                </w:tcPr>
                <w:p w14:paraId="451D4758">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具体要求</w:t>
                  </w:r>
                </w:p>
              </w:tc>
              <w:tc>
                <w:tcPr>
                  <w:tcW w:w="949" w:type="pct"/>
                  <w:tcBorders>
                    <w:tl2br w:val="nil"/>
                    <w:tr2bl w:val="nil"/>
                  </w:tcBorders>
                  <w:noWrap w:val="0"/>
                  <w:vAlign w:val="center"/>
                </w:tcPr>
                <w:p w14:paraId="4487EC0C">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本项目情况</w:t>
                  </w:r>
                </w:p>
              </w:tc>
              <w:tc>
                <w:tcPr>
                  <w:tcW w:w="404" w:type="pct"/>
                  <w:tcBorders>
                    <w:tl2br w:val="nil"/>
                    <w:tr2bl w:val="nil"/>
                  </w:tcBorders>
                  <w:noWrap w:val="0"/>
                  <w:vAlign w:val="center"/>
                </w:tcPr>
                <w:p w14:paraId="577296FE">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符合性</w:t>
                  </w:r>
                </w:p>
              </w:tc>
            </w:tr>
            <w:tr w14:paraId="5A41DF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2" w:type="pct"/>
                  <w:vMerge w:val="restart"/>
                  <w:tcBorders>
                    <w:tl2br w:val="nil"/>
                    <w:tr2bl w:val="nil"/>
                  </w:tcBorders>
                  <w:noWrap w:val="0"/>
                  <w:vAlign w:val="center"/>
                </w:tcPr>
                <w:p w14:paraId="1A377C94">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三、控制思路</w:t>
                  </w:r>
                </w:p>
              </w:tc>
              <w:tc>
                <w:tcPr>
                  <w:tcW w:w="3283" w:type="pct"/>
                  <w:tcBorders>
                    <w:tl2br w:val="nil"/>
                    <w:tr2bl w:val="nil"/>
                  </w:tcBorders>
                  <w:noWrap w:val="0"/>
                  <w:vAlign w:val="center"/>
                </w:tcPr>
                <w:p w14:paraId="6406827D">
                  <w:pPr>
                    <w:pStyle w:val="161"/>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一）大力推进源头替代。通过使用水性、粉末、高固体分、无溶剂、辐射固化等低VOCs含量的涂料，水性、辐射固化、植物基等低VOCs含量的油墨，水基、热熔、无溶剂、辐射固化、改性、生物降解等低VOCs含量的胶粘剂，以及低VOCs含量、低反应活性的清洗剂等，替代溶剂型涂料、油墨、胶粘剂、清洗剂等，从源头减少VOCs产生。工业涂装、包装印刷等行业要加大源头替代力度；化工行业要推广使用低（无）VOCs含量、低反应活性的原辅材料，加快对芳香烃、含卤素有机化合物的绿色替代。企业应大力推广使用低VOCs含量木器涂料、车辆涂料、机械设备涂料、集装箱涂料以及建筑物和构筑物防护涂料等，在技术成熟的行业，推广使用低VOCs含量油墨和胶粘剂，重点区域到2020年年底前基本完成。鼓励加快低VOCs含量涂料、油墨、胶粘剂等研发和生产。加强政策引导。企业采用符合国家有关低VOCs含量产品规定的涂料、油墨、胶粘剂等，排放浓度稳定达标且排放速率、排放绩效等满足相关规定的，相应生产工序可不要求建设末端治理设施。使用的原辅材料VOCs含量（质量比）低于10%的工序，可不要求采取无组织排放收集措施。</w:t>
                  </w:r>
                </w:p>
              </w:tc>
              <w:tc>
                <w:tcPr>
                  <w:tcW w:w="949" w:type="pct"/>
                  <w:tcBorders>
                    <w:tl2br w:val="nil"/>
                    <w:tr2bl w:val="nil"/>
                  </w:tcBorders>
                  <w:noWrap w:val="0"/>
                  <w:vAlign w:val="center"/>
                </w:tcPr>
                <w:p w14:paraId="3DAA3FFC">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项目使用水性涂料，属于低挥发性有机涂料，不属于重点行业企业</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喷漆房</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排气筒排放”的组合方式进行处理，废气排放标准满足《铸造工业大气污染物排放标准》和《挥发性有机物无组织排放控制标准》。</w:t>
                  </w:r>
                </w:p>
              </w:tc>
              <w:tc>
                <w:tcPr>
                  <w:tcW w:w="404" w:type="pct"/>
                  <w:tcBorders>
                    <w:tl2br w:val="nil"/>
                    <w:tr2bl w:val="nil"/>
                  </w:tcBorders>
                  <w:noWrap w:val="0"/>
                  <w:vAlign w:val="center"/>
                </w:tcPr>
                <w:p w14:paraId="0B8A25E9">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33CEAD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2" w:type="pct"/>
                  <w:vMerge w:val="continue"/>
                  <w:tcBorders>
                    <w:tl2br w:val="nil"/>
                    <w:tr2bl w:val="nil"/>
                  </w:tcBorders>
                  <w:noWrap w:val="0"/>
                  <w:vAlign w:val="center"/>
                </w:tcPr>
                <w:p w14:paraId="7663501B">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283" w:type="pct"/>
                  <w:tcBorders>
                    <w:tl2br w:val="nil"/>
                    <w:tr2bl w:val="nil"/>
                  </w:tcBorders>
                  <w:noWrap w:val="0"/>
                  <w:vAlign w:val="center"/>
                </w:tcPr>
                <w:p w14:paraId="18C66ADD">
                  <w:pPr>
                    <w:pStyle w:val="161"/>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全面加强无组织排放控制。重点对含VOCs物料（包括含VOCs原辅材料、含VOCs产品、含VOCs废料以及有机聚合物材料等）储存、转移和输送、设备与管线组件泄漏、敞开液面逸散以及工艺过程等五类排放源实施管控，通过采取设备与场所密闭、工艺改进、废气有效收集等措施，削减VOCs无组织排放。</w:t>
                  </w:r>
                  <w:r>
                    <w:rPr>
                      <w:rFonts w:hint="default" w:ascii="Times New Roman" w:hAnsi="Times New Roman" w:eastAsia="宋体" w:cs="Times New Roman"/>
                      <w:color w:val="000000" w:themeColor="text1"/>
                      <w:sz w:val="21"/>
                      <w:szCs w:val="21"/>
                      <w:highlight w:val="none"/>
                      <w14:textFill>
                        <w14:solidFill>
                          <w14:schemeClr w14:val="tx1"/>
                        </w14:solidFill>
                      </w14:textFill>
                    </w:rPr>
                    <w:cr/>
                  </w:r>
                  <w:r>
                    <w:rPr>
                      <w:rFonts w:hint="default" w:ascii="Times New Roman" w:hAnsi="Times New Roman" w:eastAsia="宋体" w:cs="Times New Roman"/>
                      <w:color w:val="000000" w:themeColor="text1"/>
                      <w:sz w:val="21"/>
                      <w:szCs w:val="21"/>
                      <w:highlight w:val="none"/>
                      <w14:textFill>
                        <w14:solidFill>
                          <w14:schemeClr w14:val="tx1"/>
                        </w14:solidFill>
                      </w14:textFill>
                    </w:rPr>
                    <w:t>加强设备与场所密闭管理。含VOCs物料应储存于密闭容器、包装袋，高效密封储罐，封闭式储库、料仓等。含VOCs物料转移和输送，应采用密闭管道或密闭容器、罐车等。高VOCs含量废水（废水液面上方100毫米处VOCs检测浓度超过200ppm，其中，重点区域超过100ppm，以碳计）的集输、储存和处理过程，应加盖密闭。含VOCs物料生产和使用过程，应采取有效收集措施或在密闭空间中操作。推进使用先进生产工艺。通过采用全密闭、连续化、自动化等生产技术，以及高效工艺与设备等，减少工艺过程无组织排放。挥发性有机液体装载优先采用底部装载方式。石化、化工行业重点推进使用低（无）泄漏的泵、压缩机、过滤机、离心机、干燥设备等，推广采用油品在线调和技术、密闭式循环水冷却系统等。工业涂装行业重点推进使用紧凑式涂装工艺，推广采用辊涂、静电喷涂、高压无气喷涂、空气辅助无气喷涂、热喷涂等涂装技术，鼓励企业采用自动化、智能化喷涂设备替代人工喷涂，减少使用空气喷涂技术。包装印刷行业大力推广使用无溶剂复合、挤出复合、共挤出复合技术，鼓励采用水性凹印、醇水凹印、辐射固化凹印、柔版印刷、无水胶印等印刷工艺。提高废气收集率。遵循“应收尽收、分质收集”的原则，科学设计废气收集系统，将无组织排放转变为有组织排放进行控制。采用全密闭集气罩或密闭空间的，除行业有特殊要求外，应保持微负压状态，并根据相关规范合理设置通风量。采用局部集气罩的，距集气罩开口面最远处的VOCs无组织排放位置，控制风速应不低于0.3米/秒，有行业要求的按相关规定执行。加强设备与管线组件泄漏控制。企业中载有气态、液态VOCs物料的设备与管线组件，密封点数量大于等于2000个的，应按要求开展LDAR工作。石化企业按行业排放标准规定执行。</w:t>
                  </w:r>
                </w:p>
              </w:tc>
              <w:tc>
                <w:tcPr>
                  <w:tcW w:w="949" w:type="pct"/>
                  <w:tcBorders>
                    <w:tl2br w:val="nil"/>
                    <w:tr2bl w:val="nil"/>
                  </w:tcBorders>
                  <w:noWrap w:val="0"/>
                  <w:vAlign w:val="center"/>
                </w:tcPr>
                <w:p w14:paraId="75EBFD8B">
                  <w:pPr>
                    <w:pStyle w:val="161"/>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项目含VOCs物料储存于</w:t>
                  </w:r>
                  <w:r>
                    <w:rPr>
                      <w:rFonts w:hint="eastAsia" w:cs="Times New Roman"/>
                      <w:color w:val="000000" w:themeColor="text1"/>
                      <w:sz w:val="21"/>
                      <w:szCs w:val="21"/>
                      <w:highlight w:val="none"/>
                      <w:lang w:val="en-US" w:eastAsia="zh-CN"/>
                      <w14:textFill>
                        <w14:solidFill>
                          <w14:schemeClr w14:val="tx1"/>
                        </w14:solidFill>
                      </w14:textFill>
                    </w:rPr>
                    <w:t>溶剂桶内</w:t>
                  </w:r>
                  <w:r>
                    <w:rPr>
                      <w:rFonts w:hint="default" w:ascii="Times New Roman" w:hAnsi="Times New Roman" w:eastAsia="宋体" w:cs="Times New Roman"/>
                      <w:color w:val="000000" w:themeColor="text1"/>
                      <w:sz w:val="21"/>
                      <w:szCs w:val="21"/>
                      <w:highlight w:val="none"/>
                      <w14:textFill>
                        <w14:solidFill>
                          <w14:schemeClr w14:val="tx1"/>
                        </w14:solidFill>
                      </w14:textFill>
                    </w:rPr>
                    <w:t>；含VOCs物料转移输送过程均密闭，对含VOCs产品的使用过程中，采取废气收集措施，提高废气收集效率，减少废气的无组织排放与逸散，并对收集后的废气进行处理后达标排放</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p>
                <w:p w14:paraId="0DCD695C">
                  <w:pPr>
                    <w:pStyle w:val="161"/>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文件表述为推广</w:t>
                  </w:r>
                  <w:r>
                    <w:rPr>
                      <w:rFonts w:hint="default" w:ascii="Times New Roman" w:hAnsi="Times New Roman" w:eastAsia="宋体" w:cs="Times New Roman"/>
                      <w:color w:val="000000" w:themeColor="text1"/>
                      <w:sz w:val="21"/>
                      <w:szCs w:val="21"/>
                      <w:highlight w:val="none"/>
                      <w14:textFill>
                        <w14:solidFill>
                          <w14:schemeClr w14:val="tx1"/>
                        </w14:solidFill>
                      </w14:textFill>
                    </w:rPr>
                    <w:t>采用辊涂、静电喷涂、高压无气喷涂、空气辅助无气喷涂、热喷涂等涂装技术，鼓励企业采用自动化、智能化喷涂设备替代人工喷涂，减少使用空气喷涂技术</w:t>
                  </w:r>
                  <w:r>
                    <w:rPr>
                      <w:rFonts w:hint="eastAsia" w:cs="Times New Roman"/>
                      <w:color w:val="000000" w:themeColor="text1"/>
                      <w:sz w:val="21"/>
                      <w:szCs w:val="21"/>
                      <w:highlight w:val="none"/>
                      <w:lang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并未明确禁止、淘汰和限制使用手工喷涂，故，本项目使用手工喷涂可行。</w:t>
                  </w:r>
                </w:p>
              </w:tc>
              <w:tc>
                <w:tcPr>
                  <w:tcW w:w="404" w:type="pct"/>
                  <w:tcBorders>
                    <w:tl2br w:val="nil"/>
                    <w:tr2bl w:val="nil"/>
                  </w:tcBorders>
                  <w:noWrap w:val="0"/>
                  <w:vAlign w:val="center"/>
                </w:tcPr>
                <w:p w14:paraId="6DB4EFA4">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16E72E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2" w:type="pct"/>
                  <w:vMerge w:val="continue"/>
                  <w:tcBorders>
                    <w:tl2br w:val="nil"/>
                    <w:tr2bl w:val="nil"/>
                  </w:tcBorders>
                  <w:noWrap w:val="0"/>
                  <w:vAlign w:val="center"/>
                </w:tcPr>
                <w:p w14:paraId="2BD4B1BC">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283" w:type="pct"/>
                  <w:tcBorders>
                    <w:tl2br w:val="nil"/>
                    <w:tr2bl w:val="nil"/>
                  </w:tcBorders>
                  <w:noWrap w:val="0"/>
                  <w:vAlign w:val="center"/>
                </w:tcPr>
                <w:p w14:paraId="733FBB02">
                  <w:pPr>
                    <w:pStyle w:val="161"/>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三）推进建设适宜高效的治污设施。企业新建治污设施或对现有治污设施实施改造，应依据排放废气的浓度、组分、风量，温度、湿度、压力，以及生产工况等，合理选择治理技术。鼓励企业采用多种技术的组合工艺，提高VOCs治理效率。低浓度、大风量废气，宜采用沸石转轮吸附、活性炭吸附、减风增浓等浓缩技术，提高VOCs浓度后净化处理；高浓度废气，优先进行溶剂回收，难以回收的，宜采用高温焚烧、催化燃烧等技术。油气（溶剂）回收宜采用冷凝+吸附、吸附+吸收、膜分离+吸附等技术。低温等离子、光催化、光氧化技术主要适用于恶臭异味等治理；生物法主要适用于低浓度VOCs废气治理和恶臭异味治理。非水溶性的VOCs废气禁止采用水或水溶液喷淋吸收处理。采用一次性活性炭吸附技术的，应定期更换活性炭，废旧活性炭应再生或处理处置。有条件的工业园区和产业集群等，推广集中喷涂、溶剂集中回收、活性炭集中再生等，加强资源共享，提高VOCs治理效率。规范工程设计。采用吸附处理工艺的，应满足《吸附法工业有机废气治理工程技术规范》要求。采用催化燃烧工艺的，应满足《催化燃烧法工业有机废气治理工程技术规范》要求。采用蓄热燃烧等其他处理工艺的，应按相关技术规范要求设计。实行重点排放源排放浓度与去除效率双重控制。车间或生产设施收集排放的废气，VOCs初始排放速率大于等于3千克/小时、重点区域大于等于2千克/小时的，应加大控制力度，除确保排放浓度稳定达标外，还应实行去除效率控制，去除效率不低于80%；采用的原辅材料符合国家有关低VOCs含量产品规定的除外，有行业排放标准的按其相关规定执行。</w:t>
                  </w:r>
                </w:p>
              </w:tc>
              <w:tc>
                <w:tcPr>
                  <w:tcW w:w="949" w:type="pct"/>
                  <w:tcBorders>
                    <w:tl2br w:val="nil"/>
                    <w:tr2bl w:val="nil"/>
                  </w:tcBorders>
                  <w:noWrap w:val="0"/>
                  <w:vAlign w:val="center"/>
                </w:tcPr>
                <w:p w14:paraId="0CB1FFE1">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VOCs初始排放速率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小于</w:t>
                  </w:r>
                  <w:r>
                    <w:rPr>
                      <w:rFonts w:hint="default" w:ascii="Times New Roman" w:hAnsi="Times New Roman" w:eastAsia="宋体" w:cs="Times New Roman"/>
                      <w:color w:val="000000" w:themeColor="text1"/>
                      <w:sz w:val="21"/>
                      <w:szCs w:val="21"/>
                      <w:highlight w:val="none"/>
                      <w14:textFill>
                        <w14:solidFill>
                          <w14:schemeClr w14:val="tx1"/>
                        </w14:solidFill>
                      </w14:textFill>
                    </w:rPr>
                    <w:t>3千克/小时</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p>
              </w:tc>
              <w:tc>
                <w:tcPr>
                  <w:tcW w:w="404" w:type="pct"/>
                  <w:tcBorders>
                    <w:tl2br w:val="nil"/>
                    <w:tr2bl w:val="nil"/>
                  </w:tcBorders>
                  <w:noWrap w:val="0"/>
                  <w:vAlign w:val="center"/>
                </w:tcPr>
                <w:p w14:paraId="23A36C27">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3161B1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1" w:hRule="atLeast"/>
                <w:jc w:val="center"/>
              </w:trPr>
              <w:tc>
                <w:tcPr>
                  <w:tcW w:w="362" w:type="pct"/>
                  <w:vMerge w:val="continue"/>
                  <w:tcBorders>
                    <w:tl2br w:val="nil"/>
                    <w:tr2bl w:val="nil"/>
                  </w:tcBorders>
                  <w:noWrap w:val="0"/>
                  <w:vAlign w:val="center"/>
                </w:tcPr>
                <w:p w14:paraId="573FF543">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283" w:type="pct"/>
                  <w:tcBorders>
                    <w:tl2br w:val="nil"/>
                    <w:tr2bl w:val="nil"/>
                  </w:tcBorders>
                  <w:noWrap w:val="0"/>
                  <w:vAlign w:val="center"/>
                </w:tcPr>
                <w:p w14:paraId="3CE46FBA">
                  <w:pPr>
                    <w:pStyle w:val="161"/>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（四）深入实施精细化管控。各地应围绕当地环境空气质量改善需求，根据O</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、PM</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2.5</w:t>
                  </w:r>
                  <w:r>
                    <w:rPr>
                      <w:rFonts w:hint="default" w:ascii="Times New Roman" w:hAnsi="Times New Roman" w:eastAsia="宋体" w:cs="Times New Roman"/>
                      <w:color w:val="000000" w:themeColor="text1"/>
                      <w:sz w:val="21"/>
                      <w:szCs w:val="21"/>
                      <w:highlight w:val="none"/>
                      <w14:textFill>
                        <w14:solidFill>
                          <w14:schemeClr w14:val="tx1"/>
                        </w14:solidFill>
                      </w14:textFill>
                    </w:rPr>
                    <w:t>来源解析，结合行业污染排放特征和VOCs物质光化学反应活性等，确定本地区VOCs控制的重点行业和重点污染物，兼顾恶臭污染物和有毒有害物质控制等，提出有效管控方案，提高VOCs治理的精准性、针对性和有效性。推行“一厂一策”制度。各地应加强对企业帮扶指导，对本地污染物排放量较大的企业，组织专家提供专业化技术支持，严格把关，指导企业编制切实可行的污染治理方案，明确原辅材料替代、工艺改进、无组织排放管控、废气收集、治污设施建设等全过程减排要求，测算投资成本和减排效益，为企业有效开展VOCs综合治理提供技术服务。重点区域应组织本地VOCs排放量较大的企业开展“一厂一策”方案编制工作，2020年6月底前基本完成；适时开展治理效果后评估工作，各地出台的补贴政策要与减排效果紧密挂钩。鼓励地方对重点行业推行强制性清洁生产审核。加强企业运行管理。企业应系统梳理VOCs排放主要环节和工序，包括启停机、检维修作业等，制定具体操作规程，落实到具体责任人。健全内部考核制度。加强人员能力培训和技术交流。建立管理台账，记录企业生产和治污设施运行的关键参数，在线监控参数要确保能够实时调取，相关台账记录至少保存三年。</w:t>
                  </w:r>
                </w:p>
              </w:tc>
              <w:tc>
                <w:tcPr>
                  <w:tcW w:w="949" w:type="pct"/>
                  <w:tcBorders>
                    <w:tl2br w:val="nil"/>
                    <w:tr2bl w:val="nil"/>
                  </w:tcBorders>
                  <w:noWrap w:val="0"/>
                  <w:vAlign w:val="center"/>
                </w:tcPr>
                <w:p w14:paraId="76D428D6">
                  <w:pPr>
                    <w:pStyle w:val="161"/>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项目使用水性涂料，属于低挥发性有机涂料，不属于重点行业企业</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p>
              </w:tc>
              <w:tc>
                <w:tcPr>
                  <w:tcW w:w="404" w:type="pct"/>
                  <w:tcBorders>
                    <w:tl2br w:val="nil"/>
                    <w:tr2bl w:val="nil"/>
                  </w:tcBorders>
                  <w:noWrap w:val="0"/>
                  <w:vAlign w:val="center"/>
                </w:tcPr>
                <w:p w14:paraId="1661646A">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79CC38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362" w:type="pct"/>
                  <w:tcBorders>
                    <w:tl2br w:val="nil"/>
                    <w:tr2bl w:val="nil"/>
                  </w:tcBorders>
                  <w:noWrap w:val="0"/>
                  <w:vAlign w:val="center"/>
                </w:tcPr>
                <w:p w14:paraId="1B4064A4">
                  <w:pPr>
                    <w:pStyle w:val="161"/>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四、重点行业治理任务</w:t>
                  </w:r>
                </w:p>
              </w:tc>
              <w:tc>
                <w:tcPr>
                  <w:tcW w:w="3283" w:type="pct"/>
                  <w:tcBorders>
                    <w:tl2br w:val="nil"/>
                    <w:tr2bl w:val="nil"/>
                  </w:tcBorders>
                  <w:noWrap w:val="0"/>
                  <w:vAlign w:val="center"/>
                </w:tcPr>
                <w:p w14:paraId="186FAC62">
                  <w:pPr>
                    <w:pStyle w:val="161"/>
                    <w:keepNext w:val="0"/>
                    <w:keepLines w:val="0"/>
                    <w:pageBreakBefore w:val="0"/>
                    <w:widowControl w:val="0"/>
                    <w:kinsoku/>
                    <w:wordWrap/>
                    <w:overflowPunct/>
                    <w:topLinePunct w:val="0"/>
                    <w:autoSpaceDE/>
                    <w:autoSpaceDN/>
                    <w:bidi w:val="0"/>
                    <w:adjustRightInd w:val="0"/>
                    <w:snapToGrid w:val="0"/>
                    <w:ind w:firstLine="420" w:firstLineChars="20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化工行业VOCs综合治理。加强制药、农药、涂料、油墨、胶粘剂、橡胶和塑料制品等行业VOCs治理力度。重点提高涉VOCs排放主要工序密闭化水平，加强无组织排放收集，加大含VOCs物料储存和装卸治理力度。废水储存、曝气池及其之前废水处理设施应按要求加盖封闭，实施废气收集与处理。密封点大于等于2000个的，要开展LDAR工作。积极推广使用低VOCs含量或低反应活性的原辅材料，加快工艺改进和产品升级。制药、农药行业推广使用非卤代烃和非芳香烃类溶剂，鼓励生产水基化类农药制剂。橡胶制品行业推广使用新型偶联剂、粘合剂，使用石蜡油等替代普通芳烃油、煤焦油等助剂。优化生产工艺，农药行业推广水相法、生物酶法合成等技术；制药行业推广生物酶法合成技术；橡胶制品行业推广采用串联法混炼、常压连续脱硫工艺。加快生产设备密闭化改造。对进出料、物料输送、搅拌、固液分离、干燥、灌装等过程，采取密闭化措施，提升工艺装备水平。加快淘汰敞口式、明流式设施。重点区域含VOCs物料输送原则上采用重力流或泵送方式，逐步淘汰真空方式；有机液体进料鼓励采用底部、浸入管给料方式，淘汰喷溅式给料；固体物料投加逐步推进采用密闭式投料装置。严格控制储存和装卸过程VOCs排放。鼓励采用压力罐、浮顶罐等替代固定顶罐。真实蒸气压大于等于27.6kPa（重点区域大于等于5.2kPa）的有机液体，利用固定顶罐储存的，应按有关规定采用气相平衡系统或收集净化处理。</w:t>
                  </w:r>
                  <w:r>
                    <w:rPr>
                      <w:rFonts w:hint="default" w:ascii="Times New Roman" w:hAnsi="Times New Roman" w:eastAsia="宋体" w:cs="Times New Roman"/>
                      <w:color w:val="000000" w:themeColor="text1"/>
                      <w:sz w:val="21"/>
                      <w:szCs w:val="21"/>
                      <w:highlight w:val="none"/>
                      <w14:textFill>
                        <w14:solidFill>
                          <w14:schemeClr w14:val="tx1"/>
                        </w14:solidFill>
                      </w14:textFill>
                    </w:rPr>
                    <w:cr/>
                  </w:r>
                  <w:r>
                    <w:rPr>
                      <w:rFonts w:hint="default" w:ascii="Times New Roman" w:hAnsi="Times New Roman" w:eastAsia="宋体" w:cs="Times New Roman"/>
                      <w:color w:val="000000" w:themeColor="text1"/>
                      <w:sz w:val="21"/>
                      <w:szCs w:val="21"/>
                      <w:highlight w:val="none"/>
                      <w14:textFill>
                        <w14:solidFill>
                          <w14:schemeClr w14:val="tx1"/>
                        </w14:solidFill>
                      </w14:textFill>
                    </w:rPr>
                    <w:t>实施废气分类收集处理。优先选用冷凝、吸附再生等回收技术；难以回收的，宜选用燃烧、吸附浓缩+燃烧等高效治理技术。水溶性、酸碱VOCs废气宜选用多级化学吸收等处理技术。恶臭类废气还应进一步加强除臭处理。加强非正常工况废气排放控制。退料、吹扫、清洗等过程应加强含VOCs物料回收工作，产生的VOCs废气要加大收集处理力度。开车阶段产生的易挥发性不合格产品应收集至中间储罐等装置。重点区域化工企业应制定开停车、检维修等非正常工况VOCs治理操作规程。</w:t>
                  </w:r>
                </w:p>
              </w:tc>
              <w:tc>
                <w:tcPr>
                  <w:tcW w:w="949" w:type="pct"/>
                  <w:tcBorders>
                    <w:tl2br w:val="nil"/>
                    <w:tr2bl w:val="nil"/>
                  </w:tcBorders>
                  <w:noWrap w:val="0"/>
                  <w:vAlign w:val="center"/>
                </w:tcPr>
                <w:p w14:paraId="4A1BCEDC">
                  <w:pPr>
                    <w:pStyle w:val="161"/>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本项目不属于</w:t>
                  </w:r>
                  <w:r>
                    <w:rPr>
                      <w:rFonts w:hint="default" w:ascii="Times New Roman" w:hAnsi="Times New Roman" w:eastAsia="宋体" w:cs="Times New Roman"/>
                      <w:color w:val="000000" w:themeColor="text1"/>
                      <w:sz w:val="21"/>
                      <w:szCs w:val="21"/>
                      <w:highlight w:val="none"/>
                      <w14:textFill>
                        <w14:solidFill>
                          <w14:schemeClr w14:val="tx1"/>
                        </w14:solidFill>
                      </w14:textFill>
                    </w:rPr>
                    <w:t>化工行业</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404" w:type="pct"/>
                  <w:tcBorders>
                    <w:tl2br w:val="nil"/>
                    <w:tr2bl w:val="nil"/>
                  </w:tcBorders>
                  <w:noWrap w:val="0"/>
                  <w:vAlign w:val="center"/>
                </w:tcPr>
                <w:p w14:paraId="1B7A39E3">
                  <w:pPr>
                    <w:pStyle w:val="161"/>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bl>
          <w:p w14:paraId="4CD83341">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十二、</w:t>
            </w:r>
            <w:r>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t>与《江西省生态环境厅关于印发江西省重点行业挥发性有机物综合治理方案的通知》（赣环大气〔2019〕20号）相符性分析</w:t>
            </w:r>
          </w:p>
          <w:p w14:paraId="2DDD1447">
            <w:pPr>
              <w:widowControl/>
              <w:spacing w:line="360" w:lineRule="auto"/>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4</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赣环大气〔2019〕20号符合性分析</w:t>
            </w:r>
          </w:p>
          <w:tbl>
            <w:tblPr>
              <w:tblStyle w:val="162"/>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88"/>
              <w:gridCol w:w="3815"/>
              <w:gridCol w:w="2083"/>
              <w:gridCol w:w="426"/>
            </w:tblGrid>
            <w:tr w14:paraId="6E7CE3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8" w:type="pct"/>
                  <w:tcBorders>
                    <w:tl2br w:val="nil"/>
                    <w:tr2bl w:val="nil"/>
                  </w:tcBorders>
                  <w:noWrap w:val="0"/>
                  <w:vAlign w:val="center"/>
                </w:tcPr>
                <w:p w14:paraId="0904B8A0">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序号</w:t>
                  </w:r>
                </w:p>
              </w:tc>
              <w:tc>
                <w:tcPr>
                  <w:tcW w:w="3397" w:type="pct"/>
                  <w:tcBorders>
                    <w:tl2br w:val="nil"/>
                    <w:tr2bl w:val="nil"/>
                  </w:tcBorders>
                  <w:noWrap w:val="0"/>
                  <w:vAlign w:val="center"/>
                </w:tcPr>
                <w:p w14:paraId="40EBCEB8">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具体要求</w:t>
                  </w:r>
                </w:p>
              </w:tc>
              <w:tc>
                <w:tcPr>
                  <w:tcW w:w="755" w:type="pct"/>
                  <w:tcBorders>
                    <w:tl2br w:val="nil"/>
                    <w:tr2bl w:val="nil"/>
                  </w:tcBorders>
                  <w:noWrap w:val="0"/>
                  <w:vAlign w:val="center"/>
                </w:tcPr>
                <w:p w14:paraId="21BC1B88">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本项目情况</w:t>
                  </w:r>
                </w:p>
              </w:tc>
              <w:tc>
                <w:tcPr>
                  <w:tcW w:w="337" w:type="pct"/>
                  <w:tcBorders>
                    <w:tl2br w:val="nil"/>
                    <w:tr2bl w:val="nil"/>
                  </w:tcBorders>
                  <w:noWrap w:val="0"/>
                  <w:vAlign w:val="center"/>
                </w:tcPr>
                <w:p w14:paraId="713EB691">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符合性</w:t>
                  </w:r>
                </w:p>
              </w:tc>
            </w:tr>
            <w:tr w14:paraId="17A382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8" w:type="pct"/>
                  <w:tcBorders>
                    <w:tl2br w:val="nil"/>
                    <w:tr2bl w:val="nil"/>
                  </w:tcBorders>
                  <w:noWrap w:val="0"/>
                  <w:vAlign w:val="center"/>
                </w:tcPr>
                <w:p w14:paraId="0C37F2E3">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一、大力推进源头控制</w:t>
                  </w:r>
                </w:p>
              </w:tc>
              <w:tc>
                <w:tcPr>
                  <w:tcW w:w="3397" w:type="pct"/>
                  <w:tcBorders>
                    <w:tl2br w:val="nil"/>
                    <w:tr2bl w:val="nil"/>
                  </w:tcBorders>
                  <w:noWrap w:val="0"/>
                  <w:vAlign w:val="center"/>
                </w:tcPr>
                <w:p w14:paraId="0109AF0C">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有机化工行业要推广使用低（无）VOCs含量、低反应活性的原辅材料，加快对芳香烃、含卤素有机化合物的绿色替代；表面涂装行业应加快使用粉末、水性、高固体分、辐射固化等低VOCs含量的涂料替代溶剂型涂料，其中汽车制造底漆大力推广使用水性涂料，乘用车中涂、色漆大力推广使用高固体分或水性涂料，加快客车、货车等中涂、色漆改造；木质家具制造行业应大力推广使用水性、辐射固化、粉末等涂料和水性胶粘剂；金属家具制造业应大力推广使用粉末涂料。2019年底前，各企业应针对产品需求制定低VOCs原辅料替代方案并建立替代台账，省重点企业需将方案及台账报当地生态环境部门备案。到2020年底，表面涂装企业低VOCs原辅料替代应达到20%以上，有机化工企业低VOCs原辅料替代应达到10%以上，各地根据减排情况，进一步增加低VOCs原辅料替代减排的有机化工和表面涂装企业数量，扩大示范作用。各行业在满足VOCs排放标准前提下，企业采用符合国家有关低VOCs含量产品规定的涂料、油墨、胶粘剂等，排放浓度稳定达标且排放速率、处理效率等满足相关规定的，相应生产工序可不要求建设末端治理设施；企业使用的原辅材料VOCs含量（质量比）低于10%的工序，可不要求采取无组织排放收集措施。</w:t>
                  </w:r>
                </w:p>
              </w:tc>
              <w:tc>
                <w:tcPr>
                  <w:tcW w:w="755" w:type="pct"/>
                  <w:vMerge w:val="restart"/>
                  <w:tcBorders>
                    <w:tl2br w:val="nil"/>
                    <w:tr2bl w:val="nil"/>
                  </w:tcBorders>
                  <w:noWrap w:val="0"/>
                  <w:vAlign w:val="center"/>
                </w:tcPr>
                <w:p w14:paraId="1DD16066">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项目使用水性涂料，属于低挥发性有机涂料，不属于重点行业企业</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本项目</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喷漆房</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排气筒排放”的组合方式进行处理，废气排放标准满足《铸造工业大气污染物排放标准》和《挥发性有机物无组织排放控制标准》。</w:t>
                  </w:r>
                </w:p>
              </w:tc>
              <w:tc>
                <w:tcPr>
                  <w:tcW w:w="337" w:type="pct"/>
                  <w:tcBorders>
                    <w:tl2br w:val="nil"/>
                    <w:tr2bl w:val="nil"/>
                  </w:tcBorders>
                  <w:noWrap w:val="0"/>
                  <w:vAlign w:val="center"/>
                </w:tcPr>
                <w:p w14:paraId="61E09D65">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r w14:paraId="10EAB5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8" w:type="pct"/>
                  <w:tcBorders>
                    <w:tl2br w:val="nil"/>
                    <w:tr2bl w:val="nil"/>
                  </w:tcBorders>
                  <w:noWrap w:val="0"/>
                  <w:vAlign w:val="center"/>
                </w:tcPr>
                <w:p w14:paraId="04A5F803">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二、全面加强无组织排放控制</w:t>
                  </w:r>
                </w:p>
              </w:tc>
              <w:tc>
                <w:tcPr>
                  <w:tcW w:w="3397" w:type="pct"/>
                  <w:tcBorders>
                    <w:tl2br w:val="nil"/>
                    <w:tr2bl w:val="nil"/>
                  </w:tcBorders>
                  <w:noWrap w:val="0"/>
                  <w:vAlign w:val="center"/>
                </w:tcPr>
                <w:p w14:paraId="3C1A23DA">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重点对含VOCs物料（包括含VOCs原辅材料、含VOCs产品、含VOCs废料以及有机聚合物材料等）储存、转移和输送、设备与管线组件泄漏、敞开液面逸散以及工艺过程等五类排放源实施管控，通过采取设备与场所密闭、工艺改进、废气有效收集等措施，削减VOCs无组织排放。到2020年底前，涉及VOCs排放企业在保证安全、正常生产的前提下，收集设备覆盖率达100%，以物料衡算等方法计VOCs收集率不低于75%。</w:t>
                  </w:r>
                </w:p>
                <w:p w14:paraId="7FE912BB">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有机化工企业应对进出料、物料输送、搅拌、固液分离、干燥、灌装等过程，采取密闭化措施；推进使用低（无）泄漏的泵、压缩机、过滤机、离心机、干燥设备等，推广密闭式循环水冷却系统等；加快淘汰敞口式、明流式设施；严格控制储存和装卸过程VOCs排放，鼓励采用压力罐、浮顶罐等替代固定顶罐。高VOCs含量（废水液面上方100毫米处VOCs检测浓度超过200ppm，以碳计）以及有明显恶臭气味的废水集输、储存和处理过程，应加盖密闭或采用等效处理，确保废气达标排放。</w:t>
                  </w:r>
                </w:p>
                <w:p w14:paraId="5123F7A5">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表面涂装行业重点推进使用紧凑式涂装工艺，推广采用辊涂、静电喷涂、高压无气喷涂、空气辅助无气喷涂、热喷涂等涂装技术，鼓励企业采用自动化、智能化喷涂设备替代人工喷涂，减少使用空气喷涂技术。涂料、稀释剂、清洗剂等原辅料应密闭储存，调配、使用、回收等过程应采用密闭设备或在密闭空间内操作，采用密闭管道或密闭容器等输送。除大型工件外，禁止敞开式喷涂、晾（风）干作业。除工艺限制外，原则上实行集中调配。调配、喷涂和干燥等VOCs排放工序应配备有效的废气收集系统。</w:t>
                  </w:r>
                </w:p>
              </w:tc>
              <w:tc>
                <w:tcPr>
                  <w:tcW w:w="755" w:type="pct"/>
                  <w:vMerge w:val="continue"/>
                  <w:tcBorders>
                    <w:tl2br w:val="nil"/>
                    <w:tr2bl w:val="nil"/>
                  </w:tcBorders>
                  <w:noWrap w:val="0"/>
                  <w:vAlign w:val="center"/>
                </w:tcPr>
                <w:p w14:paraId="0552CA58">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p>
              </w:tc>
              <w:tc>
                <w:tcPr>
                  <w:tcW w:w="337" w:type="pct"/>
                  <w:tcBorders>
                    <w:tl2br w:val="nil"/>
                    <w:tr2bl w:val="nil"/>
                  </w:tcBorders>
                  <w:noWrap w:val="0"/>
                  <w:vAlign w:val="center"/>
                </w:tcPr>
                <w:p w14:paraId="66713F82">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r w14:paraId="0C90BB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8" w:type="pct"/>
                  <w:tcBorders>
                    <w:tl2br w:val="nil"/>
                    <w:tr2bl w:val="nil"/>
                  </w:tcBorders>
                  <w:noWrap w:val="0"/>
                  <w:vAlign w:val="center"/>
                </w:tcPr>
                <w:p w14:paraId="4AF959A6">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三、推进建设适宜高效的治污设施</w:t>
                  </w:r>
                </w:p>
              </w:tc>
              <w:tc>
                <w:tcPr>
                  <w:tcW w:w="3397" w:type="pct"/>
                  <w:tcBorders>
                    <w:tl2br w:val="nil"/>
                    <w:tr2bl w:val="nil"/>
                  </w:tcBorders>
                  <w:noWrap w:val="0"/>
                  <w:vAlign w:val="center"/>
                </w:tcPr>
                <w:p w14:paraId="3E0D6921">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推进建设适宜高效的治污设施。推进企业新建治污设施或现有治污设施改造，对生产过程中通过排气筒所排放的有组织VOCs废气，应根据生产废气的产生量、污染物的组分和性质、温度、压力等因素进行综合分析后选择适宜的工艺路线进行治理。在不影响企业正常生产的前提下，要求治理设备必须同时设置前置采样口和后置采样口，企业不得以未设置采样口为由逃避监测。</w:t>
                  </w:r>
                </w:p>
                <w:p w14:paraId="77D41D59">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有机化工行业优先选用冷凝、冷凝+吸附/脱附再生、吸附再生等回收技术；难以回收的，宜选用燃烧、吸附浓缩+燃烧等高效治理技术；水溶性、酸碱VOCs废气宜采用多级化学吸收等处理技术；表面涂装行业应对喷涂废气设置高效漆雾处理装置，喷涂、晾（风）干废气宜采用吸附浓缩+燃烧处理技术，小风量的可采用一次性活性炭吸附等工艺；调配、流平等废气可与喷涂、晾（风）干废气一并处理；使用溶剂型涂料的生产线，烘干废气宜采用燃烧方式单独处理，具备条件的可采用回收式热力燃烧装置。采用吸附处理工艺的，应满足《吸附法工业有机废气治理工程技术规范》（HJ2026）要求；采用催化燃烧工艺应满足《催化燃烧法工业有机废气治理工程技术规范》（HJ2027）要求；采用蓄热燃烧工艺应满足《工业有机废气蓄热热力燃烧装置》（报批稿）和《工业有机废气蓄热催化燃烧装置》（报批稿）等装置设计、运行要求。采用一次性活性炭吸附技术的，要定期更换活性炭，废旧活性炭应再生或处理处置。</w:t>
                  </w:r>
                </w:p>
                <w:p w14:paraId="50736599">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各地要对辖区内重点行业、重点企业、重点园区实行排放浓度与去除效率双重控制。车间或生产设施收集排放的废气VOCs初始排放速率大于等于3千克/小时的，应加大控制力度，除确保排放浓度稳定达标外，还应实行去除效率控制，去除效率不低于80%；采用的原辅材料符合国家有关低VOCs含量产品规定的除外，有行业排放标准的按其相关规定执行。</w:t>
                  </w:r>
                </w:p>
              </w:tc>
              <w:tc>
                <w:tcPr>
                  <w:tcW w:w="755" w:type="pct"/>
                  <w:tcBorders>
                    <w:tl2br w:val="nil"/>
                    <w:tr2bl w:val="nil"/>
                  </w:tcBorders>
                  <w:noWrap w:val="0"/>
                  <w:vAlign w:val="center"/>
                </w:tcPr>
                <w:p w14:paraId="18DB568C">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VOCs初始排放速率</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小于</w:t>
                  </w:r>
                  <w:r>
                    <w:rPr>
                      <w:rFonts w:hint="default" w:ascii="Times New Roman" w:hAnsi="Times New Roman" w:eastAsia="宋体" w:cs="Times New Roman"/>
                      <w:color w:val="000000" w:themeColor="text1"/>
                      <w:sz w:val="21"/>
                      <w:szCs w:val="21"/>
                      <w:highlight w:val="none"/>
                      <w14:textFill>
                        <w14:solidFill>
                          <w14:schemeClr w14:val="tx1"/>
                        </w14:solidFill>
                      </w14:textFill>
                    </w:rPr>
                    <w:t>3千克/小时</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有机废气采取“</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排气筒排放”的组合方式进行处理，废气排放标准满足《铸造工业大气污染物排放标准》（GB39726—2020）和《挥发性有机物无组织排放控制标准》。</w:t>
                  </w:r>
                </w:p>
              </w:tc>
              <w:tc>
                <w:tcPr>
                  <w:tcW w:w="337" w:type="pct"/>
                  <w:tcBorders>
                    <w:tl2br w:val="nil"/>
                    <w:tr2bl w:val="nil"/>
                  </w:tcBorders>
                  <w:noWrap w:val="0"/>
                  <w:vAlign w:val="center"/>
                </w:tcPr>
                <w:p w14:paraId="027DBEAA">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r w14:paraId="424DBE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1" w:hRule="atLeast"/>
                <w:jc w:val="center"/>
              </w:trPr>
              <w:tc>
                <w:tcPr>
                  <w:tcW w:w="508" w:type="pct"/>
                  <w:tcBorders>
                    <w:tl2br w:val="nil"/>
                    <w:tr2bl w:val="nil"/>
                  </w:tcBorders>
                  <w:noWrap w:val="0"/>
                  <w:vAlign w:val="center"/>
                </w:tcPr>
                <w:p w14:paraId="676309CD">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四、实施企业精细化管控</w:t>
                  </w:r>
                </w:p>
              </w:tc>
              <w:tc>
                <w:tcPr>
                  <w:tcW w:w="3397" w:type="pct"/>
                  <w:tcBorders>
                    <w:tl2br w:val="nil"/>
                    <w:tr2bl w:val="nil"/>
                  </w:tcBorders>
                  <w:noWrap w:val="0"/>
                  <w:vAlign w:val="center"/>
                </w:tcPr>
                <w:p w14:paraId="7833CCAA">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督促企业将VOCs的削减与监控纳入日常生产管理体系。建立基础数据与过程管理的动态档案、制定“泄漏检测与修复（LDAR）”、监测和治理等方面的管理制度，制定突发性VOCs泄漏防范和处置措施，纳入企业应急预案体系；对正常工况、非正常工况分别建立监测体系，制定非正常排放（停工检修等）报告与备案的环保管理规程。</w:t>
                  </w:r>
                </w:p>
                <w:p w14:paraId="4381E9E8">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有机化工行业应加强非正常工况废气排放控制。退料、吹扫、清洗等过程应加强含VOCs物料回收工作，产生的VOCs废气要加大收集处理力度。开车阶段产生的易挥发性不合格产品应收集至中间储罐等装置。废水储存、曝气池及其之前废水处理设施应按要求加盖密闭，实施废气收集与处理。企业中载有气态、液态VOCs物料的设备与管线组件，其中动静密封点超过2000个的化工企业（见附表5）需执行LDAR管理工作。</w:t>
                  </w:r>
                </w:p>
              </w:tc>
              <w:tc>
                <w:tcPr>
                  <w:tcW w:w="755" w:type="pct"/>
                  <w:tcBorders>
                    <w:tl2br w:val="nil"/>
                    <w:tr2bl w:val="nil"/>
                  </w:tcBorders>
                  <w:noWrap w:val="0"/>
                  <w:vAlign w:val="center"/>
                </w:tcPr>
                <w:p w14:paraId="48413237">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项目运营后按相关要求进行</w:t>
                  </w:r>
                  <w:r>
                    <w:rPr>
                      <w:rFonts w:hint="eastAsia" w:ascii="Times New Roman" w:hAnsi="Times New Roman" w:cs="Times New Roman"/>
                      <w:color w:val="000000" w:themeColor="text1"/>
                      <w:highlight w:val="none"/>
                      <w:lang w:eastAsia="zh-CN"/>
                      <w14:textFill>
                        <w14:solidFill>
                          <w14:schemeClr w14:val="tx1"/>
                        </w14:solidFill>
                      </w14:textFill>
                    </w:rPr>
                    <w:t>。</w:t>
                  </w:r>
                </w:p>
              </w:tc>
              <w:tc>
                <w:tcPr>
                  <w:tcW w:w="337" w:type="pct"/>
                  <w:tcBorders>
                    <w:tl2br w:val="nil"/>
                    <w:tr2bl w:val="nil"/>
                  </w:tcBorders>
                  <w:noWrap w:val="0"/>
                  <w:vAlign w:val="center"/>
                </w:tcPr>
                <w:p w14:paraId="20963778">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r w14:paraId="68E997E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1" w:hRule="atLeast"/>
                <w:jc w:val="center"/>
              </w:trPr>
              <w:tc>
                <w:tcPr>
                  <w:tcW w:w="508" w:type="pct"/>
                  <w:tcBorders>
                    <w:tl2br w:val="nil"/>
                    <w:tr2bl w:val="nil"/>
                  </w:tcBorders>
                  <w:noWrap w:val="0"/>
                  <w:vAlign w:val="center"/>
                </w:tcPr>
                <w:p w14:paraId="5FDFC4AB">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开展工业园区</w:t>
                  </w:r>
                  <w:r>
                    <w:rPr>
                      <w:rFonts w:hint="eastAsia" w:cs="Times New Roman"/>
                      <w:color w:val="000000" w:themeColor="text1"/>
                      <w:highlight w:val="none"/>
                      <w:lang w:eastAsia="zh-CN"/>
                      <w14:textFill>
                        <w14:solidFill>
                          <w14:schemeClr w14:val="tx1"/>
                        </w14:solidFill>
                      </w14:textFill>
                    </w:rPr>
                    <w:t>TVOC</w:t>
                  </w:r>
                  <w:r>
                    <w:rPr>
                      <w:rFonts w:hint="default" w:ascii="Times New Roman" w:hAnsi="Times New Roman" w:cs="Times New Roman"/>
                      <w:color w:val="000000" w:themeColor="text1"/>
                      <w:highlight w:val="none"/>
                      <w14:textFill>
                        <w14:solidFill>
                          <w14:schemeClr w14:val="tx1"/>
                        </w14:solidFill>
                      </w14:textFill>
                    </w:rPr>
                    <w:t>综合治理</w:t>
                  </w:r>
                </w:p>
              </w:tc>
              <w:tc>
                <w:tcPr>
                  <w:tcW w:w="3397" w:type="pct"/>
                  <w:tcBorders>
                    <w:tl2br w:val="nil"/>
                    <w:tr2bl w:val="nil"/>
                  </w:tcBorders>
                  <w:noWrap w:val="0"/>
                  <w:vAlign w:val="center"/>
                </w:tcPr>
                <w:p w14:paraId="100DE055">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加大涉及VOCs工业园区和产业集群综合整治力度，有条件的工业园区和产业集群，鼓励建立集中喷涂、溶剂集中回收、活性炭集中再生等集中处置设施，加强资源共享，提高VOCs治理效率。</w:t>
                  </w:r>
                </w:p>
                <w:p w14:paraId="20F5B5A3">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强化工业园区和产业集群统一管理。鼓励园区或产业集群制定综合整治方案，引导工业园区和产业集群整体升级。重点园区应建立健全档案管理制度，明确企业VOCs源谱，识别特征污染物，园区档案应载明企业废气收集与治理设施建设情况、重污染天气应急预案、企业违法处罚等环保信息。鼓励对园区和产业集群开展监测、排查、环保设施建设运营等一体化服务。</w:t>
                  </w:r>
                </w:p>
                <w:p w14:paraId="6EFD24A4">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提升工业园区和产业集群监测监控能力。加快推进重点工业园区环境空气质量及厂界内无组织VOCs监测工作，其中化工类园区应于2020年底前完成环境空气、厂界内无组织VOCs监测点建设，并建成监测预警监控平台。具备条件的园区应开展定期走航、网格化监测，加快实现园区VOCs污染物精细化溯源管控平台建设（包括环境空气、厂界内无组织VOCs监测点、定量溯源、扩散预测等）。相关市、县要重点督促辖区内重点工业园区加快监测预警监控平台建设</w:t>
                  </w:r>
                </w:p>
              </w:tc>
              <w:tc>
                <w:tcPr>
                  <w:tcW w:w="755" w:type="pct"/>
                  <w:tcBorders>
                    <w:tl2br w:val="nil"/>
                    <w:tr2bl w:val="nil"/>
                  </w:tcBorders>
                  <w:noWrap w:val="0"/>
                  <w:vAlign w:val="center"/>
                </w:tcPr>
                <w:p w14:paraId="3C1812EF">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企业定期开展VOCs废气处理设施进、出口监测和厂界无组织监控浓度监测，建立台账制度。</w:t>
                  </w:r>
                </w:p>
              </w:tc>
              <w:tc>
                <w:tcPr>
                  <w:tcW w:w="337" w:type="pct"/>
                  <w:tcBorders>
                    <w:tl2br w:val="nil"/>
                    <w:tr2bl w:val="nil"/>
                  </w:tcBorders>
                  <w:noWrap w:val="0"/>
                  <w:vAlign w:val="center"/>
                </w:tcPr>
                <w:p w14:paraId="1B9EACAB">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r w14:paraId="27DDFE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51" w:hRule="atLeast"/>
                <w:jc w:val="center"/>
              </w:trPr>
              <w:tc>
                <w:tcPr>
                  <w:tcW w:w="508" w:type="pct"/>
                  <w:tcBorders>
                    <w:tl2br w:val="nil"/>
                    <w:tr2bl w:val="nil"/>
                  </w:tcBorders>
                  <w:noWrap w:val="0"/>
                  <w:vAlign w:val="center"/>
                </w:tcPr>
                <w:p w14:paraId="4913A453">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加快建立示范标杆</w:t>
                  </w:r>
                </w:p>
              </w:tc>
              <w:tc>
                <w:tcPr>
                  <w:tcW w:w="3397" w:type="pct"/>
                  <w:tcBorders>
                    <w:tl2br w:val="nil"/>
                    <w:tr2bl w:val="nil"/>
                  </w:tcBorders>
                  <w:noWrap w:val="0"/>
                  <w:vAlign w:val="center"/>
                </w:tcPr>
                <w:p w14:paraId="714E20C9">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各地要根据不同规模、生产工艺、原辅料使用情况选择建设VOCs整治示范企业或工程。2020年底前，九江市、上饶市应在省重点企业内，按规模大小选取3-5个企业作为VOCs整治标杆，并建立1个化工行业VOCs整治示范园区。推进附表所列的44家省重点企业于2020年3月底前安装完成有组织废气排放VOCs在线监控系统，在省重点企业以外要依据生产规模、污染物排放及敏感性等因素选择部分企业纳入省重点排污单位。开展LDAR管理示范建设，推进动静密封点超过9000个的10家企业（见附表4）对照《挥发性有机物无组</w:t>
                  </w:r>
                </w:p>
                <w:p w14:paraId="1D7F4E5C">
                  <w:pPr>
                    <w:pStyle w:val="161"/>
                    <w:keepNext w:val="0"/>
                    <w:keepLines w:val="0"/>
                    <w:pageBreakBefore w:val="0"/>
                    <w:widowControl w:val="0"/>
                    <w:kinsoku/>
                    <w:wordWrap/>
                    <w:overflowPunct/>
                    <w:topLinePunct w:val="0"/>
                    <w:autoSpaceDE/>
                    <w:autoSpaceDN/>
                    <w:bidi w:val="0"/>
                    <w:adjustRightInd w:val="0"/>
                    <w:snapToGrid w:val="0"/>
                    <w:ind w:firstLine="0" w:firstLineChars="0"/>
                    <w:jc w:val="left"/>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织排放控制标准》（GB378822-2019）要求，于2020年6月底前完成第一轮LDAR工作，其余企业逐步参照示范企业完成LDAR管理工作。瑞昌市、永修县、乐平市、金溪县、铅山县、南康区、井冈山经开区、高安市、九江市经开区、安义县、贵溪市、湖口县、万年县、彭泽县、新干县、南昌县等重点园区所在地应于2020年6月底前制定“一园一策”的VOCs整治计划或方案上报省生态环境厅。</w:t>
                  </w:r>
                </w:p>
              </w:tc>
              <w:tc>
                <w:tcPr>
                  <w:tcW w:w="755" w:type="pct"/>
                  <w:tcBorders>
                    <w:tl2br w:val="nil"/>
                    <w:tr2bl w:val="nil"/>
                  </w:tcBorders>
                  <w:noWrap w:val="0"/>
                  <w:vAlign w:val="center"/>
                </w:tcPr>
                <w:p w14:paraId="019B3909">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不在示范企业之列</w:t>
                  </w:r>
                </w:p>
              </w:tc>
              <w:tc>
                <w:tcPr>
                  <w:tcW w:w="337" w:type="pct"/>
                  <w:tcBorders>
                    <w:tl2br w:val="nil"/>
                    <w:tr2bl w:val="nil"/>
                  </w:tcBorders>
                  <w:noWrap w:val="0"/>
                  <w:vAlign w:val="center"/>
                </w:tcPr>
                <w:p w14:paraId="488BEFAE">
                  <w:pPr>
                    <w:pStyle w:val="161"/>
                    <w:keepNext w:val="0"/>
                    <w:keepLines w:val="0"/>
                    <w:pageBreakBefore w:val="0"/>
                    <w:widowControl w:val="0"/>
                    <w:kinsoku/>
                    <w:wordWrap/>
                    <w:overflowPunct/>
                    <w:topLinePunct w:val="0"/>
                    <w:autoSpaceDE/>
                    <w:autoSpaceDN/>
                    <w:bidi w:val="0"/>
                    <w:adjustRightInd w:val="0"/>
                    <w:snapToGrid w:val="0"/>
                    <w:ind w:firstLine="0" w:firstLineChars="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符合</w:t>
                  </w:r>
                </w:p>
              </w:tc>
            </w:tr>
          </w:tbl>
          <w:p w14:paraId="4CC8F27E">
            <w:pPr>
              <w:pStyle w:val="163"/>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本项目符合《江西省重点行业挥发性有机物综合整治方案》要求。</w:t>
            </w:r>
          </w:p>
          <w:p w14:paraId="752C6A02">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十三、</w:t>
            </w:r>
            <w:r>
              <w:rPr>
                <w:rFonts w:hint="default" w:ascii="Times New Roman" w:hAnsi="Times New Roman" w:eastAsia="宋体" w:cs="Times New Roman"/>
                <w:b/>
                <w:bCs/>
                <w:snapToGrid w:val="0"/>
                <w:color w:val="000000" w:themeColor="text1"/>
                <w:kern w:val="0"/>
                <w:sz w:val="24"/>
                <w:szCs w:val="24"/>
                <w:highlight w:val="none"/>
                <w:lang w:eastAsia="zh-CN"/>
                <w14:textFill>
                  <w14:solidFill>
                    <w14:schemeClr w14:val="tx1"/>
                  </w14:solidFill>
                </w14:textFill>
              </w:rPr>
              <w:t>与《挥发性有机物无组织排放控制标准》（GB37822-2019）中控制措施的相符性分析</w:t>
            </w:r>
          </w:p>
          <w:p w14:paraId="25514422">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5</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与《挥发性有机物无组织排放控制标准》中控制措施的相符性分析</w:t>
            </w:r>
          </w:p>
          <w:tbl>
            <w:tblPr>
              <w:tblStyle w:val="164"/>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058"/>
              <w:gridCol w:w="2245"/>
              <w:gridCol w:w="813"/>
            </w:tblGrid>
            <w:tr w14:paraId="1500BCD6">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2850" w:type="pct"/>
                  <w:noWrap w:val="0"/>
                  <w:vAlign w:val="center"/>
                </w:tcPr>
                <w:p w14:paraId="2C8152B8">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控制措施</w:t>
                  </w:r>
                </w:p>
              </w:tc>
              <w:tc>
                <w:tcPr>
                  <w:tcW w:w="1577" w:type="pct"/>
                  <w:noWrap w:val="0"/>
                  <w:vAlign w:val="center"/>
                </w:tcPr>
                <w:p w14:paraId="74356B1B">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本项目情况</w:t>
                  </w:r>
                </w:p>
              </w:tc>
              <w:tc>
                <w:tcPr>
                  <w:tcW w:w="571" w:type="pct"/>
                  <w:noWrap w:val="0"/>
                  <w:vAlign w:val="center"/>
                </w:tcPr>
                <w:p w14:paraId="29FCE765">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相符性</w:t>
                  </w:r>
                </w:p>
              </w:tc>
            </w:tr>
            <w:tr w14:paraId="14F131ED">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48" w:hRule="atLeast"/>
                <w:jc w:val="center"/>
              </w:trPr>
              <w:tc>
                <w:tcPr>
                  <w:tcW w:w="2850" w:type="pct"/>
                  <w:noWrap w:val="0"/>
                  <w:vAlign w:val="center"/>
                </w:tcPr>
                <w:p w14:paraId="4E63292D">
                  <w:pPr>
                    <w:pStyle w:val="159"/>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VOCs废气收集处理系统污染物排放应符合GB16297或行业排放标准的规定</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p>
              </w:tc>
              <w:tc>
                <w:tcPr>
                  <w:tcW w:w="1577" w:type="pct"/>
                  <w:noWrap w:val="0"/>
                  <w:vAlign w:val="center"/>
                </w:tcPr>
                <w:p w14:paraId="30D5765E">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本项目污染物排放符合GB16297</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p>
              </w:tc>
              <w:tc>
                <w:tcPr>
                  <w:tcW w:w="571" w:type="pct"/>
                  <w:noWrap w:val="0"/>
                  <w:vAlign w:val="center"/>
                </w:tcPr>
                <w:p w14:paraId="11A90FC2">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相符</w:t>
                  </w:r>
                </w:p>
              </w:tc>
            </w:tr>
            <w:tr w14:paraId="5B85FFD3">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06" w:hRule="atLeast"/>
                <w:jc w:val="center"/>
              </w:trPr>
              <w:tc>
                <w:tcPr>
                  <w:tcW w:w="2850" w:type="pct"/>
                  <w:noWrap w:val="0"/>
                  <w:vAlign w:val="center"/>
                </w:tcPr>
                <w:p w14:paraId="5D1C31AB">
                  <w:pPr>
                    <w:pStyle w:val="159"/>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收集的废气中NMHC初始排放速率≥3kg/h时，应配置VOCs处理设施，处理效率不应低于80%；对于重点地区，收集的废气中NMHC初始排放速率≥2kg/h时，应配置VOCs处理设施，处理效率不应低于80%；采用的原辅材料符合国家有关低VOCs含量产品规定的除外</w:t>
                  </w:r>
                </w:p>
              </w:tc>
              <w:tc>
                <w:tcPr>
                  <w:tcW w:w="1577" w:type="pct"/>
                  <w:noWrap w:val="0"/>
                  <w:vAlign w:val="center"/>
                </w:tcPr>
                <w:p w14:paraId="20BFD3E4">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本项目废气中VOCs初始排放速率小于3kg/h</w:t>
                  </w:r>
                </w:p>
              </w:tc>
              <w:tc>
                <w:tcPr>
                  <w:tcW w:w="571" w:type="pct"/>
                  <w:noWrap w:val="0"/>
                  <w:vAlign w:val="center"/>
                </w:tcPr>
                <w:p w14:paraId="2B236E96">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相符</w:t>
                  </w:r>
                </w:p>
              </w:tc>
            </w:tr>
            <w:tr w14:paraId="1CED2F14">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13" w:hRule="atLeast"/>
                <w:jc w:val="center"/>
              </w:trPr>
              <w:tc>
                <w:tcPr>
                  <w:tcW w:w="2850" w:type="pct"/>
                  <w:noWrap w:val="0"/>
                  <w:vAlign w:val="center"/>
                </w:tcPr>
                <w:p w14:paraId="448717D0">
                  <w:pPr>
                    <w:pStyle w:val="159"/>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吸附、吸收、冷凝、生物、膜分离等其他VOCs处理设施，以实测质量浓度作为达标判定依据，不得稀释排放</w:t>
                  </w:r>
                </w:p>
              </w:tc>
              <w:tc>
                <w:tcPr>
                  <w:tcW w:w="1577" w:type="pct"/>
                  <w:noWrap w:val="0"/>
                  <w:vAlign w:val="center"/>
                </w:tcPr>
                <w:p w14:paraId="1288E66E">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本项目将按要求执行</w:t>
                  </w:r>
                </w:p>
              </w:tc>
              <w:tc>
                <w:tcPr>
                  <w:tcW w:w="571" w:type="pct"/>
                  <w:noWrap w:val="0"/>
                  <w:vAlign w:val="center"/>
                </w:tcPr>
                <w:p w14:paraId="6AE99CC0">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相符</w:t>
                  </w:r>
                </w:p>
              </w:tc>
            </w:tr>
            <w:tr w14:paraId="50B44072">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62" w:hRule="atLeast"/>
                <w:jc w:val="center"/>
              </w:trPr>
              <w:tc>
                <w:tcPr>
                  <w:tcW w:w="2850" w:type="pct"/>
                  <w:noWrap w:val="0"/>
                  <w:vAlign w:val="center"/>
                </w:tcPr>
                <w:p w14:paraId="2FEF713B">
                  <w:pPr>
                    <w:pStyle w:val="159"/>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排气筒高度不低于15m（因安全考虑或有特殊工艺要求的除外），具体高度以及与周围建筑物的相对高度关系应根据环境影响评价文件确定</w:t>
                  </w:r>
                </w:p>
              </w:tc>
              <w:tc>
                <w:tcPr>
                  <w:tcW w:w="1577" w:type="pct"/>
                  <w:noWrap w:val="0"/>
                  <w:vAlign w:val="center"/>
                </w:tcPr>
                <w:p w14:paraId="55DCF4D5">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项目排气筒高度为1</w:t>
                  </w:r>
                  <w:r>
                    <w:rPr>
                      <w:rFonts w:hint="eastAsia" w:cs="Times New Roman"/>
                      <w:color w:val="000000" w:themeColor="text1"/>
                      <w:sz w:val="21"/>
                      <w:szCs w:val="21"/>
                      <w:highlight w:val="none"/>
                      <w:lang w:val="en-US" w:eastAsia="zh-CN"/>
                      <w14:textFill>
                        <w14:solidFill>
                          <w14:schemeClr w14:val="tx1"/>
                        </w14:solidFill>
                      </w14:textFill>
                    </w:rPr>
                    <w:t>8</w:t>
                  </w:r>
                  <w:r>
                    <w:rPr>
                      <w:rFonts w:hint="default" w:ascii="Times New Roman" w:hAnsi="Times New Roman" w:cs="Times New Roman"/>
                      <w:color w:val="000000" w:themeColor="text1"/>
                      <w:sz w:val="21"/>
                      <w:szCs w:val="21"/>
                      <w:highlight w:val="none"/>
                      <w14:textFill>
                        <w14:solidFill>
                          <w14:schemeClr w14:val="tx1"/>
                        </w14:solidFill>
                      </w14:textFill>
                    </w:rPr>
                    <w:t>m</w:t>
                  </w:r>
                </w:p>
              </w:tc>
              <w:tc>
                <w:tcPr>
                  <w:tcW w:w="571" w:type="pct"/>
                  <w:noWrap w:val="0"/>
                  <w:vAlign w:val="center"/>
                </w:tcPr>
                <w:p w14:paraId="6B9F8069">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相符</w:t>
                  </w:r>
                </w:p>
              </w:tc>
            </w:tr>
            <w:tr w14:paraId="118D21C7">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360" w:hRule="atLeast"/>
                <w:jc w:val="center"/>
              </w:trPr>
              <w:tc>
                <w:tcPr>
                  <w:tcW w:w="2850" w:type="pct"/>
                  <w:noWrap w:val="0"/>
                  <w:vAlign w:val="center"/>
                </w:tcPr>
                <w:p w14:paraId="67BC29B9">
                  <w:pPr>
                    <w:pStyle w:val="159"/>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当执行不同排放控制要求的废气合并排气筒排放时，应在废气混合前进行监测，并执行相应的排放控制要求：若选择的监控位置只能对混合后的废气进行监测，则应按各排放控制要求中最严格的规定执行</w:t>
                  </w:r>
                </w:p>
              </w:tc>
              <w:tc>
                <w:tcPr>
                  <w:tcW w:w="1577" w:type="pct"/>
                  <w:noWrap w:val="0"/>
                  <w:vAlign w:val="center"/>
                </w:tcPr>
                <w:p w14:paraId="23BEFA4E">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按要求执行</w:t>
                  </w:r>
                </w:p>
              </w:tc>
              <w:tc>
                <w:tcPr>
                  <w:tcW w:w="571" w:type="pct"/>
                  <w:noWrap w:val="0"/>
                  <w:vAlign w:val="center"/>
                </w:tcPr>
                <w:p w14:paraId="6DA4F127">
                  <w:pPr>
                    <w:pStyle w:val="159"/>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相符</w:t>
                  </w:r>
                </w:p>
              </w:tc>
            </w:tr>
          </w:tbl>
          <w:p w14:paraId="27AFC27C">
            <w:pPr>
              <w:numPr>
                <w:ilvl w:val="0"/>
                <w:numId w:val="0"/>
              </w:numPr>
              <w:shd w:val="clear" w:color="auto" w:fill="auto"/>
              <w:spacing w:line="360" w:lineRule="auto"/>
              <w:jc w:val="left"/>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pPr>
            <w:r>
              <w:rPr>
                <w:rFonts w:hint="eastAsia" w:cs="Times New Roman"/>
                <w:b/>
                <w:bCs/>
                <w:snapToGrid w:val="0"/>
                <w:color w:val="000000" w:themeColor="text1"/>
                <w:kern w:val="0"/>
                <w:sz w:val="24"/>
                <w:szCs w:val="24"/>
                <w:highlight w:val="none"/>
                <w:lang w:val="en-US" w:eastAsia="zh-CN"/>
                <w14:textFill>
                  <w14:solidFill>
                    <w14:schemeClr w14:val="tx1"/>
                  </w14:solidFill>
                </w14:textFill>
              </w:rPr>
              <w:t>十四、</w:t>
            </w:r>
            <w:r>
              <w:rPr>
                <w:rFonts w:hint="default" w:ascii="Times New Roman" w:hAnsi="Times New Roman" w:eastAsia="宋体" w:cs="Times New Roman"/>
                <w:b/>
                <w:bCs/>
                <w:snapToGrid w:val="0"/>
                <w:color w:val="000000" w:themeColor="text1"/>
                <w:kern w:val="0"/>
                <w:sz w:val="24"/>
                <w:szCs w:val="24"/>
                <w:highlight w:val="none"/>
                <w:lang w:val="en-US" w:eastAsia="zh-CN"/>
                <w14:textFill>
                  <w14:solidFill>
                    <w14:schemeClr w14:val="tx1"/>
                  </w14:solidFill>
                </w14:textFill>
              </w:rPr>
              <w:t>与《挥发性有机物VOCs污染防治技术政策》相符性分析</w:t>
            </w:r>
          </w:p>
          <w:p w14:paraId="4451ABF1">
            <w:pPr>
              <w:keepNext w:val="0"/>
              <w:keepLines w:val="0"/>
              <w:pageBreakBefore w:val="0"/>
              <w:widowControl/>
              <w:numPr>
                <w:ilvl w:val="0"/>
                <w:numId w:val="0"/>
              </w:numPr>
              <w:tabs>
                <w:tab w:val="left" w:pos="0"/>
              </w:tabs>
              <w:kinsoku/>
              <w:wordWrap/>
              <w:overflowPunct w:val="0"/>
              <w:topLinePunct/>
              <w:autoSpaceDE w:val="0"/>
              <w:autoSpaceDN/>
              <w:bidi w:val="0"/>
              <w:adjustRightInd w:val="0"/>
              <w:snapToGrid w:val="0"/>
              <w:spacing w:line="360" w:lineRule="auto"/>
              <w:ind w:firstLine="480" w:firstLineChars="200"/>
              <w:textAlignment w:val="baseline"/>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本项目与《挥发性有机物VOCs污染防治技术政策》的相符性分析见下表。</w:t>
            </w:r>
          </w:p>
          <w:p w14:paraId="38E4B47B">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6</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项目与《挥发性有机物（VOCs）污染防治技术政策》相符性分析</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28" w:type="dxa"/>
                <w:left w:w="85" w:type="dxa"/>
                <w:bottom w:w="28" w:type="dxa"/>
                <w:right w:w="85" w:type="dxa"/>
              </w:tblCellMar>
            </w:tblPr>
            <w:tblGrid>
              <w:gridCol w:w="817"/>
              <w:gridCol w:w="3435"/>
              <w:gridCol w:w="1950"/>
              <w:gridCol w:w="914"/>
            </w:tblGrid>
            <w:tr w14:paraId="5BC551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tblHeader/>
                <w:jc w:val="center"/>
              </w:trPr>
              <w:tc>
                <w:tcPr>
                  <w:tcW w:w="2987" w:type="pct"/>
                  <w:gridSpan w:val="2"/>
                  <w:tcBorders>
                    <w:bottom w:val="single" w:color="auto" w:sz="12" w:space="0"/>
                  </w:tcBorders>
                  <w:noWrap w:val="0"/>
                  <w:vAlign w:val="center"/>
                </w:tcPr>
                <w:p w14:paraId="7525EE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有关控制要求</w:t>
                  </w:r>
                </w:p>
              </w:tc>
              <w:tc>
                <w:tcPr>
                  <w:tcW w:w="1370" w:type="pct"/>
                  <w:tcBorders>
                    <w:bottom w:val="single" w:color="auto" w:sz="12" w:space="0"/>
                  </w:tcBorders>
                  <w:noWrap w:val="0"/>
                  <w:vAlign w:val="center"/>
                </w:tcPr>
                <w:p w14:paraId="2FCF6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t>本项目情况</w:t>
                  </w:r>
                </w:p>
              </w:tc>
              <w:tc>
                <w:tcPr>
                  <w:tcW w:w="642" w:type="pct"/>
                  <w:tcBorders>
                    <w:bottom w:val="single" w:color="auto" w:sz="12" w:space="0"/>
                  </w:tcBorders>
                  <w:noWrap w:val="0"/>
                  <w:vAlign w:val="center"/>
                </w:tcPr>
                <w:p w14:paraId="6F7C4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t>相符性</w:t>
                  </w:r>
                </w:p>
              </w:tc>
            </w:tr>
            <w:tr w14:paraId="75DEA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jc w:val="center"/>
              </w:trPr>
              <w:tc>
                <w:tcPr>
                  <w:tcW w:w="574" w:type="pct"/>
                  <w:tcBorders>
                    <w:top w:val="single" w:color="auto" w:sz="12" w:space="0"/>
                  </w:tcBorders>
                  <w:noWrap w:val="0"/>
                  <w:vAlign w:val="center"/>
                </w:tcPr>
                <w:p w14:paraId="1E9A27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源头和过程控制</w:t>
                  </w:r>
                </w:p>
              </w:tc>
              <w:tc>
                <w:tcPr>
                  <w:tcW w:w="2412" w:type="pct"/>
                  <w:tcBorders>
                    <w:top w:val="single" w:color="auto" w:sz="12" w:space="0"/>
                  </w:tcBorders>
                  <w:noWrap w:val="0"/>
                  <w:vAlign w:val="center"/>
                </w:tcPr>
                <w:p w14:paraId="498C1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含VOCs产品的使用过程中，应采取废气收集措施，提高废气收集效率，减少废气的无组织排放与逸散，并对收集后的废气进行回收或处理后达标排放。</w:t>
                  </w:r>
                </w:p>
              </w:tc>
              <w:tc>
                <w:tcPr>
                  <w:tcW w:w="1370" w:type="pct"/>
                  <w:vMerge w:val="restart"/>
                  <w:tcBorders>
                    <w:top w:val="single" w:color="auto" w:sz="12" w:space="0"/>
                  </w:tcBorders>
                  <w:noWrap w:val="0"/>
                  <w:vAlign w:val="center"/>
                </w:tcPr>
                <w:p w14:paraId="2E6D9F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本项目VOCs废气主要来自于</w:t>
                  </w:r>
                  <w:r>
                    <w:rPr>
                      <w:rFonts w:hint="default"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喷漆工序</w:t>
                  </w:r>
                  <w:r>
                    <w:rPr>
                      <w:rFonts w:hint="default" w:ascii="Times New Roman" w:hAnsi="Times New Roman" w:eastAsia="宋体" w:cs="Times New Roman"/>
                      <w:snapToGrid w:val="0"/>
                      <w:color w:val="000000" w:themeColor="text1"/>
                      <w:kern w:val="0"/>
                      <w:sz w:val="21"/>
                      <w:szCs w:val="21"/>
                      <w:highlight w:val="none"/>
                      <w14:textFill>
                        <w14:solidFill>
                          <w14:schemeClr w14:val="tx1"/>
                        </w14:solidFill>
                      </w14:textFill>
                    </w:rPr>
                    <w:t>，</w:t>
                  </w:r>
                  <w:r>
                    <w:rPr>
                      <w:rFonts w:hint="default"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喷漆废气采用</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负压</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密闭+</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水帘柜</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干式过滤器+二</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级活性炭吸附后</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+1</w:t>
                  </w:r>
                  <w:r>
                    <w:rPr>
                      <w:rFonts w:hint="eastAsia" w:cs="Times New Roman"/>
                      <w:b w:val="0"/>
                      <w:bCs/>
                      <w:color w:val="000000" w:themeColor="text1"/>
                      <w:sz w:val="21"/>
                      <w:szCs w:val="21"/>
                      <w:highlight w:val="none"/>
                      <w:vertAlign w:val="baseline"/>
                      <w:lang w:val="en-US" w:eastAsia="zh-CN"/>
                      <w14:textFill>
                        <w14:solidFill>
                          <w14:schemeClr w14:val="tx1"/>
                        </w14:solidFill>
                      </w14:textFill>
                    </w:rPr>
                    <w:t>8</w:t>
                  </w:r>
                  <w:r>
                    <w:rPr>
                      <w:rFonts w:hint="eastAsia"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m</w:t>
                  </w: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t>排气筒排放”的组合方式进行处理</w:t>
                  </w:r>
                  <w:r>
                    <w:rPr>
                      <w:rFonts w:hint="default" w:ascii="Times New Roman" w:hAnsi="Times New Roman" w:eastAsia="宋体" w:cs="Times New Roman"/>
                      <w:snapToGrid w:val="0"/>
                      <w:color w:val="000000" w:themeColor="text1"/>
                      <w:kern w:val="0"/>
                      <w:sz w:val="21"/>
                      <w:szCs w:val="21"/>
                      <w:highlight w:val="none"/>
                      <w:lang w:val="en-US" w:eastAsia="zh-CN"/>
                      <w14:textFill>
                        <w14:solidFill>
                          <w14:schemeClr w14:val="tx1"/>
                        </w14:solidFill>
                      </w14:textFill>
                    </w:rPr>
                    <w:t>。</w:t>
                  </w:r>
                </w:p>
              </w:tc>
              <w:tc>
                <w:tcPr>
                  <w:tcW w:w="642" w:type="pct"/>
                  <w:tcBorders>
                    <w:top w:val="single" w:color="auto" w:sz="12" w:space="0"/>
                  </w:tcBorders>
                  <w:noWrap w:val="0"/>
                  <w:vAlign w:val="center"/>
                </w:tcPr>
                <w:p w14:paraId="79633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403EB39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jc w:val="center"/>
              </w:trPr>
              <w:tc>
                <w:tcPr>
                  <w:tcW w:w="574" w:type="pct"/>
                  <w:noWrap w:val="0"/>
                  <w:vAlign w:val="center"/>
                </w:tcPr>
                <w:p w14:paraId="0C6AB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末端治理与综合利用</w:t>
                  </w:r>
                </w:p>
              </w:tc>
              <w:tc>
                <w:tcPr>
                  <w:tcW w:w="2412" w:type="pct"/>
                  <w:noWrap w:val="0"/>
                  <w:vAlign w:val="center"/>
                </w:tcPr>
                <w:p w14:paraId="21BA60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对于含低浓度VOCs的废气，有回收价值时可采用吸附技术、吸收技术对有机溶剂回收后达标排放；不宜回收时，可采用吸附浓缩燃烧技术、生物技术、吸收技术、等离子体技术或紫外光高级氧化技术等净化后达标排放。</w:t>
                  </w:r>
                </w:p>
              </w:tc>
              <w:tc>
                <w:tcPr>
                  <w:tcW w:w="1370" w:type="pct"/>
                  <w:vMerge w:val="continue"/>
                  <w:noWrap w:val="0"/>
                  <w:vAlign w:val="center"/>
                </w:tcPr>
                <w:p w14:paraId="6FBCB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42" w:type="pct"/>
                  <w:noWrap w:val="0"/>
                  <w:vAlign w:val="center"/>
                </w:tcPr>
                <w:p w14:paraId="129F19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bl>
          <w:p w14:paraId="641CFC45">
            <w:pPr>
              <w:pStyle w:val="56"/>
              <w:shd w:val="clear" w:color="auto" w:fill="auto"/>
              <w:ind w:firstLine="0" w:firstLineChars="0"/>
              <w:rPr>
                <w:rFonts w:hint="eastAsia"/>
                <w:b/>
                <w:bCs/>
                <w:color w:val="000000" w:themeColor="text1"/>
                <w:szCs w:val="21"/>
                <w:highlight w:val="none"/>
                <w:lang w:val="en-US" w:eastAsia="zh-CN"/>
                <w14:textFill>
                  <w14:solidFill>
                    <w14:schemeClr w14:val="tx1"/>
                  </w14:solidFill>
                </w14:textFill>
              </w:rPr>
            </w:pPr>
            <w:r>
              <w:rPr>
                <w:rFonts w:hint="eastAsia"/>
                <w:b/>
                <w:bCs/>
                <w:color w:val="000000" w:themeColor="text1"/>
                <w:szCs w:val="21"/>
                <w:highlight w:val="none"/>
                <w:lang w:val="en-US" w:eastAsia="zh-CN"/>
                <w14:textFill>
                  <w14:solidFill>
                    <w14:schemeClr w14:val="tx1"/>
                  </w14:solidFill>
                </w14:textFill>
              </w:rPr>
              <w:t>十五、与《重点行业挥发性有机物削减行动计划》（工信部联节〔2016〕217号）相符性分析</w:t>
            </w:r>
          </w:p>
          <w:p w14:paraId="23D79F7C">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表1-</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7</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项目与</w:t>
            </w:r>
            <w:r>
              <w:rPr>
                <w:rFonts w:hint="eastAsia"/>
                <w:b/>
                <w:bCs/>
                <w:color w:val="000000" w:themeColor="text1"/>
                <w:szCs w:val="21"/>
                <w:highlight w:val="none"/>
                <w:lang w:val="en-US" w:eastAsia="zh-CN"/>
                <w14:textFill>
                  <w14:solidFill>
                    <w14:schemeClr w14:val="tx1"/>
                  </w14:solidFill>
                </w14:textFill>
              </w:rPr>
              <w:t>《重点行业挥发性有机物削减行动计划》</w:t>
            </w: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相符性分析</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28" w:type="dxa"/>
                <w:left w:w="85" w:type="dxa"/>
                <w:bottom w:w="28" w:type="dxa"/>
                <w:right w:w="85" w:type="dxa"/>
              </w:tblCellMar>
            </w:tblPr>
            <w:tblGrid>
              <w:gridCol w:w="817"/>
              <w:gridCol w:w="2737"/>
              <w:gridCol w:w="2648"/>
              <w:gridCol w:w="914"/>
            </w:tblGrid>
            <w:tr w14:paraId="45B8E6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tblHeader/>
                <w:jc w:val="center"/>
              </w:trPr>
              <w:tc>
                <w:tcPr>
                  <w:tcW w:w="2496" w:type="pct"/>
                  <w:gridSpan w:val="2"/>
                  <w:tcBorders>
                    <w:bottom w:val="single" w:color="auto" w:sz="12" w:space="0"/>
                  </w:tcBorders>
                  <w:noWrap w:val="0"/>
                  <w:vAlign w:val="center"/>
                </w:tcPr>
                <w:p w14:paraId="457AA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t>要求</w:t>
                  </w:r>
                </w:p>
              </w:tc>
              <w:tc>
                <w:tcPr>
                  <w:tcW w:w="1860" w:type="pct"/>
                  <w:tcBorders>
                    <w:bottom w:val="single" w:color="auto" w:sz="12" w:space="0"/>
                  </w:tcBorders>
                  <w:noWrap w:val="0"/>
                  <w:vAlign w:val="center"/>
                </w:tcPr>
                <w:p w14:paraId="6D94F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t>本项目情况</w:t>
                  </w:r>
                </w:p>
              </w:tc>
              <w:tc>
                <w:tcPr>
                  <w:tcW w:w="642" w:type="pct"/>
                  <w:tcBorders>
                    <w:bottom w:val="single" w:color="auto" w:sz="12" w:space="0"/>
                  </w:tcBorders>
                  <w:noWrap w:val="0"/>
                  <w:vAlign w:val="center"/>
                </w:tcPr>
                <w:p w14:paraId="31473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eastAsia="en-US"/>
                      <w14:textFill>
                        <w14:solidFill>
                          <w14:schemeClr w14:val="tx1"/>
                        </w14:solidFill>
                      </w14:textFill>
                    </w:rPr>
                    <w:t>相符性</w:t>
                  </w:r>
                </w:p>
              </w:tc>
            </w:tr>
            <w:tr w14:paraId="20742A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jc w:val="center"/>
              </w:trPr>
              <w:tc>
                <w:tcPr>
                  <w:tcW w:w="574" w:type="pct"/>
                  <w:tcBorders>
                    <w:top w:val="single" w:color="auto" w:sz="12" w:space="0"/>
                  </w:tcBorders>
                  <w:noWrap w:val="0"/>
                  <w:vAlign w:val="center"/>
                </w:tcPr>
                <w:p w14:paraId="52F23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涂料行业</w:t>
                  </w:r>
                </w:p>
              </w:tc>
              <w:tc>
                <w:tcPr>
                  <w:tcW w:w="1922" w:type="pct"/>
                  <w:tcBorders>
                    <w:top w:val="single" w:color="auto" w:sz="12" w:space="0"/>
                  </w:tcBorders>
                  <w:noWrap w:val="0"/>
                  <w:vAlign w:val="center"/>
                </w:tcPr>
                <w:p w14:paraId="015099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重点推广水性涂料、粉末涂料、高固体分涂料、无溶剂涂料、辐射固化涂料(UV涂料)等绿色涂料产品。</w:t>
                  </w:r>
                </w:p>
              </w:tc>
              <w:tc>
                <w:tcPr>
                  <w:tcW w:w="1860" w:type="pct"/>
                  <w:tcBorders>
                    <w:top w:val="single" w:color="auto" w:sz="12" w:space="0"/>
                  </w:tcBorders>
                  <w:noWrap w:val="0"/>
                  <w:vAlign w:val="center"/>
                </w:tcPr>
                <w:p w14:paraId="547B01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项目使用水性涂料，属于低挥发性有机涂料</w:t>
                  </w:r>
                  <w:r>
                    <w:rPr>
                      <w:rFonts w:hint="eastAsia" w:eastAsia="宋体" w:cs="Times New Roman"/>
                      <w:color w:val="000000" w:themeColor="text1"/>
                      <w:sz w:val="21"/>
                      <w:szCs w:val="21"/>
                      <w:highlight w:val="none"/>
                      <w:lang w:val="en-US" w:eastAsia="zh-CN"/>
                      <w14:textFill>
                        <w14:solidFill>
                          <w14:schemeClr w14:val="tx1"/>
                        </w14:solidFill>
                      </w14:textFill>
                    </w:rPr>
                    <w:t>。</w:t>
                  </w:r>
                </w:p>
              </w:tc>
              <w:tc>
                <w:tcPr>
                  <w:tcW w:w="642" w:type="pct"/>
                  <w:tcBorders>
                    <w:top w:val="single" w:color="auto" w:sz="12" w:space="0"/>
                  </w:tcBorders>
                  <w:noWrap w:val="0"/>
                  <w:vAlign w:val="center"/>
                </w:tcPr>
                <w:p w14:paraId="5AF40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1E8A27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28" w:type="dxa"/>
                  <w:left w:w="85" w:type="dxa"/>
                  <w:bottom w:w="28" w:type="dxa"/>
                  <w:right w:w="85" w:type="dxa"/>
                </w:tblCellMar>
              </w:tblPrEx>
              <w:trPr>
                <w:cantSplit/>
                <w:trHeight w:val="369" w:hRule="atLeast"/>
                <w:jc w:val="center"/>
              </w:trPr>
              <w:tc>
                <w:tcPr>
                  <w:tcW w:w="574" w:type="pct"/>
                  <w:noWrap w:val="0"/>
                  <w:vAlign w:val="center"/>
                </w:tcPr>
                <w:p w14:paraId="554A73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汽车行业</w:t>
                  </w:r>
                </w:p>
              </w:tc>
              <w:tc>
                <w:tcPr>
                  <w:tcW w:w="1922" w:type="pct"/>
                  <w:noWrap w:val="0"/>
                  <w:vAlign w:val="center"/>
                </w:tcPr>
                <w:p w14:paraId="58537A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涂装环节推进水性涂料、高固体份涂料替代溶剂型涂料，推广静电喷涂、淋涂、辊涂、浸涂等高效涂装工艺和先进智能化涂装设备。</w:t>
                  </w:r>
                </w:p>
              </w:tc>
              <w:tc>
                <w:tcPr>
                  <w:tcW w:w="1860" w:type="pct"/>
                  <w:noWrap w:val="0"/>
                  <w:vAlign w:val="center"/>
                </w:tcPr>
                <w:p w14:paraId="07A1C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项目使用水性涂料</w:t>
                  </w:r>
                  <w:r>
                    <w:rPr>
                      <w:rFonts w:hint="eastAsia" w:eastAsia="宋体" w:cs="Times New Roman"/>
                      <w:color w:val="000000" w:themeColor="text1"/>
                      <w:sz w:val="21"/>
                      <w:szCs w:val="21"/>
                      <w:highlight w:val="none"/>
                      <w:lang w:val="en-US" w:eastAsia="zh-CN"/>
                      <w14:textFill>
                        <w14:solidFill>
                          <w14:schemeClr w14:val="tx1"/>
                        </w14:solidFill>
                      </w14:textFill>
                    </w:rPr>
                    <w:t>；涂装工艺为推广使用，并未明确禁止使用手工喷涂，故使用手工喷涂可行。</w:t>
                  </w:r>
                </w:p>
              </w:tc>
              <w:tc>
                <w:tcPr>
                  <w:tcW w:w="642" w:type="pct"/>
                  <w:noWrap w:val="0"/>
                  <w:vAlign w:val="center"/>
                </w:tcPr>
                <w:p w14:paraId="64793E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bl>
          <w:p w14:paraId="22C56969">
            <w:pPr>
              <w:pStyle w:val="56"/>
              <w:shd w:val="clear" w:color="auto" w:fill="auto"/>
              <w:ind w:firstLine="0" w:firstLineChars="0"/>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Cs w:val="21"/>
                <w:highlight w:val="none"/>
                <w:lang w:val="en-US" w:eastAsia="zh-CN"/>
                <w14:textFill>
                  <w14:solidFill>
                    <w14:schemeClr w14:val="tx1"/>
                  </w14:solidFill>
                </w14:textFill>
              </w:rPr>
              <w:t>十六、与工业炉窑大气污染综合治理方案相符性分析</w:t>
            </w:r>
          </w:p>
          <w:p w14:paraId="7E35185B">
            <w:pPr>
              <w:pStyle w:val="175"/>
              <w:spacing w:before="0" w:beforeLines="0" w:line="360" w:lineRule="auto"/>
              <w:ind w:left="0" w:leftChars="0" w:firstLine="0" w:firstLineChars="0"/>
              <w:jc w:val="center"/>
              <w:rPr>
                <w:rFonts w:hint="default" w:ascii="Times New Roman" w:hAnsi="Times New Roman" w:eastAsia="宋体" w:cs="Times New Roman"/>
                <w:b/>
                <w:color w:val="000000" w:themeColor="text1"/>
                <w:spacing w:val="7"/>
                <w:kern w:val="0"/>
                <w:sz w:val="24"/>
                <w:szCs w:val="21"/>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spacing w:val="7"/>
                <w:kern w:val="0"/>
                <w:sz w:val="24"/>
                <w:szCs w:val="21"/>
                <w:highlight w:val="none"/>
                <w:lang w:val="en-US" w:eastAsia="zh-CN" w:bidi="ar-SA"/>
                <w14:textFill>
                  <w14:solidFill>
                    <w14:schemeClr w14:val="tx1"/>
                  </w14:solidFill>
                </w14:textFill>
              </w:rPr>
              <w:t>表</w:t>
            </w:r>
            <w:r>
              <w:rPr>
                <w:rFonts w:hint="eastAsia" w:ascii="Times New Roman" w:hAnsi="Times New Roman" w:eastAsia="宋体" w:cs="Times New Roman"/>
                <w:b/>
                <w:color w:val="000000" w:themeColor="text1"/>
                <w:spacing w:val="7"/>
                <w:kern w:val="0"/>
                <w:sz w:val="24"/>
                <w:szCs w:val="21"/>
                <w:highlight w:val="none"/>
                <w:lang w:val="en-US" w:eastAsia="zh-CN" w:bidi="ar-SA"/>
                <w14:textFill>
                  <w14:solidFill>
                    <w14:schemeClr w14:val="tx1"/>
                  </w14:solidFill>
                </w14:textFill>
              </w:rPr>
              <w:t>1-18</w:t>
            </w:r>
            <w:r>
              <w:rPr>
                <w:rFonts w:hint="default" w:ascii="Times New Roman" w:hAnsi="Times New Roman" w:eastAsia="宋体" w:cs="Times New Roman"/>
                <w:b/>
                <w:color w:val="000000" w:themeColor="text1"/>
                <w:spacing w:val="7"/>
                <w:kern w:val="0"/>
                <w:sz w:val="24"/>
                <w:szCs w:val="21"/>
                <w:highlight w:val="none"/>
                <w:lang w:val="en-US" w:eastAsia="zh-CN" w:bidi="ar-SA"/>
                <w14:textFill>
                  <w14:solidFill>
                    <w14:schemeClr w14:val="tx1"/>
                  </w14:solidFill>
                </w14:textFill>
              </w:rPr>
              <w:t xml:space="preserve">  与工业炉窑大气污染综合治理方案相符性分析</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51" w:type="dxa"/>
                <w:bottom w:w="0" w:type="dxa"/>
                <w:right w:w="51" w:type="dxa"/>
              </w:tblCellMar>
            </w:tblPr>
            <w:tblGrid>
              <w:gridCol w:w="753"/>
              <w:gridCol w:w="3136"/>
              <w:gridCol w:w="2474"/>
              <w:gridCol w:w="753"/>
            </w:tblGrid>
            <w:tr w14:paraId="6D10C7F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2732" w:type="pct"/>
                  <w:gridSpan w:val="2"/>
                  <w:noWrap w:val="0"/>
                  <w:vAlign w:val="center"/>
                </w:tcPr>
                <w:p w14:paraId="73B819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方案</w:t>
                  </w:r>
                  <w:r>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t>要求</w:t>
                  </w:r>
                </w:p>
              </w:tc>
              <w:tc>
                <w:tcPr>
                  <w:tcW w:w="1738" w:type="pct"/>
                  <w:noWrap w:val="0"/>
                  <w:vAlign w:val="center"/>
                </w:tcPr>
                <w:p w14:paraId="27016F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t>企业实施内容</w:t>
                  </w:r>
                </w:p>
              </w:tc>
              <w:tc>
                <w:tcPr>
                  <w:tcW w:w="529" w:type="pct"/>
                  <w:noWrap w:val="0"/>
                  <w:vAlign w:val="center"/>
                </w:tcPr>
                <w:p w14:paraId="0D8C6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eastAsia="en-US"/>
                      <w14:textFill>
                        <w14:solidFill>
                          <w14:schemeClr w14:val="tx1"/>
                        </w14:solidFill>
                      </w14:textFill>
                    </w:rPr>
                    <w:t>符合性</w:t>
                  </w:r>
                </w:p>
              </w:tc>
            </w:tr>
            <w:tr w14:paraId="2EA9D32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restart"/>
                  <w:noWrap w:val="0"/>
                  <w:vAlign w:val="center"/>
                </w:tcPr>
                <w:p w14:paraId="3EC521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工业炉窑大气污染综合治理方案</w:t>
                  </w:r>
                </w:p>
              </w:tc>
              <w:tc>
                <w:tcPr>
                  <w:tcW w:w="2203" w:type="pct"/>
                  <w:noWrap w:val="0"/>
                  <w:vAlign w:val="center"/>
                </w:tcPr>
                <w:p w14:paraId="737A58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加大产业结构调整力度。严格建设项目环境准入。新建涉工业炉窑的建设项目，原则上要入园区，配套建设高效环保治理设施。重点区域严格控制涉工业炉窑建设项目，严禁新增钢铁、焦化、电解铝、铸造、水泥和平板玻璃等产能；严格执行钢铁、水泥、平板玻璃等行业产能置换实施办法；原则上禁止新建燃料类煤气发生炉（园区现有企业统一建设的清洁煤制气中心除外）。</w:t>
                  </w:r>
                </w:p>
              </w:tc>
              <w:tc>
                <w:tcPr>
                  <w:tcW w:w="1738" w:type="pct"/>
                  <w:noWrap w:val="0"/>
                  <w:vAlign w:val="center"/>
                </w:tcPr>
                <w:p w14:paraId="05292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项目位于乐平金山工业园区内，配备高效布袋除尘器收集处理，本项目不在重点区域内，不涉及煤气发生炉。</w:t>
                  </w:r>
                </w:p>
              </w:tc>
              <w:tc>
                <w:tcPr>
                  <w:tcW w:w="529" w:type="pct"/>
                  <w:noWrap w:val="0"/>
                  <w:vAlign w:val="center"/>
                </w:tcPr>
                <w:p w14:paraId="05AEF0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56FAB4F1">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51CEEC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0DF877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加快燃料清洁低碳化替代。对以煤、石油焦、渣油、重油等为燃料的工业炉窑，加快使用清洁低碳能源以及利用工厂余热、电厂热力等进行替代。重点区域禁止掺烧高硫石油焦（硫含量大于3%）。玻璃行业全面禁止掺烧高硫石油焦。</w:t>
                  </w:r>
                </w:p>
              </w:tc>
              <w:tc>
                <w:tcPr>
                  <w:tcW w:w="1738" w:type="pct"/>
                  <w:noWrap w:val="0"/>
                  <w:vAlign w:val="center"/>
                </w:tcPr>
                <w:p w14:paraId="47F9A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项目使用电能，不在重点区域内。</w:t>
                  </w:r>
                </w:p>
              </w:tc>
              <w:tc>
                <w:tcPr>
                  <w:tcW w:w="529" w:type="pct"/>
                  <w:noWrap w:val="0"/>
                  <w:vAlign w:val="center"/>
                </w:tcPr>
                <w:p w14:paraId="0117D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195DA7A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7E2101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217673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实施污染深度治理。推进工业炉窑全面达标排放。已有行业排放标准的工业炉窑（见附件3），严格执行行业排放标准相关规定，配套建设高效脱硫脱硝除尘设施（见附件4），确保稳定达标排放。已制定更严格地方排放标准的，按地方标准执行。重点区域钢铁、水泥、焦化、石化、化工、有色等行业，二氧化硫、氮氧化物、颗粒物、挥发性有机物（VOCs）排放全面执行大气污染物特别排放限值。已核发排污许可证的，应严格执行许可要求。</w:t>
                  </w:r>
                </w:p>
              </w:tc>
              <w:tc>
                <w:tcPr>
                  <w:tcW w:w="1738" w:type="pct"/>
                  <w:noWrap w:val="0"/>
                  <w:vAlign w:val="center"/>
                </w:tcPr>
                <w:p w14:paraId="1E8B0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项目无芯中频感应电炉配备高效收集除尘器，经废气处理后可满足《铸造工业大气污染物排放标准》（GB39726—2020）表1相应工序排放浓度限值要求。项目不在重点区域内。</w:t>
                  </w:r>
                </w:p>
              </w:tc>
              <w:tc>
                <w:tcPr>
                  <w:tcW w:w="529" w:type="pct"/>
                  <w:noWrap w:val="0"/>
                  <w:vAlign w:val="center"/>
                </w:tcPr>
                <w:p w14:paraId="7AB92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2C4CE574">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12928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7D601A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暂未制订行业排放标准的工业炉窑，包括铸造，日用玻璃，玻璃纤维、耐火材料、石灰、矿物棉等建材行业，钨、工业硅、金属冶炼废渣（灰）二次提取等有色金属行业，氮肥、电石、无机磷、活性炭等化工行业，应参照相关行业已出台的标准，全面加大污染治理力度（见附件4），铸造行业烧结、高炉工序污染排放控制按照钢铁行业相关标准要求执行；重点区域原则上按照颗粒物、二氧化硫、氮氧化物排放限值分别不高于30、200、300毫克/立方米实施改造，其中，日用玻璃、玻璃棉氮氧化物排放限值不高于400毫克/立方米；已制定更严格地方排放标准的地区，执行地方排放标准。</w:t>
                  </w:r>
                </w:p>
              </w:tc>
              <w:tc>
                <w:tcPr>
                  <w:tcW w:w="1738" w:type="pct"/>
                  <w:noWrap w:val="0"/>
                  <w:vAlign w:val="center"/>
                </w:tcPr>
                <w:p w14:paraId="5A5C36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项目无芯中频感应电炉配备高效收集除尘器，经废气处理后可满足《铸造工业大气污染物排放标准》（GB39726—2020）表1相应工序排放浓度限值要求。</w:t>
                  </w:r>
                </w:p>
              </w:tc>
              <w:tc>
                <w:tcPr>
                  <w:tcW w:w="529" w:type="pct"/>
                  <w:noWrap w:val="0"/>
                  <w:vAlign w:val="center"/>
                </w:tcPr>
                <w:p w14:paraId="7F915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35CA9D01">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29E32B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3BB52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全面加强无组织排放管理。严格控制工业炉窑生产工艺过程及相关物料储存、输送等无组织排放，在保障生产安全的前提下，采取密闭、封闭等有效措施（见附件5），有效提高废气收集率，产尘点及车间不得有可见烟粉尘外逸。生产工艺产尘点（装置）应采取密闭、封闭或设置集气罩等措施。煤粉、粉煤灰、石灰、除尘灰、脱硫灰等粉状物料应密闭或封闭储存，采用密闭皮带、封闭通廊、管状带式输送机或密闭车厢、真空罐车、气力输送等方式输送。粒状、块状物料应采用入棚入仓或建设防风抑尘网等方式进行储存，粒状物料采用密闭、封闭等方式输送。物料输送过程中产尘点应采取有效抑尘措施。</w:t>
                  </w:r>
                </w:p>
              </w:tc>
              <w:tc>
                <w:tcPr>
                  <w:tcW w:w="1738" w:type="pct"/>
                  <w:noWrap w:val="0"/>
                  <w:vAlign w:val="center"/>
                </w:tcPr>
                <w:p w14:paraId="60754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本项目使用中频炉炉盖设置为一体化收尘装置与集气管道相连，熔化加热时炉体为密闭状态，项目煤粉贮存、使用均在密闭设施内贮存、使用，</w:t>
                  </w:r>
                </w:p>
              </w:tc>
              <w:tc>
                <w:tcPr>
                  <w:tcW w:w="529" w:type="pct"/>
                  <w:noWrap w:val="0"/>
                  <w:vAlign w:val="center"/>
                </w:tcPr>
                <w:p w14:paraId="5DBFB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0B3CFE6E">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6D5EF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3053CC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加大煤气发生炉VOCs治理力度。酚水系统应封闭，产生的废气应收集处理，鼓励送至煤气发生炉鼓风机入口进行再利用；酚水应送至煤气发生炉处置，或回收酚、氨后深度处理，或送至水煤浆炉进行焚烧等。禁止含酚废水直接作为煤气水封水、冲渣水。氮肥等行业采用固定床间歇式煤气化炉的，加快推进煤气冷却由直接水洗改为间接冷却；其他区域采用直接水洗冷却方式的，造气循环水集输、储存、处理系统应封闭，收集的废气送至三废炉处理。吹风气、弛放气应全部收集利用。</w:t>
                  </w:r>
                </w:p>
              </w:tc>
              <w:tc>
                <w:tcPr>
                  <w:tcW w:w="1738" w:type="pct"/>
                  <w:noWrap w:val="0"/>
                  <w:vAlign w:val="center"/>
                </w:tcPr>
                <w:p w14:paraId="097F9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项目不涉及</w:t>
                  </w:r>
                  <w:r>
                    <w:rPr>
                      <w:rFonts w:hint="default" w:ascii="Times New Roman" w:hAnsi="Times New Roman" w:eastAsia="宋体" w:cs="Times New Roman"/>
                      <w:color w:val="000000" w:themeColor="text1"/>
                      <w:sz w:val="21"/>
                      <w:szCs w:val="21"/>
                      <w:highlight w:val="none"/>
                      <w14:textFill>
                        <w14:solidFill>
                          <w14:schemeClr w14:val="tx1"/>
                        </w14:solidFill>
                      </w14:textFill>
                    </w:rPr>
                    <w:t>煤气发生炉</w:t>
                  </w:r>
                </w:p>
              </w:tc>
              <w:tc>
                <w:tcPr>
                  <w:tcW w:w="529" w:type="pct"/>
                  <w:noWrap w:val="0"/>
                  <w:vAlign w:val="center"/>
                </w:tcPr>
                <w:p w14:paraId="440E7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56D306E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2C46EA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368D85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加强工业园区能源替代利用与资源共享，积极推广集中供汽供热或建设清洁低碳能源中心等，替代工业炉窑燃料用煤；充分利用园区内工厂余热、焦炉煤气等清洁低碳能源，加强分质与梯级利用，提高能源利用效率，促进形成清洁低碳高效产业链。</w:t>
                  </w:r>
                </w:p>
              </w:tc>
              <w:tc>
                <w:tcPr>
                  <w:tcW w:w="1738" w:type="pct"/>
                  <w:noWrap w:val="0"/>
                  <w:vAlign w:val="center"/>
                </w:tcPr>
                <w:p w14:paraId="37545A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项目使用电能作为生产能源。</w:t>
                  </w:r>
                </w:p>
              </w:tc>
              <w:tc>
                <w:tcPr>
                  <w:tcW w:w="529" w:type="pct"/>
                  <w:noWrap w:val="0"/>
                  <w:vAlign w:val="center"/>
                </w:tcPr>
                <w:p w14:paraId="01B16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2B99359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049C3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36D768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建立健全监测监控体系。加强重点污染源自动监控体系建设。排气口高度超过45米的高架源，纳入重点排污单位名录，督促企业安装烟气排放自动监控设施。钢铁、焦化、水泥、平板玻璃、陶瓷、氮肥、有色金属冶炼、再生有色金属等行业，严格按照排污许可管理规定安装和运行自动监控设施。加快其他行业工业炉窑大气污染物排放自动监控设施建设，重点区域内冲天炉、玻璃熔窑、以煤和煤矸石为燃料的砖瓦烧结窑、耐火材料焙烧窑（电窑除外）、炭素焙（煅）烧炉（窑）、石灰窑、铬盐焙烧窑、磷化工焙烧窑、铁合金矿热炉和精炼炉等，原则上应纳入重点排污单位名录，安装自动监控设施。具备条件的企业，应通过分布式控制系统（DCS）等，自动连续记录工业炉窑环保设施运行及相关生产过程主要参数。推进焦炉炉体等关键环节安装视频监控系统。自动监控、DCS监控等数据至少要保存一年，视频监控数据至少要保存三个月。</w:t>
                  </w:r>
                </w:p>
              </w:tc>
              <w:tc>
                <w:tcPr>
                  <w:tcW w:w="1738" w:type="pct"/>
                  <w:noWrap w:val="0"/>
                  <w:vAlign w:val="center"/>
                </w:tcPr>
                <w:p w14:paraId="058ABD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项目废气排放源高度均不超过45m，不属于</w:t>
                  </w:r>
                  <w:r>
                    <w:rPr>
                      <w:rFonts w:hint="default" w:ascii="Times New Roman" w:hAnsi="Times New Roman" w:eastAsia="宋体" w:cs="Times New Roman"/>
                      <w:color w:val="000000" w:themeColor="text1"/>
                      <w:sz w:val="21"/>
                      <w:szCs w:val="21"/>
                      <w:highlight w:val="none"/>
                      <w14:textFill>
                        <w14:solidFill>
                          <w14:schemeClr w14:val="tx1"/>
                        </w14:solidFill>
                      </w14:textFill>
                    </w:rPr>
                    <w:t>钢铁、焦化、水泥、平板玻璃、陶瓷、氮肥、有色金属冶炼、再生有色金属等行业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项目不在重点区域内。</w:t>
                  </w:r>
                </w:p>
              </w:tc>
              <w:tc>
                <w:tcPr>
                  <w:tcW w:w="529" w:type="pct"/>
                  <w:noWrap w:val="0"/>
                  <w:vAlign w:val="center"/>
                </w:tcPr>
                <w:p w14:paraId="7CF4F5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54519E46">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2E759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noWrap w:val="0"/>
                  <w:vAlign w:val="center"/>
                </w:tcPr>
                <w:p w14:paraId="103C3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加强排污许可管理。按照排污许可管理名录规定按期完成涉工业炉窑行业排污许可证核发。开展固定污染源排污许可清理整顿工作，“核发一个行业、清理一个行业、达标一个行业、规范一个行业”。加大依证监管执法和处罚力度，确保排污单位落实持证排污、按证排污的环境管理主体责任。对无证排污、超标超总量排放以及逃避监管方式排放大气污染物的，依法予以停产整治，情节严重的，报经有批准权的人民政府批准，责令停业、关闭。建立企业信用记录，对于无证排污、不按规定提交执行报告和严重超标超总量排污的，纳入全国信用信息共享平台，通过“信用中国”等网站定期向社会公布。</w:t>
                  </w:r>
                </w:p>
              </w:tc>
              <w:tc>
                <w:tcPr>
                  <w:tcW w:w="1738" w:type="pct"/>
                  <w:noWrap w:val="0"/>
                  <w:vAlign w:val="center"/>
                </w:tcPr>
                <w:p w14:paraId="386CF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本项目必须按照排污许可管理条例实施排污许可申报工作，必须持证排污，不得无证排污或不按证排污。</w:t>
                  </w:r>
                </w:p>
              </w:tc>
              <w:tc>
                <w:tcPr>
                  <w:tcW w:w="529" w:type="pct"/>
                  <w:noWrap w:val="0"/>
                  <w:vAlign w:val="center"/>
                </w:tcPr>
                <w:p w14:paraId="63737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符合</w:t>
                  </w:r>
                </w:p>
              </w:tc>
            </w:tr>
            <w:tr w14:paraId="09E43D58">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restart"/>
                  <w:noWrap w:val="0"/>
                  <w:vAlign w:val="center"/>
                </w:tcPr>
                <w:p w14:paraId="15BC10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江西省工业炉窑大气污染综合治理方案</w:t>
                  </w:r>
                </w:p>
              </w:tc>
              <w:tc>
                <w:tcPr>
                  <w:tcW w:w="2203" w:type="pct"/>
                  <w:noWrap w:val="0"/>
                  <w:vAlign w:val="center"/>
                </w:tcPr>
                <w:p w14:paraId="7209F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已有行业排放标准的工业炉窑(详见《国家方案》附件3)，严格执行行业排放标准相关规定，配套建设高效脱硫脱硝除尘设施(详见《国家方案》附件4)；暂未制订行业排放标准的工业炉窑，应参照相关行业已出台的标准，全面加大污染治理力度(详见《国家方案》附件的，确保稳定达标排放。</w:t>
                  </w:r>
                </w:p>
              </w:tc>
              <w:tc>
                <w:tcPr>
                  <w:tcW w:w="1738" w:type="pct"/>
                  <w:noWrap w:val="0"/>
                  <w:vAlign w:val="center"/>
                </w:tcPr>
                <w:p w14:paraId="72E54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项目无芯中频感应电炉配备高效收集除尘器，经废气处理后可满足《铸造工业大气污染物排放标准》（GB39726—2020）表1相应工序排放浓度限值要求。</w:t>
                  </w:r>
                </w:p>
              </w:tc>
              <w:tc>
                <w:tcPr>
                  <w:tcW w:w="529" w:type="pct"/>
                  <w:noWrap w:val="0"/>
                  <w:vAlign w:val="center"/>
                </w:tcPr>
                <w:p w14:paraId="5B77A4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t>符合</w:t>
                  </w:r>
                </w:p>
              </w:tc>
            </w:tr>
            <w:tr w14:paraId="54B80C5D">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1731" w:hRule="atLeast"/>
                <w:jc w:val="center"/>
              </w:trPr>
              <w:tc>
                <w:tcPr>
                  <w:tcW w:w="529" w:type="pct"/>
                  <w:vMerge w:val="continue"/>
                  <w:noWrap w:val="0"/>
                  <w:vAlign w:val="center"/>
                </w:tcPr>
                <w:p w14:paraId="31BC1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5BB74F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严格控制工业炉窑生产工艺过程及相关物料储存、输送等无组织排放，在保障生产安全的前提下，采取密阅、封闭等有效措施(详见《国家方案》附件5)，有效提高废气收集率，产尘点及车间不得有可见烟粉尘外逸。</w:t>
                  </w:r>
                </w:p>
              </w:tc>
              <w:tc>
                <w:tcPr>
                  <w:tcW w:w="1738" w:type="pct"/>
                  <w:noWrap w:val="0"/>
                  <w:vAlign w:val="center"/>
                </w:tcPr>
                <w:p w14:paraId="1D3AC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拟建项目无组织废气均采取了相应的防治措施，颗粒物厂界浓度满足</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《铸造工业大气污染物排放标准》（GB39726—2020）排放浓度限值要求</w:t>
                  </w:r>
                </w:p>
              </w:tc>
              <w:tc>
                <w:tcPr>
                  <w:tcW w:w="529" w:type="pct"/>
                  <w:noWrap w:val="0"/>
                  <w:vAlign w:val="center"/>
                </w:tcPr>
                <w:p w14:paraId="72F027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t>符合</w:t>
                  </w:r>
                </w:p>
              </w:tc>
            </w:tr>
            <w:tr w14:paraId="216B071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341B01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408839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严格建设项目环境准入。新建涉工业炉窑的建设项目，原则上要入开发区，配套建设高效环保治理设施。加大落后产能和不达标工业炉窑淘汰力度。分行业清理《产业结构调整指导目录》淘汰类工业炉窑。对热效率低下、敞开未封闭，装备简易落后、自动化程度低，无组织排放突出，以及无治理设施或治理设施工艺落后等严重污染环境的工业炉窑，依法责令停业关阅。</w:t>
                  </w:r>
                </w:p>
              </w:tc>
              <w:tc>
                <w:tcPr>
                  <w:tcW w:w="1738" w:type="pct"/>
                  <w:noWrap w:val="0"/>
                  <w:vAlign w:val="center"/>
                </w:tcPr>
                <w:p w14:paraId="413D3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项目位于乐平金山工业园区内，配备高效布袋除尘器收集处理</w:t>
                  </w:r>
                  <w:r>
                    <w:rPr>
                      <w:rFonts w:hint="default" w:ascii="Times New Roman" w:hAnsi="Times New Roman" w:eastAsia="宋体" w:cs="Times New Roman"/>
                      <w:color w:val="000000" w:themeColor="text1"/>
                      <w:sz w:val="21"/>
                      <w:szCs w:val="21"/>
                      <w:highlight w:val="none"/>
                      <w14:textFill>
                        <w14:solidFill>
                          <w14:schemeClr w14:val="tx1"/>
                        </w14:solidFill>
                      </w14:textFill>
                    </w:rPr>
                    <w:t>，所用设备不属于《产业结构调整指导目录(20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24</w:t>
                  </w:r>
                  <w:r>
                    <w:rPr>
                      <w:rFonts w:hint="default" w:ascii="Times New Roman" w:hAnsi="Times New Roman" w:eastAsia="宋体" w:cs="Times New Roman"/>
                      <w:color w:val="000000" w:themeColor="text1"/>
                      <w:sz w:val="21"/>
                      <w:szCs w:val="21"/>
                      <w:highlight w:val="none"/>
                      <w14:textFill>
                        <w14:solidFill>
                          <w14:schemeClr w14:val="tx1"/>
                        </w14:solidFill>
                      </w14:textFill>
                    </w:rPr>
                    <w:t>年本)》中</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限制类和</w:t>
                  </w:r>
                  <w:r>
                    <w:rPr>
                      <w:rFonts w:hint="default" w:ascii="Times New Roman" w:hAnsi="Times New Roman" w:eastAsia="宋体" w:cs="Times New Roman"/>
                      <w:color w:val="000000" w:themeColor="text1"/>
                      <w:sz w:val="21"/>
                      <w:szCs w:val="21"/>
                      <w:highlight w:val="none"/>
                      <w14:textFill>
                        <w14:solidFill>
                          <w14:schemeClr w14:val="tx1"/>
                        </w14:solidFill>
                      </w14:textFill>
                    </w:rPr>
                    <w:t>淘汰类设备。</w:t>
                  </w:r>
                </w:p>
              </w:tc>
              <w:tc>
                <w:tcPr>
                  <w:tcW w:w="529" w:type="pct"/>
                  <w:noWrap w:val="0"/>
                  <w:vAlign w:val="center"/>
                </w:tcPr>
                <w:p w14:paraId="11E7AA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en-US"/>
                      <w14:textFill>
                        <w14:solidFill>
                          <w14:schemeClr w14:val="tx1"/>
                        </w14:solidFill>
                      </w14:textFill>
                    </w:rPr>
                    <w:t>符合</w:t>
                  </w:r>
                </w:p>
              </w:tc>
            </w:tr>
            <w:tr w14:paraId="2A2F4845">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1923B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61970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对以煤、石油焦、渣油、重油等为燃料的工业炉窑，加快使用清洁低碳能源以及利用工厂余热、电厂热力等进行替代。坚持"以气定改、先立后破"原则，在确保气源落实的前提下，"先签订供用气合同、后改造工业炉窑"，有序开展工业炉窑改用天然气燃料。玻璃行业全面禁止掺烧高硫石油焦。</w:t>
                  </w:r>
                </w:p>
              </w:tc>
              <w:tc>
                <w:tcPr>
                  <w:tcW w:w="1738" w:type="pct"/>
                  <w:noWrap w:val="0"/>
                  <w:vAlign w:val="center"/>
                </w:tcPr>
                <w:p w14:paraId="0042BB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项目使用电能作为生产能源。</w:t>
                  </w:r>
                </w:p>
              </w:tc>
              <w:tc>
                <w:tcPr>
                  <w:tcW w:w="529" w:type="pct"/>
                  <w:noWrap w:val="0"/>
                  <w:vAlign w:val="center"/>
                </w:tcPr>
                <w:p w14:paraId="6B5E5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6F0265AB">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002A68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38517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生产工艺产尘点(装置)应采取密阅、封阅或设置集气罩等措施。煤粉、粉煤灰、石灰、除尘灰、脱硫灰等粉状物料应密闭或封闭储存，采用密阅皮带、封阅通廊、管状带式输送机或密阅车厢、真空罐车、气力输送等方式输送。粒状、块状物料应采用入棚入仓或建设防风抑尘网等方式进行储存，粒状物料采用密阅、封闭等方式输送。物料输送过程中产尘点应采取有效抑尘措施。</w:t>
                  </w:r>
                </w:p>
              </w:tc>
              <w:tc>
                <w:tcPr>
                  <w:tcW w:w="1738" w:type="pct"/>
                  <w:noWrap w:val="0"/>
                  <w:vAlign w:val="center"/>
                </w:tcPr>
                <w:p w14:paraId="19963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本项目使用中频炉炉盖设置为一体化收尘装置与集气管道相连，熔化加热时炉体为密闭状态，项目煤粉贮存、使用均在密闭设施内贮存、使用，</w:t>
                  </w:r>
                </w:p>
              </w:tc>
              <w:tc>
                <w:tcPr>
                  <w:tcW w:w="529" w:type="pct"/>
                  <w:noWrap w:val="0"/>
                  <w:vAlign w:val="center"/>
                </w:tcPr>
                <w:p w14:paraId="21240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215FBB7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0B1A0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0C5D3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(四)建立工业炉窑管理台账</w:t>
                  </w:r>
                </w:p>
                <w:p w14:paraId="7BC28B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各地要结合第二次全国污染源普查工作，全面深入开展工业炉窑拉网式排查，2019年底前按照"一窑一档"要求分行业和炉窑类型建立详细完善的工业炉窑管理清单，全面掌握工业炉窑使用燃料和原料、治污设施配套建设、标准限值、污染物排放情况等基本信息，实施清单化管理，明确治理要求和时间期限，扎实推进工业炉窑治理。</w:t>
                  </w:r>
                </w:p>
              </w:tc>
              <w:tc>
                <w:tcPr>
                  <w:tcW w:w="1738" w:type="pct"/>
                  <w:noWrap w:val="0"/>
                  <w:vAlign w:val="center"/>
                </w:tcPr>
                <w:p w14:paraId="62BD7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企业按照要求建立工业炉窑管理台账。</w:t>
                  </w:r>
                </w:p>
              </w:tc>
              <w:tc>
                <w:tcPr>
                  <w:tcW w:w="529" w:type="pct"/>
                  <w:noWrap w:val="0"/>
                  <w:vAlign w:val="center"/>
                </w:tcPr>
                <w:p w14:paraId="37D3C6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r w14:paraId="7AAEC84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51" w:type="dxa"/>
                  <w:bottom w:w="0" w:type="dxa"/>
                  <w:right w:w="51" w:type="dxa"/>
                </w:tblCellMar>
              </w:tblPrEx>
              <w:trPr>
                <w:trHeight w:val="340" w:hRule="atLeast"/>
                <w:jc w:val="center"/>
              </w:trPr>
              <w:tc>
                <w:tcPr>
                  <w:tcW w:w="529" w:type="pct"/>
                  <w:vMerge w:val="continue"/>
                  <w:noWrap w:val="0"/>
                  <w:vAlign w:val="center"/>
                </w:tcPr>
                <w:p w14:paraId="5F8AA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2203" w:type="pct"/>
                  <w:shd w:val="clear" w:color="auto" w:fill="auto"/>
                  <w:noWrap w:val="0"/>
                  <w:vAlign w:val="center"/>
                </w:tcPr>
                <w:p w14:paraId="2563E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排气口高度超过45米的高架源，纳入重点排污单位名录，督促企业安装烟气排放自动监控设施。钢铁、焦化、水泥、平板玻璃、陶瓷、氮肥、有色金属冶炼、再生有色金属等行业，严格按照排污许可管理规定安装和运行自动监控设施。加快其他行业工业炉窑大气污染物排放自动监控设施建设，具备条件的企业，应通过分布式控制系统(DCS)等，自动连续记录工业炉窑环保设施运行及相关生产过程主要参数。推进焦炉炉体等关键环节安装视频监控系统。自动监控、DCS监控等数据至少要保存一年，视频监控数据至少要保存三个月。自动监控设施应与生态环境主管部门联网。加强自动监控设施运营维护，数据传输有效率达到90%。</w:t>
                  </w:r>
                </w:p>
              </w:tc>
              <w:tc>
                <w:tcPr>
                  <w:tcW w:w="1738" w:type="pct"/>
                  <w:noWrap w:val="0"/>
                  <w:vAlign w:val="center"/>
                </w:tcPr>
                <w:p w14:paraId="3DDE34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项目废气排放源高度均不超过45m，不属于</w:t>
                  </w:r>
                  <w:r>
                    <w:rPr>
                      <w:rFonts w:hint="default" w:ascii="Times New Roman" w:hAnsi="Times New Roman" w:eastAsia="宋体" w:cs="Times New Roman"/>
                      <w:color w:val="000000" w:themeColor="text1"/>
                      <w:sz w:val="21"/>
                      <w:szCs w:val="21"/>
                      <w:highlight w:val="none"/>
                      <w14:textFill>
                        <w14:solidFill>
                          <w14:schemeClr w14:val="tx1"/>
                        </w14:solidFill>
                      </w14:textFill>
                    </w:rPr>
                    <w:t>钢铁、焦化、水泥、平板玻璃、陶瓷、氮肥、有色金属冶炼、再生有色金属等行业</w:t>
                  </w:r>
                  <w: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项目不在重点区域内。</w:t>
                  </w:r>
                </w:p>
              </w:tc>
              <w:tc>
                <w:tcPr>
                  <w:tcW w:w="529" w:type="pct"/>
                  <w:noWrap w:val="0"/>
                  <w:vAlign w:val="center"/>
                </w:tcPr>
                <w:p w14:paraId="2489D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符合</w:t>
                  </w:r>
                </w:p>
              </w:tc>
            </w:tr>
          </w:tbl>
          <w:p w14:paraId="2B20E57F">
            <w:pPr>
              <w:pStyle w:val="56"/>
              <w:shd w:val="clear" w:color="auto" w:fill="auto"/>
              <w:ind w:firstLine="0" w:firstLineChars="0"/>
              <w:rPr>
                <w:rFonts w:hint="default"/>
                <w:color w:val="000000" w:themeColor="text1"/>
                <w:szCs w:val="21"/>
                <w:highlight w:val="none"/>
                <w14:textFill>
                  <w14:solidFill>
                    <w14:schemeClr w14:val="tx1"/>
                  </w14:solidFill>
                </w14:textFill>
              </w:rPr>
            </w:pPr>
          </w:p>
        </w:tc>
      </w:tr>
    </w:tbl>
    <w:p w14:paraId="1A6EEB36">
      <w:pPr>
        <w:pStyle w:val="2"/>
        <w:shd w:val="clear" w:color="auto" w:fill="auto"/>
        <w:rPr>
          <w:rFonts w:hint="eastAsia"/>
          <w:color w:val="000000" w:themeColor="text1"/>
          <w:highlight w:val="none"/>
          <w14:textFill>
            <w14:solidFill>
              <w14:schemeClr w14:val="tx1"/>
            </w14:solidFill>
          </w14:textFill>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fmt="numberInDash" w:start="1"/>
          <w:cols w:space="720" w:num="1"/>
          <w:docGrid w:type="lines" w:linePitch="312" w:charSpace="0"/>
        </w:sectPr>
      </w:pPr>
      <w:bookmarkStart w:id="1" w:name="_Toc4034"/>
    </w:p>
    <w:p w14:paraId="51304433">
      <w:pPr>
        <w:pStyle w:val="2"/>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二、</w:t>
      </w:r>
      <w:r>
        <w:rPr>
          <w:color w:val="000000" w:themeColor="text1"/>
          <w:highlight w:val="none"/>
          <w14:textFill>
            <w14:solidFill>
              <w14:schemeClr w14:val="tx1"/>
            </w14:solidFill>
          </w14:textFill>
        </w:rPr>
        <w:t>建设项目工程分</w:t>
      </w:r>
      <w:r>
        <w:rPr>
          <w:rFonts w:hint="eastAsia"/>
          <w:color w:val="000000" w:themeColor="text1"/>
          <w:highlight w:val="none"/>
          <w14:textFill>
            <w14:solidFill>
              <w14:schemeClr w14:val="tx1"/>
            </w14:solidFill>
          </w14:textFill>
        </w:rPr>
        <w:t>析</w:t>
      </w:r>
      <w:bookmarkEnd w:id="1"/>
    </w:p>
    <w:tbl>
      <w:tblPr>
        <w:tblStyle w:val="32"/>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89"/>
        <w:gridCol w:w="8133"/>
      </w:tblGrid>
      <w:tr w14:paraId="638652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9" w:type="dxa"/>
            <w:noWrap w:val="0"/>
            <w:vAlign w:val="center"/>
          </w:tcPr>
          <w:p w14:paraId="07DDE662">
            <w:pPr>
              <w:shd w:val="clear" w:color="auto" w:fill="auto"/>
              <w:spacing w:line="240" w:lineRule="auto"/>
              <w:ind w:firstLine="0" w:firstLineChars="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建设内容</w:t>
            </w:r>
          </w:p>
        </w:tc>
        <w:tc>
          <w:tcPr>
            <w:tcW w:w="8133" w:type="dxa"/>
            <w:noWrap w:val="0"/>
            <w:vAlign w:val="center"/>
          </w:tcPr>
          <w:p w14:paraId="125C2FEF">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一、项目由来</w:t>
            </w:r>
          </w:p>
          <w:p w14:paraId="644A70DD">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江西泰银机械制造有限公司</w:t>
            </w:r>
            <w:r>
              <w:rPr>
                <w:rFonts w:hint="eastAsia" w:cs="Times New Roman"/>
                <w:color w:val="000000" w:themeColor="text1"/>
                <w:highlight w:val="none"/>
                <w:lang w:val="en-US" w:eastAsia="zh-CN"/>
                <w14:textFill>
                  <w14:solidFill>
                    <w14:schemeClr w14:val="tx1"/>
                  </w14:solidFill>
                </w14:textFill>
              </w:rPr>
              <w:t>位于</w:t>
            </w:r>
            <w:r>
              <w:rPr>
                <w:rFonts w:hint="default" w:ascii="Times New Roman" w:hAnsi="Times New Roman" w:cs="Times New Roman"/>
                <w:color w:val="000000" w:themeColor="text1"/>
                <w:highlight w:val="none"/>
                <w:lang w:eastAsia="zh-CN"/>
                <w14:textFill>
                  <w14:solidFill>
                    <w14:schemeClr w14:val="tx1"/>
                  </w14:solidFill>
                </w14:textFill>
              </w:rPr>
              <w:t>江西省乐平市汽摩配小镇C10厂房</w:t>
            </w:r>
            <w:r>
              <w:rPr>
                <w:rFonts w:hint="default" w:ascii="Times New Roman" w:hAnsi="Times New Roman" w:cs="Times New Roman"/>
                <w:color w:val="000000" w:themeColor="text1"/>
                <w:highlight w:val="none"/>
                <w14:textFill>
                  <w14:solidFill>
                    <w14:schemeClr w14:val="tx1"/>
                  </w14:solidFill>
                </w14:textFill>
              </w:rPr>
              <w:t>内</w:t>
            </w:r>
            <w:r>
              <w:rPr>
                <w:rFonts w:hint="eastAsia"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eastAsia="zh-CN"/>
                <w14:textFill>
                  <w14:solidFill>
                    <w14:schemeClr w14:val="tx1"/>
                  </w14:solidFill>
                </w14:textFill>
              </w:rPr>
              <w:t>江西省乐平市汽摩配小镇</w:t>
            </w:r>
            <w:r>
              <w:rPr>
                <w:rFonts w:hint="eastAsia" w:ascii="Times New Roman" w:hAnsi="Times New Roman" w:cs="Times New Roman"/>
                <w:color w:val="000000" w:themeColor="text1"/>
                <w:highlight w:val="none"/>
                <w:lang w:val="en-US" w:eastAsia="zh-CN"/>
                <w14:textFill>
                  <w14:solidFill>
                    <w14:schemeClr w14:val="tx1"/>
                  </w14:solidFill>
                </w14:textFill>
              </w:rPr>
              <w:t>位于</w:t>
            </w:r>
            <w:r>
              <w:rPr>
                <w:rFonts w:hint="eastAsia"/>
                <w:color w:val="000000" w:themeColor="text1"/>
                <w:sz w:val="24"/>
                <w:szCs w:val="24"/>
                <w:highlight w:val="none"/>
                <w14:textFill>
                  <w14:solidFill>
                    <w14:schemeClr w14:val="tx1"/>
                  </w14:solidFill>
                </w14:textFill>
              </w:rPr>
              <w:t>金山工业园</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详见附图六</w:t>
            </w:r>
            <w:r>
              <w:rPr>
                <w:rFonts w:hint="eastAsia"/>
                <w:color w:val="000000" w:themeColor="text1"/>
                <w:sz w:val="24"/>
                <w:szCs w:val="24"/>
                <w:highlight w:val="none"/>
                <w:lang w:eastAsia="zh-CN"/>
                <w14:textFill>
                  <w14:solidFill>
                    <w14:schemeClr w14:val="tx1"/>
                  </w14:solidFill>
                </w14:textFill>
              </w:rPr>
              <w:t>），</w:t>
            </w:r>
            <w:r>
              <w:rPr>
                <w:rFonts w:hint="eastAsia"/>
                <w:color w:val="000000" w:themeColor="text1"/>
                <w:sz w:val="24"/>
                <w:szCs w:val="24"/>
                <w:highlight w:val="none"/>
                <w:lang w:val="en-US" w:eastAsia="zh-CN"/>
                <w14:textFill>
                  <w14:solidFill>
                    <w14:schemeClr w14:val="tx1"/>
                  </w14:solidFill>
                </w14:textFill>
              </w:rPr>
              <w:t>项目</w:t>
            </w:r>
            <w:r>
              <w:rPr>
                <w:rFonts w:hint="default" w:ascii="Times New Roman" w:hAnsi="Times New Roman" w:cs="Times New Roman"/>
                <w:color w:val="000000" w:themeColor="text1"/>
                <w:highlight w:val="none"/>
                <w14:textFill>
                  <w14:solidFill>
                    <w14:schemeClr w14:val="tx1"/>
                  </w14:solidFill>
                </w14:textFill>
              </w:rPr>
              <w:t>拟投资</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default" w:ascii="Times New Roman" w:hAnsi="Times New Roman" w:cs="Times New Roman"/>
                <w:color w:val="000000" w:themeColor="text1"/>
                <w:highlight w:val="none"/>
                <w14:textFill>
                  <w14:solidFill>
                    <w14:schemeClr w14:val="tx1"/>
                  </w14:solidFill>
                </w14:textFill>
              </w:rPr>
              <w:t>0000万元</w:t>
            </w:r>
            <w:r>
              <w:rPr>
                <w:rFonts w:hint="eastAsia" w:cs="Times New Roman"/>
                <w:color w:val="000000" w:themeColor="text1"/>
                <w:highlight w:val="none"/>
                <w:lang w:val="en-US" w:eastAsia="zh-CN"/>
                <w14:textFill>
                  <w14:solidFill>
                    <w14:schemeClr w14:val="tx1"/>
                  </w14:solidFill>
                </w14:textFill>
              </w:rPr>
              <w:t>购置中频感应炉、造型机、射芯机、抛丸机、分离钳、机加工设备、树脂砂再生线、粘土砂再生线、涂装等设备，通过熔化</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浇注</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落砂</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剪切</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打磨</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抛丸</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机加工</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清灰</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挂件</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喷漆</w:t>
            </w:r>
            <w:r>
              <w:rPr>
                <w:rFonts w:hint="eastAsia" w:ascii="宋体" w:hAnsi="宋体" w:eastAsia="宋体" w:cs="宋体"/>
                <w:color w:val="000000" w:themeColor="text1"/>
                <w:highlight w:val="none"/>
                <w:lang w:val="en-US" w:eastAsia="zh-CN"/>
                <w14:textFill>
                  <w14:solidFill>
                    <w14:schemeClr w14:val="tx1"/>
                  </w14:solidFill>
                </w14:textFill>
              </w:rPr>
              <w:t>→</w:t>
            </w:r>
            <w:r>
              <w:rPr>
                <w:rFonts w:hint="eastAsia" w:ascii="宋体" w:hAnsi="宋体" w:cs="宋体"/>
                <w:color w:val="000000" w:themeColor="text1"/>
                <w:highlight w:val="none"/>
                <w:lang w:val="en-US" w:eastAsia="zh-CN"/>
                <w14:textFill>
                  <w14:solidFill>
                    <w14:schemeClr w14:val="tx1"/>
                  </w14:solidFill>
                </w14:textFill>
              </w:rPr>
              <w:t>晾干等工序以及砂再生工艺，</w:t>
            </w:r>
            <w:r>
              <w:rPr>
                <w:rFonts w:hint="default" w:ascii="Times New Roman" w:hAnsi="Times New Roman" w:cs="Times New Roman"/>
                <w:color w:val="000000" w:themeColor="text1"/>
                <w:highlight w:val="none"/>
                <w14:textFill>
                  <w14:solidFill>
                    <w14:schemeClr w14:val="tx1"/>
                  </w14:solidFill>
                </w14:textFill>
              </w:rPr>
              <w:t>建设</w:t>
            </w:r>
            <w:r>
              <w:rPr>
                <w:rFonts w:hint="default" w:ascii="Times New Roman" w:hAnsi="Times New Roman" w:cs="Times New Roman"/>
                <w:color w:val="000000" w:themeColor="text1"/>
                <w:highlight w:val="none"/>
                <w:lang w:eastAsia="zh-CN"/>
                <w14:textFill>
                  <w14:solidFill>
                    <w14:schemeClr w14:val="tx1"/>
                  </w14:solidFill>
                </w14:textFill>
              </w:rPr>
              <w:t>江西泰银年产汽车排气歧管60万个和平衡块500万个项目</w:t>
            </w:r>
            <w:r>
              <w:rPr>
                <w:rFonts w:hint="default" w:ascii="Times New Roman" w:hAnsi="Times New Roman" w:cs="Times New Roman"/>
                <w:color w:val="000000" w:themeColor="text1"/>
                <w:highlight w:val="none"/>
                <w14:textFill>
                  <w14:solidFill>
                    <w14:schemeClr w14:val="tx1"/>
                  </w14:solidFill>
                </w14:textFill>
              </w:rPr>
              <w:t>。</w:t>
            </w:r>
          </w:p>
          <w:p w14:paraId="4929974A">
            <w:pPr>
              <w:shd w:val="clear" w:color="auto" w:fill="auto"/>
              <w:ind w:firstLine="480"/>
              <w:jc w:val="both"/>
              <w:rPr>
                <w:rFonts w:hint="default" w:ascii="Times New Roman" w:hAnsi="Times New Roman" w:cs="Times New Roman"/>
                <w:b/>
                <w:bCs/>
                <w:color w:val="000000" w:themeColor="text1"/>
                <w:sz w:val="18"/>
                <w:szCs w:val="18"/>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对照《建设项目环境影响评价分类管理名录》（2021年版），本项目属于“三十三、汽车制造业36—汽车零部件及配件制造367—其他（年用非溶剂型低VOCs含量涂料10吨以下的除外）；三十、金属制品业33—铸造及其他金属制品制造339—其他（仅分割、焊接、组装的除外）</w:t>
            </w:r>
            <w:r>
              <w:rPr>
                <w:rFonts w:hint="default" w:ascii="Times New Roman" w:hAnsi="Times New Roman" w:cs="Times New Roman"/>
                <w:color w:val="000000" w:themeColor="text1"/>
                <w:highlight w:val="none"/>
                <w:lang w:val="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，应编制环境影响报告表</w:t>
            </w:r>
            <w:r>
              <w:rPr>
                <w:rFonts w:hint="default" w:ascii="Times New Roman" w:hAnsi="Times New Roman" w:cs="Times New Roman"/>
                <w:color w:val="000000" w:themeColor="text1"/>
                <w:kern w:val="0"/>
                <w:highlight w:val="none"/>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为此</w:t>
            </w:r>
            <w:r>
              <w:rPr>
                <w:rFonts w:hint="default" w:ascii="Times New Roman" w:hAnsi="Times New Roman" w:cs="Times New Roman"/>
                <w:color w:val="000000" w:themeColor="text1"/>
                <w:kern w:val="21"/>
                <w:highlight w:val="none"/>
                <w:lang w:eastAsia="zh-CN"/>
                <w14:textFill>
                  <w14:solidFill>
                    <w14:schemeClr w14:val="tx1"/>
                  </w14:solidFill>
                </w14:textFill>
              </w:rPr>
              <w:t>江西泰银机械制造有限公司</w:t>
            </w:r>
            <w:r>
              <w:rPr>
                <w:rFonts w:hint="default" w:ascii="Times New Roman" w:hAnsi="Times New Roman" w:cs="Times New Roman"/>
                <w:color w:val="000000" w:themeColor="text1"/>
                <w:highlight w:val="none"/>
                <w14:textFill>
                  <w14:solidFill>
                    <w14:schemeClr w14:val="tx1"/>
                  </w14:solidFill>
                </w14:textFill>
              </w:rPr>
              <w:t>委托江西盛嘉技术咨询服务有限公司进行本项目环境影响报告表的编制工作。环评单位接受委托后，开展了详细的现场调查、资料收集工作，对本项目所在区域的现状环境和可能造成的环境影响进行分析，编制完成了本环境影响报告表，现呈报生态环境部门审批。</w:t>
            </w:r>
          </w:p>
          <w:p w14:paraId="0798A41B">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二、项目建设内容</w:t>
            </w:r>
          </w:p>
          <w:p w14:paraId="6A84AB97">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1、建设规模和工程内容</w:t>
            </w:r>
          </w:p>
          <w:p w14:paraId="13DB74CA">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江西泰银机械制造有限公司</w:t>
            </w:r>
            <w:r>
              <w:rPr>
                <w:rFonts w:hint="default" w:ascii="Times New Roman" w:hAnsi="Times New Roman" w:cs="Times New Roman"/>
                <w:color w:val="000000" w:themeColor="text1"/>
                <w:highlight w:val="none"/>
                <w14:textFill>
                  <w14:solidFill>
                    <w14:schemeClr w14:val="tx1"/>
                  </w14:solidFill>
                </w14:textFill>
              </w:rPr>
              <w:t>购乐平市汽摩配小镇</w:t>
            </w:r>
            <w:r>
              <w:rPr>
                <w:rFonts w:hint="default" w:ascii="Times New Roman" w:hAnsi="Times New Roman" w:cs="Times New Roman"/>
                <w:color w:val="000000" w:themeColor="text1"/>
                <w:highlight w:val="none"/>
                <w:lang w:val="en-US" w:eastAsia="zh-CN"/>
                <w14:textFill>
                  <w14:solidFill>
                    <w14:schemeClr w14:val="tx1"/>
                  </w14:solidFill>
                </w14:textFill>
              </w:rPr>
              <w:t>C</w:t>
            </w:r>
            <w:r>
              <w:rPr>
                <w:rFonts w:hint="default" w:ascii="Times New Roman" w:hAnsi="Times New Roman" w:cs="Times New Roman"/>
                <w:color w:val="000000" w:themeColor="text1"/>
                <w:highlight w:val="none"/>
                <w14:textFill>
                  <w14:solidFill>
                    <w14:schemeClr w14:val="tx1"/>
                  </w14:solidFill>
                </w14:textFill>
              </w:rPr>
              <w:t>10厂房</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该厂房为园区建设标准厂房，本项目依托已建的空置厂房C10车间以及C10和C12中间区域</w:t>
            </w:r>
            <w:r>
              <w:rPr>
                <w:rFonts w:hint="default" w:ascii="Times New Roman" w:hAnsi="Times New Roman" w:cs="Times New Roman"/>
                <w:color w:val="000000" w:themeColor="text1"/>
                <w:highlight w:val="none"/>
                <w14:textFill>
                  <w14:solidFill>
                    <w14:schemeClr w14:val="tx1"/>
                  </w14:solidFill>
                </w14:textFill>
              </w:rPr>
              <w:t>建设</w:t>
            </w:r>
            <w:r>
              <w:rPr>
                <w:rFonts w:hint="default" w:ascii="Times New Roman" w:hAnsi="Times New Roman" w:cs="Times New Roman"/>
                <w:color w:val="000000" w:themeColor="text1"/>
                <w:highlight w:val="none"/>
                <w:lang w:eastAsia="zh-CN"/>
                <w14:textFill>
                  <w14:solidFill>
                    <w14:schemeClr w14:val="tx1"/>
                  </w14:solidFill>
                </w14:textFill>
              </w:rPr>
              <w:t>江西泰银年产汽车排气歧管60万个和平衡块500万个项目</w:t>
            </w:r>
            <w:r>
              <w:rPr>
                <w:rFonts w:hint="default" w:ascii="Times New Roman" w:hAnsi="Times New Roman" w:cs="Times New Roman"/>
                <w:color w:val="000000" w:themeColor="text1"/>
                <w:highlight w:val="none"/>
                <w14:textFill>
                  <w14:solidFill>
                    <w14:schemeClr w14:val="tx1"/>
                  </w14:solidFill>
                </w14:textFill>
              </w:rPr>
              <w:t>，厂房为一层建筑，其中办公区域</w:t>
            </w:r>
            <w:r>
              <w:rPr>
                <w:rFonts w:hint="default" w:ascii="Times New Roman" w:hAnsi="Times New Roman" w:cs="Times New Roman"/>
                <w:color w:val="000000" w:themeColor="text1"/>
                <w:highlight w:val="none"/>
                <w:lang w:eastAsia="zh-CN"/>
                <w14:textFill>
                  <w14:solidFill>
                    <w14:schemeClr w14:val="tx1"/>
                  </w14:solidFill>
                </w14:textFill>
              </w:rPr>
              <w:t>两</w:t>
            </w:r>
            <w:r>
              <w:rPr>
                <w:rFonts w:hint="default" w:ascii="Times New Roman" w:hAnsi="Times New Roman" w:cs="Times New Roman"/>
                <w:color w:val="000000" w:themeColor="text1"/>
                <w:highlight w:val="none"/>
                <w14:textFill>
                  <w14:solidFill>
                    <w14:schemeClr w14:val="tx1"/>
                  </w14:solidFill>
                </w14:textFill>
              </w:rPr>
              <w:t>层</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用地面积</w:t>
            </w:r>
            <w:r>
              <w:rPr>
                <w:rFonts w:hint="eastAsia" w:cs="Times New Roman"/>
                <w:color w:val="000000" w:themeColor="text1"/>
                <w:highlight w:val="none"/>
                <w:lang w:val="en-US" w:eastAsia="zh-CN"/>
                <w14:textFill>
                  <w14:solidFill>
                    <w14:schemeClr w14:val="tx1"/>
                  </w14:solidFill>
                </w14:textFill>
              </w:rPr>
              <w:t>18478.50</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，总建筑面积约</w:t>
            </w:r>
            <w:r>
              <w:rPr>
                <w:rFonts w:hint="default" w:ascii="Times New Roman" w:hAnsi="Times New Roman" w:cs="Times New Roman"/>
                <w:color w:val="000000" w:themeColor="text1"/>
                <w:highlight w:val="none"/>
                <w:lang w:val="en-US" w:eastAsia="zh-CN"/>
                <w14:textFill>
                  <w14:solidFill>
                    <w14:schemeClr w14:val="tx1"/>
                  </w14:solidFill>
                </w14:textFill>
              </w:rPr>
              <w:t>16</w:t>
            </w:r>
            <w:r>
              <w:rPr>
                <w:rFonts w:hint="eastAsia" w:cs="Times New Roman"/>
                <w:color w:val="000000" w:themeColor="text1"/>
                <w:highlight w:val="none"/>
                <w:lang w:val="en-US" w:eastAsia="zh-CN"/>
                <w14:textFill>
                  <w14:solidFill>
                    <w14:schemeClr w14:val="tx1"/>
                  </w14:solidFill>
                </w14:textFill>
              </w:rPr>
              <w:t>21</w:t>
            </w:r>
            <w:r>
              <w:rPr>
                <w:rFonts w:hint="default" w:ascii="Times New Roman" w:hAnsi="Times New Roman" w:cs="Times New Roman"/>
                <w:color w:val="000000" w:themeColor="text1"/>
                <w:highlight w:val="none"/>
                <w:lang w:val="en-US" w:eastAsia="zh-CN"/>
                <w14:textFill>
                  <w14:solidFill>
                    <w14:schemeClr w14:val="tx1"/>
                  </w14:solidFill>
                </w14:textFill>
              </w:rPr>
              <w:t>0</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，项目主要建设内容见表2-1。</w:t>
            </w:r>
          </w:p>
          <w:p w14:paraId="12DA3C54">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表2-1 项目工程组成一览表</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1"/>
              <w:gridCol w:w="1424"/>
              <w:gridCol w:w="4859"/>
              <w:gridCol w:w="913"/>
            </w:tblGrid>
            <w:tr w14:paraId="60634D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noWrap w:val="0"/>
                  <w:vAlign w:val="center"/>
                </w:tcPr>
                <w:p w14:paraId="095F839F">
                  <w:pPr>
                    <w:pStyle w:val="72"/>
                    <w:numPr>
                      <w:ilvl w:val="0"/>
                      <w:numId w:val="0"/>
                    </w:numPr>
                    <w:shd w:val="clear" w:color="auto" w:fill="auto"/>
                    <w:rPr>
                      <w:rFonts w:hint="default" w:ascii="Times New Roman" w:hAnsi="Times New Roman" w:cs="Times New Roman"/>
                      <w:b/>
                      <w:bCs w:val="0"/>
                      <w:color w:val="000000" w:themeColor="text1"/>
                      <w:szCs w:val="21"/>
                      <w:highlight w:val="none"/>
                      <w14:textFill>
                        <w14:solidFill>
                          <w14:schemeClr w14:val="tx1"/>
                        </w14:solidFill>
                      </w14:textFill>
                    </w:rPr>
                  </w:pPr>
                  <w:r>
                    <w:rPr>
                      <w:rFonts w:hint="default" w:ascii="Times New Roman" w:hAnsi="Times New Roman" w:cs="Times New Roman"/>
                      <w:b/>
                      <w:bCs w:val="0"/>
                      <w:color w:val="000000" w:themeColor="text1"/>
                      <w:szCs w:val="21"/>
                      <w:highlight w:val="none"/>
                      <w14:textFill>
                        <w14:solidFill>
                          <w14:schemeClr w14:val="tx1"/>
                        </w14:solidFill>
                      </w14:textFill>
                    </w:rPr>
                    <w:t>类别</w:t>
                  </w:r>
                </w:p>
              </w:tc>
              <w:tc>
                <w:tcPr>
                  <w:tcW w:w="899" w:type="pct"/>
                  <w:noWrap w:val="0"/>
                  <w:vAlign w:val="center"/>
                </w:tcPr>
                <w:p w14:paraId="09D49755">
                  <w:pPr>
                    <w:pStyle w:val="72"/>
                    <w:numPr>
                      <w:ilvl w:val="0"/>
                      <w:numId w:val="0"/>
                    </w:numPr>
                    <w:shd w:val="clear" w:color="auto" w:fill="auto"/>
                    <w:rPr>
                      <w:rFonts w:hint="default" w:ascii="Times New Roman" w:hAnsi="Times New Roman" w:cs="Times New Roman"/>
                      <w:b/>
                      <w:bCs w:val="0"/>
                      <w:color w:val="000000" w:themeColor="text1"/>
                      <w:szCs w:val="21"/>
                      <w:highlight w:val="none"/>
                      <w14:textFill>
                        <w14:solidFill>
                          <w14:schemeClr w14:val="tx1"/>
                        </w14:solidFill>
                      </w14:textFill>
                    </w:rPr>
                  </w:pPr>
                  <w:r>
                    <w:rPr>
                      <w:rFonts w:hint="default" w:ascii="Times New Roman" w:hAnsi="Times New Roman" w:cs="Times New Roman"/>
                      <w:b/>
                      <w:bCs w:val="0"/>
                      <w:color w:val="000000" w:themeColor="text1"/>
                      <w:szCs w:val="21"/>
                      <w:highlight w:val="none"/>
                      <w14:textFill>
                        <w14:solidFill>
                          <w14:schemeClr w14:val="tx1"/>
                        </w14:solidFill>
                      </w14:textFill>
                    </w:rPr>
                    <w:t>名称</w:t>
                  </w:r>
                </w:p>
              </w:tc>
              <w:tc>
                <w:tcPr>
                  <w:tcW w:w="3068" w:type="pct"/>
                  <w:noWrap w:val="0"/>
                  <w:vAlign w:val="center"/>
                </w:tcPr>
                <w:p w14:paraId="5AC4FC0C">
                  <w:pPr>
                    <w:pStyle w:val="72"/>
                    <w:numPr>
                      <w:ilvl w:val="0"/>
                      <w:numId w:val="0"/>
                    </w:numPr>
                    <w:shd w:val="clear" w:color="auto" w:fill="auto"/>
                    <w:rPr>
                      <w:rFonts w:hint="default" w:ascii="Times New Roman" w:hAnsi="Times New Roman" w:cs="Times New Roman"/>
                      <w:b/>
                      <w:bCs w:val="0"/>
                      <w:color w:val="000000" w:themeColor="text1"/>
                      <w:szCs w:val="21"/>
                      <w:highlight w:val="none"/>
                      <w14:textFill>
                        <w14:solidFill>
                          <w14:schemeClr w14:val="tx1"/>
                        </w14:solidFill>
                      </w14:textFill>
                    </w:rPr>
                  </w:pPr>
                  <w:r>
                    <w:rPr>
                      <w:rFonts w:hint="default" w:ascii="Times New Roman" w:hAnsi="Times New Roman" w:cs="Times New Roman"/>
                      <w:b/>
                      <w:bCs w:val="0"/>
                      <w:color w:val="000000" w:themeColor="text1"/>
                      <w:szCs w:val="21"/>
                      <w:highlight w:val="none"/>
                      <w14:textFill>
                        <w14:solidFill>
                          <w14:schemeClr w14:val="tx1"/>
                        </w14:solidFill>
                      </w14:textFill>
                    </w:rPr>
                    <w:t>建设内容</w:t>
                  </w:r>
                </w:p>
              </w:tc>
              <w:tc>
                <w:tcPr>
                  <w:tcW w:w="576" w:type="pct"/>
                  <w:noWrap w:val="0"/>
                  <w:vAlign w:val="center"/>
                </w:tcPr>
                <w:p w14:paraId="20065DDD">
                  <w:pPr>
                    <w:pStyle w:val="72"/>
                    <w:numPr>
                      <w:ilvl w:val="0"/>
                      <w:numId w:val="0"/>
                    </w:numPr>
                    <w:shd w:val="clear" w:color="auto" w:fill="auto"/>
                    <w:rPr>
                      <w:rFonts w:hint="eastAsia" w:ascii="Times New Roman" w:hAnsi="Times New Roman" w:eastAsia="宋体" w:cs="Times New Roman"/>
                      <w:b/>
                      <w:bCs w:val="0"/>
                      <w:color w:val="000000" w:themeColor="text1"/>
                      <w:szCs w:val="21"/>
                      <w:highlight w:val="none"/>
                      <w:lang w:val="en-US" w:eastAsia="zh-CN"/>
                      <w14:textFill>
                        <w14:solidFill>
                          <w14:schemeClr w14:val="tx1"/>
                        </w14:solidFill>
                      </w14:textFill>
                    </w:rPr>
                  </w:pPr>
                  <w:r>
                    <w:rPr>
                      <w:rFonts w:hint="eastAsia" w:cs="Times New Roman"/>
                      <w:b/>
                      <w:bCs w:val="0"/>
                      <w:color w:val="000000" w:themeColor="text1"/>
                      <w:szCs w:val="21"/>
                      <w:highlight w:val="none"/>
                      <w:lang w:val="en-US" w:eastAsia="zh-CN"/>
                      <w14:textFill>
                        <w14:solidFill>
                          <w14:schemeClr w14:val="tx1"/>
                        </w14:solidFill>
                      </w14:textFill>
                    </w:rPr>
                    <w:t>备注</w:t>
                  </w:r>
                </w:p>
              </w:tc>
            </w:tr>
            <w:tr w14:paraId="2E818F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noWrap w:val="0"/>
                  <w:vAlign w:val="center"/>
                </w:tcPr>
                <w:p w14:paraId="2B4F7A3C">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主体工程</w:t>
                  </w:r>
                </w:p>
              </w:tc>
              <w:tc>
                <w:tcPr>
                  <w:tcW w:w="899" w:type="pct"/>
                  <w:noWrap w:val="0"/>
                  <w:vAlign w:val="center"/>
                </w:tcPr>
                <w:p w14:paraId="3A00B73A">
                  <w:pPr>
                    <w:pStyle w:val="72"/>
                    <w:numPr>
                      <w:ilvl w:val="0"/>
                      <w:numId w:val="0"/>
                    </w:numPr>
                    <w:shd w:val="clear" w:color="auto" w:fill="auto"/>
                    <w:rPr>
                      <w:rFonts w:hint="default" w:ascii="Times New Roman" w:hAnsi="Times New Roman" w:eastAsia="宋体" w:cs="Times New Roman"/>
                      <w:b w:val="0"/>
                      <w:bCs/>
                      <w:color w:val="000000" w:themeColor="text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C</w:t>
                  </w:r>
                  <w:r>
                    <w:rPr>
                      <w:rFonts w:hint="default" w:ascii="Times New Roman" w:hAnsi="Times New Roman" w:cs="Times New Roman"/>
                      <w:b w:val="0"/>
                      <w:bCs/>
                      <w:color w:val="000000" w:themeColor="text1"/>
                      <w:szCs w:val="21"/>
                      <w:highlight w:val="none"/>
                      <w14:textFill>
                        <w14:solidFill>
                          <w14:schemeClr w14:val="tx1"/>
                        </w14:solidFill>
                      </w14:textFill>
                    </w:rPr>
                    <w:t>10厂房</w:t>
                  </w: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一层</w:t>
                  </w:r>
                </w:p>
              </w:tc>
              <w:tc>
                <w:tcPr>
                  <w:tcW w:w="3068" w:type="pct"/>
                  <w:noWrap w:val="0"/>
                  <w:vAlign w:val="center"/>
                </w:tcPr>
                <w:p w14:paraId="4BC40CA7">
                  <w:pPr>
                    <w:pStyle w:val="72"/>
                    <w:numPr>
                      <w:ilvl w:val="0"/>
                      <w:numId w:val="0"/>
                    </w:numPr>
                    <w:shd w:val="clear" w:color="auto" w:fill="auto"/>
                    <w:rPr>
                      <w:rFonts w:hint="default" w:ascii="Times New Roman" w:hAnsi="Times New Roman" w:cs="Times New Roman"/>
                      <w:b w:val="0"/>
                      <w:bCs/>
                      <w:color w:val="000000" w:themeColor="text1"/>
                      <w:szCs w:val="21"/>
                      <w:highlight w:val="none"/>
                      <w:lang w:val="en-US"/>
                      <w14:textFill>
                        <w14:solidFill>
                          <w14:schemeClr w14:val="tx1"/>
                        </w14:solidFill>
                      </w14:textFill>
                    </w:rPr>
                  </w:pP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C</w:t>
                  </w:r>
                  <w:r>
                    <w:rPr>
                      <w:rFonts w:hint="default" w:ascii="Times New Roman" w:hAnsi="Times New Roman" w:cs="Times New Roman"/>
                      <w:b w:val="0"/>
                      <w:bCs/>
                      <w:color w:val="000000" w:themeColor="text1"/>
                      <w:szCs w:val="21"/>
                      <w:highlight w:val="none"/>
                      <w14:textFill>
                        <w14:solidFill>
                          <w14:schemeClr w14:val="tx1"/>
                        </w14:solidFill>
                      </w14:textFill>
                    </w:rPr>
                    <w:t>10厂房</w:t>
                  </w: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一层</w:t>
                  </w:r>
                  <w:r>
                    <w:rPr>
                      <w:rFonts w:hint="default" w:ascii="Times New Roman" w:hAnsi="Times New Roman" w:cs="Times New Roman"/>
                      <w:b w:val="0"/>
                      <w:bCs/>
                      <w:color w:val="000000" w:themeColor="text1"/>
                      <w:szCs w:val="21"/>
                      <w:highlight w:val="none"/>
                      <w14:textFill>
                        <w14:solidFill>
                          <w14:schemeClr w14:val="tx1"/>
                        </w14:solidFill>
                      </w14:textFill>
                    </w:rPr>
                    <w:t>，</w:t>
                  </w:r>
                  <w:r>
                    <w:rPr>
                      <w:rFonts w:hint="eastAsia" w:cs="Times New Roman"/>
                      <w:b w:val="0"/>
                      <w:bCs/>
                      <w:color w:val="000000" w:themeColor="text1"/>
                      <w:szCs w:val="21"/>
                      <w:highlight w:val="none"/>
                      <w:lang w:val="en-US" w:eastAsia="zh-CN"/>
                      <w14:textFill>
                        <w14:solidFill>
                          <w14:schemeClr w14:val="tx1"/>
                        </w14:solidFill>
                      </w14:textFill>
                    </w:rPr>
                    <w:t>H12m，</w:t>
                  </w:r>
                  <w:r>
                    <w:rPr>
                      <w:rFonts w:hint="default" w:ascii="Times New Roman" w:hAnsi="Times New Roman" w:cs="Times New Roman"/>
                      <w:b w:val="0"/>
                      <w:bCs/>
                      <w:color w:val="000000" w:themeColor="text1"/>
                      <w:szCs w:val="21"/>
                      <w:highlight w:val="none"/>
                      <w14:textFill>
                        <w14:solidFill>
                          <w14:schemeClr w14:val="tx1"/>
                        </w14:solidFill>
                      </w14:textFill>
                    </w:rPr>
                    <w:t>建筑面积</w:t>
                  </w: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10900</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，主要布置</w:t>
                  </w:r>
                  <w:r>
                    <w:rPr>
                      <w:rFonts w:hint="eastAsia" w:cs="Times New Roman"/>
                      <w:b w:val="0"/>
                      <w:bCs/>
                      <w:color w:val="000000" w:themeColor="text1"/>
                      <w:szCs w:val="21"/>
                      <w:highlight w:val="none"/>
                      <w:lang w:val="en-US" w:eastAsia="zh-CN"/>
                      <w14:textFill>
                        <w14:solidFill>
                          <w14:schemeClr w14:val="tx1"/>
                        </w14:solidFill>
                      </w14:textFill>
                    </w:rPr>
                    <w:t>3台中频感应炉位于车间西侧；2条砂再生线位于车间中部；</w:t>
                  </w:r>
                  <w:r>
                    <w:rPr>
                      <w:rFonts w:hint="default" w:ascii="Times New Roman" w:hAnsi="Times New Roman" w:cs="Times New Roman"/>
                      <w:b w:val="0"/>
                      <w:bCs/>
                      <w:color w:val="000000" w:themeColor="text1"/>
                      <w:szCs w:val="21"/>
                      <w:highlight w:val="none"/>
                      <w14:textFill>
                        <w14:solidFill>
                          <w14:schemeClr w14:val="tx1"/>
                        </w14:solidFill>
                      </w14:textFill>
                    </w:rPr>
                    <w:t>打磨、抛丸</w:t>
                  </w:r>
                  <w:r>
                    <w:rPr>
                      <w:rFonts w:hint="eastAsia" w:cs="Times New Roman"/>
                      <w:b w:val="0"/>
                      <w:bCs/>
                      <w:color w:val="000000" w:themeColor="text1"/>
                      <w:szCs w:val="21"/>
                      <w:highlight w:val="none"/>
                      <w:lang w:val="en-US" w:eastAsia="zh-CN"/>
                      <w14:textFill>
                        <w14:solidFill>
                          <w14:schemeClr w14:val="tx1"/>
                        </w14:solidFill>
                      </w14:textFill>
                    </w:rPr>
                    <w:t>区位于车间西南角；落砂、浇注区位于车间中部；机加工区位于车间东侧。</w:t>
                  </w:r>
                </w:p>
              </w:tc>
              <w:tc>
                <w:tcPr>
                  <w:tcW w:w="576" w:type="pct"/>
                  <w:noWrap w:val="0"/>
                  <w:vAlign w:val="center"/>
                </w:tcPr>
                <w:p w14:paraId="6480CC2D">
                  <w:pPr>
                    <w:pStyle w:val="72"/>
                    <w:numPr>
                      <w:ilvl w:val="0"/>
                      <w:numId w:val="0"/>
                    </w:numPr>
                    <w:shd w:val="clear" w:color="auto" w:fill="auto"/>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401CEA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16" w:hRule="atLeast"/>
                <w:jc w:val="center"/>
              </w:trPr>
              <w:tc>
                <w:tcPr>
                  <w:tcW w:w="455" w:type="pct"/>
                  <w:noWrap w:val="0"/>
                  <w:vAlign w:val="center"/>
                </w:tcPr>
                <w:p w14:paraId="527104B4">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储运工程</w:t>
                  </w:r>
                </w:p>
              </w:tc>
              <w:tc>
                <w:tcPr>
                  <w:tcW w:w="899" w:type="pct"/>
                  <w:noWrap w:val="0"/>
                  <w:vAlign w:val="center"/>
                </w:tcPr>
                <w:p w14:paraId="5C43FBAA">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C10和C12</w:t>
                  </w:r>
                  <w:r>
                    <w:rPr>
                      <w:rFonts w:hint="default" w:ascii="Times New Roman" w:hAnsi="Times New Roman" w:cs="Times New Roman"/>
                      <w:b w:val="0"/>
                      <w:bCs/>
                      <w:color w:val="000000" w:themeColor="text1"/>
                      <w:szCs w:val="21"/>
                      <w:highlight w:val="none"/>
                      <w14:textFill>
                        <w14:solidFill>
                          <w14:schemeClr w14:val="tx1"/>
                        </w14:solidFill>
                      </w14:textFill>
                    </w:rPr>
                    <w:t>中间区域</w:t>
                  </w:r>
                </w:p>
              </w:tc>
              <w:tc>
                <w:tcPr>
                  <w:tcW w:w="3068" w:type="pct"/>
                  <w:noWrap w:val="0"/>
                  <w:vAlign w:val="center"/>
                </w:tcPr>
                <w:p w14:paraId="39DBD97C">
                  <w:pPr>
                    <w:pStyle w:val="72"/>
                    <w:numPr>
                      <w:ilvl w:val="0"/>
                      <w:numId w:val="0"/>
                    </w:numPr>
                    <w:shd w:val="clear" w:color="auto" w:fill="auto"/>
                    <w:rPr>
                      <w:rFonts w:hint="eastAsia" w:ascii="Times New Roman" w:hAnsi="Times New Roman" w:eastAsia="宋体" w:cs="Times New Roman"/>
                      <w:b w:val="0"/>
                      <w:bCs/>
                      <w:color w:val="000000" w:themeColor="text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H12m，</w:t>
                  </w:r>
                  <w:r>
                    <w:rPr>
                      <w:rFonts w:hint="default" w:ascii="Times New Roman" w:hAnsi="Times New Roman" w:cs="Times New Roman"/>
                      <w:b w:val="0"/>
                      <w:bCs/>
                      <w:color w:val="000000" w:themeColor="text1"/>
                      <w:szCs w:val="21"/>
                      <w:highlight w:val="none"/>
                      <w14:textFill>
                        <w14:solidFill>
                          <w14:schemeClr w14:val="tx1"/>
                        </w14:solidFill>
                      </w14:textFill>
                    </w:rPr>
                    <w:t>建筑面积</w:t>
                  </w: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约31</w:t>
                  </w:r>
                  <w:r>
                    <w:rPr>
                      <w:rFonts w:hint="eastAsia" w:cs="Times New Roman"/>
                      <w:b w:val="0"/>
                      <w:bCs/>
                      <w:color w:val="000000" w:themeColor="text1"/>
                      <w:szCs w:val="21"/>
                      <w:highlight w:val="none"/>
                      <w:lang w:val="en-US" w:eastAsia="zh-CN"/>
                      <w14:textFill>
                        <w14:solidFill>
                          <w14:schemeClr w14:val="tx1"/>
                        </w14:solidFill>
                      </w14:textFill>
                    </w:rPr>
                    <w:t>3</w:t>
                  </w:r>
                  <w:r>
                    <w:rPr>
                      <w:rFonts w:hint="default" w:ascii="Times New Roman" w:hAnsi="Times New Roman" w:cs="Times New Roman"/>
                      <w:b w:val="0"/>
                      <w:bCs/>
                      <w:color w:val="000000" w:themeColor="text1"/>
                      <w:szCs w:val="21"/>
                      <w:highlight w:val="none"/>
                      <w:lang w:val="en-US" w:eastAsia="zh-CN"/>
                      <w14:textFill>
                        <w14:solidFill>
                          <w14:schemeClr w14:val="tx1"/>
                        </w14:solidFill>
                      </w14:textFill>
                    </w:rPr>
                    <w:t>0</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，主要布置</w:t>
                  </w:r>
                  <w:r>
                    <w:rPr>
                      <w:rFonts w:hint="eastAsia" w:cs="Times New Roman"/>
                      <w:b w:val="0"/>
                      <w:bCs/>
                      <w:color w:val="000000" w:themeColor="text1"/>
                      <w:szCs w:val="21"/>
                      <w:highlight w:val="none"/>
                      <w:lang w:val="en-US" w:eastAsia="zh-CN"/>
                      <w14:textFill>
                        <w14:solidFill>
                          <w14:schemeClr w14:val="tx1"/>
                        </w14:solidFill>
                      </w14:textFill>
                    </w:rPr>
                    <w:t>成品区、原料区、危化品库。成品区建筑面积约1240</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w:t>
                  </w:r>
                  <w:r>
                    <w:rPr>
                      <w:rFonts w:hint="eastAsia" w:ascii="Times New Roman" w:hAnsi="Times New Roman" w:cs="Times New Roman"/>
                      <w:b w:val="0"/>
                      <w:bCs/>
                      <w:color w:val="000000" w:themeColor="text1"/>
                      <w:szCs w:val="21"/>
                      <w:highlight w:val="none"/>
                      <w:lang w:val="en-US" w:eastAsia="zh-CN"/>
                      <w14:textFill>
                        <w14:solidFill>
                          <w14:schemeClr w14:val="tx1"/>
                        </w14:solidFill>
                      </w14:textFill>
                    </w:rPr>
                    <w:t>原料区建筑面积约510</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w:t>
                  </w:r>
                  <w:r>
                    <w:rPr>
                      <w:rFonts w:hint="eastAsia" w:ascii="Times New Roman" w:hAnsi="Times New Roman" w:cs="Times New Roman"/>
                      <w:b w:val="0"/>
                      <w:bCs/>
                      <w:color w:val="000000" w:themeColor="text1"/>
                      <w:szCs w:val="21"/>
                      <w:highlight w:val="none"/>
                      <w:lang w:val="en-US" w:eastAsia="zh-CN"/>
                      <w14:textFill>
                        <w14:solidFill>
                          <w14:schemeClr w14:val="tx1"/>
                        </w14:solidFill>
                      </w14:textFill>
                    </w:rPr>
                    <w:t>危化品库建筑面积约46</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eastAsia" w:ascii="Times New Roman" w:hAnsi="Times New Roman" w:cs="Times New Roman"/>
                      <w:b w:val="0"/>
                      <w:bCs/>
                      <w:color w:val="000000" w:themeColor="text1"/>
                      <w:szCs w:val="21"/>
                      <w:highlight w:val="none"/>
                      <w:lang w:eastAsia="zh-CN"/>
                      <w14:textFill>
                        <w14:solidFill>
                          <w14:schemeClr w14:val="tx1"/>
                        </w14:solidFill>
                      </w14:textFill>
                    </w:rPr>
                    <w:t>。</w:t>
                  </w:r>
                </w:p>
              </w:tc>
              <w:tc>
                <w:tcPr>
                  <w:tcW w:w="576" w:type="pct"/>
                  <w:noWrap w:val="0"/>
                  <w:vAlign w:val="center"/>
                </w:tcPr>
                <w:p w14:paraId="2AF77B00">
                  <w:pPr>
                    <w:pStyle w:val="72"/>
                    <w:numPr>
                      <w:ilvl w:val="0"/>
                      <w:numId w:val="0"/>
                    </w:numPr>
                    <w:shd w:val="clear" w:color="auto" w:fill="auto"/>
                    <w:rPr>
                      <w:rFonts w:hint="default" w:cs="Times New Roman"/>
                      <w:b w:val="0"/>
                      <w:bCs/>
                      <w:color w:val="000000" w:themeColor="text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22EEE6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noWrap w:val="0"/>
                  <w:vAlign w:val="center"/>
                </w:tcPr>
                <w:p w14:paraId="6A52F851">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辅助工程</w:t>
                  </w:r>
                </w:p>
              </w:tc>
              <w:tc>
                <w:tcPr>
                  <w:tcW w:w="899" w:type="pct"/>
                  <w:noWrap w:val="0"/>
                  <w:vAlign w:val="center"/>
                </w:tcPr>
                <w:p w14:paraId="3E0DA991">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办公区</w:t>
                  </w:r>
                </w:p>
              </w:tc>
              <w:tc>
                <w:tcPr>
                  <w:tcW w:w="3068" w:type="pct"/>
                  <w:noWrap w:val="0"/>
                  <w:vAlign w:val="center"/>
                </w:tcPr>
                <w:p w14:paraId="7CE6B793">
                  <w:pPr>
                    <w:pStyle w:val="72"/>
                    <w:numPr>
                      <w:ilvl w:val="0"/>
                      <w:numId w:val="0"/>
                    </w:numPr>
                    <w:shd w:val="clear" w:color="auto" w:fill="auto"/>
                    <w:rPr>
                      <w:rFonts w:hint="default" w:ascii="Times New Roman" w:hAnsi="Times New Roman" w:eastAsia="宋体" w:cs="Times New Roman"/>
                      <w:b w:val="0"/>
                      <w:bCs/>
                      <w:color w:val="000000" w:themeColor="text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位于</w:t>
                  </w:r>
                  <w:r>
                    <w:rPr>
                      <w:rFonts w:hint="eastAsia" w:cs="Times New Roman"/>
                      <w:b w:val="0"/>
                      <w:bCs/>
                      <w:color w:val="000000" w:themeColor="text1"/>
                      <w:szCs w:val="21"/>
                      <w:highlight w:val="none"/>
                      <w:lang w:val="en-US" w:eastAsia="zh-CN"/>
                      <w14:textFill>
                        <w14:solidFill>
                          <w14:schemeClr w14:val="tx1"/>
                        </w14:solidFill>
                      </w14:textFill>
                    </w:rPr>
                    <w:t>C</w:t>
                  </w:r>
                  <w:r>
                    <w:rPr>
                      <w:rFonts w:hint="default" w:ascii="Times New Roman" w:hAnsi="Times New Roman" w:cs="Times New Roman"/>
                      <w:b w:val="0"/>
                      <w:bCs/>
                      <w:color w:val="000000" w:themeColor="text1"/>
                      <w:szCs w:val="21"/>
                      <w:highlight w:val="none"/>
                      <w14:textFill>
                        <w14:solidFill>
                          <w14:schemeClr w14:val="tx1"/>
                        </w14:solidFill>
                      </w14:textFill>
                    </w:rPr>
                    <w:t>1</w:t>
                  </w:r>
                  <w:r>
                    <w:rPr>
                      <w:rFonts w:hint="eastAsia" w:cs="Times New Roman"/>
                      <w:b w:val="0"/>
                      <w:bCs/>
                      <w:color w:val="000000" w:themeColor="text1"/>
                      <w:szCs w:val="21"/>
                      <w:highlight w:val="none"/>
                      <w:lang w:val="en-US" w:eastAsia="zh-CN"/>
                      <w14:textFill>
                        <w14:solidFill>
                          <w14:schemeClr w14:val="tx1"/>
                        </w14:solidFill>
                      </w14:textFill>
                    </w:rPr>
                    <w:t>0</w:t>
                  </w:r>
                  <w:r>
                    <w:rPr>
                      <w:rFonts w:hint="default" w:ascii="Times New Roman" w:hAnsi="Times New Roman" w:cs="Times New Roman"/>
                      <w:b w:val="0"/>
                      <w:bCs/>
                      <w:color w:val="000000" w:themeColor="text1"/>
                      <w:szCs w:val="21"/>
                      <w:highlight w:val="none"/>
                      <w14:textFill>
                        <w14:solidFill>
                          <w14:schemeClr w14:val="tx1"/>
                        </w14:solidFill>
                      </w14:textFill>
                    </w:rPr>
                    <w:t>厂房东侧，</w:t>
                  </w:r>
                  <w:r>
                    <w:rPr>
                      <w:rFonts w:hint="eastAsia" w:cs="Times New Roman"/>
                      <w:b w:val="0"/>
                      <w:bCs/>
                      <w:color w:val="000000" w:themeColor="text1"/>
                      <w:szCs w:val="21"/>
                      <w:highlight w:val="none"/>
                      <w:lang w:val="en-US" w:eastAsia="zh-CN"/>
                      <w14:textFill>
                        <w14:solidFill>
                          <w14:schemeClr w14:val="tx1"/>
                        </w14:solidFill>
                      </w14:textFill>
                    </w:rPr>
                    <w:t>二</w:t>
                  </w:r>
                  <w:r>
                    <w:rPr>
                      <w:rFonts w:hint="default" w:ascii="Times New Roman" w:hAnsi="Times New Roman" w:cs="Times New Roman"/>
                      <w:b w:val="0"/>
                      <w:bCs/>
                      <w:color w:val="000000" w:themeColor="text1"/>
                      <w:szCs w:val="21"/>
                      <w:highlight w:val="none"/>
                      <w14:textFill>
                        <w14:solidFill>
                          <w14:schemeClr w14:val="tx1"/>
                        </w14:solidFill>
                      </w14:textFill>
                    </w:rPr>
                    <w:t>层</w:t>
                  </w:r>
                  <w:r>
                    <w:rPr>
                      <w:rFonts w:hint="default" w:ascii="Times New Roman" w:hAnsi="Times New Roman" w:cs="Times New Roman"/>
                      <w:b w:val="0"/>
                      <w:bCs/>
                      <w:color w:val="000000" w:themeColor="text1"/>
                      <w:szCs w:val="21"/>
                      <w:highlight w:val="none"/>
                      <w:lang w:eastAsia="zh-CN"/>
                      <w14:textFill>
                        <w14:solidFill>
                          <w14:schemeClr w14:val="tx1"/>
                        </w14:solidFill>
                      </w14:textFill>
                    </w:rPr>
                    <w:t>，</w:t>
                  </w:r>
                  <w:r>
                    <w:rPr>
                      <w:rFonts w:hint="default" w:ascii="Times New Roman" w:hAnsi="Times New Roman" w:cs="Times New Roman"/>
                      <w:b w:val="0"/>
                      <w:bCs/>
                      <w:color w:val="000000" w:themeColor="text1"/>
                      <w:szCs w:val="21"/>
                      <w:highlight w:val="none"/>
                      <w14:textFill>
                        <w14:solidFill>
                          <w14:schemeClr w14:val="tx1"/>
                        </w14:solidFill>
                      </w14:textFill>
                    </w:rPr>
                    <w:t>建筑面积</w:t>
                  </w:r>
                  <w:r>
                    <w:rPr>
                      <w:rFonts w:hint="eastAsia" w:cs="Times New Roman"/>
                      <w:b w:val="0"/>
                      <w:bCs/>
                      <w:color w:val="000000" w:themeColor="text1"/>
                      <w:szCs w:val="21"/>
                      <w:highlight w:val="none"/>
                      <w:lang w:val="en-US" w:eastAsia="zh-CN"/>
                      <w14:textFill>
                        <w14:solidFill>
                          <w14:schemeClr w14:val="tx1"/>
                        </w14:solidFill>
                      </w14:textFill>
                    </w:rPr>
                    <w:t>2180</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，用于员工办公、用餐</w:t>
                  </w:r>
                  <w:r>
                    <w:rPr>
                      <w:rFonts w:hint="eastAsia" w:cs="Times New Roman"/>
                      <w:b w:val="0"/>
                      <w:bCs/>
                      <w:color w:val="000000" w:themeColor="text1"/>
                      <w:szCs w:val="21"/>
                      <w:highlight w:val="none"/>
                      <w:lang w:eastAsia="zh-CN"/>
                      <w14:textFill>
                        <w14:solidFill>
                          <w14:schemeClr w14:val="tx1"/>
                        </w14:solidFill>
                      </w14:textFill>
                    </w:rPr>
                    <w:t>、</w:t>
                  </w:r>
                  <w:r>
                    <w:rPr>
                      <w:rFonts w:hint="eastAsia" w:cs="Times New Roman"/>
                      <w:b w:val="0"/>
                      <w:bCs/>
                      <w:color w:val="000000" w:themeColor="text1"/>
                      <w:szCs w:val="21"/>
                      <w:highlight w:val="none"/>
                      <w:lang w:val="en-US" w:eastAsia="zh-CN"/>
                      <w14:textFill>
                        <w14:solidFill>
                          <w14:schemeClr w14:val="tx1"/>
                        </w14:solidFill>
                      </w14:textFill>
                    </w:rPr>
                    <w:t>临时休息。</w:t>
                  </w:r>
                </w:p>
              </w:tc>
              <w:tc>
                <w:tcPr>
                  <w:tcW w:w="576" w:type="pct"/>
                  <w:noWrap w:val="0"/>
                  <w:vAlign w:val="center"/>
                </w:tcPr>
                <w:p w14:paraId="12A6452E">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73D8FF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restart"/>
                  <w:noWrap w:val="0"/>
                  <w:vAlign w:val="center"/>
                </w:tcPr>
                <w:p w14:paraId="151441ED">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公用工程</w:t>
                  </w:r>
                </w:p>
              </w:tc>
              <w:tc>
                <w:tcPr>
                  <w:tcW w:w="899" w:type="pct"/>
                  <w:noWrap w:val="0"/>
                  <w:vAlign w:val="center"/>
                </w:tcPr>
                <w:p w14:paraId="6C334DCF">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供水</w:t>
                  </w:r>
                </w:p>
              </w:tc>
              <w:tc>
                <w:tcPr>
                  <w:tcW w:w="3068" w:type="pct"/>
                  <w:noWrap w:val="0"/>
                  <w:vAlign w:val="center"/>
                </w:tcPr>
                <w:p w14:paraId="653056E7">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供水由园区自来水管网提供，项目用水14389.43m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3</w:t>
                  </w:r>
                  <w:r>
                    <w:rPr>
                      <w:rFonts w:hint="default" w:ascii="Times New Roman" w:hAnsi="Times New Roman" w:cs="Times New Roman"/>
                      <w:b w:val="0"/>
                      <w:bCs/>
                      <w:color w:val="000000" w:themeColor="text1"/>
                      <w:szCs w:val="21"/>
                      <w:highlight w:val="none"/>
                      <w14:textFill>
                        <w14:solidFill>
                          <w14:schemeClr w14:val="tx1"/>
                        </w14:solidFill>
                      </w14:textFill>
                    </w:rPr>
                    <w:t>/a。</w:t>
                  </w:r>
                </w:p>
              </w:tc>
              <w:tc>
                <w:tcPr>
                  <w:tcW w:w="576" w:type="pct"/>
                  <w:noWrap w:val="0"/>
                  <w:vAlign w:val="center"/>
                </w:tcPr>
                <w:p w14:paraId="5B6AF1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30959F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72034B31">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1C218656">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供电</w:t>
                  </w:r>
                </w:p>
              </w:tc>
              <w:tc>
                <w:tcPr>
                  <w:tcW w:w="3068" w:type="pct"/>
                  <w:noWrap w:val="0"/>
                  <w:vAlign w:val="center"/>
                </w:tcPr>
                <w:p w14:paraId="0DDB88BD">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用电由乐平市供电公司提供，年用电量400万kW·h。</w:t>
                  </w:r>
                </w:p>
              </w:tc>
              <w:tc>
                <w:tcPr>
                  <w:tcW w:w="576" w:type="pct"/>
                  <w:noWrap w:val="0"/>
                  <w:vAlign w:val="center"/>
                </w:tcPr>
                <w:p w14:paraId="7EA918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636B6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restart"/>
                  <w:noWrap w:val="0"/>
                  <w:vAlign w:val="center"/>
                </w:tcPr>
                <w:p w14:paraId="06C3A4E8">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环保工程</w:t>
                  </w:r>
                </w:p>
              </w:tc>
              <w:tc>
                <w:tcPr>
                  <w:tcW w:w="899" w:type="pct"/>
                  <w:noWrap w:val="0"/>
                  <w:vAlign w:val="center"/>
                </w:tcPr>
                <w:p w14:paraId="7C835DEB">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废水</w:t>
                  </w:r>
                </w:p>
              </w:tc>
              <w:tc>
                <w:tcPr>
                  <w:tcW w:w="3068" w:type="pct"/>
                  <w:noWrap w:val="0"/>
                  <w:vAlign w:val="center"/>
                </w:tcPr>
                <w:p w14:paraId="7AC52349">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生活污水近期经</w:t>
                  </w:r>
                  <w:r>
                    <w:rPr>
                      <w:rFonts w:hint="default" w:ascii="Times New Roman" w:hAnsi="Times New Roman" w:cs="Times New Roman"/>
                      <w:b w:val="0"/>
                      <w:bCs w:val="0"/>
                      <w:color w:val="000000" w:themeColor="text1"/>
                      <w:sz w:val="21"/>
                      <w:szCs w:val="21"/>
                      <w:highlight w:val="none"/>
                      <w14:textFill>
                        <w14:solidFill>
                          <w14:schemeClr w14:val="tx1"/>
                        </w14:solidFill>
                      </w14:textFill>
                    </w:rPr>
                    <w:t>隔油池+化粪池+一体化污水处理设施</w:t>
                  </w:r>
                  <w:r>
                    <w:rPr>
                      <w:rFonts w:hint="default" w:ascii="Times New Roman" w:hAnsi="Times New Roman" w:cs="Times New Roman"/>
                      <w:b w:val="0"/>
                      <w:bCs/>
                      <w:color w:val="000000" w:themeColor="text1"/>
                      <w:szCs w:val="21"/>
                      <w:highlight w:val="none"/>
                      <w14:textFill>
                        <w14:solidFill>
                          <w14:schemeClr w14:val="tx1"/>
                        </w14:solidFill>
                      </w14:textFill>
                    </w:rPr>
                    <w:t>处理，达到《污水综合排放标准》（GB8978-1996）表4中一级标准后排入园区管网，最终排入乐安河；远期待金山工业园污水处理厂正式投运后，经隔油池+化粪池+一体化污水处理设施处理后排入金山工业园污水处理厂，处理达到《城镇污水处理厂污染物排放标准》（GB18918-2002）一级A标准后外排至乐安河。</w:t>
                  </w:r>
                </w:p>
              </w:tc>
              <w:tc>
                <w:tcPr>
                  <w:tcW w:w="576" w:type="pct"/>
                  <w:noWrap w:val="0"/>
                  <w:vAlign w:val="center"/>
                </w:tcPr>
                <w:p w14:paraId="100D1E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6FF6DD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603A14A1">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484227B9">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废气</w:t>
                  </w:r>
                </w:p>
              </w:tc>
              <w:tc>
                <w:tcPr>
                  <w:tcW w:w="3068" w:type="pct"/>
                  <w:noWrap w:val="0"/>
                  <w:vAlign w:val="center"/>
                </w:tcPr>
                <w:p w14:paraId="51E14DED">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金属熔化废气：一体化收尘+耐高温布袋除尘器+18m排气筒DA001</w:t>
                  </w:r>
                  <w:r>
                    <w:rPr>
                      <w:rFonts w:hint="eastAsia" w:cs="Times New Roman"/>
                      <w:b w:val="0"/>
                      <w:bCs/>
                      <w:color w:val="000000" w:themeColor="text1"/>
                      <w:szCs w:val="21"/>
                      <w:highlight w:val="none"/>
                      <w:lang w:eastAsia="zh-CN"/>
                      <w14:textFill>
                        <w14:solidFill>
                          <w14:schemeClr w14:val="tx1"/>
                        </w14:solidFill>
                      </w14:textFill>
                    </w:rPr>
                    <w:t>；</w:t>
                  </w:r>
                </w:p>
                <w:p w14:paraId="4D64D7D5">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造型/制芯废气、浇注废气：集气罩+布袋除尘器+三级活性炭+18m排气筒DA002</w:t>
                  </w:r>
                  <w:r>
                    <w:rPr>
                      <w:rFonts w:hint="eastAsia" w:cs="Times New Roman"/>
                      <w:b w:val="0"/>
                      <w:bCs/>
                      <w:color w:val="000000" w:themeColor="text1"/>
                      <w:szCs w:val="21"/>
                      <w:highlight w:val="none"/>
                      <w:lang w:eastAsia="zh-CN"/>
                      <w14:textFill>
                        <w14:solidFill>
                          <w14:schemeClr w14:val="tx1"/>
                        </w14:solidFill>
                      </w14:textFill>
                    </w:rPr>
                    <w:t>；</w:t>
                  </w:r>
                </w:p>
                <w:p w14:paraId="19D6C09A">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落砂废气：密闭收集+布袋除尘器+18m排气筒DA003</w:t>
                  </w:r>
                  <w:r>
                    <w:rPr>
                      <w:rFonts w:hint="eastAsia" w:cs="Times New Roman"/>
                      <w:b w:val="0"/>
                      <w:bCs/>
                      <w:color w:val="000000" w:themeColor="text1"/>
                      <w:szCs w:val="21"/>
                      <w:highlight w:val="none"/>
                      <w:lang w:eastAsia="zh-CN"/>
                      <w14:textFill>
                        <w14:solidFill>
                          <w14:schemeClr w14:val="tx1"/>
                        </w14:solidFill>
                      </w14:textFill>
                    </w:rPr>
                    <w:t>；</w:t>
                  </w:r>
                </w:p>
                <w:p w14:paraId="36E56E24">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树脂砂再生处理废气：密闭收集+袋式除尘+二级活性炭+18m排气筒DA004</w:t>
                  </w:r>
                  <w:r>
                    <w:rPr>
                      <w:rFonts w:hint="eastAsia" w:cs="Times New Roman"/>
                      <w:b w:val="0"/>
                      <w:bCs/>
                      <w:color w:val="000000" w:themeColor="text1"/>
                      <w:szCs w:val="21"/>
                      <w:highlight w:val="none"/>
                      <w:lang w:eastAsia="zh-CN"/>
                      <w14:textFill>
                        <w14:solidFill>
                          <w14:schemeClr w14:val="tx1"/>
                        </w14:solidFill>
                      </w14:textFill>
                    </w:rPr>
                    <w:t>；</w:t>
                  </w:r>
                </w:p>
                <w:p w14:paraId="0C8A1F49">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粘土砂再生处理废气：密闭收集+袋式除尘+18m排气筒DA005</w:t>
                  </w:r>
                  <w:r>
                    <w:rPr>
                      <w:rFonts w:hint="eastAsia" w:cs="Times New Roman"/>
                      <w:b w:val="0"/>
                      <w:bCs/>
                      <w:color w:val="000000" w:themeColor="text1"/>
                      <w:szCs w:val="21"/>
                      <w:highlight w:val="none"/>
                      <w:lang w:eastAsia="zh-CN"/>
                      <w14:textFill>
                        <w14:solidFill>
                          <w14:schemeClr w14:val="tx1"/>
                        </w14:solidFill>
                      </w14:textFill>
                    </w:rPr>
                    <w:t>；</w:t>
                  </w:r>
                </w:p>
                <w:p w14:paraId="78B3586C">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打磨/抛丸粉尘：集气罩和密闭收集+布袋除尘器+18m排气筒DA006</w:t>
                  </w:r>
                  <w:r>
                    <w:rPr>
                      <w:rFonts w:hint="eastAsia" w:cs="Times New Roman"/>
                      <w:b w:val="0"/>
                      <w:bCs/>
                      <w:color w:val="000000" w:themeColor="text1"/>
                      <w:szCs w:val="21"/>
                      <w:highlight w:val="none"/>
                      <w:lang w:eastAsia="zh-CN"/>
                      <w14:textFill>
                        <w14:solidFill>
                          <w14:schemeClr w14:val="tx1"/>
                        </w14:solidFill>
                      </w14:textFill>
                    </w:rPr>
                    <w:t>；</w:t>
                  </w:r>
                </w:p>
                <w:p w14:paraId="3AEF9EF2">
                  <w:pPr>
                    <w:pStyle w:val="72"/>
                    <w:numPr>
                      <w:ilvl w:val="0"/>
                      <w:numId w:val="0"/>
                    </w:numPr>
                    <w:shd w:val="clear" w:color="auto" w:fill="auto"/>
                    <w:jc w:val="left"/>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喷漆、晾干废气：密闭收集+水帘柜+干式过滤器+</w:t>
                  </w:r>
                  <w:r>
                    <w:rPr>
                      <w:rFonts w:hint="eastAsia" w:cs="Times New Roman"/>
                      <w:b w:val="0"/>
                      <w:bCs/>
                      <w:color w:val="000000" w:themeColor="text1"/>
                      <w:szCs w:val="21"/>
                      <w:highlight w:val="none"/>
                      <w:lang w:val="en-US" w:eastAsia="zh-CN"/>
                      <w14:textFill>
                        <w14:solidFill>
                          <w14:schemeClr w14:val="tx1"/>
                        </w14:solidFill>
                      </w14:textFill>
                    </w:rPr>
                    <w:t>二</w:t>
                  </w:r>
                  <w:r>
                    <w:rPr>
                      <w:rFonts w:hint="default" w:ascii="Times New Roman" w:hAnsi="Times New Roman" w:cs="Times New Roman"/>
                      <w:b w:val="0"/>
                      <w:bCs/>
                      <w:color w:val="000000" w:themeColor="text1"/>
                      <w:szCs w:val="21"/>
                      <w:highlight w:val="none"/>
                      <w14:textFill>
                        <w14:solidFill>
                          <w14:schemeClr w14:val="tx1"/>
                        </w14:solidFill>
                      </w14:textFill>
                    </w:rPr>
                    <w:t>级活性炭吸附+18m排气筒DA007</w:t>
                  </w:r>
                  <w:r>
                    <w:rPr>
                      <w:rFonts w:hint="eastAsia" w:cs="Times New Roman"/>
                      <w:b w:val="0"/>
                      <w:bCs/>
                      <w:color w:val="000000" w:themeColor="text1"/>
                      <w:szCs w:val="21"/>
                      <w:highlight w:val="none"/>
                      <w:lang w:eastAsia="zh-CN"/>
                      <w14:textFill>
                        <w14:solidFill>
                          <w14:schemeClr w14:val="tx1"/>
                        </w14:solidFill>
                      </w14:textFill>
                    </w:rPr>
                    <w:t>。</w:t>
                  </w:r>
                </w:p>
              </w:tc>
              <w:tc>
                <w:tcPr>
                  <w:tcW w:w="576" w:type="pct"/>
                  <w:noWrap w:val="0"/>
                  <w:vAlign w:val="center"/>
                </w:tcPr>
                <w:p w14:paraId="31BF1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36E0E2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57D33AAC">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6984C329">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噪声</w:t>
                  </w:r>
                </w:p>
              </w:tc>
              <w:tc>
                <w:tcPr>
                  <w:tcW w:w="3068" w:type="pct"/>
                  <w:noWrap w:val="0"/>
                  <w:vAlign w:val="center"/>
                </w:tcPr>
                <w:p w14:paraId="6197ABF8">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ascii="宋体" w:hAnsi="宋体" w:eastAsia="宋体" w:cs="宋体"/>
                      <w:b w:val="0"/>
                      <w:bCs/>
                      <w:color w:val="000000" w:themeColor="text1"/>
                      <w:szCs w:val="21"/>
                      <w:highlight w:val="none"/>
                      <w14:textFill>
                        <w14:solidFill>
                          <w14:schemeClr w14:val="tx1"/>
                        </w14:solidFill>
                      </w14:textFill>
                    </w:rPr>
                    <w:t>①</w:t>
                  </w:r>
                  <w:r>
                    <w:rPr>
                      <w:rFonts w:hint="default" w:ascii="Times New Roman" w:hAnsi="Times New Roman" w:cs="Times New Roman"/>
                      <w:b w:val="0"/>
                      <w:bCs/>
                      <w:color w:val="000000" w:themeColor="text1"/>
                      <w:szCs w:val="21"/>
                      <w:highlight w:val="none"/>
                      <w14:textFill>
                        <w14:solidFill>
                          <w14:schemeClr w14:val="tx1"/>
                        </w14:solidFill>
                      </w14:textFill>
                    </w:rPr>
                    <w:t>选用低噪设备</w:t>
                  </w:r>
                  <w:r>
                    <w:rPr>
                      <w:rFonts w:hint="eastAsia" w:ascii="Times New Roman" w:hAnsi="Times New Roman" w:cs="Times New Roman"/>
                      <w:b w:val="0"/>
                      <w:bCs/>
                      <w:color w:val="000000" w:themeColor="text1"/>
                      <w:szCs w:val="21"/>
                      <w:highlight w:val="none"/>
                      <w:lang w:eastAsia="zh-CN"/>
                      <w14:textFill>
                        <w14:solidFill>
                          <w14:schemeClr w14:val="tx1"/>
                        </w14:solidFill>
                      </w14:textFill>
                    </w:rPr>
                    <w:t>；</w:t>
                  </w:r>
                  <w:r>
                    <w:rPr>
                      <w:rFonts w:hint="eastAsia" w:ascii="宋体" w:hAnsi="宋体" w:eastAsia="宋体" w:cs="宋体"/>
                      <w:b w:val="0"/>
                      <w:bCs/>
                      <w:color w:val="000000" w:themeColor="text1"/>
                      <w:szCs w:val="21"/>
                      <w:highlight w:val="none"/>
                      <w:lang w:eastAsia="zh-CN"/>
                      <w14:textFill>
                        <w14:solidFill>
                          <w14:schemeClr w14:val="tx1"/>
                        </w14:solidFill>
                      </w14:textFill>
                    </w:rPr>
                    <w:t>②</w:t>
                  </w:r>
                  <w:r>
                    <w:rPr>
                      <w:rFonts w:hint="eastAsia" w:ascii="Times New Roman" w:hAnsi="Times New Roman" w:cs="Times New Roman"/>
                      <w:b w:val="0"/>
                      <w:bCs/>
                      <w:color w:val="000000" w:themeColor="text1"/>
                      <w:szCs w:val="21"/>
                      <w:highlight w:val="none"/>
                      <w:lang w:val="en-US" w:eastAsia="zh-CN"/>
                      <w14:textFill>
                        <w14:solidFill>
                          <w14:schemeClr w14:val="tx1"/>
                        </w14:solidFill>
                      </w14:textFill>
                    </w:rPr>
                    <w:t>厂房外引风机采取隔声罩隔声、减震措施；</w:t>
                  </w:r>
                  <w:r>
                    <w:rPr>
                      <w:rFonts w:hint="eastAsia" w:ascii="宋体" w:hAnsi="宋体" w:eastAsia="宋体" w:cs="宋体"/>
                      <w:b w:val="0"/>
                      <w:bCs/>
                      <w:color w:val="000000" w:themeColor="text1"/>
                      <w:szCs w:val="21"/>
                      <w:highlight w:val="none"/>
                      <w:lang w:val="en-US" w:eastAsia="zh-CN"/>
                      <w14:textFill>
                        <w14:solidFill>
                          <w14:schemeClr w14:val="tx1"/>
                        </w14:solidFill>
                      </w14:textFill>
                    </w:rPr>
                    <w:t>③</w:t>
                  </w:r>
                  <w:r>
                    <w:rPr>
                      <w:rFonts w:hint="eastAsia" w:ascii="Times New Roman" w:hAnsi="Times New Roman" w:cs="Times New Roman"/>
                      <w:b w:val="0"/>
                      <w:bCs/>
                      <w:color w:val="000000" w:themeColor="text1"/>
                      <w:szCs w:val="21"/>
                      <w:highlight w:val="none"/>
                      <w:lang w:val="en-US" w:eastAsia="zh-CN"/>
                      <w14:textFill>
                        <w14:solidFill>
                          <w14:schemeClr w14:val="tx1"/>
                        </w14:solidFill>
                      </w14:textFill>
                    </w:rPr>
                    <w:t>厂房内设备采取</w:t>
                  </w:r>
                  <w:r>
                    <w:rPr>
                      <w:rFonts w:hint="default" w:ascii="Times New Roman" w:hAnsi="Times New Roman" w:cs="Times New Roman"/>
                      <w:b w:val="0"/>
                      <w:bCs/>
                      <w:color w:val="000000" w:themeColor="text1"/>
                      <w:szCs w:val="21"/>
                      <w:highlight w:val="none"/>
                      <w14:textFill>
                        <w14:solidFill>
                          <w14:schemeClr w14:val="tx1"/>
                        </w14:solidFill>
                      </w14:textFill>
                    </w:rPr>
                    <w:t>隔声、减振</w:t>
                  </w:r>
                  <w:r>
                    <w:rPr>
                      <w:rFonts w:hint="eastAsia" w:ascii="Times New Roman" w:hAnsi="Times New Roman" w:cs="Times New Roman"/>
                      <w:b w:val="0"/>
                      <w:bCs/>
                      <w:color w:val="000000" w:themeColor="text1"/>
                      <w:szCs w:val="21"/>
                      <w:highlight w:val="none"/>
                      <w:lang w:eastAsia="zh-CN"/>
                      <w14:textFill>
                        <w14:solidFill>
                          <w14:schemeClr w14:val="tx1"/>
                        </w14:solidFill>
                      </w14:textFill>
                    </w:rPr>
                    <w:t>、</w:t>
                  </w:r>
                  <w:r>
                    <w:rPr>
                      <w:rFonts w:hint="default" w:ascii="Times New Roman" w:hAnsi="Times New Roman" w:cs="Times New Roman"/>
                      <w:b w:val="0"/>
                      <w:bCs/>
                      <w:color w:val="000000" w:themeColor="text1"/>
                      <w:szCs w:val="21"/>
                      <w:highlight w:val="none"/>
                      <w14:textFill>
                        <w14:solidFill>
                          <w14:schemeClr w14:val="tx1"/>
                        </w14:solidFill>
                      </w14:textFill>
                    </w:rPr>
                    <w:t>合理布局</w:t>
                  </w:r>
                  <w:r>
                    <w:rPr>
                      <w:rFonts w:hint="default" w:ascii="Times New Roman" w:hAnsi="Times New Roman" w:cs="Times New Roman"/>
                      <w:b w:val="0"/>
                      <w:bCs/>
                      <w:color w:val="000000" w:themeColor="text1"/>
                      <w:szCs w:val="21"/>
                      <w:highlight w:val="none"/>
                      <w:lang w:eastAsia="zh-CN"/>
                      <w14:textFill>
                        <w14:solidFill>
                          <w14:schemeClr w14:val="tx1"/>
                        </w14:solidFill>
                      </w14:textFill>
                    </w:rPr>
                    <w:t>。</w:t>
                  </w:r>
                </w:p>
              </w:tc>
              <w:tc>
                <w:tcPr>
                  <w:tcW w:w="576" w:type="pct"/>
                  <w:noWrap w:val="0"/>
                  <w:vAlign w:val="center"/>
                </w:tcPr>
                <w:p w14:paraId="37F70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111EEB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335DD234">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4CD995C0">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固废</w:t>
                  </w:r>
                </w:p>
              </w:tc>
              <w:tc>
                <w:tcPr>
                  <w:tcW w:w="3068" w:type="pct"/>
                  <w:noWrap w:val="0"/>
                  <w:vAlign w:val="center"/>
                </w:tcPr>
                <w:p w14:paraId="0DD935F4">
                  <w:pPr>
                    <w:pStyle w:val="72"/>
                    <w:numPr>
                      <w:ilvl w:val="0"/>
                      <w:numId w:val="0"/>
                    </w:numPr>
                    <w:shd w:val="clear" w:color="auto" w:fill="auto"/>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一般固废间</w:t>
                  </w:r>
                  <w:r>
                    <w:rPr>
                      <w:rFonts w:hint="eastAsia" w:cs="Times New Roman"/>
                      <w:b w:val="0"/>
                      <w:bCs/>
                      <w:color w:val="000000" w:themeColor="text1"/>
                      <w:szCs w:val="21"/>
                      <w:highlight w:val="none"/>
                      <w:lang w:val="en-US" w:eastAsia="zh-CN"/>
                      <w14:textFill>
                        <w14:solidFill>
                          <w14:schemeClr w14:val="tx1"/>
                        </w14:solidFill>
                      </w14:textFill>
                    </w:rPr>
                    <w:t>92</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，位于车间内机加工区南侧</w:t>
                  </w:r>
                  <w:r>
                    <w:rPr>
                      <w:rFonts w:hint="eastAsia" w:cs="Times New Roman"/>
                      <w:b w:val="0"/>
                      <w:bCs/>
                      <w:color w:val="000000" w:themeColor="text1"/>
                      <w:szCs w:val="21"/>
                      <w:highlight w:val="none"/>
                      <w:lang w:eastAsia="zh-CN"/>
                      <w14:textFill>
                        <w14:solidFill>
                          <w14:schemeClr w14:val="tx1"/>
                        </w14:solidFill>
                      </w14:textFill>
                    </w:rPr>
                    <w:t>；</w:t>
                  </w:r>
                </w:p>
                <w:p w14:paraId="426BC616">
                  <w:pPr>
                    <w:pStyle w:val="72"/>
                    <w:numPr>
                      <w:ilvl w:val="0"/>
                      <w:numId w:val="0"/>
                    </w:numPr>
                    <w:shd w:val="clear" w:color="auto" w:fill="auto"/>
                    <w:rPr>
                      <w:rFonts w:hint="eastAsia"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cs="Times New Roman"/>
                      <w:b w:val="0"/>
                      <w:bCs/>
                      <w:color w:val="000000" w:themeColor="text1"/>
                      <w:szCs w:val="21"/>
                      <w:highlight w:val="none"/>
                      <w14:textFill>
                        <w14:solidFill>
                          <w14:schemeClr w14:val="tx1"/>
                        </w14:solidFill>
                      </w14:textFill>
                    </w:rPr>
                    <w:t>危废暂存间</w:t>
                  </w:r>
                  <w:r>
                    <w:rPr>
                      <w:rFonts w:hint="eastAsia" w:cs="Times New Roman"/>
                      <w:b w:val="0"/>
                      <w:bCs/>
                      <w:color w:val="000000" w:themeColor="text1"/>
                      <w:szCs w:val="21"/>
                      <w:highlight w:val="none"/>
                      <w:lang w:val="en-US" w:eastAsia="zh-CN"/>
                      <w14:textFill>
                        <w14:solidFill>
                          <w14:schemeClr w14:val="tx1"/>
                        </w14:solidFill>
                      </w14:textFill>
                    </w:rPr>
                    <w:t>46</w:t>
                  </w:r>
                  <w:r>
                    <w:rPr>
                      <w:rFonts w:hint="default" w:ascii="Times New Roman" w:hAnsi="Times New Roman" w:cs="Times New Roman"/>
                      <w:b w:val="0"/>
                      <w:bCs/>
                      <w:color w:val="000000" w:themeColor="text1"/>
                      <w:szCs w:val="21"/>
                      <w:highlight w:val="none"/>
                      <w14:textFill>
                        <w14:solidFill>
                          <w14:schemeClr w14:val="tx1"/>
                        </w14:solidFill>
                      </w14:textFill>
                    </w:rPr>
                    <w:t>m</w:t>
                  </w:r>
                  <w:r>
                    <w:rPr>
                      <w:rFonts w:hint="default" w:ascii="Times New Roman" w:hAnsi="Times New Roman" w:cs="Times New Roman"/>
                      <w:b w:val="0"/>
                      <w:bCs/>
                      <w:color w:val="000000" w:themeColor="text1"/>
                      <w:szCs w:val="21"/>
                      <w:highlight w:val="none"/>
                      <w:vertAlign w:val="superscript"/>
                      <w14:textFill>
                        <w14:solidFill>
                          <w14:schemeClr w14:val="tx1"/>
                        </w14:solidFill>
                      </w14:textFill>
                    </w:rPr>
                    <w:t>2</w:t>
                  </w:r>
                  <w:r>
                    <w:rPr>
                      <w:rFonts w:hint="default" w:ascii="Times New Roman" w:hAnsi="Times New Roman" w:cs="Times New Roman"/>
                      <w:b w:val="0"/>
                      <w:bCs/>
                      <w:color w:val="000000" w:themeColor="text1"/>
                      <w:szCs w:val="21"/>
                      <w:highlight w:val="none"/>
                      <w14:textFill>
                        <w14:solidFill>
                          <w14:schemeClr w14:val="tx1"/>
                        </w14:solidFill>
                      </w14:textFill>
                    </w:rPr>
                    <w:t>，位于车间内机加工区南侧</w:t>
                  </w:r>
                  <w:r>
                    <w:rPr>
                      <w:rFonts w:hint="eastAsia" w:ascii="Times New Roman" w:hAnsi="Times New Roman" w:cs="Times New Roman"/>
                      <w:b w:val="0"/>
                      <w:bCs/>
                      <w:color w:val="000000" w:themeColor="text1"/>
                      <w:szCs w:val="21"/>
                      <w:highlight w:val="none"/>
                      <w:lang w:eastAsia="zh-CN"/>
                      <w14:textFill>
                        <w14:solidFill>
                          <w14:schemeClr w14:val="tx1"/>
                        </w14:solidFill>
                      </w14:textFill>
                    </w:rPr>
                    <w:t>。</w:t>
                  </w:r>
                </w:p>
              </w:tc>
              <w:tc>
                <w:tcPr>
                  <w:tcW w:w="576" w:type="pct"/>
                  <w:noWrap w:val="0"/>
                  <w:vAlign w:val="center"/>
                </w:tcPr>
                <w:p w14:paraId="1600AB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3E0E7A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7B5F4B35">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3EB84E4F">
                  <w:pPr>
                    <w:pStyle w:val="72"/>
                    <w:numPr>
                      <w:ilvl w:val="0"/>
                      <w:numId w:val="0"/>
                    </w:numPr>
                    <w:shd w:val="clear" w:color="auto" w:fill="auto"/>
                    <w:rPr>
                      <w:rFonts w:hint="default" w:ascii="Times New Roman" w:hAnsi="Times New Roman" w:eastAsia="宋体" w:cs="Times New Roman"/>
                      <w:b w:val="0"/>
                      <w:bCs/>
                      <w:color w:val="000000" w:themeColor="text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Cs w:val="21"/>
                      <w:highlight w:val="none"/>
                      <w:lang w:eastAsia="zh-CN"/>
                      <w14:textFill>
                        <w14:solidFill>
                          <w14:schemeClr w14:val="tx1"/>
                        </w14:solidFill>
                      </w14:textFill>
                    </w:rPr>
                    <w:t>地下水、土壤</w:t>
                  </w:r>
                </w:p>
              </w:tc>
              <w:tc>
                <w:tcPr>
                  <w:tcW w:w="3068" w:type="pct"/>
                  <w:noWrap w:val="0"/>
                  <w:vAlign w:val="center"/>
                </w:tcPr>
                <w:p w14:paraId="2FA10C0F">
                  <w:pPr>
                    <w:pStyle w:val="72"/>
                    <w:keepNext w:val="0"/>
                    <w:keepLines w:val="0"/>
                    <w:pageBreakBefore w:val="0"/>
                    <w:widowControl w:val="0"/>
                    <w:numPr>
                      <w:ilvl w:val="0"/>
                      <w:numId w:val="0"/>
                    </w:numPr>
                    <w:shd w:val="clear" w:color="auto" w:fill="auto"/>
                    <w:kinsoku/>
                    <w:wordWrap/>
                    <w:overflowPunct/>
                    <w:topLinePunct w:val="0"/>
                    <w:autoSpaceDE/>
                    <w:autoSpaceDN/>
                    <w:bidi w:val="0"/>
                    <w:adjustRightInd/>
                    <w:snapToGrid/>
                    <w:ind w:firstLine="0" w:firstLineChars="0"/>
                    <w:jc w:val="left"/>
                    <w:textAlignment w:val="auto"/>
                    <w:rPr>
                      <w:rFonts w:hint="default" w:ascii="Times New Roman" w:hAnsi="Times New Roman" w:cs="Times New Roman"/>
                      <w:b w:val="0"/>
                      <w:bCs/>
                      <w:color w:val="000000" w:themeColor="text1"/>
                      <w:szCs w:val="21"/>
                      <w:highlight w:val="none"/>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危化品仓、</w:t>
                  </w:r>
                  <w:r>
                    <w:rPr>
                      <w:rFonts w:hint="default" w:ascii="Times New Roman" w:hAnsi="Times New Roman" w:cs="Times New Roman"/>
                      <w:b w:val="0"/>
                      <w:bCs/>
                      <w:color w:val="000000" w:themeColor="text1"/>
                      <w:sz w:val="21"/>
                      <w:szCs w:val="21"/>
                      <w:highlight w:val="none"/>
                      <w14:textFill>
                        <w14:solidFill>
                          <w14:schemeClr w14:val="tx1"/>
                        </w14:solidFill>
                      </w14:textFill>
                    </w:rPr>
                    <w:t>污水处理设施、</w:t>
                  </w:r>
                  <w:r>
                    <w:rPr>
                      <w:rFonts w:hint="eastAsia" w:cs="Times New Roman"/>
                      <w:b w:val="0"/>
                      <w:bCs/>
                      <w:color w:val="000000" w:themeColor="text1"/>
                      <w:sz w:val="21"/>
                      <w:szCs w:val="21"/>
                      <w:highlight w:val="none"/>
                      <w:lang w:val="en-US" w:eastAsia="zh-CN"/>
                      <w14:textFill>
                        <w14:solidFill>
                          <w14:schemeClr w14:val="tx1"/>
                        </w14:solidFill>
                      </w14:textFill>
                    </w:rPr>
                    <w:t>喷漆房</w:t>
                  </w:r>
                  <w:r>
                    <w:rPr>
                      <w:rFonts w:hint="default" w:ascii="Times New Roman" w:hAnsi="Times New Roman" w:cs="Times New Roman"/>
                      <w:b w:val="0"/>
                      <w:bCs/>
                      <w:color w:val="000000" w:themeColor="text1"/>
                      <w:sz w:val="21"/>
                      <w:szCs w:val="21"/>
                      <w:highlight w:val="none"/>
                      <w14:textFill>
                        <w14:solidFill>
                          <w14:schemeClr w14:val="tx1"/>
                        </w14:solidFill>
                      </w14:textFill>
                    </w:rPr>
                    <w:t>、危废暂存间作为重点防渗区采用防渗钢筋混凝土，混凝土渗透系数K≤1×10</w:t>
                  </w:r>
                  <w:r>
                    <w:rPr>
                      <w:rFonts w:hint="default" w:ascii="Times New Roman" w:hAnsi="Times New Roman" w:cs="Times New Roman"/>
                      <w:b w:val="0"/>
                      <w:bCs/>
                      <w:color w:val="000000" w:themeColor="text1"/>
                      <w:sz w:val="21"/>
                      <w:szCs w:val="21"/>
                      <w:highlight w:val="none"/>
                      <w:vertAlign w:val="superscript"/>
                      <w14:textFill>
                        <w14:solidFill>
                          <w14:schemeClr w14:val="tx1"/>
                        </w14:solidFill>
                      </w14:textFill>
                    </w:rPr>
                    <w:t>-11</w:t>
                  </w:r>
                  <w:r>
                    <w:rPr>
                      <w:rFonts w:hint="default" w:ascii="Times New Roman" w:hAnsi="Times New Roman" w:cs="Times New Roman"/>
                      <w:b w:val="0"/>
                      <w:bCs/>
                      <w:color w:val="000000" w:themeColor="text1"/>
                      <w:sz w:val="21"/>
                      <w:szCs w:val="21"/>
                      <w:highlight w:val="none"/>
                      <w14:textFill>
                        <w14:solidFill>
                          <w14:schemeClr w14:val="tx1"/>
                        </w14:solidFill>
                      </w14:textFill>
                    </w:rPr>
                    <w:t>cm/s，壁厚≥250mm，池体内表面涂刷水泥基渗透结晶型防渗涂料；污水管道防渗采用中粗砂回填、长丝无纺土工布、2mm厚HDPE土工膜、长丝无纺土工布、中砂垫层、原土夯实的结构进行防渗</w:t>
                  </w: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处理</w:t>
                  </w: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c>
                <w:tcPr>
                  <w:tcW w:w="576" w:type="pct"/>
                  <w:noWrap w:val="0"/>
                  <w:vAlign w:val="center"/>
                </w:tcPr>
                <w:p w14:paraId="7378CB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r w14:paraId="130765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55" w:type="pct"/>
                  <w:vMerge w:val="continue"/>
                  <w:noWrap w:val="0"/>
                  <w:vAlign w:val="center"/>
                </w:tcPr>
                <w:p w14:paraId="4CA32E08">
                  <w:pPr>
                    <w:pStyle w:val="72"/>
                    <w:numPr>
                      <w:ilvl w:val="0"/>
                      <w:numId w:val="0"/>
                    </w:numPr>
                    <w:shd w:val="clear" w:color="auto" w:fill="auto"/>
                    <w:rPr>
                      <w:rFonts w:hint="default" w:ascii="Times New Roman" w:hAnsi="Times New Roman" w:cs="Times New Roman"/>
                      <w:b w:val="0"/>
                      <w:bCs/>
                      <w:color w:val="000000" w:themeColor="text1"/>
                      <w:szCs w:val="21"/>
                      <w:highlight w:val="none"/>
                      <w14:textFill>
                        <w14:solidFill>
                          <w14:schemeClr w14:val="tx1"/>
                        </w14:solidFill>
                      </w14:textFill>
                    </w:rPr>
                  </w:pPr>
                </w:p>
              </w:tc>
              <w:tc>
                <w:tcPr>
                  <w:tcW w:w="899" w:type="pct"/>
                  <w:noWrap w:val="0"/>
                  <w:vAlign w:val="center"/>
                </w:tcPr>
                <w:p w14:paraId="298287BF">
                  <w:pPr>
                    <w:pStyle w:val="72"/>
                    <w:numPr>
                      <w:ilvl w:val="0"/>
                      <w:numId w:val="0"/>
                    </w:numPr>
                    <w:shd w:val="clear" w:color="auto" w:fill="auto"/>
                    <w:rPr>
                      <w:rFonts w:hint="default" w:ascii="Times New Roman" w:hAnsi="Times New Roman" w:eastAsia="宋体" w:cs="Times New Roman"/>
                      <w:b w:val="0"/>
                      <w:bCs/>
                      <w:color w:val="000000" w:themeColor="text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风险</w:t>
                  </w:r>
                </w:p>
              </w:tc>
              <w:tc>
                <w:tcPr>
                  <w:tcW w:w="3068" w:type="pct"/>
                  <w:noWrap w:val="0"/>
                  <w:vAlign w:val="center"/>
                </w:tcPr>
                <w:p w14:paraId="59B6001B">
                  <w:pPr>
                    <w:pStyle w:val="72"/>
                    <w:keepNext w:val="0"/>
                    <w:keepLines w:val="0"/>
                    <w:pageBreakBefore w:val="0"/>
                    <w:widowControl w:val="0"/>
                    <w:numPr>
                      <w:ilvl w:val="0"/>
                      <w:numId w:val="0"/>
                    </w:numPr>
                    <w:shd w:val="clear" w:color="auto" w:fill="auto"/>
                    <w:kinsoku/>
                    <w:wordWrap/>
                    <w:overflowPunct/>
                    <w:topLinePunct w:val="0"/>
                    <w:autoSpaceDE/>
                    <w:autoSpaceDN/>
                    <w:bidi w:val="0"/>
                    <w:adjustRightInd/>
                    <w:snapToGrid/>
                    <w:ind w:firstLine="0" w:firstLineChars="0"/>
                    <w:jc w:val="left"/>
                    <w:textAlignment w:val="auto"/>
                    <w:rPr>
                      <w:rFonts w:hint="eastAsia"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加强消防设施和灭火器材的配备，严格落实有关消防技术规范的规定，加强人员疏散设施管理，保证疏散通道畅通；定期进行防火安全检查，确保消防设施完整好用；厂区内严禁烟火，严格动火审批制度，进料车辆必须戴阻火器。废气检测超标时，立即启动应急响应机制，与废气产生的工序立即停止，对废气污染防治措施进行初步检查。储存区设置1个长1m，宽1m，深0.5m，容积0.5m</w:t>
                  </w:r>
                  <w:r>
                    <w:rPr>
                      <w:rFonts w:hint="eastAsia" w:cs="Times New Roman"/>
                      <w:b w:val="0"/>
                      <w:bCs/>
                      <w:color w:val="000000" w:themeColor="text1"/>
                      <w:sz w:val="21"/>
                      <w:szCs w:val="21"/>
                      <w:highlight w:val="none"/>
                      <w:vertAlign w:val="superscript"/>
                      <w:lang w:val="en-US" w:eastAsia="zh-CN"/>
                      <w14:textFill>
                        <w14:solidFill>
                          <w14:schemeClr w14:val="tx1"/>
                        </w14:solidFill>
                      </w14:textFill>
                    </w:rPr>
                    <w:t>3</w:t>
                  </w:r>
                  <w:r>
                    <w:rPr>
                      <w:rFonts w:hint="eastAsia" w:cs="Times New Roman"/>
                      <w:b w:val="0"/>
                      <w:bCs/>
                      <w:color w:val="000000" w:themeColor="text1"/>
                      <w:sz w:val="21"/>
                      <w:szCs w:val="21"/>
                      <w:highlight w:val="none"/>
                      <w:lang w:val="en-US" w:eastAsia="zh-CN"/>
                      <w14:textFill>
                        <w14:solidFill>
                          <w14:schemeClr w14:val="tx1"/>
                        </w14:solidFill>
                      </w14:textFill>
                    </w:rPr>
                    <w:t>的集液池并配套设置收集沟，防止泄漏物料外溢。</w:t>
                  </w:r>
                </w:p>
              </w:tc>
              <w:tc>
                <w:tcPr>
                  <w:tcW w:w="576" w:type="pct"/>
                  <w:noWrap w:val="0"/>
                  <w:vAlign w:val="center"/>
                </w:tcPr>
                <w:p w14:paraId="11BCF8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Cs w:val="21"/>
                      <w:highlight w:val="none"/>
                      <w:lang w:val="en-US" w:eastAsia="zh-CN"/>
                      <w14:textFill>
                        <w14:solidFill>
                          <w14:schemeClr w14:val="tx1"/>
                        </w14:solidFill>
                      </w14:textFill>
                    </w:rPr>
                  </w:pPr>
                  <w:r>
                    <w:rPr>
                      <w:rFonts w:hint="eastAsia" w:cs="Times New Roman"/>
                      <w:b w:val="0"/>
                      <w:bCs/>
                      <w:color w:val="000000" w:themeColor="text1"/>
                      <w:szCs w:val="21"/>
                      <w:highlight w:val="none"/>
                      <w:lang w:val="en-US" w:eastAsia="zh-CN"/>
                      <w14:textFill>
                        <w14:solidFill>
                          <w14:schemeClr w14:val="tx1"/>
                        </w14:solidFill>
                      </w14:textFill>
                    </w:rPr>
                    <w:t>新建</w:t>
                  </w:r>
                </w:p>
              </w:tc>
            </w:tr>
          </w:tbl>
          <w:p w14:paraId="6B01106E">
            <w:pPr>
              <w:widowControl/>
              <w:shd w:val="clear" w:color="auto" w:fill="auto"/>
              <w:ind w:firstLine="482"/>
              <w:rPr>
                <w:rFonts w:hint="default" w:ascii="Times New Roman" w:hAnsi="Times New Roman" w:cs="Times New Roman"/>
                <w:b/>
                <w:color w:val="000000" w:themeColor="text1"/>
                <w:kern w:val="0"/>
                <w:highlight w:val="none"/>
                <w14:textFill>
                  <w14:solidFill>
                    <w14:schemeClr w14:val="tx1"/>
                  </w14:solidFill>
                </w14:textFill>
              </w:rPr>
            </w:pPr>
            <w:r>
              <w:rPr>
                <w:rFonts w:hint="eastAsia" w:cs="Times New Roman"/>
                <w:b/>
                <w:color w:val="000000" w:themeColor="text1"/>
                <w:kern w:val="0"/>
                <w:highlight w:val="none"/>
                <w:lang w:val="en-US" w:eastAsia="zh-CN"/>
                <w14:textFill>
                  <w14:solidFill>
                    <w14:schemeClr w14:val="tx1"/>
                  </w14:solidFill>
                </w14:textFill>
              </w:rPr>
              <w:t>2</w:t>
            </w:r>
            <w:r>
              <w:rPr>
                <w:rFonts w:hint="default" w:ascii="Times New Roman" w:hAnsi="Times New Roman" w:cs="Times New Roman"/>
                <w:b/>
                <w:color w:val="000000" w:themeColor="text1"/>
                <w:kern w:val="0"/>
                <w:highlight w:val="none"/>
                <w14:textFill>
                  <w14:solidFill>
                    <w14:schemeClr w14:val="tx1"/>
                  </w14:solidFill>
                </w14:textFill>
              </w:rPr>
              <w:t>、产品方案</w:t>
            </w:r>
          </w:p>
          <w:p w14:paraId="39F150E2">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本项目年生产</w:t>
            </w:r>
            <w:r>
              <w:rPr>
                <w:rFonts w:hint="eastAsia" w:cs="Times New Roman"/>
                <w:color w:val="000000" w:themeColor="text1"/>
                <w:highlight w:val="none"/>
                <w:lang w:val="en-US" w:eastAsia="zh-CN"/>
                <w14:textFill>
                  <w14:solidFill>
                    <w14:schemeClr w14:val="tx1"/>
                  </w14:solidFill>
                </w14:textFill>
              </w:rPr>
              <w:t>10400</w:t>
            </w:r>
            <w:r>
              <w:rPr>
                <w:rFonts w:hint="default" w:ascii="Times New Roman" w:hAnsi="Times New Roman" w:cs="Times New Roman"/>
                <w:color w:val="000000" w:themeColor="text1"/>
                <w:highlight w:val="none"/>
                <w14:textFill>
                  <w14:solidFill>
                    <w14:schemeClr w14:val="tx1"/>
                  </w14:solidFill>
                </w14:textFill>
              </w:rPr>
              <w:t>t</w:t>
            </w:r>
            <w:r>
              <w:rPr>
                <w:rFonts w:hint="eastAsia" w:cs="Times New Roman"/>
                <w:color w:val="000000" w:themeColor="text1"/>
                <w:highlight w:val="none"/>
                <w:lang w:val="en-US" w:eastAsia="zh-CN"/>
                <w14:textFill>
                  <w14:solidFill>
                    <w14:schemeClr w14:val="tx1"/>
                  </w14:solidFill>
                </w14:textFill>
              </w:rPr>
              <w:t>铸铁件</w:t>
            </w:r>
            <w:r>
              <w:rPr>
                <w:rFonts w:hint="default" w:ascii="Times New Roman" w:hAnsi="Times New Roman" w:cs="Times New Roman"/>
                <w:color w:val="000000" w:themeColor="text1"/>
                <w:highlight w:val="none"/>
                <w14:textFill>
                  <w14:solidFill>
                    <w14:schemeClr w14:val="tx1"/>
                  </w14:solidFill>
                </w14:textFill>
              </w:rPr>
              <w:t>，项目产品方案见表2-</w:t>
            </w:r>
            <w:r>
              <w:rPr>
                <w:rFonts w:hint="eastAsia" w:ascii="Times New Roman" w:hAnsi="Times New Roman"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w:t>
            </w:r>
          </w:p>
          <w:p w14:paraId="18899814">
            <w:pPr>
              <w:pStyle w:val="72"/>
              <w:numPr>
                <w:ilvl w:val="0"/>
                <w:numId w:val="0"/>
              </w:numPr>
              <w:shd w:val="clear" w:color="auto" w:fill="auto"/>
              <w:rPr>
                <w:rFonts w:hint="default" w:ascii="Times New Roman" w:hAnsi="Times New Roman" w:cs="Times New Roman"/>
                <w:bCs/>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default" w:ascii="Times New Roman" w:hAnsi="Times New Roman" w:cs="Times New Roman"/>
                <w:color w:val="000000" w:themeColor="text1"/>
                <w:sz w:val="24"/>
                <w:highlight w:val="none"/>
                <w:lang w:val="en-US" w:eastAsia="zh-CN"/>
                <w14:textFill>
                  <w14:solidFill>
                    <w14:schemeClr w14:val="tx1"/>
                  </w14:solidFill>
                </w14:textFill>
              </w:rPr>
              <w:t>-</w:t>
            </w:r>
            <w:r>
              <w:rPr>
                <w:rFonts w:hint="eastAsia" w:ascii="Times New Roman" w:hAnsi="Times New Roman" w:cs="Times New Roman"/>
                <w:color w:val="000000" w:themeColor="text1"/>
                <w:sz w:val="24"/>
                <w:highlight w:val="none"/>
                <w:lang w:val="en-US" w:eastAsia="zh-CN"/>
                <w14:textFill>
                  <w14:solidFill>
                    <w14:schemeClr w14:val="tx1"/>
                  </w14:solidFill>
                </w14:textFill>
              </w:rPr>
              <w:t>2</w:t>
            </w:r>
            <w:r>
              <w:rPr>
                <w:rFonts w:hint="default" w:ascii="Times New Roman" w:hAnsi="Times New Roman" w:cs="Times New Roman"/>
                <w:color w:val="000000" w:themeColor="text1"/>
                <w:sz w:val="24"/>
                <w:highlight w:val="none"/>
                <w14:textFill>
                  <w14:solidFill>
                    <w14:schemeClr w14:val="tx1"/>
                  </w14:solidFill>
                </w14:textFill>
              </w:rPr>
              <w:t xml:space="preserve"> 产品方案一览表</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58"/>
              <w:gridCol w:w="1067"/>
              <w:gridCol w:w="641"/>
              <w:gridCol w:w="887"/>
              <w:gridCol w:w="1023"/>
              <w:gridCol w:w="879"/>
              <w:gridCol w:w="835"/>
              <w:gridCol w:w="1927"/>
            </w:tblGrid>
            <w:tr w14:paraId="729CE5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415" w:type="pct"/>
                  <w:noWrap w:val="0"/>
                  <w:vAlign w:val="center"/>
                </w:tcPr>
                <w:p w14:paraId="6300BF80">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序号</w:t>
                  </w:r>
                </w:p>
              </w:tc>
              <w:tc>
                <w:tcPr>
                  <w:tcW w:w="673" w:type="pct"/>
                  <w:noWrap w:val="0"/>
                  <w:vAlign w:val="center"/>
                </w:tcPr>
                <w:p w14:paraId="20B3E9FE">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产品名称</w:t>
                  </w:r>
                </w:p>
              </w:tc>
              <w:tc>
                <w:tcPr>
                  <w:tcW w:w="404" w:type="pct"/>
                  <w:noWrap w:val="0"/>
                  <w:vAlign w:val="center"/>
                </w:tcPr>
                <w:p w14:paraId="40F375D3">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产量</w:t>
                  </w:r>
                </w:p>
              </w:tc>
              <w:tc>
                <w:tcPr>
                  <w:tcW w:w="560" w:type="pct"/>
                  <w:noWrap w:val="0"/>
                  <w:vAlign w:val="center"/>
                </w:tcPr>
                <w:p w14:paraId="351DAC8F">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单位</w:t>
                  </w:r>
                </w:p>
              </w:tc>
              <w:tc>
                <w:tcPr>
                  <w:tcW w:w="646" w:type="pct"/>
                  <w:noWrap w:val="0"/>
                  <w:vAlign w:val="center"/>
                </w:tcPr>
                <w:p w14:paraId="1A0609B9">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产品均重</w:t>
                  </w:r>
                </w:p>
              </w:tc>
              <w:tc>
                <w:tcPr>
                  <w:tcW w:w="555" w:type="pct"/>
                  <w:noWrap w:val="0"/>
                  <w:vAlign w:val="center"/>
                </w:tcPr>
                <w:p w14:paraId="48BB5D5A">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规格</w:t>
                  </w:r>
                </w:p>
              </w:tc>
              <w:tc>
                <w:tcPr>
                  <w:tcW w:w="527" w:type="pct"/>
                  <w:noWrap w:val="0"/>
                  <w:vAlign w:val="center"/>
                </w:tcPr>
                <w:p w14:paraId="58A7499B">
                  <w:pPr>
                    <w:pStyle w:val="61"/>
                    <w:shd w:val="clear" w:color="auto" w:fill="auto"/>
                    <w:spacing w:line="240" w:lineRule="auto"/>
                    <w:jc w:val="cente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总重量</w:t>
                  </w:r>
                </w:p>
              </w:tc>
              <w:tc>
                <w:tcPr>
                  <w:tcW w:w="1217" w:type="pct"/>
                  <w:noWrap w:val="0"/>
                  <w:vAlign w:val="center"/>
                </w:tcPr>
                <w:p w14:paraId="54A9CCBD">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产品标准</w:t>
                  </w:r>
                </w:p>
              </w:tc>
            </w:tr>
            <w:tr w14:paraId="3F7191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114" w:hRule="atLeast"/>
                <w:jc w:val="center"/>
              </w:trPr>
              <w:tc>
                <w:tcPr>
                  <w:tcW w:w="415" w:type="pct"/>
                  <w:noWrap w:val="0"/>
                  <w:vAlign w:val="center"/>
                </w:tcPr>
                <w:p w14:paraId="4C9859DE">
                  <w:pPr>
                    <w:pStyle w:val="61"/>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w:t>
                  </w:r>
                </w:p>
              </w:tc>
              <w:tc>
                <w:tcPr>
                  <w:tcW w:w="673" w:type="pct"/>
                  <w:noWrap w:val="0"/>
                  <w:vAlign w:val="center"/>
                </w:tcPr>
                <w:p w14:paraId="09B5D6BB">
                  <w:pPr>
                    <w:pStyle w:val="154"/>
                    <w:shd w:val="clear" w:color="auto" w:fill="auto"/>
                    <w:adjustRightInd/>
                    <w:spacing w:line="240" w:lineRule="auto"/>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汽车排气歧管</w:t>
                  </w:r>
                </w:p>
              </w:tc>
              <w:tc>
                <w:tcPr>
                  <w:tcW w:w="404" w:type="pct"/>
                  <w:noWrap w:val="0"/>
                  <w:vAlign w:val="center"/>
                </w:tcPr>
                <w:p w14:paraId="56D6C281">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60</w:t>
                  </w:r>
                </w:p>
              </w:tc>
              <w:tc>
                <w:tcPr>
                  <w:tcW w:w="560" w:type="pct"/>
                  <w:noWrap w:val="0"/>
                  <w:vAlign w:val="center"/>
                </w:tcPr>
                <w:p w14:paraId="698A33BE">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万个/a</w:t>
                  </w:r>
                </w:p>
              </w:tc>
              <w:tc>
                <w:tcPr>
                  <w:tcW w:w="646" w:type="pct"/>
                  <w:noWrap w:val="0"/>
                  <w:vAlign w:val="center"/>
                </w:tcPr>
                <w:p w14:paraId="3C803CAF">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4kg</w:t>
                  </w:r>
                  <w:r>
                    <w:rPr>
                      <w:rFonts w:hint="eastAsia" w:cs="Times New Roman"/>
                      <w:color w:val="000000" w:themeColor="text1"/>
                      <w:sz w:val="21"/>
                      <w:szCs w:val="21"/>
                      <w:highlight w:val="none"/>
                      <w:lang w:val="en-US" w:eastAsia="zh-CN"/>
                      <w14:textFill>
                        <w14:solidFill>
                          <w14:schemeClr w14:val="tx1"/>
                        </w14:solidFill>
                      </w14:textFill>
                    </w:rPr>
                    <w:t>/个</w:t>
                  </w:r>
                </w:p>
              </w:tc>
              <w:tc>
                <w:tcPr>
                  <w:tcW w:w="555" w:type="pct"/>
                  <w:noWrap w:val="0"/>
                  <w:vAlign w:val="center"/>
                </w:tcPr>
                <w:p w14:paraId="7191789B">
                  <w:pPr>
                    <w:pStyle w:val="61"/>
                    <w:shd w:val="clear" w:color="auto" w:fill="auto"/>
                    <w:spacing w:line="240" w:lineRule="auto"/>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厚度：</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4-6mm</w:t>
                  </w:r>
                </w:p>
              </w:tc>
              <w:tc>
                <w:tcPr>
                  <w:tcW w:w="527" w:type="pct"/>
                  <w:noWrap w:val="0"/>
                  <w:vAlign w:val="center"/>
                </w:tcPr>
                <w:p w14:paraId="66849188">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2400t</w:t>
                  </w:r>
                </w:p>
              </w:tc>
              <w:tc>
                <w:tcPr>
                  <w:tcW w:w="1217" w:type="pct"/>
                  <w:noWrap w:val="0"/>
                  <w:vAlign w:val="center"/>
                </w:tcPr>
                <w:p w14:paraId="48927E64">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《排气歧管铸铁件》GB</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 xml:space="preserve"> </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26653-2011</w:t>
                  </w:r>
                </w:p>
              </w:tc>
            </w:tr>
            <w:tr w14:paraId="621DC1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114" w:hRule="atLeast"/>
                <w:jc w:val="center"/>
              </w:trPr>
              <w:tc>
                <w:tcPr>
                  <w:tcW w:w="415" w:type="pct"/>
                  <w:noWrap w:val="0"/>
                  <w:vAlign w:val="center"/>
                </w:tcPr>
                <w:p w14:paraId="4801A366">
                  <w:pPr>
                    <w:pStyle w:val="61"/>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w:t>
                  </w:r>
                </w:p>
              </w:tc>
              <w:tc>
                <w:tcPr>
                  <w:tcW w:w="673" w:type="pct"/>
                  <w:noWrap w:val="0"/>
                  <w:vAlign w:val="center"/>
                </w:tcPr>
                <w:p w14:paraId="53F73468">
                  <w:pPr>
                    <w:pStyle w:val="154"/>
                    <w:shd w:val="clear" w:color="auto" w:fill="auto"/>
                    <w:adjustRightInd/>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平衡块</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联轴器</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p>
              </w:tc>
              <w:tc>
                <w:tcPr>
                  <w:tcW w:w="404" w:type="pct"/>
                  <w:noWrap w:val="0"/>
                  <w:vAlign w:val="center"/>
                </w:tcPr>
                <w:p w14:paraId="37A64E25">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500</w:t>
                  </w:r>
                </w:p>
              </w:tc>
              <w:tc>
                <w:tcPr>
                  <w:tcW w:w="560" w:type="pct"/>
                  <w:noWrap w:val="0"/>
                  <w:vAlign w:val="center"/>
                </w:tcPr>
                <w:p w14:paraId="2B77F4EE">
                  <w:pPr>
                    <w:pStyle w:val="61"/>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万个/a</w:t>
                  </w:r>
                </w:p>
              </w:tc>
              <w:tc>
                <w:tcPr>
                  <w:tcW w:w="646" w:type="pct"/>
                  <w:noWrap w:val="0"/>
                  <w:vAlign w:val="center"/>
                </w:tcPr>
                <w:p w14:paraId="4CED51F0">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1.6</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kg</w:t>
                  </w:r>
                  <w:r>
                    <w:rPr>
                      <w:rFonts w:hint="eastAsia" w:cs="Times New Roman"/>
                      <w:color w:val="000000" w:themeColor="text1"/>
                      <w:sz w:val="21"/>
                      <w:szCs w:val="21"/>
                      <w:highlight w:val="none"/>
                      <w:lang w:val="en-US" w:eastAsia="zh-CN"/>
                      <w14:textFill>
                        <w14:solidFill>
                          <w14:schemeClr w14:val="tx1"/>
                        </w14:solidFill>
                      </w14:textFill>
                    </w:rPr>
                    <w:t>/个</w:t>
                  </w:r>
                </w:p>
              </w:tc>
              <w:tc>
                <w:tcPr>
                  <w:tcW w:w="555" w:type="pct"/>
                  <w:noWrap w:val="0"/>
                  <w:vAlign w:val="center"/>
                </w:tcPr>
                <w:p w14:paraId="3F17F074">
                  <w:pPr>
                    <w:pStyle w:val="61"/>
                    <w:shd w:val="clear" w:color="auto" w:fill="auto"/>
                    <w:spacing w:line="240" w:lineRule="auto"/>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厚度：</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8-10mm</w:t>
                  </w:r>
                </w:p>
              </w:tc>
              <w:tc>
                <w:tcPr>
                  <w:tcW w:w="527" w:type="pct"/>
                  <w:noWrap w:val="0"/>
                  <w:vAlign w:val="center"/>
                </w:tcPr>
                <w:p w14:paraId="0F4CD15E">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8000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t</w:t>
                  </w:r>
                </w:p>
              </w:tc>
              <w:tc>
                <w:tcPr>
                  <w:tcW w:w="1217" w:type="pct"/>
                  <w:noWrap w:val="0"/>
                  <w:vAlign w:val="center"/>
                </w:tcPr>
                <w:p w14:paraId="7F2CA3E1">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《轮胎式联轴器》GB/T 5844-2002</w:t>
                  </w:r>
                </w:p>
              </w:tc>
            </w:tr>
          </w:tbl>
          <w:tbl>
            <w:tblPr>
              <w:tblStyle w:val="3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958"/>
              <w:gridCol w:w="3959"/>
            </w:tblGrid>
            <w:tr w14:paraId="105C4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58" w:type="dxa"/>
                  <w:tcBorders>
                    <w:tl2br w:val="nil"/>
                    <w:tr2bl w:val="nil"/>
                  </w:tcBorders>
                  <w:vAlign w:val="center"/>
                </w:tcPr>
                <w:p w14:paraId="44D8AE8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drawing>
                      <wp:inline distT="0" distB="0" distL="114300" distR="114300">
                        <wp:extent cx="2369820" cy="2190750"/>
                        <wp:effectExtent l="0" t="0" r="11430" b="0"/>
                        <wp:docPr id="18" name="图片 18" descr="9cbd99a9ce3f170fdb3a306e6aea1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cbd99a9ce3f170fdb3a306e6aea10f"/>
                                <pic:cNvPicPr>
                                  <a:picLocks noChangeAspect="1"/>
                                </pic:cNvPicPr>
                              </pic:nvPicPr>
                              <pic:blipFill>
                                <a:blip r:embed="rId9"/>
                                <a:srcRect t="6002" b="1554"/>
                                <a:stretch>
                                  <a:fillRect/>
                                </a:stretch>
                              </pic:blipFill>
                              <pic:spPr>
                                <a:xfrm>
                                  <a:off x="0" y="0"/>
                                  <a:ext cx="2369820" cy="2190750"/>
                                </a:xfrm>
                                <a:prstGeom prst="rect">
                                  <a:avLst/>
                                </a:prstGeom>
                              </pic:spPr>
                            </pic:pic>
                          </a:graphicData>
                        </a:graphic>
                      </wp:inline>
                    </w:drawing>
                  </w:r>
                </w:p>
              </w:tc>
              <w:tc>
                <w:tcPr>
                  <w:tcW w:w="3959" w:type="dxa"/>
                  <w:tcBorders>
                    <w:tl2br w:val="nil"/>
                    <w:tr2bl w:val="nil"/>
                  </w:tcBorders>
                  <w:vAlign w:val="center"/>
                </w:tcPr>
                <w:p w14:paraId="09EB1E1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drawing>
                      <wp:inline distT="0" distB="0" distL="114300" distR="114300">
                        <wp:extent cx="2376170" cy="2173605"/>
                        <wp:effectExtent l="0" t="0" r="5080" b="17145"/>
                        <wp:docPr id="2" name="图片 2" descr="0059e07281ef0bbbf804669b7411a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59e07281ef0bbbf804669b7411a06"/>
                                <pic:cNvPicPr>
                                  <a:picLocks noChangeAspect="1"/>
                                </pic:cNvPicPr>
                              </pic:nvPicPr>
                              <pic:blipFill>
                                <a:blip r:embed="rId10"/>
                                <a:srcRect t="10257" b="38261"/>
                                <a:stretch>
                                  <a:fillRect/>
                                </a:stretch>
                              </pic:blipFill>
                              <pic:spPr>
                                <a:xfrm>
                                  <a:off x="0" y="0"/>
                                  <a:ext cx="2376170" cy="2173605"/>
                                </a:xfrm>
                                <a:prstGeom prst="rect">
                                  <a:avLst/>
                                </a:prstGeom>
                              </pic:spPr>
                            </pic:pic>
                          </a:graphicData>
                        </a:graphic>
                      </wp:inline>
                    </w:drawing>
                  </w:r>
                </w:p>
              </w:tc>
            </w:tr>
            <w:tr w14:paraId="36655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58" w:type="dxa"/>
                  <w:tcBorders>
                    <w:tl2br w:val="nil"/>
                    <w:tr2bl w:val="nil"/>
                  </w:tcBorders>
                  <w:vAlign w:val="center"/>
                </w:tcPr>
                <w:p w14:paraId="52124E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汽车歧管</w:t>
                  </w:r>
                </w:p>
              </w:tc>
              <w:tc>
                <w:tcPr>
                  <w:tcW w:w="3959" w:type="dxa"/>
                  <w:tcBorders>
                    <w:tl2br w:val="nil"/>
                    <w:tr2bl w:val="nil"/>
                  </w:tcBorders>
                  <w:vAlign w:val="center"/>
                </w:tcPr>
                <w:p w14:paraId="147CDA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平衡块</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联轴器</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p>
              </w:tc>
            </w:tr>
            <w:tr w14:paraId="078B6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58" w:type="dxa"/>
                  <w:tcBorders>
                    <w:tl2br w:val="nil"/>
                    <w:tr2bl w:val="nil"/>
                  </w:tcBorders>
                  <w:vAlign w:val="center"/>
                </w:tcPr>
                <w:p w14:paraId="1E62B2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drawing>
                      <wp:inline distT="0" distB="0" distL="114300" distR="114300">
                        <wp:extent cx="2357755" cy="1327150"/>
                        <wp:effectExtent l="0" t="0" r="4445" b="6350"/>
                        <wp:docPr id="19" name="图片 19" descr="2e5693fb073181727e30cbda85908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e5693fb073181727e30cbda859083f"/>
                                <pic:cNvPicPr>
                                  <a:picLocks noChangeAspect="1"/>
                                </pic:cNvPicPr>
                              </pic:nvPicPr>
                              <pic:blipFill>
                                <a:blip r:embed="rId11"/>
                                <a:stretch>
                                  <a:fillRect/>
                                </a:stretch>
                              </pic:blipFill>
                              <pic:spPr>
                                <a:xfrm>
                                  <a:off x="0" y="0"/>
                                  <a:ext cx="2357755" cy="1327150"/>
                                </a:xfrm>
                                <a:prstGeom prst="rect">
                                  <a:avLst/>
                                </a:prstGeom>
                              </pic:spPr>
                            </pic:pic>
                          </a:graphicData>
                        </a:graphic>
                      </wp:inline>
                    </w:drawing>
                  </w:r>
                </w:p>
              </w:tc>
              <w:tc>
                <w:tcPr>
                  <w:tcW w:w="3959" w:type="dxa"/>
                  <w:tcBorders>
                    <w:tl2br w:val="nil"/>
                    <w:tr2bl w:val="nil"/>
                  </w:tcBorders>
                  <w:vAlign w:val="center"/>
                </w:tcPr>
                <w:p w14:paraId="3D522B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 w:val="21"/>
                      <w:szCs w:val="21"/>
                      <w:highlight w:val="none"/>
                      <w:vertAlign w:val="baseline"/>
                      <w:lang w:val="en-US" w:eastAsia="zh-CN"/>
                      <w14:textFill>
                        <w14:solidFill>
                          <w14:schemeClr w14:val="tx1"/>
                        </w14:solidFill>
                      </w14:textFill>
                    </w:rPr>
                  </w:pPr>
                </w:p>
              </w:tc>
            </w:tr>
            <w:tr w14:paraId="026D8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3958" w:type="dxa"/>
                  <w:tcBorders>
                    <w:tl2br w:val="nil"/>
                    <w:tr2bl w:val="nil"/>
                  </w:tcBorders>
                  <w:vAlign w:val="center"/>
                </w:tcPr>
                <w:p w14:paraId="738E39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 w:val="21"/>
                      <w:szCs w:val="21"/>
                      <w:highlight w:val="none"/>
                      <w:vertAlign w:val="baseline"/>
                      <w:lang w:val="en-US" w:eastAsia="zh-CN"/>
                      <w14:textFill>
                        <w14:solidFill>
                          <w14:schemeClr w14:val="tx1"/>
                        </w14:solidFill>
                      </w14:textFill>
                    </w:rPr>
                  </w:pPr>
                  <w:r>
                    <w:rPr>
                      <w:rFonts w:hint="eastAsia" w:cs="Times New Roman"/>
                      <w:b w:val="0"/>
                      <w:bCs/>
                      <w:color w:val="000000" w:themeColor="text1"/>
                      <w:sz w:val="21"/>
                      <w:szCs w:val="21"/>
                      <w:highlight w:val="none"/>
                      <w:vertAlign w:val="baseline"/>
                      <w:lang w:val="en-US" w:eastAsia="zh-CN"/>
                      <w14:textFill>
                        <w14:solidFill>
                          <w14:schemeClr w14:val="tx1"/>
                        </w14:solidFill>
                      </w14:textFill>
                    </w:rPr>
                    <w:t>平衡块</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联轴器</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p>
              </w:tc>
              <w:tc>
                <w:tcPr>
                  <w:tcW w:w="3959" w:type="dxa"/>
                  <w:tcBorders>
                    <w:tl2br w:val="nil"/>
                    <w:tr2bl w:val="nil"/>
                  </w:tcBorders>
                  <w:vAlign w:val="center"/>
                </w:tcPr>
                <w:p w14:paraId="7243D2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b w:val="0"/>
                      <w:bCs/>
                      <w:color w:val="000000" w:themeColor="text1"/>
                      <w:sz w:val="21"/>
                      <w:szCs w:val="21"/>
                      <w:highlight w:val="none"/>
                      <w:vertAlign w:val="baseline"/>
                      <w:lang w:val="en-US" w:eastAsia="zh-CN"/>
                      <w14:textFill>
                        <w14:solidFill>
                          <w14:schemeClr w14:val="tx1"/>
                        </w14:solidFill>
                      </w14:textFill>
                    </w:rPr>
                  </w:pPr>
                </w:p>
              </w:tc>
            </w:tr>
          </w:tbl>
          <w:p w14:paraId="05E62F8A">
            <w:pPr>
              <w:pStyle w:val="72"/>
              <w:numPr>
                <w:ilvl w:val="0"/>
                <w:numId w:val="0"/>
              </w:numPr>
              <w:shd w:val="clear" w:color="auto" w:fill="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表2-3 项目铸件化学成分及牌号</w:t>
            </w:r>
          </w:p>
          <w:tbl>
            <w:tblPr>
              <w:tblStyle w:val="33"/>
              <w:tblW w:w="7917"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349"/>
              <w:gridCol w:w="1116"/>
              <w:gridCol w:w="950"/>
              <w:gridCol w:w="884"/>
              <w:gridCol w:w="600"/>
              <w:gridCol w:w="616"/>
              <w:gridCol w:w="600"/>
              <w:gridCol w:w="584"/>
              <w:gridCol w:w="550"/>
              <w:gridCol w:w="668"/>
            </w:tblGrid>
            <w:tr w14:paraId="5D0162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9" w:type="dxa"/>
                  <w:vMerge w:val="restart"/>
                  <w:tcBorders>
                    <w:tl2br w:val="nil"/>
                    <w:tr2bl w:val="nil"/>
                  </w:tcBorders>
                  <w:vAlign w:val="center"/>
                </w:tcPr>
                <w:p w14:paraId="56CD66DD">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牌号</w:t>
                  </w:r>
                </w:p>
              </w:tc>
              <w:tc>
                <w:tcPr>
                  <w:tcW w:w="6568" w:type="dxa"/>
                  <w:gridSpan w:val="9"/>
                  <w:tcBorders>
                    <w:tl2br w:val="nil"/>
                    <w:tr2bl w:val="nil"/>
                  </w:tcBorders>
                  <w:vAlign w:val="center"/>
                </w:tcPr>
                <w:p w14:paraId="4DF9E1FE">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化学成分（质量分数/%）</w:t>
                  </w:r>
                </w:p>
              </w:tc>
            </w:tr>
            <w:tr w14:paraId="60F30B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9" w:type="dxa"/>
                  <w:vMerge w:val="continue"/>
                  <w:tcBorders>
                    <w:tl2br w:val="nil"/>
                    <w:tr2bl w:val="nil"/>
                  </w:tcBorders>
                  <w:vAlign w:val="center"/>
                </w:tcPr>
                <w:p w14:paraId="2AAD1AEF">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p>
              </w:tc>
              <w:tc>
                <w:tcPr>
                  <w:tcW w:w="1116" w:type="dxa"/>
                  <w:tcBorders>
                    <w:tl2br w:val="nil"/>
                    <w:tr2bl w:val="nil"/>
                  </w:tcBorders>
                  <w:vAlign w:val="center"/>
                </w:tcPr>
                <w:p w14:paraId="67127E01">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C</w:t>
                  </w:r>
                </w:p>
              </w:tc>
              <w:tc>
                <w:tcPr>
                  <w:tcW w:w="950" w:type="dxa"/>
                  <w:tcBorders>
                    <w:tl2br w:val="nil"/>
                    <w:tr2bl w:val="nil"/>
                  </w:tcBorders>
                  <w:vAlign w:val="center"/>
                </w:tcPr>
                <w:p w14:paraId="0C84E8AB">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Si</w:t>
                  </w:r>
                </w:p>
              </w:tc>
              <w:tc>
                <w:tcPr>
                  <w:tcW w:w="884" w:type="dxa"/>
                  <w:tcBorders>
                    <w:tl2br w:val="nil"/>
                    <w:tr2bl w:val="nil"/>
                  </w:tcBorders>
                  <w:vAlign w:val="center"/>
                </w:tcPr>
                <w:p w14:paraId="462FFB7D">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Mn</w:t>
                  </w:r>
                </w:p>
              </w:tc>
              <w:tc>
                <w:tcPr>
                  <w:tcW w:w="600" w:type="dxa"/>
                  <w:tcBorders>
                    <w:tl2br w:val="nil"/>
                    <w:tr2bl w:val="nil"/>
                  </w:tcBorders>
                  <w:vAlign w:val="center"/>
                </w:tcPr>
                <w:p w14:paraId="55883AEE">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P</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w:t>
                  </w:r>
                </w:p>
              </w:tc>
              <w:tc>
                <w:tcPr>
                  <w:tcW w:w="616" w:type="dxa"/>
                  <w:tcBorders>
                    <w:tl2br w:val="nil"/>
                    <w:tr2bl w:val="nil"/>
                  </w:tcBorders>
                  <w:vAlign w:val="center"/>
                </w:tcPr>
                <w:p w14:paraId="618E3B9E">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S</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w:t>
                  </w:r>
                </w:p>
              </w:tc>
              <w:tc>
                <w:tcPr>
                  <w:tcW w:w="600" w:type="dxa"/>
                  <w:tcBorders>
                    <w:tl2br w:val="nil"/>
                    <w:tr2bl w:val="nil"/>
                  </w:tcBorders>
                  <w:vAlign w:val="center"/>
                </w:tcPr>
                <w:p w14:paraId="63056C21">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Mo</w:t>
                  </w:r>
                </w:p>
              </w:tc>
              <w:tc>
                <w:tcPr>
                  <w:tcW w:w="584" w:type="dxa"/>
                  <w:tcBorders>
                    <w:tl2br w:val="nil"/>
                    <w:tr2bl w:val="nil"/>
                  </w:tcBorders>
                  <w:vAlign w:val="center"/>
                </w:tcPr>
                <w:p w14:paraId="0D42D7AE">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Cr</w:t>
                  </w:r>
                </w:p>
              </w:tc>
              <w:tc>
                <w:tcPr>
                  <w:tcW w:w="550" w:type="dxa"/>
                  <w:tcBorders>
                    <w:tl2br w:val="nil"/>
                    <w:tr2bl w:val="nil"/>
                  </w:tcBorders>
                  <w:vAlign w:val="center"/>
                </w:tcPr>
                <w:p w14:paraId="5CBAED15">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Ni</w:t>
                  </w:r>
                </w:p>
              </w:tc>
              <w:tc>
                <w:tcPr>
                  <w:tcW w:w="668" w:type="dxa"/>
                  <w:tcBorders>
                    <w:tl2br w:val="nil"/>
                    <w:tr2bl w:val="nil"/>
                  </w:tcBorders>
                  <w:vAlign w:val="center"/>
                </w:tcPr>
                <w:p w14:paraId="1FC25E06">
                  <w:pPr>
                    <w:pStyle w:val="61"/>
                    <w:shd w:val="clear" w:color="auto" w:fill="auto"/>
                    <w:spacing w:line="240" w:lineRule="auto"/>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t>其他</w:t>
                  </w:r>
                </w:p>
              </w:tc>
            </w:tr>
            <w:tr w14:paraId="5EA4CB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9" w:type="dxa"/>
                  <w:tcBorders>
                    <w:tl2br w:val="nil"/>
                    <w:tr2bl w:val="nil"/>
                  </w:tcBorders>
                  <w:vAlign w:val="center"/>
                </w:tcPr>
                <w:p w14:paraId="6EC76807">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HT200</w:t>
                  </w:r>
                </w:p>
              </w:tc>
              <w:tc>
                <w:tcPr>
                  <w:tcW w:w="1116" w:type="dxa"/>
                  <w:tcBorders>
                    <w:tl2br w:val="nil"/>
                    <w:tr2bl w:val="nil"/>
                  </w:tcBorders>
                  <w:vAlign w:val="center"/>
                </w:tcPr>
                <w:p w14:paraId="242A0BAD">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3.0~3.5</w:t>
                  </w:r>
                </w:p>
              </w:tc>
              <w:tc>
                <w:tcPr>
                  <w:tcW w:w="950" w:type="dxa"/>
                  <w:tcBorders>
                    <w:tl2br w:val="nil"/>
                    <w:tr2bl w:val="nil"/>
                  </w:tcBorders>
                  <w:vAlign w:val="center"/>
                </w:tcPr>
                <w:p w14:paraId="60E0166E">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2.1~2.6</w:t>
                  </w:r>
                </w:p>
              </w:tc>
              <w:tc>
                <w:tcPr>
                  <w:tcW w:w="884" w:type="dxa"/>
                  <w:tcBorders>
                    <w:tl2br w:val="nil"/>
                    <w:tr2bl w:val="nil"/>
                  </w:tcBorders>
                  <w:vAlign w:val="center"/>
                </w:tcPr>
                <w:p w14:paraId="4CF742B1">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0.7~1.0</w:t>
                  </w:r>
                </w:p>
              </w:tc>
              <w:tc>
                <w:tcPr>
                  <w:tcW w:w="600" w:type="dxa"/>
                  <w:tcBorders>
                    <w:tl2br w:val="nil"/>
                    <w:tr2bl w:val="nil"/>
                  </w:tcBorders>
                  <w:vAlign w:val="center"/>
                </w:tcPr>
                <w:p w14:paraId="705A6F48">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0.15</w:t>
                  </w:r>
                </w:p>
              </w:tc>
              <w:tc>
                <w:tcPr>
                  <w:tcW w:w="616" w:type="dxa"/>
                  <w:tcBorders>
                    <w:tl2br w:val="nil"/>
                    <w:tr2bl w:val="nil"/>
                  </w:tcBorders>
                  <w:vAlign w:val="center"/>
                </w:tcPr>
                <w:p w14:paraId="1E93EDB5">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0.12</w:t>
                  </w:r>
                </w:p>
              </w:tc>
              <w:tc>
                <w:tcPr>
                  <w:tcW w:w="600" w:type="dxa"/>
                  <w:tcBorders>
                    <w:tl2br w:val="nil"/>
                    <w:tr2bl w:val="nil"/>
                  </w:tcBorders>
                  <w:vAlign w:val="center"/>
                </w:tcPr>
                <w:p w14:paraId="1F6ED582">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584" w:type="dxa"/>
                  <w:tcBorders>
                    <w:tl2br w:val="nil"/>
                    <w:tr2bl w:val="nil"/>
                  </w:tcBorders>
                  <w:vAlign w:val="center"/>
                </w:tcPr>
                <w:p w14:paraId="1F7A01F7">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550" w:type="dxa"/>
                  <w:tcBorders>
                    <w:tl2br w:val="nil"/>
                    <w:tr2bl w:val="nil"/>
                  </w:tcBorders>
                  <w:vAlign w:val="center"/>
                </w:tcPr>
                <w:p w14:paraId="02A3014F">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668" w:type="dxa"/>
                  <w:tcBorders>
                    <w:tl2br w:val="nil"/>
                    <w:tr2bl w:val="nil"/>
                  </w:tcBorders>
                  <w:vAlign w:val="center"/>
                </w:tcPr>
                <w:p w14:paraId="07F12363">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r w14:paraId="5C7435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49" w:type="dxa"/>
                  <w:tcBorders>
                    <w:tl2br w:val="nil"/>
                    <w:tr2bl w:val="nil"/>
                  </w:tcBorders>
                  <w:vAlign w:val="center"/>
                </w:tcPr>
                <w:p w14:paraId="2DA50B97">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QT400-15</w:t>
                  </w:r>
                </w:p>
              </w:tc>
              <w:tc>
                <w:tcPr>
                  <w:tcW w:w="1116" w:type="dxa"/>
                  <w:tcBorders>
                    <w:tl2br w:val="nil"/>
                    <w:tr2bl w:val="nil"/>
                  </w:tcBorders>
                  <w:vAlign w:val="center"/>
                </w:tcPr>
                <w:p w14:paraId="79CED56F">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3.5~4.0</w:t>
                  </w:r>
                </w:p>
              </w:tc>
              <w:tc>
                <w:tcPr>
                  <w:tcW w:w="950" w:type="dxa"/>
                  <w:tcBorders>
                    <w:tl2br w:val="nil"/>
                    <w:tr2bl w:val="nil"/>
                  </w:tcBorders>
                  <w:vAlign w:val="center"/>
                </w:tcPr>
                <w:p w14:paraId="338152F1">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2.5~3.2</w:t>
                  </w:r>
                </w:p>
              </w:tc>
              <w:tc>
                <w:tcPr>
                  <w:tcW w:w="884" w:type="dxa"/>
                  <w:tcBorders>
                    <w:tl2br w:val="nil"/>
                    <w:tr2bl w:val="nil"/>
                  </w:tcBorders>
                  <w:vAlign w:val="center"/>
                </w:tcPr>
                <w:p w14:paraId="5C13BD73">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0.4</w:t>
                  </w:r>
                </w:p>
              </w:tc>
              <w:tc>
                <w:tcPr>
                  <w:tcW w:w="600" w:type="dxa"/>
                  <w:tcBorders>
                    <w:tl2br w:val="nil"/>
                    <w:tr2bl w:val="nil"/>
                  </w:tcBorders>
                  <w:vAlign w:val="center"/>
                </w:tcPr>
                <w:p w14:paraId="41BDD5FC">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0.05</w:t>
                  </w:r>
                </w:p>
              </w:tc>
              <w:tc>
                <w:tcPr>
                  <w:tcW w:w="616" w:type="dxa"/>
                  <w:tcBorders>
                    <w:tl2br w:val="nil"/>
                    <w:tr2bl w:val="nil"/>
                  </w:tcBorders>
                  <w:vAlign w:val="center"/>
                </w:tcPr>
                <w:p w14:paraId="5B63957C">
                  <w:pPr>
                    <w:pStyle w:val="61"/>
                    <w:shd w:val="clear" w:color="auto" w:fill="auto"/>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0.02</w:t>
                  </w:r>
                </w:p>
              </w:tc>
              <w:tc>
                <w:tcPr>
                  <w:tcW w:w="600" w:type="dxa"/>
                  <w:tcBorders>
                    <w:tl2br w:val="nil"/>
                    <w:tr2bl w:val="nil"/>
                  </w:tcBorders>
                  <w:shd w:val="clear" w:color="auto" w:fill="auto"/>
                  <w:vAlign w:val="center"/>
                </w:tcPr>
                <w:p w14:paraId="67524935">
                  <w:pPr>
                    <w:pStyle w:val="61"/>
                    <w:shd w:val="clear" w:color="auto" w:fill="auto"/>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584" w:type="dxa"/>
                  <w:tcBorders>
                    <w:tl2br w:val="nil"/>
                    <w:tr2bl w:val="nil"/>
                  </w:tcBorders>
                  <w:shd w:val="clear" w:color="auto" w:fill="auto"/>
                  <w:vAlign w:val="center"/>
                </w:tcPr>
                <w:p w14:paraId="1DC20FF5">
                  <w:pPr>
                    <w:pStyle w:val="61"/>
                    <w:shd w:val="clear" w:color="auto" w:fill="auto"/>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550" w:type="dxa"/>
                  <w:tcBorders>
                    <w:tl2br w:val="nil"/>
                    <w:tr2bl w:val="nil"/>
                  </w:tcBorders>
                  <w:shd w:val="clear" w:color="auto" w:fill="auto"/>
                  <w:vAlign w:val="center"/>
                </w:tcPr>
                <w:p w14:paraId="2137571A">
                  <w:pPr>
                    <w:pStyle w:val="61"/>
                    <w:shd w:val="clear" w:color="auto" w:fill="auto"/>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c>
                <w:tcPr>
                  <w:tcW w:w="668" w:type="dxa"/>
                  <w:tcBorders>
                    <w:tl2br w:val="nil"/>
                    <w:tr2bl w:val="nil"/>
                  </w:tcBorders>
                  <w:shd w:val="clear" w:color="auto" w:fill="auto"/>
                  <w:vAlign w:val="center"/>
                </w:tcPr>
                <w:p w14:paraId="700794AC">
                  <w:pPr>
                    <w:pStyle w:val="61"/>
                    <w:shd w:val="clear" w:color="auto" w:fill="auto"/>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w:t>
                  </w:r>
                </w:p>
              </w:tc>
            </w:tr>
          </w:tbl>
          <w:p w14:paraId="7B030C89">
            <w:pPr>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82"/>
              <w:textAlignment w:val="auto"/>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注：HT200产量约15-20%；QT400-15产量约80—85%。</w:t>
            </w:r>
          </w:p>
          <w:p w14:paraId="1C21402A">
            <w:pPr>
              <w:shd w:val="clear" w:color="auto" w:fill="auto"/>
              <w:ind w:firstLine="482"/>
              <w:rPr>
                <w:rFonts w:hint="eastAsia" w:cs="Times New Roman"/>
                <w:b/>
                <w:color w:val="000000" w:themeColor="text1"/>
                <w:highlight w:val="none"/>
                <w:lang w:val="en-US" w:eastAsia="zh-CN"/>
                <w14:textFill>
                  <w14:solidFill>
                    <w14:schemeClr w14:val="tx1"/>
                  </w14:solidFill>
                </w14:textFill>
              </w:rPr>
            </w:pPr>
            <w:r>
              <w:rPr>
                <w:rFonts w:hint="default" w:ascii="Times New Roman" w:hAnsi="Times New Roman" w:cs="Times New Roman"/>
                <w:b w:val="0"/>
                <w:bCs/>
                <w:color w:val="000000" w:themeColor="text1"/>
                <w:highlight w:val="none"/>
                <w:lang w:val="en-US" w:eastAsia="zh-CN"/>
                <w14:textFill>
                  <w14:solidFill>
                    <w14:schemeClr w14:val="tx1"/>
                  </w14:solidFill>
                </w14:textFill>
              </w:rPr>
              <w:t>本项目产品为汽车排气歧管和平衡块，建设两条铸造生产线，同时建设一条树脂砂再生生产线和一条粘土砂再生生产线，根据订单要求，如遇构件形状相对一般不太复杂的产品可以使用粘土砂型进行生产，如遇构件形状相对比较复杂的产品则使用树脂砂型进行生产，具体情况依据产品而定</w:t>
            </w:r>
            <w:r>
              <w:rPr>
                <w:rFonts w:hint="eastAsia" w:cs="Times New Roman"/>
                <w:b w:val="0"/>
                <w:bCs/>
                <w:color w:val="000000" w:themeColor="text1"/>
                <w:highlight w:val="none"/>
                <w:lang w:val="en-US" w:eastAsia="zh-CN"/>
                <w14:textFill>
                  <w14:solidFill>
                    <w14:schemeClr w14:val="tx1"/>
                  </w14:solidFill>
                </w14:textFill>
              </w:rPr>
              <w:t>，预计粘土砂铸件量约为6900t/a，树脂砂铸件量约为3500t/a</w:t>
            </w:r>
            <w:r>
              <w:rPr>
                <w:rFonts w:hint="default" w:ascii="Times New Roman" w:hAnsi="Times New Roman" w:cs="Times New Roman"/>
                <w:b w:val="0"/>
                <w:bCs/>
                <w:color w:val="000000" w:themeColor="text1"/>
                <w:highlight w:val="none"/>
                <w:lang w:val="en-US" w:eastAsia="zh-CN"/>
                <w14:textFill>
                  <w14:solidFill>
                    <w14:schemeClr w14:val="tx1"/>
                  </w14:solidFill>
                </w14:textFill>
              </w:rPr>
              <w:t>。</w:t>
            </w:r>
          </w:p>
          <w:p w14:paraId="6AE770AA">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eastAsia" w:cs="Times New Roman"/>
                <w:b/>
                <w:color w:val="000000" w:themeColor="text1"/>
                <w:highlight w:val="none"/>
                <w:lang w:val="en-US" w:eastAsia="zh-CN"/>
                <w14:textFill>
                  <w14:solidFill>
                    <w14:schemeClr w14:val="tx1"/>
                  </w14:solidFill>
                </w14:textFill>
              </w:rPr>
              <w:t>3</w:t>
            </w:r>
            <w:r>
              <w:rPr>
                <w:rFonts w:hint="default" w:ascii="Times New Roman" w:hAnsi="Times New Roman" w:cs="Times New Roman"/>
                <w:b/>
                <w:color w:val="000000" w:themeColor="text1"/>
                <w:highlight w:val="none"/>
                <w14:textFill>
                  <w14:solidFill>
                    <w14:schemeClr w14:val="tx1"/>
                  </w14:solidFill>
                </w14:textFill>
              </w:rPr>
              <w:t>、原辅材料</w:t>
            </w:r>
          </w:p>
          <w:p w14:paraId="7CB942DD">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项目原辅材料消耗详见项目基本情况见表2-</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cs="Times New Roman"/>
                <w:color w:val="000000" w:themeColor="text1"/>
                <w:highlight w:val="none"/>
                <w14:textFill>
                  <w14:solidFill>
                    <w14:schemeClr w14:val="tx1"/>
                  </w14:solidFill>
                </w14:textFill>
              </w:rPr>
              <w:t>。</w:t>
            </w:r>
          </w:p>
          <w:p w14:paraId="4A6599CA">
            <w:pPr>
              <w:pStyle w:val="72"/>
              <w:numPr>
                <w:ilvl w:val="0"/>
                <w:numId w:val="0"/>
              </w:numPr>
              <w:shd w:val="clear" w:color="auto" w:fill="auto"/>
              <w:jc w:val="center"/>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eastAsia" w:cs="Times New Roman"/>
                <w:color w:val="000000" w:themeColor="text1"/>
                <w:sz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highlight w:val="none"/>
                <w14:textFill>
                  <w14:solidFill>
                    <w14:schemeClr w14:val="tx1"/>
                  </w14:solidFill>
                </w14:textFill>
              </w:rPr>
              <w:t xml:space="preserve"> 原辅材料消耗一览表</w:t>
            </w:r>
          </w:p>
          <w:tbl>
            <w:tblPr>
              <w:tblStyle w:val="32"/>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17"/>
              <w:gridCol w:w="1334"/>
              <w:gridCol w:w="700"/>
              <w:gridCol w:w="750"/>
              <w:gridCol w:w="1283"/>
              <w:gridCol w:w="850"/>
              <w:gridCol w:w="683"/>
              <w:gridCol w:w="929"/>
              <w:gridCol w:w="765"/>
            </w:tblGrid>
            <w:tr w14:paraId="74BA2A3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6D9273A3">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序号</w:t>
                  </w:r>
                </w:p>
              </w:tc>
              <w:tc>
                <w:tcPr>
                  <w:tcW w:w="843" w:type="pct"/>
                  <w:noWrap w:val="0"/>
                  <w:vAlign w:val="center"/>
                </w:tcPr>
                <w:p w14:paraId="35F76BCE">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名称</w:t>
                  </w:r>
                </w:p>
              </w:tc>
              <w:tc>
                <w:tcPr>
                  <w:tcW w:w="442" w:type="pct"/>
                  <w:noWrap w:val="0"/>
                  <w:vAlign w:val="center"/>
                </w:tcPr>
                <w:p w14:paraId="5130EEEA">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单位</w:t>
                  </w:r>
                </w:p>
              </w:tc>
              <w:tc>
                <w:tcPr>
                  <w:tcW w:w="474" w:type="pct"/>
                  <w:noWrap w:val="0"/>
                  <w:vAlign w:val="center"/>
                </w:tcPr>
                <w:p w14:paraId="50E54186">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年用量</w:t>
                  </w:r>
                </w:p>
              </w:tc>
              <w:tc>
                <w:tcPr>
                  <w:tcW w:w="810" w:type="pct"/>
                  <w:noWrap w:val="0"/>
                  <w:vAlign w:val="center"/>
                </w:tcPr>
                <w:p w14:paraId="16EEDF2E">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包装方式，形态</w:t>
                  </w:r>
                </w:p>
              </w:tc>
              <w:tc>
                <w:tcPr>
                  <w:tcW w:w="537" w:type="pct"/>
                  <w:noWrap w:val="0"/>
                  <w:vAlign w:val="center"/>
                </w:tcPr>
                <w:p w14:paraId="09B55EFC">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最大储存量</w:t>
                  </w:r>
                </w:p>
              </w:tc>
              <w:tc>
                <w:tcPr>
                  <w:tcW w:w="431" w:type="pct"/>
                  <w:noWrap w:val="0"/>
                  <w:vAlign w:val="center"/>
                </w:tcPr>
                <w:p w14:paraId="1033786F">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来源</w:t>
                  </w:r>
                </w:p>
              </w:tc>
              <w:tc>
                <w:tcPr>
                  <w:tcW w:w="587" w:type="pct"/>
                  <w:noWrap w:val="0"/>
                  <w:vAlign w:val="center"/>
                </w:tcPr>
                <w:p w14:paraId="5031C7B0">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用途</w:t>
                  </w:r>
                </w:p>
              </w:tc>
              <w:tc>
                <w:tcPr>
                  <w:tcW w:w="483" w:type="pct"/>
                  <w:noWrap w:val="0"/>
                  <w:vAlign w:val="center"/>
                </w:tcPr>
                <w:p w14:paraId="77C38E73">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运输方式</w:t>
                  </w:r>
                </w:p>
              </w:tc>
            </w:tr>
            <w:tr w14:paraId="4D55D1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562B174A">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1</w:t>
                  </w:r>
                </w:p>
              </w:tc>
              <w:tc>
                <w:tcPr>
                  <w:tcW w:w="843" w:type="pct"/>
                  <w:noWrap w:val="0"/>
                  <w:vAlign w:val="center"/>
                </w:tcPr>
                <w:p w14:paraId="19E1E04F">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生铁（新料）</w:t>
                  </w:r>
                </w:p>
              </w:tc>
              <w:tc>
                <w:tcPr>
                  <w:tcW w:w="442" w:type="pct"/>
                  <w:noWrap w:val="0"/>
                  <w:vAlign w:val="center"/>
                </w:tcPr>
                <w:p w14:paraId="5046FE9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567B1C1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7115</w:t>
                  </w:r>
                </w:p>
              </w:tc>
              <w:tc>
                <w:tcPr>
                  <w:tcW w:w="810" w:type="pct"/>
                  <w:noWrap w:val="0"/>
                  <w:vAlign w:val="center"/>
                </w:tcPr>
                <w:p w14:paraId="46B5341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散装，固态</w:t>
                  </w:r>
                </w:p>
              </w:tc>
              <w:tc>
                <w:tcPr>
                  <w:tcW w:w="537" w:type="pct"/>
                  <w:noWrap w:val="0"/>
                  <w:vAlign w:val="center"/>
                </w:tcPr>
                <w:p w14:paraId="67589EC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1200</w:t>
                  </w:r>
                </w:p>
              </w:tc>
              <w:tc>
                <w:tcPr>
                  <w:tcW w:w="431" w:type="pct"/>
                  <w:noWrap w:val="0"/>
                  <w:vAlign w:val="center"/>
                </w:tcPr>
                <w:p w14:paraId="52A0E99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0CED9D8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原料</w:t>
                  </w:r>
                </w:p>
              </w:tc>
              <w:tc>
                <w:tcPr>
                  <w:tcW w:w="483" w:type="pct"/>
                  <w:noWrap w:val="0"/>
                  <w:vAlign w:val="center"/>
                </w:tcPr>
                <w:p w14:paraId="7EEA4DB3">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369ED8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04157C08">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2</w:t>
                  </w:r>
                </w:p>
              </w:tc>
              <w:tc>
                <w:tcPr>
                  <w:tcW w:w="843" w:type="pct"/>
                  <w:noWrap w:val="0"/>
                  <w:vAlign w:val="center"/>
                </w:tcPr>
                <w:p w14:paraId="31F5CB0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碳钢（新料）</w:t>
                  </w:r>
                </w:p>
              </w:tc>
              <w:tc>
                <w:tcPr>
                  <w:tcW w:w="442" w:type="pct"/>
                  <w:noWrap w:val="0"/>
                  <w:vAlign w:val="center"/>
                </w:tcPr>
                <w:p w14:paraId="23C531E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4F26AC8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2930</w:t>
                  </w:r>
                </w:p>
              </w:tc>
              <w:tc>
                <w:tcPr>
                  <w:tcW w:w="810" w:type="pct"/>
                  <w:noWrap w:val="0"/>
                  <w:vAlign w:val="center"/>
                </w:tcPr>
                <w:p w14:paraId="6B3EF19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散装，固态</w:t>
                  </w:r>
                </w:p>
              </w:tc>
              <w:tc>
                <w:tcPr>
                  <w:tcW w:w="537" w:type="pct"/>
                  <w:noWrap w:val="0"/>
                  <w:vAlign w:val="center"/>
                </w:tcPr>
                <w:p w14:paraId="3CAED1E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500</w:t>
                  </w:r>
                </w:p>
              </w:tc>
              <w:tc>
                <w:tcPr>
                  <w:tcW w:w="431" w:type="pct"/>
                  <w:noWrap w:val="0"/>
                  <w:vAlign w:val="center"/>
                </w:tcPr>
                <w:p w14:paraId="32CB18D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233C668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原料</w:t>
                  </w:r>
                </w:p>
              </w:tc>
              <w:tc>
                <w:tcPr>
                  <w:tcW w:w="483" w:type="pct"/>
                  <w:noWrap w:val="0"/>
                  <w:vAlign w:val="center"/>
                </w:tcPr>
                <w:p w14:paraId="3D09CB7C">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1AA01C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3685C8F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3</w:t>
                  </w:r>
                </w:p>
              </w:tc>
              <w:tc>
                <w:tcPr>
                  <w:tcW w:w="843" w:type="pct"/>
                  <w:noWrap w:val="0"/>
                  <w:vAlign w:val="center"/>
                </w:tcPr>
                <w:p w14:paraId="0D26EEE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石墨粉</w:t>
                  </w:r>
                </w:p>
              </w:tc>
              <w:tc>
                <w:tcPr>
                  <w:tcW w:w="442" w:type="pct"/>
                  <w:noWrap w:val="0"/>
                  <w:vAlign w:val="center"/>
                </w:tcPr>
                <w:p w14:paraId="69AB0DC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27A7C3A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209</w:t>
                  </w:r>
                </w:p>
              </w:tc>
              <w:tc>
                <w:tcPr>
                  <w:tcW w:w="810" w:type="pct"/>
                  <w:noWrap w:val="0"/>
                  <w:vAlign w:val="center"/>
                </w:tcPr>
                <w:p w14:paraId="1B855F8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noWrap w:val="0"/>
                  <w:vAlign w:val="center"/>
                </w:tcPr>
                <w:p w14:paraId="1D02754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431" w:type="pct"/>
                  <w:noWrap w:val="0"/>
                  <w:vAlign w:val="center"/>
                </w:tcPr>
                <w:p w14:paraId="4968C75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2FA57A5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增碳剂</w:t>
                  </w:r>
                </w:p>
              </w:tc>
              <w:tc>
                <w:tcPr>
                  <w:tcW w:w="483" w:type="pct"/>
                  <w:noWrap w:val="0"/>
                  <w:vAlign w:val="center"/>
                </w:tcPr>
                <w:p w14:paraId="4BE29653">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71B35E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77398F0C">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4</w:t>
                  </w:r>
                </w:p>
              </w:tc>
              <w:tc>
                <w:tcPr>
                  <w:tcW w:w="843" w:type="pct"/>
                  <w:noWrap w:val="0"/>
                  <w:vAlign w:val="center"/>
                </w:tcPr>
                <w:p w14:paraId="2EF3D22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硅铁（新料）</w:t>
                  </w:r>
                </w:p>
              </w:tc>
              <w:tc>
                <w:tcPr>
                  <w:tcW w:w="442" w:type="pct"/>
                  <w:noWrap w:val="0"/>
                  <w:vAlign w:val="center"/>
                </w:tcPr>
                <w:p w14:paraId="2367DB7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29C6D02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810" w:type="pct"/>
                  <w:noWrap w:val="0"/>
                  <w:vAlign w:val="center"/>
                </w:tcPr>
                <w:p w14:paraId="22BA8A20">
                  <w:pPr>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noWrap w:val="0"/>
                  <w:vAlign w:val="center"/>
                </w:tcPr>
                <w:p w14:paraId="3B25970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15</w:t>
                  </w:r>
                </w:p>
              </w:tc>
              <w:tc>
                <w:tcPr>
                  <w:tcW w:w="431" w:type="pct"/>
                  <w:noWrap w:val="0"/>
                  <w:vAlign w:val="center"/>
                </w:tcPr>
                <w:p w14:paraId="6D1F695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0BFB60B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孕育剂</w:t>
                  </w:r>
                </w:p>
              </w:tc>
              <w:tc>
                <w:tcPr>
                  <w:tcW w:w="483" w:type="pct"/>
                  <w:noWrap w:val="0"/>
                  <w:vAlign w:val="center"/>
                </w:tcPr>
                <w:p w14:paraId="0D66C87D">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2534DD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31EC1F3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5</w:t>
                  </w:r>
                </w:p>
              </w:tc>
              <w:tc>
                <w:tcPr>
                  <w:tcW w:w="843" w:type="pct"/>
                  <w:noWrap w:val="0"/>
                  <w:vAlign w:val="center"/>
                </w:tcPr>
                <w:p w14:paraId="106FEF4E">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锰铁（新料）</w:t>
                  </w:r>
                </w:p>
              </w:tc>
              <w:tc>
                <w:tcPr>
                  <w:tcW w:w="442" w:type="pct"/>
                  <w:noWrap w:val="0"/>
                  <w:vAlign w:val="center"/>
                </w:tcPr>
                <w:p w14:paraId="1B0C5FC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13B4FD5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810" w:type="pct"/>
                  <w:noWrap w:val="0"/>
                  <w:vAlign w:val="center"/>
                </w:tcPr>
                <w:p w14:paraId="20460D64">
                  <w:pPr>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noWrap w:val="0"/>
                  <w:vAlign w:val="center"/>
                </w:tcPr>
                <w:p w14:paraId="58EB926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20</w:t>
                  </w:r>
                </w:p>
              </w:tc>
              <w:tc>
                <w:tcPr>
                  <w:tcW w:w="431" w:type="pct"/>
                  <w:noWrap w:val="0"/>
                  <w:vAlign w:val="center"/>
                </w:tcPr>
                <w:p w14:paraId="0B1DD7E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24A62E6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脱氧</w:t>
                  </w:r>
                  <w:r>
                    <w:rPr>
                      <w:rFonts w:hint="default" w:ascii="Times New Roman" w:hAnsi="Times New Roman" w:cs="Times New Roman"/>
                      <w:b w:val="0"/>
                      <w:bCs/>
                      <w:color w:val="000000" w:themeColor="text1"/>
                      <w:sz w:val="21"/>
                      <w:szCs w:val="21"/>
                      <w:highlight w:val="none"/>
                      <w14:textFill>
                        <w14:solidFill>
                          <w14:schemeClr w14:val="tx1"/>
                        </w14:solidFill>
                      </w14:textFill>
                    </w:rPr>
                    <w:t>剂</w:t>
                  </w:r>
                </w:p>
              </w:tc>
              <w:tc>
                <w:tcPr>
                  <w:tcW w:w="483" w:type="pct"/>
                  <w:noWrap w:val="0"/>
                  <w:vAlign w:val="center"/>
                </w:tcPr>
                <w:p w14:paraId="50067F64">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35B042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53B5B05C">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6</w:t>
                  </w:r>
                </w:p>
              </w:tc>
              <w:tc>
                <w:tcPr>
                  <w:tcW w:w="843" w:type="pct"/>
                  <w:noWrap w:val="0"/>
                  <w:vAlign w:val="center"/>
                </w:tcPr>
                <w:p w14:paraId="16F3533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除渣剂</w:t>
                  </w:r>
                </w:p>
              </w:tc>
              <w:tc>
                <w:tcPr>
                  <w:tcW w:w="442" w:type="pct"/>
                  <w:noWrap w:val="0"/>
                  <w:vAlign w:val="center"/>
                </w:tcPr>
                <w:p w14:paraId="65E4864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24DEB50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60</w:t>
                  </w:r>
                </w:p>
              </w:tc>
              <w:tc>
                <w:tcPr>
                  <w:tcW w:w="810" w:type="pct"/>
                  <w:noWrap w:val="0"/>
                  <w:vAlign w:val="center"/>
                </w:tcPr>
                <w:p w14:paraId="78E3095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noWrap w:val="0"/>
                  <w:vAlign w:val="center"/>
                </w:tcPr>
                <w:p w14:paraId="43D796D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5</w:t>
                  </w:r>
                </w:p>
              </w:tc>
              <w:tc>
                <w:tcPr>
                  <w:tcW w:w="431" w:type="pct"/>
                  <w:noWrap w:val="0"/>
                  <w:vAlign w:val="center"/>
                </w:tcPr>
                <w:p w14:paraId="40E7770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244F09A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除渣</w:t>
                  </w:r>
                </w:p>
              </w:tc>
              <w:tc>
                <w:tcPr>
                  <w:tcW w:w="483" w:type="pct"/>
                  <w:noWrap w:val="0"/>
                  <w:vAlign w:val="center"/>
                </w:tcPr>
                <w:p w14:paraId="3FFF4E88">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3B3E6C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532B5F67">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7</w:t>
                  </w:r>
                </w:p>
              </w:tc>
              <w:tc>
                <w:tcPr>
                  <w:tcW w:w="843" w:type="pct"/>
                  <w:noWrap w:val="0"/>
                  <w:vAlign w:val="center"/>
                </w:tcPr>
                <w:p w14:paraId="3EBF71A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天然硅</w:t>
                  </w:r>
                  <w:r>
                    <w:rPr>
                      <w:rFonts w:hint="default" w:ascii="Times New Roman" w:hAnsi="Times New Roman" w:eastAsia="宋体" w:cs="Times New Roman"/>
                      <w:bCs/>
                      <w:color w:val="000000" w:themeColor="text1"/>
                      <w:sz w:val="21"/>
                      <w:szCs w:val="21"/>
                      <w:highlight w:val="none"/>
                      <w14:textFill>
                        <w14:solidFill>
                          <w14:schemeClr w14:val="tx1"/>
                        </w14:solidFill>
                      </w14:textFill>
                    </w:rPr>
                    <w:t>砂</w:t>
                  </w:r>
                </w:p>
              </w:tc>
              <w:tc>
                <w:tcPr>
                  <w:tcW w:w="442" w:type="pct"/>
                  <w:noWrap w:val="0"/>
                  <w:vAlign w:val="center"/>
                </w:tcPr>
                <w:p w14:paraId="6F3F1C1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noWrap w:val="0"/>
                  <w:vAlign w:val="center"/>
                </w:tcPr>
                <w:p w14:paraId="6F1BC7A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314</w:t>
                  </w:r>
                </w:p>
              </w:tc>
              <w:tc>
                <w:tcPr>
                  <w:tcW w:w="810" w:type="pct"/>
                  <w:noWrap w:val="0"/>
                  <w:vAlign w:val="center"/>
                </w:tcPr>
                <w:p w14:paraId="1C6CE9D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noWrap w:val="0"/>
                  <w:vAlign w:val="center"/>
                </w:tcPr>
                <w:p w14:paraId="0C308B8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100</w:t>
                  </w:r>
                </w:p>
              </w:tc>
              <w:tc>
                <w:tcPr>
                  <w:tcW w:w="431" w:type="pct"/>
                  <w:noWrap w:val="0"/>
                  <w:vAlign w:val="center"/>
                </w:tcPr>
                <w:p w14:paraId="6F92031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noWrap w:val="0"/>
                  <w:vAlign w:val="center"/>
                </w:tcPr>
                <w:p w14:paraId="786662F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原料</w:t>
                  </w:r>
                </w:p>
              </w:tc>
              <w:tc>
                <w:tcPr>
                  <w:tcW w:w="483" w:type="pct"/>
                  <w:noWrap w:val="0"/>
                  <w:vAlign w:val="center"/>
                </w:tcPr>
                <w:p w14:paraId="2BE7A622">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460522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38FC5900">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8</w:t>
                  </w:r>
                </w:p>
              </w:tc>
              <w:tc>
                <w:tcPr>
                  <w:tcW w:w="843" w:type="pct"/>
                  <w:shd w:val="clear" w:color="auto" w:fill="auto"/>
                  <w:noWrap w:val="0"/>
                  <w:vAlign w:val="center"/>
                </w:tcPr>
                <w:p w14:paraId="67DE0DA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膨润土</w:t>
                  </w:r>
                </w:p>
              </w:tc>
              <w:tc>
                <w:tcPr>
                  <w:tcW w:w="442" w:type="pct"/>
                  <w:shd w:val="clear" w:color="auto" w:fill="auto"/>
                  <w:noWrap w:val="0"/>
                  <w:vAlign w:val="center"/>
                </w:tcPr>
                <w:p w14:paraId="060A156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204F7F6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106</w:t>
                  </w:r>
                </w:p>
              </w:tc>
              <w:tc>
                <w:tcPr>
                  <w:tcW w:w="810" w:type="pct"/>
                  <w:shd w:val="clear" w:color="auto" w:fill="auto"/>
                  <w:noWrap w:val="0"/>
                  <w:vAlign w:val="center"/>
                </w:tcPr>
                <w:p w14:paraId="20FE6B2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shd w:val="clear" w:color="auto" w:fill="auto"/>
                  <w:noWrap w:val="0"/>
                  <w:vAlign w:val="center"/>
                </w:tcPr>
                <w:p w14:paraId="1B5F0DB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431" w:type="pct"/>
                  <w:shd w:val="clear" w:color="auto" w:fill="auto"/>
                  <w:noWrap w:val="0"/>
                  <w:vAlign w:val="center"/>
                </w:tcPr>
                <w:p w14:paraId="4714BE0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7E09055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粘结剂</w:t>
                  </w:r>
                </w:p>
              </w:tc>
              <w:tc>
                <w:tcPr>
                  <w:tcW w:w="483" w:type="pct"/>
                  <w:shd w:val="clear" w:color="auto" w:fill="auto"/>
                  <w:noWrap w:val="0"/>
                  <w:vAlign w:val="center"/>
                </w:tcPr>
                <w:p w14:paraId="61DCAEB2">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746BF3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415ED193">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9</w:t>
                  </w:r>
                </w:p>
              </w:tc>
              <w:tc>
                <w:tcPr>
                  <w:tcW w:w="843" w:type="pct"/>
                  <w:shd w:val="clear" w:color="auto" w:fill="auto"/>
                  <w:noWrap w:val="0"/>
                  <w:vAlign w:val="center"/>
                </w:tcPr>
                <w:p w14:paraId="4B22F32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红煤粉</w:t>
                  </w:r>
                </w:p>
              </w:tc>
              <w:tc>
                <w:tcPr>
                  <w:tcW w:w="442" w:type="pct"/>
                  <w:shd w:val="clear" w:color="auto" w:fill="auto"/>
                  <w:noWrap w:val="0"/>
                  <w:vAlign w:val="center"/>
                </w:tcPr>
                <w:p w14:paraId="702E2DB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3A573E5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27</w:t>
                  </w:r>
                </w:p>
              </w:tc>
              <w:tc>
                <w:tcPr>
                  <w:tcW w:w="810" w:type="pct"/>
                  <w:shd w:val="clear" w:color="auto" w:fill="auto"/>
                  <w:noWrap w:val="0"/>
                  <w:vAlign w:val="center"/>
                </w:tcPr>
                <w:p w14:paraId="1D3E516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shd w:val="clear" w:color="auto" w:fill="auto"/>
                  <w:noWrap w:val="0"/>
                  <w:vAlign w:val="center"/>
                </w:tcPr>
                <w:p w14:paraId="3FE1960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15</w:t>
                  </w:r>
                </w:p>
              </w:tc>
              <w:tc>
                <w:tcPr>
                  <w:tcW w:w="431" w:type="pct"/>
                  <w:shd w:val="clear" w:color="auto" w:fill="auto"/>
                  <w:noWrap w:val="0"/>
                  <w:vAlign w:val="center"/>
                </w:tcPr>
                <w:p w14:paraId="223C68C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4DC91AF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添加剂</w:t>
                  </w:r>
                </w:p>
              </w:tc>
              <w:tc>
                <w:tcPr>
                  <w:tcW w:w="483" w:type="pct"/>
                  <w:shd w:val="clear" w:color="auto" w:fill="auto"/>
                  <w:noWrap w:val="0"/>
                  <w:vAlign w:val="center"/>
                </w:tcPr>
                <w:p w14:paraId="4C535EC8">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7810C0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271ACD55">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10</w:t>
                  </w:r>
                </w:p>
              </w:tc>
              <w:tc>
                <w:tcPr>
                  <w:tcW w:w="843" w:type="pct"/>
                  <w:shd w:val="clear" w:color="auto" w:fill="auto"/>
                  <w:noWrap w:val="0"/>
                  <w:vAlign w:val="center"/>
                </w:tcPr>
                <w:p w14:paraId="163E6DC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自硬呋喃</w:t>
                  </w:r>
                  <w:r>
                    <w:rPr>
                      <w:rFonts w:hint="default" w:ascii="Times New Roman" w:hAnsi="Times New Roman" w:eastAsia="宋体" w:cs="Times New Roman"/>
                      <w:bCs/>
                      <w:color w:val="000000" w:themeColor="text1"/>
                      <w:sz w:val="21"/>
                      <w:szCs w:val="21"/>
                      <w:highlight w:val="none"/>
                      <w14:textFill>
                        <w14:solidFill>
                          <w14:schemeClr w14:val="tx1"/>
                        </w14:solidFill>
                      </w14:textFill>
                    </w:rPr>
                    <w:t>树脂</w:t>
                  </w:r>
                </w:p>
              </w:tc>
              <w:tc>
                <w:tcPr>
                  <w:tcW w:w="442" w:type="pct"/>
                  <w:shd w:val="clear" w:color="auto" w:fill="auto"/>
                  <w:noWrap w:val="0"/>
                  <w:vAlign w:val="center"/>
                </w:tcPr>
                <w:p w14:paraId="5AA5F96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5F9F8FE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80</w:t>
                  </w:r>
                </w:p>
              </w:tc>
              <w:tc>
                <w:tcPr>
                  <w:tcW w:w="810" w:type="pct"/>
                  <w:shd w:val="clear" w:color="auto" w:fill="auto"/>
                  <w:noWrap w:val="0"/>
                  <w:vAlign w:val="center"/>
                </w:tcPr>
                <w:p w14:paraId="46C30F3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3DCBED5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5</w:t>
                  </w:r>
                </w:p>
              </w:tc>
              <w:tc>
                <w:tcPr>
                  <w:tcW w:w="431" w:type="pct"/>
                  <w:shd w:val="clear" w:color="auto" w:fill="auto"/>
                  <w:noWrap w:val="0"/>
                  <w:vAlign w:val="center"/>
                </w:tcPr>
                <w:p w14:paraId="3E43251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5858369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粘结剂</w:t>
                  </w:r>
                </w:p>
              </w:tc>
              <w:tc>
                <w:tcPr>
                  <w:tcW w:w="483" w:type="pct"/>
                  <w:shd w:val="clear" w:color="auto" w:fill="auto"/>
                  <w:noWrap w:val="0"/>
                  <w:vAlign w:val="center"/>
                </w:tcPr>
                <w:p w14:paraId="3897BFD7">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6C7F69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3A9A7727">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11</w:t>
                  </w:r>
                </w:p>
              </w:tc>
              <w:tc>
                <w:tcPr>
                  <w:tcW w:w="843" w:type="pct"/>
                  <w:shd w:val="clear" w:color="auto" w:fill="auto"/>
                  <w:noWrap w:val="0"/>
                  <w:vAlign w:val="center"/>
                </w:tcPr>
                <w:p w14:paraId="507217FA">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磺酸</w:t>
                  </w:r>
                  <w:r>
                    <w:rPr>
                      <w:rFonts w:hint="default" w:ascii="Times New Roman" w:hAnsi="Times New Roman" w:eastAsia="宋体" w:cs="Times New Roman"/>
                      <w:bCs/>
                      <w:color w:val="000000" w:themeColor="text1"/>
                      <w:sz w:val="21"/>
                      <w:szCs w:val="21"/>
                      <w:highlight w:val="none"/>
                      <w14:textFill>
                        <w14:solidFill>
                          <w14:schemeClr w14:val="tx1"/>
                        </w14:solidFill>
                      </w14:textFill>
                    </w:rPr>
                    <w:t>固化剂</w:t>
                  </w:r>
                </w:p>
              </w:tc>
              <w:tc>
                <w:tcPr>
                  <w:tcW w:w="442" w:type="pct"/>
                  <w:shd w:val="clear" w:color="auto" w:fill="auto"/>
                  <w:noWrap w:val="0"/>
                  <w:vAlign w:val="center"/>
                </w:tcPr>
                <w:p w14:paraId="2749F88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5829C6D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20</w:t>
                  </w:r>
                </w:p>
              </w:tc>
              <w:tc>
                <w:tcPr>
                  <w:tcW w:w="810" w:type="pct"/>
                  <w:shd w:val="clear" w:color="auto" w:fill="auto"/>
                  <w:noWrap w:val="0"/>
                  <w:vAlign w:val="center"/>
                </w:tcPr>
                <w:p w14:paraId="16FC0FE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60E99B3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w:t>
                  </w:r>
                </w:p>
              </w:tc>
              <w:tc>
                <w:tcPr>
                  <w:tcW w:w="431" w:type="pct"/>
                  <w:shd w:val="clear" w:color="auto" w:fill="auto"/>
                  <w:noWrap w:val="0"/>
                  <w:vAlign w:val="center"/>
                </w:tcPr>
                <w:p w14:paraId="2862BDC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3929561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固化剂</w:t>
                  </w:r>
                </w:p>
              </w:tc>
              <w:tc>
                <w:tcPr>
                  <w:tcW w:w="483" w:type="pct"/>
                  <w:shd w:val="clear" w:color="auto" w:fill="auto"/>
                  <w:noWrap w:val="0"/>
                  <w:vAlign w:val="center"/>
                </w:tcPr>
                <w:p w14:paraId="1CA84A46">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6CEF358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6C598403">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12</w:t>
                  </w:r>
                </w:p>
              </w:tc>
              <w:tc>
                <w:tcPr>
                  <w:tcW w:w="843" w:type="pct"/>
                  <w:shd w:val="clear" w:color="auto" w:fill="auto"/>
                  <w:noWrap w:val="0"/>
                  <w:vAlign w:val="center"/>
                </w:tcPr>
                <w:p w14:paraId="16D1BC30">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机油</w:t>
                  </w:r>
                </w:p>
              </w:tc>
              <w:tc>
                <w:tcPr>
                  <w:tcW w:w="442" w:type="pct"/>
                  <w:shd w:val="clear" w:color="auto" w:fill="auto"/>
                  <w:noWrap w:val="0"/>
                  <w:vAlign w:val="center"/>
                </w:tcPr>
                <w:p w14:paraId="26FFA2E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1D4EA4F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w:t>
                  </w:r>
                </w:p>
              </w:tc>
              <w:tc>
                <w:tcPr>
                  <w:tcW w:w="810" w:type="pct"/>
                  <w:shd w:val="clear" w:color="auto" w:fill="auto"/>
                  <w:noWrap w:val="0"/>
                  <w:vAlign w:val="center"/>
                </w:tcPr>
                <w:p w14:paraId="54DBB99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6C1BAB4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0.5</w:t>
                  </w:r>
                </w:p>
              </w:tc>
              <w:tc>
                <w:tcPr>
                  <w:tcW w:w="431" w:type="pct"/>
                  <w:shd w:val="clear" w:color="auto" w:fill="auto"/>
                  <w:noWrap w:val="0"/>
                  <w:vAlign w:val="center"/>
                </w:tcPr>
                <w:p w14:paraId="0DB268D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27A5DDB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w:t>
                  </w:r>
                </w:p>
              </w:tc>
              <w:tc>
                <w:tcPr>
                  <w:tcW w:w="483" w:type="pct"/>
                  <w:shd w:val="clear" w:color="auto" w:fill="auto"/>
                  <w:noWrap w:val="0"/>
                  <w:vAlign w:val="center"/>
                </w:tcPr>
                <w:p w14:paraId="3E8E9509">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6C25F7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1C7BBA8F">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13</w:t>
                  </w:r>
                </w:p>
              </w:tc>
              <w:tc>
                <w:tcPr>
                  <w:tcW w:w="843" w:type="pct"/>
                  <w:shd w:val="clear" w:color="auto" w:fill="auto"/>
                  <w:noWrap w:val="0"/>
                  <w:vAlign w:val="center"/>
                </w:tcPr>
                <w:p w14:paraId="20E0D48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水性丙烯酸聚氨酯面漆（双组份灰色）</w:t>
                  </w:r>
                </w:p>
              </w:tc>
              <w:tc>
                <w:tcPr>
                  <w:tcW w:w="442" w:type="pct"/>
                  <w:shd w:val="clear" w:color="auto" w:fill="auto"/>
                  <w:noWrap w:val="0"/>
                  <w:vAlign w:val="center"/>
                </w:tcPr>
                <w:p w14:paraId="17219C8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6D9DC63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kern w:val="2"/>
                      <w:sz w:val="21"/>
                      <w:szCs w:val="21"/>
                      <w:highlight w:val="none"/>
                      <w:lang w:val="en-US" w:eastAsia="zh-CN" w:bidi="ar-SA"/>
                      <w14:textFill>
                        <w14:solidFill>
                          <w14:schemeClr w14:val="tx1"/>
                        </w14:solidFill>
                      </w14:textFill>
                    </w:rPr>
                    <w:t>13.96</w:t>
                  </w:r>
                </w:p>
              </w:tc>
              <w:tc>
                <w:tcPr>
                  <w:tcW w:w="810" w:type="pct"/>
                  <w:shd w:val="clear" w:color="auto" w:fill="auto"/>
                  <w:noWrap w:val="0"/>
                  <w:vAlign w:val="center"/>
                </w:tcPr>
                <w:p w14:paraId="7E5DA05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5A6F707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2</w:t>
                  </w:r>
                </w:p>
              </w:tc>
              <w:tc>
                <w:tcPr>
                  <w:tcW w:w="431" w:type="pct"/>
                  <w:shd w:val="clear" w:color="auto" w:fill="auto"/>
                  <w:noWrap w:val="0"/>
                  <w:vAlign w:val="center"/>
                </w:tcPr>
                <w:p w14:paraId="005B58E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36C9213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防锈层</w:t>
                  </w:r>
                </w:p>
              </w:tc>
              <w:tc>
                <w:tcPr>
                  <w:tcW w:w="483" w:type="pct"/>
                  <w:shd w:val="clear" w:color="auto" w:fill="auto"/>
                  <w:noWrap w:val="0"/>
                  <w:vAlign w:val="center"/>
                </w:tcPr>
                <w:p w14:paraId="2CD1F300">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0498A3A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76896A2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14</w:t>
                  </w:r>
                </w:p>
              </w:tc>
              <w:tc>
                <w:tcPr>
                  <w:tcW w:w="843" w:type="pct"/>
                  <w:shd w:val="clear" w:color="auto" w:fill="auto"/>
                  <w:noWrap w:val="0"/>
                  <w:vAlign w:val="center"/>
                </w:tcPr>
                <w:p w14:paraId="7A0A980F">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钢丸</w:t>
                  </w:r>
                </w:p>
              </w:tc>
              <w:tc>
                <w:tcPr>
                  <w:tcW w:w="442" w:type="pct"/>
                  <w:shd w:val="clear" w:color="auto" w:fill="auto"/>
                  <w:noWrap w:val="0"/>
                  <w:vAlign w:val="center"/>
                </w:tcPr>
                <w:p w14:paraId="14E9155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3FA6FC7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w:t>
                  </w:r>
                </w:p>
              </w:tc>
              <w:tc>
                <w:tcPr>
                  <w:tcW w:w="810" w:type="pct"/>
                  <w:shd w:val="clear" w:color="auto" w:fill="auto"/>
                  <w:noWrap w:val="0"/>
                  <w:vAlign w:val="center"/>
                </w:tcPr>
                <w:p w14:paraId="37CDA89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袋装，固态</w:t>
                  </w:r>
                </w:p>
              </w:tc>
              <w:tc>
                <w:tcPr>
                  <w:tcW w:w="537" w:type="pct"/>
                  <w:shd w:val="clear" w:color="auto" w:fill="auto"/>
                  <w:noWrap w:val="0"/>
                  <w:vAlign w:val="center"/>
                </w:tcPr>
                <w:p w14:paraId="794EAF3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0.5</w:t>
                  </w:r>
                </w:p>
              </w:tc>
              <w:tc>
                <w:tcPr>
                  <w:tcW w:w="431" w:type="pct"/>
                  <w:shd w:val="clear" w:color="auto" w:fill="auto"/>
                  <w:noWrap w:val="0"/>
                  <w:vAlign w:val="center"/>
                </w:tcPr>
                <w:p w14:paraId="29E02A6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3445A55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抛光</w:t>
                  </w:r>
                </w:p>
              </w:tc>
              <w:tc>
                <w:tcPr>
                  <w:tcW w:w="483" w:type="pct"/>
                  <w:shd w:val="clear" w:color="auto" w:fill="auto"/>
                  <w:noWrap w:val="0"/>
                  <w:vAlign w:val="center"/>
                </w:tcPr>
                <w:p w14:paraId="5C79430A">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2E2883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369D596A">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15</w:t>
                  </w:r>
                </w:p>
              </w:tc>
              <w:tc>
                <w:tcPr>
                  <w:tcW w:w="843" w:type="pct"/>
                  <w:shd w:val="clear" w:color="auto" w:fill="auto"/>
                  <w:noWrap w:val="0"/>
                  <w:vAlign w:val="center"/>
                </w:tcPr>
                <w:p w14:paraId="59D9A2C7">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脱模剂</w:t>
                  </w:r>
                </w:p>
              </w:tc>
              <w:tc>
                <w:tcPr>
                  <w:tcW w:w="442" w:type="pct"/>
                  <w:shd w:val="clear" w:color="auto" w:fill="auto"/>
                  <w:noWrap w:val="0"/>
                  <w:vAlign w:val="center"/>
                </w:tcPr>
                <w:p w14:paraId="272126CE">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0732FA8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w:t>
                  </w:r>
                </w:p>
              </w:tc>
              <w:tc>
                <w:tcPr>
                  <w:tcW w:w="810" w:type="pct"/>
                  <w:shd w:val="clear" w:color="auto" w:fill="auto"/>
                  <w:noWrap w:val="0"/>
                  <w:vAlign w:val="center"/>
                </w:tcPr>
                <w:p w14:paraId="4829C24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5E9F1A8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0.2</w:t>
                  </w:r>
                </w:p>
              </w:tc>
              <w:tc>
                <w:tcPr>
                  <w:tcW w:w="431" w:type="pct"/>
                  <w:shd w:val="clear" w:color="auto" w:fill="auto"/>
                  <w:noWrap w:val="0"/>
                  <w:vAlign w:val="center"/>
                </w:tcPr>
                <w:p w14:paraId="3F63CC0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7225B5F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脱模</w:t>
                  </w:r>
                </w:p>
              </w:tc>
              <w:tc>
                <w:tcPr>
                  <w:tcW w:w="483" w:type="pct"/>
                  <w:shd w:val="clear" w:color="auto" w:fill="auto"/>
                  <w:noWrap w:val="0"/>
                  <w:vAlign w:val="center"/>
                </w:tcPr>
                <w:p w14:paraId="4767DD82">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51F06DF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1AE87F7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16</w:t>
                  </w:r>
                </w:p>
              </w:tc>
              <w:tc>
                <w:tcPr>
                  <w:tcW w:w="843" w:type="pct"/>
                  <w:shd w:val="clear" w:color="auto" w:fill="auto"/>
                  <w:noWrap w:val="0"/>
                  <w:vAlign w:val="center"/>
                </w:tcPr>
                <w:p w14:paraId="5CF963DE">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乳化液</w:t>
                  </w:r>
                </w:p>
              </w:tc>
              <w:tc>
                <w:tcPr>
                  <w:tcW w:w="442" w:type="pct"/>
                  <w:shd w:val="clear" w:color="auto" w:fill="auto"/>
                  <w:noWrap w:val="0"/>
                  <w:vAlign w:val="center"/>
                </w:tcPr>
                <w:p w14:paraId="7BA3A838">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134FAC0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w:t>
                  </w:r>
                </w:p>
              </w:tc>
              <w:tc>
                <w:tcPr>
                  <w:tcW w:w="810" w:type="pct"/>
                  <w:shd w:val="clear" w:color="auto" w:fill="auto"/>
                  <w:noWrap w:val="0"/>
                  <w:vAlign w:val="center"/>
                </w:tcPr>
                <w:p w14:paraId="1A19D8B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3EF9AFA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0.2</w:t>
                  </w:r>
                </w:p>
              </w:tc>
              <w:tc>
                <w:tcPr>
                  <w:tcW w:w="431" w:type="pct"/>
                  <w:shd w:val="clear" w:color="auto" w:fill="auto"/>
                  <w:noWrap w:val="0"/>
                  <w:vAlign w:val="center"/>
                </w:tcPr>
                <w:p w14:paraId="5443870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1842CD1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润滑</w:t>
                  </w:r>
                </w:p>
              </w:tc>
              <w:tc>
                <w:tcPr>
                  <w:tcW w:w="483" w:type="pct"/>
                  <w:shd w:val="clear" w:color="auto" w:fill="auto"/>
                  <w:noWrap w:val="0"/>
                  <w:vAlign w:val="center"/>
                </w:tcPr>
                <w:p w14:paraId="4B22217E">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7364B4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35B10595">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17</w:t>
                  </w:r>
                </w:p>
              </w:tc>
              <w:tc>
                <w:tcPr>
                  <w:tcW w:w="843" w:type="pct"/>
                  <w:shd w:val="clear" w:color="auto" w:fill="auto"/>
                  <w:noWrap w:val="0"/>
                  <w:vAlign w:val="center"/>
                </w:tcPr>
                <w:p w14:paraId="0492C4A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耐火材料</w:t>
                  </w:r>
                </w:p>
              </w:tc>
              <w:tc>
                <w:tcPr>
                  <w:tcW w:w="442" w:type="pct"/>
                  <w:shd w:val="clear" w:color="auto" w:fill="auto"/>
                  <w:noWrap w:val="0"/>
                  <w:vAlign w:val="center"/>
                </w:tcPr>
                <w:p w14:paraId="48E81D43">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656A80C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1.5</w:t>
                  </w:r>
                </w:p>
              </w:tc>
              <w:tc>
                <w:tcPr>
                  <w:tcW w:w="810" w:type="pct"/>
                  <w:shd w:val="clear" w:color="auto" w:fill="auto"/>
                  <w:noWrap w:val="0"/>
                  <w:vAlign w:val="center"/>
                </w:tcPr>
                <w:p w14:paraId="7D88245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散装，固态</w:t>
                  </w:r>
                </w:p>
              </w:tc>
              <w:tc>
                <w:tcPr>
                  <w:tcW w:w="537" w:type="pct"/>
                  <w:shd w:val="clear" w:color="auto" w:fill="auto"/>
                  <w:noWrap w:val="0"/>
                  <w:vAlign w:val="center"/>
                </w:tcPr>
                <w:p w14:paraId="5E926FB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0.3</w:t>
                  </w:r>
                </w:p>
              </w:tc>
              <w:tc>
                <w:tcPr>
                  <w:tcW w:w="431" w:type="pct"/>
                  <w:shd w:val="clear" w:color="auto" w:fill="auto"/>
                  <w:noWrap w:val="0"/>
                  <w:vAlign w:val="center"/>
                </w:tcPr>
                <w:p w14:paraId="4D00E92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shd w:val="clear" w:color="auto" w:fill="auto"/>
                  <w:noWrap w:val="0"/>
                  <w:vAlign w:val="center"/>
                </w:tcPr>
                <w:p w14:paraId="4D3C530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保温</w:t>
                  </w:r>
                </w:p>
              </w:tc>
              <w:tc>
                <w:tcPr>
                  <w:tcW w:w="483" w:type="pct"/>
                  <w:shd w:val="clear" w:color="auto" w:fill="auto"/>
                  <w:noWrap w:val="0"/>
                  <w:vAlign w:val="center"/>
                </w:tcPr>
                <w:p w14:paraId="00C98DC5">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318E1D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57FDDE2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18</w:t>
                  </w:r>
                </w:p>
              </w:tc>
              <w:tc>
                <w:tcPr>
                  <w:tcW w:w="843" w:type="pct"/>
                  <w:shd w:val="clear" w:color="auto" w:fill="auto"/>
                  <w:noWrap w:val="0"/>
                  <w:vAlign w:val="center"/>
                </w:tcPr>
                <w:p w14:paraId="6F062A6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阻垢剂</w:t>
                  </w:r>
                </w:p>
              </w:tc>
              <w:tc>
                <w:tcPr>
                  <w:tcW w:w="442" w:type="pct"/>
                  <w:shd w:val="clear" w:color="auto" w:fill="auto"/>
                  <w:noWrap w:val="0"/>
                  <w:vAlign w:val="center"/>
                </w:tcPr>
                <w:p w14:paraId="06BBEE81">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3BB6CFB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0.05</w:t>
                  </w:r>
                </w:p>
              </w:tc>
              <w:tc>
                <w:tcPr>
                  <w:tcW w:w="810" w:type="pct"/>
                  <w:shd w:val="clear" w:color="auto" w:fill="auto"/>
                  <w:noWrap w:val="0"/>
                  <w:vAlign w:val="center"/>
                </w:tcPr>
                <w:p w14:paraId="1C3A899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2181F86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0.025</w:t>
                  </w:r>
                </w:p>
              </w:tc>
              <w:tc>
                <w:tcPr>
                  <w:tcW w:w="431" w:type="pct"/>
                  <w:shd w:val="clear" w:color="auto" w:fill="auto"/>
                  <w:noWrap w:val="0"/>
                  <w:vAlign w:val="center"/>
                </w:tcPr>
                <w:p w14:paraId="12483D7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vMerge w:val="restart"/>
                  <w:shd w:val="clear" w:color="auto" w:fill="auto"/>
                  <w:noWrap w:val="0"/>
                  <w:vAlign w:val="center"/>
                </w:tcPr>
                <w:p w14:paraId="35C4667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eastAsia" w:cs="Times New Roman"/>
                      <w:b w:val="0"/>
                      <w:bCs/>
                      <w:color w:val="000000" w:themeColor="text1"/>
                      <w:kern w:val="2"/>
                      <w:sz w:val="21"/>
                      <w:szCs w:val="21"/>
                      <w:highlight w:val="none"/>
                      <w:lang w:val="en-US" w:eastAsia="zh-CN" w:bidi="ar-SA"/>
                      <w14:textFill>
                        <w14:solidFill>
                          <w14:schemeClr w14:val="tx1"/>
                        </w14:solidFill>
                      </w14:textFill>
                    </w:rPr>
                    <w:t>冷却水处理剂</w:t>
                  </w:r>
                </w:p>
              </w:tc>
              <w:tc>
                <w:tcPr>
                  <w:tcW w:w="483" w:type="pct"/>
                  <w:shd w:val="clear" w:color="auto" w:fill="auto"/>
                  <w:noWrap w:val="0"/>
                  <w:vAlign w:val="center"/>
                </w:tcPr>
                <w:p w14:paraId="6D228471">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0F70B3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shd w:val="clear" w:color="auto" w:fill="auto"/>
                  <w:noWrap w:val="0"/>
                  <w:vAlign w:val="center"/>
                </w:tcPr>
                <w:p w14:paraId="2C8FD66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19</w:t>
                  </w:r>
                </w:p>
              </w:tc>
              <w:tc>
                <w:tcPr>
                  <w:tcW w:w="843" w:type="pct"/>
                  <w:shd w:val="clear" w:color="auto" w:fill="auto"/>
                  <w:noWrap w:val="0"/>
                  <w:vAlign w:val="center"/>
                </w:tcPr>
                <w:p w14:paraId="5F55010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杀菌剂</w:t>
                  </w:r>
                </w:p>
              </w:tc>
              <w:tc>
                <w:tcPr>
                  <w:tcW w:w="442" w:type="pct"/>
                  <w:shd w:val="clear" w:color="auto" w:fill="auto"/>
                  <w:noWrap w:val="0"/>
                  <w:vAlign w:val="center"/>
                </w:tcPr>
                <w:p w14:paraId="768B713C">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t/a</w:t>
                  </w:r>
                </w:p>
              </w:tc>
              <w:tc>
                <w:tcPr>
                  <w:tcW w:w="474" w:type="pct"/>
                  <w:shd w:val="clear" w:color="auto" w:fill="auto"/>
                  <w:noWrap w:val="0"/>
                  <w:vAlign w:val="center"/>
                </w:tcPr>
                <w:p w14:paraId="17D42F0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0.05</w:t>
                  </w:r>
                </w:p>
              </w:tc>
              <w:tc>
                <w:tcPr>
                  <w:tcW w:w="810" w:type="pct"/>
                  <w:shd w:val="clear" w:color="auto" w:fill="auto"/>
                  <w:noWrap w:val="0"/>
                  <w:vAlign w:val="center"/>
                </w:tcPr>
                <w:p w14:paraId="7DB2030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桶装，液态</w:t>
                  </w:r>
                </w:p>
              </w:tc>
              <w:tc>
                <w:tcPr>
                  <w:tcW w:w="537" w:type="pct"/>
                  <w:shd w:val="clear" w:color="auto" w:fill="auto"/>
                  <w:noWrap w:val="0"/>
                  <w:vAlign w:val="center"/>
                </w:tcPr>
                <w:p w14:paraId="5AE3216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0.025</w:t>
                  </w:r>
                </w:p>
              </w:tc>
              <w:tc>
                <w:tcPr>
                  <w:tcW w:w="431" w:type="pct"/>
                  <w:shd w:val="clear" w:color="auto" w:fill="auto"/>
                  <w:noWrap w:val="0"/>
                  <w:vAlign w:val="center"/>
                </w:tcPr>
                <w:p w14:paraId="1729F69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外购</w:t>
                  </w:r>
                </w:p>
              </w:tc>
              <w:tc>
                <w:tcPr>
                  <w:tcW w:w="587" w:type="pct"/>
                  <w:vMerge w:val="continue"/>
                  <w:shd w:val="clear" w:color="auto" w:fill="auto"/>
                  <w:noWrap w:val="0"/>
                  <w:vAlign w:val="center"/>
                </w:tcPr>
                <w:p w14:paraId="7C0A679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p>
              </w:tc>
              <w:tc>
                <w:tcPr>
                  <w:tcW w:w="483" w:type="pct"/>
                  <w:shd w:val="clear" w:color="auto" w:fill="auto"/>
                  <w:noWrap w:val="0"/>
                  <w:vAlign w:val="center"/>
                </w:tcPr>
                <w:p w14:paraId="5A64856F">
                  <w:pPr>
                    <w:keepNext w:val="0"/>
                    <w:keepLines w:val="0"/>
                    <w:pageBreakBefore w:val="0"/>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汽运</w:t>
                  </w:r>
                </w:p>
              </w:tc>
            </w:tr>
            <w:tr w14:paraId="135B6D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000" w:type="pct"/>
                  <w:gridSpan w:val="9"/>
                  <w:noWrap w:val="0"/>
                  <w:vAlign w:val="center"/>
                </w:tcPr>
                <w:p w14:paraId="028387D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能源消耗</w:t>
                  </w:r>
                </w:p>
              </w:tc>
            </w:tr>
            <w:tr w14:paraId="79E1B9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3308028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1</w:t>
                  </w:r>
                </w:p>
              </w:tc>
              <w:tc>
                <w:tcPr>
                  <w:tcW w:w="843" w:type="pct"/>
                  <w:noWrap w:val="0"/>
                  <w:vAlign w:val="center"/>
                </w:tcPr>
                <w:p w14:paraId="338CE6D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电</w:t>
                  </w:r>
                </w:p>
              </w:tc>
              <w:tc>
                <w:tcPr>
                  <w:tcW w:w="442" w:type="pct"/>
                  <w:noWrap w:val="0"/>
                  <w:vAlign w:val="center"/>
                </w:tcPr>
                <w:p w14:paraId="4CB2AAA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万kW·h</w:t>
                  </w:r>
                </w:p>
              </w:tc>
              <w:tc>
                <w:tcPr>
                  <w:tcW w:w="474" w:type="pct"/>
                  <w:noWrap w:val="0"/>
                  <w:vAlign w:val="center"/>
                </w:tcPr>
                <w:p w14:paraId="6ECE371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400</w:t>
                  </w:r>
                </w:p>
              </w:tc>
              <w:tc>
                <w:tcPr>
                  <w:tcW w:w="810" w:type="pct"/>
                  <w:noWrap w:val="0"/>
                  <w:vAlign w:val="center"/>
                </w:tcPr>
                <w:p w14:paraId="656C443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c>
                <w:tcPr>
                  <w:tcW w:w="537" w:type="pct"/>
                  <w:noWrap w:val="0"/>
                  <w:vAlign w:val="center"/>
                </w:tcPr>
                <w:p w14:paraId="67058F8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c>
                <w:tcPr>
                  <w:tcW w:w="1018" w:type="pct"/>
                  <w:gridSpan w:val="2"/>
                  <w:noWrap w:val="0"/>
                  <w:vAlign w:val="center"/>
                </w:tcPr>
                <w:p w14:paraId="6EC5994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园区供电管网</w:t>
                  </w:r>
                </w:p>
              </w:tc>
              <w:tc>
                <w:tcPr>
                  <w:tcW w:w="483" w:type="pct"/>
                  <w:noWrap w:val="0"/>
                  <w:vAlign w:val="center"/>
                </w:tcPr>
                <w:p w14:paraId="5510605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r>
            <w:tr w14:paraId="281D2C1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389" w:type="pct"/>
                  <w:noWrap w:val="0"/>
                  <w:vAlign w:val="center"/>
                </w:tcPr>
                <w:p w14:paraId="37CF717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2</w:t>
                  </w:r>
                </w:p>
              </w:tc>
              <w:tc>
                <w:tcPr>
                  <w:tcW w:w="843" w:type="pct"/>
                  <w:noWrap w:val="0"/>
                  <w:vAlign w:val="center"/>
                </w:tcPr>
                <w:p w14:paraId="7717A32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水</w:t>
                  </w:r>
                </w:p>
              </w:tc>
              <w:tc>
                <w:tcPr>
                  <w:tcW w:w="442" w:type="pct"/>
                  <w:noWrap w:val="0"/>
                  <w:vAlign w:val="center"/>
                </w:tcPr>
                <w:p w14:paraId="7C07353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m</w:t>
                  </w:r>
                  <w:r>
                    <w:rPr>
                      <w:rFonts w:hint="default" w:ascii="Times New Roman" w:hAnsi="Times New Roman" w:cs="Times New Roman"/>
                      <w:b w:val="0"/>
                      <w:bCs/>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b w:val="0"/>
                      <w:bCs/>
                      <w:color w:val="000000" w:themeColor="text1"/>
                      <w:sz w:val="21"/>
                      <w:szCs w:val="21"/>
                      <w:highlight w:val="none"/>
                      <w:vertAlign w:val="baseline"/>
                      <w:lang w:val="en-US" w:eastAsia="zh-CN"/>
                      <w14:textFill>
                        <w14:solidFill>
                          <w14:schemeClr w14:val="tx1"/>
                        </w14:solidFill>
                      </w14:textFill>
                    </w:rPr>
                    <w:t>/a</w:t>
                  </w:r>
                </w:p>
              </w:tc>
              <w:tc>
                <w:tcPr>
                  <w:tcW w:w="474" w:type="pct"/>
                  <w:noWrap w:val="0"/>
                  <w:vAlign w:val="center"/>
                </w:tcPr>
                <w:p w14:paraId="4534C8D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eastAsia" w:cs="Times New Roman"/>
                      <w:b w:val="0"/>
                      <w:bCs/>
                      <w:color w:val="000000" w:themeColor="text1"/>
                      <w:sz w:val="21"/>
                      <w:szCs w:val="21"/>
                      <w:highlight w:val="none"/>
                      <w:lang w:eastAsia="zh-CN"/>
                      <w14:textFill>
                        <w14:solidFill>
                          <w14:schemeClr w14:val="tx1"/>
                        </w14:solidFill>
                      </w14:textFill>
                    </w:rPr>
                    <w:t>3629.538</w:t>
                  </w:r>
                </w:p>
              </w:tc>
              <w:tc>
                <w:tcPr>
                  <w:tcW w:w="810" w:type="pct"/>
                  <w:noWrap w:val="0"/>
                  <w:vAlign w:val="center"/>
                </w:tcPr>
                <w:p w14:paraId="0BD27C1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c>
                <w:tcPr>
                  <w:tcW w:w="537" w:type="pct"/>
                  <w:noWrap w:val="0"/>
                  <w:vAlign w:val="center"/>
                </w:tcPr>
                <w:p w14:paraId="1332A2E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w:t>
                  </w:r>
                </w:p>
              </w:tc>
              <w:tc>
                <w:tcPr>
                  <w:tcW w:w="1018" w:type="pct"/>
                  <w:gridSpan w:val="2"/>
                  <w:noWrap w:val="0"/>
                  <w:vAlign w:val="center"/>
                </w:tcPr>
                <w:p w14:paraId="27FF341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园区供水管网</w:t>
                  </w:r>
                </w:p>
              </w:tc>
              <w:tc>
                <w:tcPr>
                  <w:tcW w:w="483" w:type="pct"/>
                  <w:noWrap w:val="0"/>
                  <w:vAlign w:val="center"/>
                </w:tcPr>
                <w:p w14:paraId="25CC5BF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管道运输</w:t>
                  </w:r>
                </w:p>
              </w:tc>
            </w:tr>
          </w:tbl>
          <w:p w14:paraId="31AE8760">
            <w:pPr>
              <w:pStyle w:val="103"/>
              <w:shd w:val="clear" w:color="auto" w:fill="auto"/>
              <w:spacing w:before="0" w:beforeLines="0" w:line="240" w:lineRule="auto"/>
              <w:ind w:firstLine="420"/>
              <w:jc w:val="both"/>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注：本项目直接外购新料，并在原料采购过程加强管理，外购的</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生铁</w:t>
            </w:r>
            <w:r>
              <w:rPr>
                <w:rFonts w:hint="default" w:ascii="Times New Roman" w:hAnsi="Times New Roman" w:cs="Times New Roman"/>
                <w:color w:val="000000" w:themeColor="text1"/>
                <w:sz w:val="21"/>
                <w:szCs w:val="21"/>
                <w:highlight w:val="none"/>
                <w14:textFill>
                  <w14:solidFill>
                    <w14:schemeClr w14:val="tx1"/>
                  </w14:solidFill>
                </w14:textFill>
              </w:rPr>
              <w:t>原料满足</w:t>
            </w:r>
            <w: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t xml:space="preserve">《球墨铸铁用生铁》（GB/T </w:t>
            </w: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1412-2005</w:t>
            </w:r>
            <w: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t xml:space="preserve">），碳钢原料满足《优质碳素结构钢热轧钢板和钢带》（GB/T </w:t>
            </w: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711-2017</w:t>
            </w:r>
            <w: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硅铁原料满足《硅铁》（GB/T 2272-2020），锰铁原料满足《锰铁》（GB/T 3795-2014），</w:t>
            </w:r>
            <w: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t>不使用废料</w:t>
            </w:r>
            <w:r>
              <w:rPr>
                <w:rFonts w:hint="eastAsia" w:cs="Times New Roman"/>
                <w:color w:val="000000" w:themeColor="text1"/>
                <w:sz w:val="21"/>
                <w:szCs w:val="21"/>
                <w:highlight w:val="none"/>
                <w:shd w:val="clear" w:color="auto" w:fill="FFFFFF"/>
                <w:lang w:eastAsia="zh-CN"/>
                <w14:textFill>
                  <w14:solidFill>
                    <w14:schemeClr w14:val="tx1"/>
                  </w14:solidFill>
                </w14:textFill>
              </w:rPr>
              <w:t>；</w:t>
            </w:r>
            <w:r>
              <w:rPr>
                <w:rFonts w:hint="eastAsia" w:cs="Times New Roman"/>
                <w:color w:val="000000" w:themeColor="text1"/>
                <w:sz w:val="21"/>
                <w:szCs w:val="21"/>
                <w:highlight w:val="none"/>
                <w:shd w:val="clear" w:color="auto" w:fill="FFFFFF"/>
                <w:lang w:val="en-US" w:eastAsia="zh-CN"/>
                <w14:textFill>
                  <w14:solidFill>
                    <w14:schemeClr w14:val="tx1"/>
                  </w14:solidFill>
                </w14:textFill>
              </w:rPr>
              <w:t>项目使用的</w:t>
            </w:r>
            <w:r>
              <w:rPr>
                <w:rFonts w:hint="eastAsia" w:cs="Times New Roman"/>
                <w:bCs/>
                <w:color w:val="000000" w:themeColor="text1"/>
                <w:sz w:val="21"/>
                <w:szCs w:val="21"/>
                <w:highlight w:val="none"/>
                <w:lang w:val="en-US" w:eastAsia="zh-CN"/>
                <w14:textFill>
                  <w14:solidFill>
                    <w14:schemeClr w14:val="tx1"/>
                  </w14:solidFill>
                </w14:textFill>
              </w:rPr>
              <w:t>水性丙烯酸聚氨酯面漆（双组份灰色）为已调配好的油漆</w:t>
            </w:r>
            <w: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t>。</w:t>
            </w:r>
          </w:p>
          <w:p w14:paraId="77EFE5B6">
            <w:pPr>
              <w:pStyle w:val="103"/>
              <w:shd w:val="clear" w:color="auto" w:fill="auto"/>
              <w:spacing w:before="0" w:beforeLines="0"/>
              <w:ind w:firstLine="480"/>
              <w:jc w:val="both"/>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本项目使用的生铁</w:t>
            </w:r>
            <w:r>
              <w:rPr>
                <w:rFonts w:hint="default" w:ascii="Times New Roman" w:hAnsi="Times New Roman" w:cs="Times New Roman"/>
                <w:color w:val="000000" w:themeColor="text1"/>
                <w:sz w:val="24"/>
                <w:szCs w:val="24"/>
                <w:highlight w:val="none"/>
                <w14:textFill>
                  <w14:solidFill>
                    <w14:schemeClr w14:val="tx1"/>
                  </w14:solidFill>
                </w14:textFill>
              </w:rPr>
              <w:t>即国标标准生产的</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Q10</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 xml:space="preserve">，根据《球墨铸铁用生铁》（GB/T </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1412-2005</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），其化学成分见表2-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5</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46CA767E">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highlight w:val="none"/>
                <w:shd w:val="clear" w:color="auto" w:fill="FFFFFF"/>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5</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项目</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Q10生铁</w:t>
            </w:r>
            <w:r>
              <w:rPr>
                <w:rFonts w:hint="default" w:ascii="Times New Roman" w:hAnsi="Times New Roman" w:cs="Times New Roman"/>
                <w:b/>
                <w:bCs/>
                <w:color w:val="000000" w:themeColor="text1"/>
                <w:highlight w:val="none"/>
                <w:shd w:val="clear" w:color="auto" w:fill="FFFFFF"/>
                <w14:textFill>
                  <w14:solidFill>
                    <w14:schemeClr w14:val="tx1"/>
                  </w14:solidFill>
                </w14:textFill>
              </w:rPr>
              <w:t>化学成分一览表</w:t>
            </w:r>
          </w:p>
          <w:tbl>
            <w:tblPr>
              <w:tblStyle w:val="33"/>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79"/>
              <w:gridCol w:w="1979"/>
              <w:gridCol w:w="1979"/>
              <w:gridCol w:w="1980"/>
            </w:tblGrid>
            <w:tr w14:paraId="06C0FE0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718" w:type="dxa"/>
                  <w:gridSpan w:val="3"/>
                  <w:tcBorders>
                    <w:tl2br w:val="nil"/>
                    <w:tr2bl w:val="nil"/>
                  </w:tcBorders>
                  <w:noWrap w:val="0"/>
                  <w:vAlign w:val="center"/>
                </w:tcPr>
                <w:p w14:paraId="23D94DB2">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vertAlign w:val="baseline"/>
                      <w:lang w:val="en-US" w:eastAsia="zh-CN"/>
                      <w14:textFill>
                        <w14:solidFill>
                          <w14:schemeClr w14:val="tx1"/>
                        </w14:solidFill>
                      </w14:textFill>
                    </w:rPr>
                    <w:t>牌号</w:t>
                  </w:r>
                </w:p>
              </w:tc>
              <w:tc>
                <w:tcPr>
                  <w:tcW w:w="1907" w:type="dxa"/>
                  <w:tcBorders>
                    <w:tl2br w:val="nil"/>
                    <w:tr2bl w:val="nil"/>
                  </w:tcBorders>
                  <w:noWrap w:val="0"/>
                  <w:vAlign w:val="center"/>
                </w:tcPr>
                <w:p w14:paraId="70DFAACF">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vertAlign w:val="baseline"/>
                      <w:lang w:val="en-US" w:eastAsia="zh-CN"/>
                      <w14:textFill>
                        <w14:solidFill>
                          <w14:schemeClr w14:val="tx1"/>
                        </w14:solidFill>
                      </w14:textFill>
                    </w:rPr>
                    <w:t>Q10</w:t>
                  </w:r>
                </w:p>
              </w:tc>
            </w:tr>
            <w:tr w14:paraId="37308C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restart"/>
                  <w:tcBorders>
                    <w:tl2br w:val="nil"/>
                    <w:tr2bl w:val="nil"/>
                  </w:tcBorders>
                  <w:noWrap w:val="0"/>
                  <w:vAlign w:val="center"/>
                </w:tcPr>
                <w:p w14:paraId="0B16C1A1">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化学成分（质量分数）/%</w:t>
                  </w:r>
                </w:p>
              </w:tc>
              <w:tc>
                <w:tcPr>
                  <w:tcW w:w="3812" w:type="dxa"/>
                  <w:gridSpan w:val="2"/>
                  <w:tcBorders>
                    <w:tl2br w:val="nil"/>
                    <w:tr2bl w:val="nil"/>
                  </w:tcBorders>
                  <w:noWrap w:val="0"/>
                  <w:vAlign w:val="center"/>
                </w:tcPr>
                <w:p w14:paraId="088E1A51">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C</w:t>
                  </w:r>
                </w:p>
              </w:tc>
              <w:tc>
                <w:tcPr>
                  <w:tcW w:w="1907" w:type="dxa"/>
                  <w:tcBorders>
                    <w:tl2br w:val="nil"/>
                    <w:tr2bl w:val="nil"/>
                  </w:tcBorders>
                  <w:noWrap w:val="0"/>
                  <w:vAlign w:val="center"/>
                </w:tcPr>
                <w:p w14:paraId="791C3178">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3.40</w:t>
                  </w:r>
                </w:p>
              </w:tc>
            </w:tr>
            <w:tr w14:paraId="2D5683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63EB1BBD">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3812" w:type="dxa"/>
                  <w:gridSpan w:val="2"/>
                  <w:tcBorders>
                    <w:tl2br w:val="nil"/>
                    <w:tr2bl w:val="nil"/>
                  </w:tcBorders>
                  <w:noWrap w:val="0"/>
                  <w:vAlign w:val="center"/>
                </w:tcPr>
                <w:p w14:paraId="4101BE84">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Si</w:t>
                  </w:r>
                </w:p>
              </w:tc>
              <w:tc>
                <w:tcPr>
                  <w:tcW w:w="1907" w:type="dxa"/>
                  <w:tcBorders>
                    <w:tl2br w:val="nil"/>
                    <w:tr2bl w:val="nil"/>
                  </w:tcBorders>
                  <w:noWrap w:val="0"/>
                  <w:vAlign w:val="center"/>
                </w:tcPr>
                <w:p w14:paraId="1263B31E">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0.50~1.00</w:t>
                  </w:r>
                </w:p>
              </w:tc>
            </w:tr>
            <w:tr w14:paraId="781F235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414F6F04">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restart"/>
                  <w:tcBorders>
                    <w:tl2br w:val="nil"/>
                    <w:tr2bl w:val="nil"/>
                  </w:tcBorders>
                  <w:noWrap w:val="0"/>
                  <w:vAlign w:val="center"/>
                </w:tcPr>
                <w:p w14:paraId="5F1FC5C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Ti</w:t>
                  </w:r>
                </w:p>
              </w:tc>
              <w:tc>
                <w:tcPr>
                  <w:tcW w:w="1906" w:type="dxa"/>
                  <w:tcBorders>
                    <w:tl2br w:val="nil"/>
                    <w:tr2bl w:val="nil"/>
                  </w:tcBorders>
                  <w:noWrap w:val="0"/>
                  <w:vAlign w:val="center"/>
                </w:tcPr>
                <w:p w14:paraId="614BAC22">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1档</w:t>
                  </w:r>
                </w:p>
              </w:tc>
              <w:tc>
                <w:tcPr>
                  <w:tcW w:w="1907" w:type="dxa"/>
                  <w:tcBorders>
                    <w:tl2br w:val="nil"/>
                    <w:tr2bl w:val="nil"/>
                  </w:tcBorders>
                  <w:noWrap w:val="0"/>
                  <w:vAlign w:val="center"/>
                </w:tcPr>
                <w:p w14:paraId="0E3BA6FA">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0.050</w:t>
                  </w:r>
                </w:p>
              </w:tc>
            </w:tr>
            <w:tr w14:paraId="5C542A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7DF4799C">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5F35953B">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15EF737B">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2档</w:t>
                  </w:r>
                </w:p>
              </w:tc>
              <w:tc>
                <w:tcPr>
                  <w:tcW w:w="1907" w:type="dxa"/>
                  <w:tcBorders>
                    <w:tl2br w:val="nil"/>
                    <w:tr2bl w:val="nil"/>
                  </w:tcBorders>
                  <w:noWrap w:val="0"/>
                  <w:vAlign w:val="center"/>
                </w:tcPr>
                <w:p w14:paraId="1912B66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&gt;0.050~0.080</w:t>
                  </w:r>
                </w:p>
              </w:tc>
            </w:tr>
            <w:tr w14:paraId="640073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1B90FC9E">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restart"/>
                  <w:tcBorders>
                    <w:tl2br w:val="nil"/>
                    <w:tr2bl w:val="nil"/>
                  </w:tcBorders>
                  <w:noWrap w:val="0"/>
                  <w:vAlign w:val="center"/>
                </w:tcPr>
                <w:p w14:paraId="14620669">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Mn</w:t>
                  </w:r>
                </w:p>
              </w:tc>
              <w:tc>
                <w:tcPr>
                  <w:tcW w:w="1906" w:type="dxa"/>
                  <w:tcBorders>
                    <w:tl2br w:val="nil"/>
                    <w:tr2bl w:val="nil"/>
                  </w:tcBorders>
                  <w:noWrap w:val="0"/>
                  <w:vAlign w:val="center"/>
                </w:tcPr>
                <w:p w14:paraId="7AF1168D">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1组</w:t>
                  </w:r>
                </w:p>
              </w:tc>
              <w:tc>
                <w:tcPr>
                  <w:tcW w:w="1907" w:type="dxa"/>
                  <w:tcBorders>
                    <w:tl2br w:val="nil"/>
                    <w:tr2bl w:val="nil"/>
                  </w:tcBorders>
                  <w:noWrap w:val="0"/>
                  <w:vAlign w:val="center"/>
                </w:tcPr>
                <w:p w14:paraId="6C35AC1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0.20</w:t>
                  </w:r>
                </w:p>
              </w:tc>
            </w:tr>
            <w:tr w14:paraId="11D0ED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0898BEFA">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401CAB8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12DB6748">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2组</w:t>
                  </w:r>
                </w:p>
              </w:tc>
              <w:tc>
                <w:tcPr>
                  <w:tcW w:w="1907" w:type="dxa"/>
                  <w:tcBorders>
                    <w:tl2br w:val="nil"/>
                    <w:tr2bl w:val="nil"/>
                  </w:tcBorders>
                  <w:noWrap w:val="0"/>
                  <w:vAlign w:val="center"/>
                </w:tcPr>
                <w:p w14:paraId="3B79C23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&gt;0.20~0.50</w:t>
                  </w:r>
                </w:p>
              </w:tc>
            </w:tr>
            <w:tr w14:paraId="2F420D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64E9B8D8">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3C177519">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733D67CC">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3组</w:t>
                  </w:r>
                </w:p>
              </w:tc>
              <w:tc>
                <w:tcPr>
                  <w:tcW w:w="1907" w:type="dxa"/>
                  <w:tcBorders>
                    <w:tl2br w:val="nil"/>
                    <w:tr2bl w:val="nil"/>
                  </w:tcBorders>
                  <w:noWrap w:val="0"/>
                  <w:vAlign w:val="center"/>
                </w:tcPr>
                <w:p w14:paraId="33F0AD34">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&gt;0.50~0.80</w:t>
                  </w:r>
                </w:p>
              </w:tc>
            </w:tr>
            <w:tr w14:paraId="52574C8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4928B508">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restart"/>
                  <w:tcBorders>
                    <w:tl2br w:val="nil"/>
                    <w:tr2bl w:val="nil"/>
                  </w:tcBorders>
                  <w:noWrap w:val="0"/>
                  <w:vAlign w:val="center"/>
                </w:tcPr>
                <w:p w14:paraId="107649BD">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P</w:t>
                  </w:r>
                </w:p>
              </w:tc>
              <w:tc>
                <w:tcPr>
                  <w:tcW w:w="1906" w:type="dxa"/>
                  <w:tcBorders>
                    <w:tl2br w:val="nil"/>
                    <w:tr2bl w:val="nil"/>
                  </w:tcBorders>
                  <w:noWrap w:val="0"/>
                  <w:vAlign w:val="center"/>
                </w:tcPr>
                <w:p w14:paraId="1C4DFA1F">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1级</w:t>
                  </w:r>
                </w:p>
              </w:tc>
              <w:tc>
                <w:tcPr>
                  <w:tcW w:w="1907" w:type="dxa"/>
                  <w:tcBorders>
                    <w:tl2br w:val="nil"/>
                    <w:tr2bl w:val="nil"/>
                  </w:tcBorders>
                  <w:noWrap w:val="0"/>
                  <w:vAlign w:val="center"/>
                </w:tcPr>
                <w:p w14:paraId="166FAF9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0.050</w:t>
                  </w:r>
                </w:p>
              </w:tc>
            </w:tr>
            <w:tr w14:paraId="319022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31B756E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4B0216B9">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7BD0245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2级</w:t>
                  </w:r>
                </w:p>
              </w:tc>
              <w:tc>
                <w:tcPr>
                  <w:tcW w:w="1907" w:type="dxa"/>
                  <w:tcBorders>
                    <w:tl2br w:val="nil"/>
                    <w:tr2bl w:val="nil"/>
                  </w:tcBorders>
                  <w:noWrap w:val="0"/>
                  <w:vAlign w:val="center"/>
                </w:tcPr>
                <w:p w14:paraId="1188CC4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&gt;0.050~0.060</w:t>
                  </w:r>
                </w:p>
              </w:tc>
            </w:tr>
            <w:tr w14:paraId="67C91A2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63C2ABAA">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0218771E">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6A64809B">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3级</w:t>
                  </w:r>
                </w:p>
              </w:tc>
              <w:tc>
                <w:tcPr>
                  <w:tcW w:w="1907" w:type="dxa"/>
                  <w:tcBorders>
                    <w:tl2br w:val="nil"/>
                    <w:tr2bl w:val="nil"/>
                  </w:tcBorders>
                  <w:noWrap w:val="0"/>
                  <w:vAlign w:val="center"/>
                </w:tcPr>
                <w:p w14:paraId="0CACD2BA">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&gt;0.060~0.080</w:t>
                  </w:r>
                </w:p>
              </w:tc>
            </w:tr>
            <w:tr w14:paraId="7D08F3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57D99E07">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restart"/>
                  <w:tcBorders>
                    <w:tl2br w:val="nil"/>
                    <w:tr2bl w:val="nil"/>
                  </w:tcBorders>
                  <w:noWrap w:val="0"/>
                  <w:vAlign w:val="center"/>
                </w:tcPr>
                <w:p w14:paraId="264CE5B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S</w:t>
                  </w:r>
                </w:p>
              </w:tc>
              <w:tc>
                <w:tcPr>
                  <w:tcW w:w="1906" w:type="dxa"/>
                  <w:tcBorders>
                    <w:tl2br w:val="nil"/>
                    <w:tr2bl w:val="nil"/>
                  </w:tcBorders>
                  <w:noWrap w:val="0"/>
                  <w:vAlign w:val="center"/>
                </w:tcPr>
                <w:p w14:paraId="2F2EC578">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1类</w:t>
                  </w:r>
                </w:p>
              </w:tc>
              <w:tc>
                <w:tcPr>
                  <w:tcW w:w="1907" w:type="dxa"/>
                  <w:tcBorders>
                    <w:tl2br w:val="nil"/>
                    <w:tr2bl w:val="nil"/>
                  </w:tcBorders>
                  <w:noWrap w:val="0"/>
                  <w:vAlign w:val="center"/>
                </w:tcPr>
                <w:p w14:paraId="6D42A3B5">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0.020</w:t>
                  </w:r>
                </w:p>
              </w:tc>
            </w:tr>
            <w:tr w14:paraId="7965D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08510352">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3B9E5F2E">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2564C261">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2类</w:t>
                  </w:r>
                </w:p>
              </w:tc>
              <w:tc>
                <w:tcPr>
                  <w:tcW w:w="1907" w:type="dxa"/>
                  <w:tcBorders>
                    <w:tl2br w:val="nil"/>
                    <w:tr2bl w:val="nil"/>
                  </w:tcBorders>
                  <w:noWrap w:val="0"/>
                  <w:vAlign w:val="center"/>
                </w:tcPr>
                <w:p w14:paraId="324CF86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&gt;0.020~0.030</w:t>
                  </w:r>
                </w:p>
              </w:tc>
            </w:tr>
            <w:tr w14:paraId="1FC4A1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4AAB7CCE">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3689028F">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21699CBB">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3类</w:t>
                  </w:r>
                </w:p>
              </w:tc>
              <w:tc>
                <w:tcPr>
                  <w:tcW w:w="1907" w:type="dxa"/>
                  <w:tcBorders>
                    <w:tl2br w:val="nil"/>
                    <w:tr2bl w:val="nil"/>
                  </w:tcBorders>
                  <w:noWrap w:val="0"/>
                  <w:vAlign w:val="center"/>
                </w:tcPr>
                <w:p w14:paraId="76CCF0F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&gt;0.030~0.040</w:t>
                  </w:r>
                </w:p>
              </w:tc>
            </w:tr>
            <w:tr w14:paraId="75291B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906" w:type="dxa"/>
                  <w:vMerge w:val="continue"/>
                  <w:tcBorders>
                    <w:tl2br w:val="nil"/>
                    <w:tr2bl w:val="nil"/>
                  </w:tcBorders>
                  <w:noWrap w:val="0"/>
                  <w:vAlign w:val="center"/>
                </w:tcPr>
                <w:p w14:paraId="28684AE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vMerge w:val="continue"/>
                  <w:tcBorders>
                    <w:tl2br w:val="nil"/>
                    <w:tr2bl w:val="nil"/>
                  </w:tcBorders>
                  <w:noWrap w:val="0"/>
                  <w:vAlign w:val="center"/>
                </w:tcPr>
                <w:p w14:paraId="230ED3C3">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pPr>
                </w:p>
              </w:tc>
              <w:tc>
                <w:tcPr>
                  <w:tcW w:w="1906" w:type="dxa"/>
                  <w:tcBorders>
                    <w:tl2br w:val="nil"/>
                    <w:tr2bl w:val="nil"/>
                  </w:tcBorders>
                  <w:noWrap w:val="0"/>
                  <w:vAlign w:val="center"/>
                </w:tcPr>
                <w:p w14:paraId="71B0468F">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4类</w:t>
                  </w:r>
                </w:p>
              </w:tc>
              <w:tc>
                <w:tcPr>
                  <w:tcW w:w="1907" w:type="dxa"/>
                  <w:tcBorders>
                    <w:tl2br w:val="nil"/>
                    <w:tr2bl w:val="nil"/>
                  </w:tcBorders>
                  <w:noWrap w:val="0"/>
                  <w:vAlign w:val="center"/>
                </w:tcPr>
                <w:p w14:paraId="5B199B66">
                  <w:pPr>
                    <w:pStyle w:val="103"/>
                    <w:keepNext w:val="0"/>
                    <w:keepLines w:val="0"/>
                    <w:pageBreakBefore w:val="0"/>
                    <w:widowControl w:val="0"/>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pPr>
                  <w:r>
                    <w:rPr>
                      <w:rFonts w:hint="default" w:ascii="Times New Roman" w:hAnsi="Times New Roman" w:cs="Times New Roman"/>
                      <w:b w:val="0"/>
                      <w:bCs w:val="0"/>
                      <w:color w:val="000000" w:themeColor="text1"/>
                      <w:sz w:val="21"/>
                      <w:szCs w:val="21"/>
                      <w:highlight w:val="none"/>
                      <w:shd w:val="clear" w:color="auto" w:fill="FFFFFF"/>
                      <w:vertAlign w:val="baseline"/>
                      <w14:textFill>
                        <w14:solidFill>
                          <w14:schemeClr w14:val="tx1"/>
                        </w14:solidFill>
                      </w14:textFill>
                    </w:rPr>
                    <w:t>≤</w:t>
                  </w:r>
                  <w:r>
                    <w:rPr>
                      <w:rFonts w:hint="default" w:ascii="Times New Roman" w:hAnsi="Times New Roman" w:cs="Times New Roman"/>
                      <w:b w:val="0"/>
                      <w:bCs w:val="0"/>
                      <w:color w:val="000000" w:themeColor="text1"/>
                      <w:sz w:val="21"/>
                      <w:szCs w:val="21"/>
                      <w:highlight w:val="none"/>
                      <w:shd w:val="clear" w:color="auto" w:fill="FFFFFF"/>
                      <w:vertAlign w:val="baseline"/>
                      <w:lang w:val="en-US" w:eastAsia="zh-CN"/>
                      <w14:textFill>
                        <w14:solidFill>
                          <w14:schemeClr w14:val="tx1"/>
                        </w14:solidFill>
                      </w14:textFill>
                    </w:rPr>
                    <w:t>0.045</w:t>
                  </w:r>
                </w:p>
              </w:tc>
            </w:tr>
          </w:tbl>
          <w:p w14:paraId="58891300">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本项目使用的碳钢</w:t>
            </w:r>
            <w:r>
              <w:rPr>
                <w:rFonts w:hint="default" w:ascii="Times New Roman" w:hAnsi="Times New Roman" w:cs="Times New Roman"/>
                <w:color w:val="000000" w:themeColor="text1"/>
                <w:sz w:val="24"/>
                <w:szCs w:val="24"/>
                <w:highlight w:val="none"/>
                <w14:textFill>
                  <w14:solidFill>
                    <w14:schemeClr w14:val="tx1"/>
                  </w14:solidFill>
                </w14:textFill>
              </w:rPr>
              <w:t>即国标标准生产的</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20号</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，根据《优质碳素结构钢热轧钢板和钢带》（GB/T 711-2017）</w:t>
            </w:r>
            <w:r>
              <w:rPr>
                <w:rFonts w:hint="default" w:ascii="Times New Roman" w:hAnsi="Times New Roman" w:cs="Times New Roman"/>
                <w:color w:val="000000" w:themeColor="text1"/>
                <w:sz w:val="24"/>
                <w:szCs w:val="24"/>
                <w:highlight w:val="none"/>
                <w:shd w:val="clear" w:color="auto" w:fill="FFFFFF"/>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其化学成分见表2-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6</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3ADD6DC6">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highlight w:val="none"/>
                <w:shd w:val="clear" w:color="auto" w:fill="FFFFFF"/>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6</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项目</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20号</w:t>
            </w:r>
            <w:r>
              <w:rPr>
                <w:rFonts w:hint="default" w:ascii="Times New Roman" w:hAnsi="Times New Roman" w:cs="Times New Roman"/>
                <w:b/>
                <w:bCs/>
                <w:color w:val="000000" w:themeColor="text1"/>
                <w:highlight w:val="none"/>
                <w:shd w:val="clear" w:color="auto" w:fill="FFFFFF"/>
                <w14:textFill>
                  <w14:solidFill>
                    <w14:schemeClr w14:val="tx1"/>
                  </w14:solidFill>
                </w14:textFill>
              </w:rPr>
              <w:t>碳钢化学成分一览表</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95"/>
              <w:gridCol w:w="1305"/>
              <w:gridCol w:w="1169"/>
              <w:gridCol w:w="1153"/>
              <w:gridCol w:w="810"/>
              <w:gridCol w:w="717"/>
              <w:gridCol w:w="686"/>
              <w:gridCol w:w="655"/>
              <w:gridCol w:w="727"/>
            </w:tblGrid>
            <w:tr w14:paraId="75B10B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69" w:type="dxa"/>
                  <w:noWrap w:val="0"/>
                  <w:vAlign w:val="center"/>
                </w:tcPr>
                <w:p w14:paraId="522EB109">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牌号</w:t>
                  </w:r>
                </w:p>
              </w:tc>
              <w:tc>
                <w:tcPr>
                  <w:tcW w:w="6951" w:type="dxa"/>
                  <w:gridSpan w:val="8"/>
                  <w:noWrap w:val="0"/>
                  <w:vAlign w:val="center"/>
                </w:tcPr>
                <w:p w14:paraId="0C842EA0">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化学成分（质量分数/%）</w:t>
                  </w:r>
                </w:p>
              </w:tc>
            </w:tr>
            <w:tr w14:paraId="271E45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9" w:type="dxa"/>
                  <w:vMerge w:val="restart"/>
                  <w:noWrap w:val="0"/>
                  <w:vAlign w:val="center"/>
                </w:tcPr>
                <w:p w14:paraId="00BBD356">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lang w:val="en-US" w:eastAsia="zh-CN"/>
                      <w14:textFill>
                        <w14:solidFill>
                          <w14:schemeClr w14:val="tx1"/>
                        </w14:solidFill>
                      </w14:textFill>
                    </w:rPr>
                    <w:t>20</w:t>
                  </w:r>
                </w:p>
              </w:tc>
              <w:tc>
                <w:tcPr>
                  <w:tcW w:w="1256" w:type="dxa"/>
                  <w:vMerge w:val="restart"/>
                  <w:noWrap w:val="0"/>
                  <w:vAlign w:val="center"/>
                </w:tcPr>
                <w:p w14:paraId="75F713F8">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C</w:t>
                  </w:r>
                </w:p>
              </w:tc>
              <w:tc>
                <w:tcPr>
                  <w:tcW w:w="1125" w:type="dxa"/>
                  <w:vMerge w:val="restart"/>
                  <w:noWrap w:val="0"/>
                  <w:vAlign w:val="center"/>
                </w:tcPr>
                <w:p w14:paraId="2A3F3589">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Si</w:t>
                  </w:r>
                </w:p>
              </w:tc>
              <w:tc>
                <w:tcPr>
                  <w:tcW w:w="1110" w:type="dxa"/>
                  <w:vMerge w:val="restart"/>
                  <w:noWrap w:val="0"/>
                  <w:vAlign w:val="center"/>
                </w:tcPr>
                <w:p w14:paraId="4EBB6271">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Mn</w:t>
                  </w:r>
                </w:p>
              </w:tc>
              <w:tc>
                <w:tcPr>
                  <w:tcW w:w="780" w:type="dxa"/>
                  <w:noWrap w:val="0"/>
                  <w:vAlign w:val="center"/>
                </w:tcPr>
                <w:p w14:paraId="497C47D5">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P</w:t>
                  </w:r>
                </w:p>
              </w:tc>
              <w:tc>
                <w:tcPr>
                  <w:tcW w:w="690" w:type="dxa"/>
                  <w:noWrap w:val="0"/>
                  <w:vAlign w:val="center"/>
                </w:tcPr>
                <w:p w14:paraId="2AD47F81">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lang w:val="en-US" w:eastAsia="zh-CN"/>
                      <w14:textFill>
                        <w14:solidFill>
                          <w14:schemeClr w14:val="tx1"/>
                        </w14:solidFill>
                      </w14:textFill>
                    </w:rPr>
                    <w:t>S</w:t>
                  </w:r>
                </w:p>
              </w:tc>
              <w:tc>
                <w:tcPr>
                  <w:tcW w:w="660" w:type="dxa"/>
                  <w:noWrap w:val="0"/>
                  <w:vAlign w:val="center"/>
                </w:tcPr>
                <w:p w14:paraId="52EDCB10">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Cr</w:t>
                  </w:r>
                </w:p>
              </w:tc>
              <w:tc>
                <w:tcPr>
                  <w:tcW w:w="630" w:type="dxa"/>
                  <w:noWrap w:val="0"/>
                  <w:vAlign w:val="center"/>
                </w:tcPr>
                <w:p w14:paraId="31A105BA">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Ni</w:t>
                  </w:r>
                </w:p>
              </w:tc>
              <w:tc>
                <w:tcPr>
                  <w:tcW w:w="700" w:type="dxa"/>
                  <w:noWrap w:val="0"/>
                  <w:vAlign w:val="center"/>
                </w:tcPr>
                <w:p w14:paraId="3F269057">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Cu</w:t>
                  </w:r>
                </w:p>
              </w:tc>
            </w:tr>
            <w:tr w14:paraId="474E77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9" w:type="dxa"/>
                  <w:vMerge w:val="continue"/>
                  <w:noWrap w:val="0"/>
                  <w:vAlign w:val="center"/>
                </w:tcPr>
                <w:p w14:paraId="42CC9717">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lang w:val="en-US" w:eastAsia="zh-CN"/>
                      <w14:textFill>
                        <w14:solidFill>
                          <w14:schemeClr w14:val="tx1"/>
                        </w14:solidFill>
                      </w14:textFill>
                    </w:rPr>
                  </w:pPr>
                </w:p>
              </w:tc>
              <w:tc>
                <w:tcPr>
                  <w:tcW w:w="1256" w:type="dxa"/>
                  <w:vMerge w:val="continue"/>
                  <w:noWrap w:val="0"/>
                  <w:vAlign w:val="center"/>
                </w:tcPr>
                <w:p w14:paraId="17822C0B">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p>
              </w:tc>
              <w:tc>
                <w:tcPr>
                  <w:tcW w:w="1125" w:type="dxa"/>
                  <w:vMerge w:val="continue"/>
                  <w:noWrap w:val="0"/>
                  <w:vAlign w:val="center"/>
                </w:tcPr>
                <w:p w14:paraId="1D82E670">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p>
              </w:tc>
              <w:tc>
                <w:tcPr>
                  <w:tcW w:w="1110" w:type="dxa"/>
                  <w:vMerge w:val="continue"/>
                  <w:noWrap w:val="0"/>
                  <w:vAlign w:val="center"/>
                </w:tcPr>
                <w:p w14:paraId="274907A8">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pPr>
                </w:p>
              </w:tc>
              <w:tc>
                <w:tcPr>
                  <w:tcW w:w="3460" w:type="dxa"/>
                  <w:gridSpan w:val="5"/>
                  <w:noWrap w:val="0"/>
                  <w:vAlign w:val="center"/>
                </w:tcPr>
                <w:p w14:paraId="745BF1AB">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lang w:val="en-US" w:eastAsia="zh-CN"/>
                      <w14:textFill>
                        <w14:solidFill>
                          <w14:schemeClr w14:val="tx1"/>
                        </w14:solidFill>
                      </w14:textFill>
                    </w:rPr>
                    <w:t>不大于</w:t>
                  </w:r>
                </w:p>
              </w:tc>
            </w:tr>
            <w:tr w14:paraId="600496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69" w:type="dxa"/>
                  <w:vMerge w:val="continue"/>
                  <w:noWrap w:val="0"/>
                  <w:vAlign w:val="center"/>
                </w:tcPr>
                <w:p w14:paraId="49C84465">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shd w:val="clear" w:color="auto" w:fill="FFFFFF"/>
                      <w14:textFill>
                        <w14:solidFill>
                          <w14:schemeClr w14:val="tx1"/>
                        </w14:solidFill>
                      </w14:textFill>
                    </w:rPr>
                  </w:pPr>
                </w:p>
              </w:tc>
              <w:tc>
                <w:tcPr>
                  <w:tcW w:w="1256" w:type="dxa"/>
                  <w:noWrap w:val="0"/>
                  <w:vAlign w:val="center"/>
                </w:tcPr>
                <w:p w14:paraId="067FEEBA">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0.17~0.23</w:t>
                  </w:r>
                </w:p>
              </w:tc>
              <w:tc>
                <w:tcPr>
                  <w:tcW w:w="1125" w:type="dxa"/>
                  <w:noWrap w:val="0"/>
                  <w:vAlign w:val="center"/>
                </w:tcPr>
                <w:p w14:paraId="735FD51A">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0.17~0.37</w:t>
                  </w:r>
                </w:p>
              </w:tc>
              <w:tc>
                <w:tcPr>
                  <w:tcW w:w="1110" w:type="dxa"/>
                  <w:noWrap w:val="0"/>
                  <w:vAlign w:val="center"/>
                </w:tcPr>
                <w:p w14:paraId="1E757719">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0.35~0.65</w:t>
                  </w:r>
                </w:p>
              </w:tc>
              <w:tc>
                <w:tcPr>
                  <w:tcW w:w="780" w:type="dxa"/>
                  <w:noWrap w:val="0"/>
                  <w:vAlign w:val="center"/>
                </w:tcPr>
                <w:p w14:paraId="22A06079">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0.035</w:t>
                  </w:r>
                </w:p>
              </w:tc>
              <w:tc>
                <w:tcPr>
                  <w:tcW w:w="690" w:type="dxa"/>
                  <w:noWrap w:val="0"/>
                  <w:vAlign w:val="center"/>
                </w:tcPr>
                <w:p w14:paraId="47315CE3">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0.03</w:t>
                  </w:r>
                </w:p>
              </w:tc>
              <w:tc>
                <w:tcPr>
                  <w:tcW w:w="660" w:type="dxa"/>
                  <w:noWrap w:val="0"/>
                  <w:vAlign w:val="center"/>
                </w:tcPr>
                <w:p w14:paraId="30AC46B3">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0.2</w:t>
                  </w:r>
                </w:p>
              </w:tc>
              <w:tc>
                <w:tcPr>
                  <w:tcW w:w="630" w:type="dxa"/>
                  <w:noWrap w:val="0"/>
                  <w:vAlign w:val="center"/>
                </w:tcPr>
                <w:p w14:paraId="09830BBE">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0.3</w:t>
                  </w:r>
                </w:p>
              </w:tc>
              <w:tc>
                <w:tcPr>
                  <w:tcW w:w="700" w:type="dxa"/>
                  <w:noWrap w:val="0"/>
                  <w:vAlign w:val="center"/>
                </w:tcPr>
                <w:p w14:paraId="7BE9221A">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shd w:val="clear" w:color="auto" w:fill="FFFFFF"/>
                      <w:lang w:val="en-US" w:eastAsia="zh-CN"/>
                      <w14:textFill>
                        <w14:solidFill>
                          <w14:schemeClr w14:val="tx1"/>
                        </w14:solidFill>
                      </w14:textFill>
                    </w:rPr>
                    <w:t>0.25</w:t>
                  </w:r>
                </w:p>
              </w:tc>
            </w:tr>
          </w:tbl>
          <w:p w14:paraId="228A3D84">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本项目使用的硅铁</w:t>
            </w:r>
            <w:r>
              <w:rPr>
                <w:rFonts w:hint="default" w:ascii="Times New Roman" w:hAnsi="Times New Roman" w:cs="Times New Roman"/>
                <w:color w:val="000000" w:themeColor="text1"/>
                <w:sz w:val="24"/>
                <w:szCs w:val="24"/>
                <w:highlight w:val="none"/>
                <w14:textFill>
                  <w14:solidFill>
                    <w14:schemeClr w14:val="tx1"/>
                  </w14:solidFill>
                </w14:textFill>
              </w:rPr>
              <w:t>即国标标准生产的</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PG FeSi75</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，根据《硅铁》（GB/T 2272-2020）</w:t>
            </w:r>
            <w:r>
              <w:rPr>
                <w:rFonts w:hint="default" w:ascii="Times New Roman" w:hAnsi="Times New Roman" w:cs="Times New Roman"/>
                <w:color w:val="000000" w:themeColor="text1"/>
                <w:sz w:val="24"/>
                <w:szCs w:val="24"/>
                <w:highlight w:val="none"/>
                <w:shd w:val="clear" w:color="auto" w:fill="FFFFFF"/>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其化学成分见表2-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7</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022901AD">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highlight w:val="none"/>
                <w:shd w:val="clear" w:color="auto" w:fill="FFFFFF"/>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7</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项目</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硅铁</w:t>
            </w:r>
            <w:r>
              <w:rPr>
                <w:rFonts w:hint="default" w:ascii="Times New Roman" w:hAnsi="Times New Roman" w:cs="Times New Roman"/>
                <w:b/>
                <w:bCs/>
                <w:color w:val="000000" w:themeColor="text1"/>
                <w:highlight w:val="none"/>
                <w:shd w:val="clear" w:color="auto" w:fill="FFFFFF"/>
                <w14:textFill>
                  <w14:solidFill>
                    <w14:schemeClr w14:val="tx1"/>
                  </w14:solidFill>
                </w14:textFill>
              </w:rPr>
              <w:t>化学成分一览表</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fixed"/>
              <w:tblCellMar>
                <w:top w:w="0" w:type="dxa"/>
                <w:left w:w="108" w:type="dxa"/>
                <w:bottom w:w="0" w:type="dxa"/>
                <w:right w:w="108" w:type="dxa"/>
              </w:tblCellMar>
            </w:tblPr>
            <w:tblGrid>
              <w:gridCol w:w="600"/>
              <w:gridCol w:w="1319"/>
              <w:gridCol w:w="1094"/>
              <w:gridCol w:w="602"/>
              <w:gridCol w:w="603"/>
              <w:gridCol w:w="608"/>
              <w:gridCol w:w="608"/>
              <w:gridCol w:w="716"/>
              <w:gridCol w:w="627"/>
              <w:gridCol w:w="573"/>
              <w:gridCol w:w="564"/>
            </w:tblGrid>
            <w:tr w14:paraId="5D6F52E0">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restart"/>
                  <w:tcBorders>
                    <w:tl2br w:val="nil"/>
                    <w:tr2bl w:val="nil"/>
                  </w:tcBorders>
                  <w:noWrap w:val="0"/>
                  <w:vAlign w:val="center"/>
                </w:tcPr>
                <w:p w14:paraId="6A883724">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类别</w:t>
                  </w:r>
                </w:p>
              </w:tc>
              <w:tc>
                <w:tcPr>
                  <w:tcW w:w="833" w:type="pct"/>
                  <w:vMerge w:val="restart"/>
                  <w:tcBorders>
                    <w:tl2br w:val="nil"/>
                    <w:tr2bl w:val="nil"/>
                  </w:tcBorders>
                  <w:noWrap w:val="0"/>
                  <w:vAlign w:val="center"/>
                </w:tcPr>
                <w:p w14:paraId="7F13C8E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牌号</w:t>
                  </w:r>
                </w:p>
              </w:tc>
              <w:tc>
                <w:tcPr>
                  <w:tcW w:w="3787" w:type="pct"/>
                  <w:gridSpan w:val="9"/>
                  <w:tcBorders>
                    <w:tl2br w:val="nil"/>
                    <w:tr2bl w:val="nil"/>
                  </w:tcBorders>
                  <w:noWrap w:val="0"/>
                  <w:vAlign w:val="center"/>
                </w:tcPr>
                <w:p w14:paraId="3768EEE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化学成分（质量分数/%）</w:t>
                  </w:r>
                </w:p>
              </w:tc>
            </w:tr>
            <w:tr w14:paraId="6A18DCC7">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continue"/>
                  <w:tcBorders>
                    <w:tl2br w:val="nil"/>
                    <w:tr2bl w:val="nil"/>
                  </w:tcBorders>
                  <w:noWrap w:val="0"/>
                  <w:vAlign w:val="center"/>
                </w:tcPr>
                <w:p w14:paraId="052FA5AB">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833" w:type="pct"/>
                  <w:vMerge w:val="continue"/>
                  <w:tcBorders>
                    <w:tl2br w:val="nil"/>
                    <w:tr2bl w:val="nil"/>
                  </w:tcBorders>
                  <w:noWrap w:val="0"/>
                  <w:vAlign w:val="center"/>
                </w:tcPr>
                <w:p w14:paraId="5E6B5DE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691" w:type="pct"/>
                  <w:vMerge w:val="restart"/>
                  <w:tcBorders>
                    <w:tl2br w:val="nil"/>
                    <w:tr2bl w:val="nil"/>
                  </w:tcBorders>
                  <w:noWrap w:val="0"/>
                  <w:vAlign w:val="center"/>
                </w:tcPr>
                <w:p w14:paraId="0026E3D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Si</w:t>
                  </w:r>
                </w:p>
              </w:tc>
              <w:tc>
                <w:tcPr>
                  <w:tcW w:w="380" w:type="pct"/>
                  <w:tcBorders>
                    <w:tl2br w:val="nil"/>
                    <w:tr2bl w:val="nil"/>
                  </w:tcBorders>
                  <w:noWrap w:val="0"/>
                  <w:vAlign w:val="center"/>
                </w:tcPr>
                <w:p w14:paraId="7040E25A">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Al</w:t>
                  </w:r>
                </w:p>
              </w:tc>
              <w:tc>
                <w:tcPr>
                  <w:tcW w:w="380" w:type="pct"/>
                  <w:tcBorders>
                    <w:tl2br w:val="nil"/>
                    <w:tr2bl w:val="nil"/>
                  </w:tcBorders>
                  <w:noWrap w:val="0"/>
                  <w:vAlign w:val="center"/>
                </w:tcPr>
                <w:p w14:paraId="33AD5938">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Ca</w:t>
                  </w:r>
                </w:p>
              </w:tc>
              <w:tc>
                <w:tcPr>
                  <w:tcW w:w="384" w:type="pct"/>
                  <w:tcBorders>
                    <w:tl2br w:val="nil"/>
                    <w:tr2bl w:val="nil"/>
                  </w:tcBorders>
                  <w:noWrap w:val="0"/>
                  <w:vAlign w:val="center"/>
                </w:tcPr>
                <w:p w14:paraId="2C78B626">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Mn</w:t>
                  </w:r>
                </w:p>
              </w:tc>
              <w:tc>
                <w:tcPr>
                  <w:tcW w:w="384" w:type="pct"/>
                  <w:tcBorders>
                    <w:tl2br w:val="nil"/>
                    <w:tr2bl w:val="nil"/>
                  </w:tcBorders>
                  <w:noWrap w:val="0"/>
                  <w:vAlign w:val="center"/>
                </w:tcPr>
                <w:p w14:paraId="422C17E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Cr</w:t>
                  </w:r>
                </w:p>
              </w:tc>
              <w:tc>
                <w:tcPr>
                  <w:tcW w:w="452" w:type="pct"/>
                  <w:tcBorders>
                    <w:tl2br w:val="nil"/>
                    <w:tr2bl w:val="nil"/>
                  </w:tcBorders>
                  <w:noWrap w:val="0"/>
                  <w:vAlign w:val="center"/>
                </w:tcPr>
                <w:p w14:paraId="5BAEC63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P</w:t>
                  </w:r>
                </w:p>
              </w:tc>
              <w:tc>
                <w:tcPr>
                  <w:tcW w:w="396" w:type="pct"/>
                  <w:tcBorders>
                    <w:tl2br w:val="nil"/>
                    <w:tr2bl w:val="nil"/>
                  </w:tcBorders>
                  <w:noWrap w:val="0"/>
                  <w:vAlign w:val="center"/>
                </w:tcPr>
                <w:p w14:paraId="646D19A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S</w:t>
                  </w:r>
                </w:p>
              </w:tc>
              <w:tc>
                <w:tcPr>
                  <w:tcW w:w="362" w:type="pct"/>
                  <w:tcBorders>
                    <w:tl2br w:val="nil"/>
                    <w:tr2bl w:val="nil"/>
                  </w:tcBorders>
                  <w:noWrap w:val="0"/>
                  <w:vAlign w:val="center"/>
                </w:tcPr>
                <w:p w14:paraId="558F45E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C</w:t>
                  </w:r>
                </w:p>
              </w:tc>
              <w:tc>
                <w:tcPr>
                  <w:tcW w:w="356" w:type="pct"/>
                  <w:tcBorders>
                    <w:tl2br w:val="nil"/>
                    <w:tr2bl w:val="nil"/>
                  </w:tcBorders>
                  <w:noWrap w:val="0"/>
                  <w:vAlign w:val="center"/>
                </w:tcPr>
                <w:p w14:paraId="5A072F6A">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Ti</w:t>
                  </w:r>
                </w:p>
              </w:tc>
            </w:tr>
            <w:tr w14:paraId="104F6670">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continue"/>
                  <w:tcBorders>
                    <w:tl2br w:val="nil"/>
                    <w:tr2bl w:val="nil"/>
                  </w:tcBorders>
                  <w:noWrap w:val="0"/>
                  <w:vAlign w:val="center"/>
                </w:tcPr>
                <w:p w14:paraId="04D6C856">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833" w:type="pct"/>
                  <w:vMerge w:val="continue"/>
                  <w:tcBorders>
                    <w:tl2br w:val="nil"/>
                    <w:tr2bl w:val="nil"/>
                  </w:tcBorders>
                  <w:noWrap w:val="0"/>
                  <w:vAlign w:val="center"/>
                </w:tcPr>
                <w:p w14:paraId="3E6D614A">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691" w:type="pct"/>
                  <w:vMerge w:val="continue"/>
                  <w:tcBorders>
                    <w:tl2br w:val="nil"/>
                    <w:tr2bl w:val="nil"/>
                  </w:tcBorders>
                  <w:noWrap w:val="0"/>
                  <w:vAlign w:val="center"/>
                </w:tcPr>
                <w:p w14:paraId="2FCCFB8C">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3096" w:type="pct"/>
                  <w:gridSpan w:val="8"/>
                  <w:tcBorders>
                    <w:tl2br w:val="nil"/>
                    <w:tr2bl w:val="nil"/>
                  </w:tcBorders>
                  <w:noWrap w:val="0"/>
                  <w:vAlign w:val="center"/>
                </w:tcPr>
                <w:p w14:paraId="4FBBB149">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vertAlign w:val="baseline"/>
                      <w14:textFill>
                        <w14:solidFill>
                          <w14:schemeClr w14:val="tx1"/>
                        </w14:solidFill>
                      </w14:textFill>
                    </w:rPr>
                    <w:t>≤</w:t>
                  </w:r>
                </w:p>
              </w:tc>
            </w:tr>
            <w:tr w14:paraId="06262AD2">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restart"/>
                  <w:tcBorders>
                    <w:tl2br w:val="nil"/>
                    <w:tr2bl w:val="nil"/>
                  </w:tcBorders>
                  <w:noWrap w:val="0"/>
                  <w:vAlign w:val="center"/>
                </w:tcPr>
                <w:p w14:paraId="459314BA">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普通硅铁</w:t>
                  </w:r>
                </w:p>
              </w:tc>
              <w:tc>
                <w:tcPr>
                  <w:tcW w:w="833" w:type="pct"/>
                  <w:tcBorders>
                    <w:tl2br w:val="nil"/>
                    <w:tr2bl w:val="nil"/>
                  </w:tcBorders>
                  <w:noWrap w:val="0"/>
                  <w:vAlign w:val="center"/>
                </w:tcPr>
                <w:p w14:paraId="4D90E20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PG FeSi75Al1.5</w:t>
                  </w:r>
                </w:p>
              </w:tc>
              <w:tc>
                <w:tcPr>
                  <w:tcW w:w="691" w:type="pct"/>
                  <w:vMerge w:val="restart"/>
                  <w:tcBorders>
                    <w:tl2br w:val="nil"/>
                    <w:tr2bl w:val="nil"/>
                  </w:tcBorders>
                  <w:noWrap w:val="0"/>
                  <w:vAlign w:val="center"/>
                </w:tcPr>
                <w:p w14:paraId="5BDFF36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75.0~80.0</w:t>
                  </w:r>
                </w:p>
              </w:tc>
              <w:tc>
                <w:tcPr>
                  <w:tcW w:w="380" w:type="pct"/>
                  <w:tcBorders>
                    <w:tl2br w:val="nil"/>
                    <w:tr2bl w:val="nil"/>
                  </w:tcBorders>
                  <w:noWrap w:val="0"/>
                  <w:vAlign w:val="center"/>
                </w:tcPr>
                <w:p w14:paraId="7EDA32A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1.5</w:t>
                  </w:r>
                </w:p>
              </w:tc>
              <w:tc>
                <w:tcPr>
                  <w:tcW w:w="380" w:type="pct"/>
                  <w:tcBorders>
                    <w:tl2br w:val="nil"/>
                    <w:tr2bl w:val="nil"/>
                  </w:tcBorders>
                  <w:noWrap w:val="0"/>
                  <w:vAlign w:val="center"/>
                </w:tcPr>
                <w:p w14:paraId="362EAF59">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1.5</w:t>
                  </w:r>
                </w:p>
              </w:tc>
              <w:tc>
                <w:tcPr>
                  <w:tcW w:w="384" w:type="pct"/>
                  <w:vMerge w:val="restart"/>
                  <w:tcBorders>
                    <w:tl2br w:val="nil"/>
                    <w:tr2bl w:val="nil"/>
                  </w:tcBorders>
                  <w:noWrap w:val="0"/>
                  <w:vAlign w:val="center"/>
                </w:tcPr>
                <w:p w14:paraId="1E8A32B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0.4</w:t>
                  </w:r>
                </w:p>
              </w:tc>
              <w:tc>
                <w:tcPr>
                  <w:tcW w:w="384" w:type="pct"/>
                  <w:vMerge w:val="restart"/>
                  <w:tcBorders>
                    <w:tl2br w:val="nil"/>
                    <w:tr2bl w:val="nil"/>
                  </w:tcBorders>
                  <w:noWrap w:val="0"/>
                  <w:vAlign w:val="center"/>
                </w:tcPr>
                <w:p w14:paraId="22462894">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0.3</w:t>
                  </w:r>
                </w:p>
              </w:tc>
              <w:tc>
                <w:tcPr>
                  <w:tcW w:w="452" w:type="pct"/>
                  <w:tcBorders>
                    <w:tl2br w:val="nil"/>
                    <w:tr2bl w:val="nil"/>
                  </w:tcBorders>
                  <w:noWrap w:val="0"/>
                  <w:vAlign w:val="center"/>
                </w:tcPr>
                <w:p w14:paraId="7BBB7E7A">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0.045</w:t>
                  </w:r>
                </w:p>
              </w:tc>
              <w:tc>
                <w:tcPr>
                  <w:tcW w:w="396" w:type="pct"/>
                  <w:tcBorders>
                    <w:tl2br w:val="nil"/>
                    <w:tr2bl w:val="nil"/>
                  </w:tcBorders>
                  <w:noWrap w:val="0"/>
                  <w:vAlign w:val="center"/>
                </w:tcPr>
                <w:p w14:paraId="5599388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0.02</w:t>
                  </w:r>
                </w:p>
              </w:tc>
              <w:tc>
                <w:tcPr>
                  <w:tcW w:w="362" w:type="pct"/>
                  <w:tcBorders>
                    <w:tl2br w:val="nil"/>
                    <w:tr2bl w:val="nil"/>
                  </w:tcBorders>
                  <w:noWrap w:val="0"/>
                  <w:vAlign w:val="center"/>
                </w:tcPr>
                <w:p w14:paraId="3192C0E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0.1</w:t>
                  </w:r>
                </w:p>
              </w:tc>
              <w:tc>
                <w:tcPr>
                  <w:tcW w:w="356" w:type="pct"/>
                  <w:vMerge w:val="restart"/>
                  <w:tcBorders>
                    <w:tl2br w:val="nil"/>
                    <w:tr2bl w:val="nil"/>
                  </w:tcBorders>
                  <w:noWrap w:val="0"/>
                  <w:vAlign w:val="center"/>
                </w:tcPr>
                <w:p w14:paraId="2E5CA92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0.3</w:t>
                  </w:r>
                </w:p>
              </w:tc>
            </w:tr>
            <w:tr w14:paraId="3DDB22A4">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continue"/>
                  <w:tcBorders>
                    <w:tl2br w:val="nil"/>
                    <w:tr2bl w:val="nil"/>
                  </w:tcBorders>
                  <w:noWrap w:val="0"/>
                  <w:vAlign w:val="center"/>
                </w:tcPr>
                <w:p w14:paraId="5571FB48">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833" w:type="pct"/>
                  <w:tcBorders>
                    <w:tl2br w:val="nil"/>
                    <w:tr2bl w:val="nil"/>
                  </w:tcBorders>
                  <w:noWrap w:val="0"/>
                  <w:vAlign w:val="center"/>
                </w:tcPr>
                <w:p w14:paraId="4FE55DE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PG FeSi75Al2.0</w:t>
                  </w:r>
                </w:p>
              </w:tc>
              <w:tc>
                <w:tcPr>
                  <w:tcW w:w="691" w:type="pct"/>
                  <w:vMerge w:val="continue"/>
                  <w:tcBorders>
                    <w:tl2br w:val="nil"/>
                    <w:tr2bl w:val="nil"/>
                  </w:tcBorders>
                  <w:noWrap w:val="0"/>
                  <w:vAlign w:val="center"/>
                </w:tcPr>
                <w:p w14:paraId="3C375E3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80" w:type="pct"/>
                  <w:tcBorders>
                    <w:tl2br w:val="nil"/>
                    <w:tr2bl w:val="nil"/>
                  </w:tcBorders>
                  <w:noWrap w:val="0"/>
                  <w:vAlign w:val="center"/>
                </w:tcPr>
                <w:p w14:paraId="6DA6212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2.0</w:t>
                  </w:r>
                </w:p>
              </w:tc>
              <w:tc>
                <w:tcPr>
                  <w:tcW w:w="380" w:type="pct"/>
                  <w:tcBorders>
                    <w:tl2br w:val="nil"/>
                    <w:tr2bl w:val="nil"/>
                  </w:tcBorders>
                  <w:noWrap w:val="0"/>
                  <w:vAlign w:val="center"/>
                </w:tcPr>
                <w:p w14:paraId="6E9F2A4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1.5</w:t>
                  </w:r>
                </w:p>
              </w:tc>
              <w:tc>
                <w:tcPr>
                  <w:tcW w:w="384" w:type="pct"/>
                  <w:vMerge w:val="continue"/>
                  <w:tcBorders>
                    <w:tl2br w:val="nil"/>
                    <w:tr2bl w:val="nil"/>
                  </w:tcBorders>
                  <w:noWrap w:val="0"/>
                  <w:vAlign w:val="center"/>
                </w:tcPr>
                <w:p w14:paraId="347CA6A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84" w:type="pct"/>
                  <w:vMerge w:val="continue"/>
                  <w:tcBorders>
                    <w:tl2br w:val="nil"/>
                    <w:tr2bl w:val="nil"/>
                  </w:tcBorders>
                  <w:noWrap w:val="0"/>
                  <w:vAlign w:val="center"/>
                </w:tcPr>
                <w:p w14:paraId="7AEAC36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452" w:type="pct"/>
                  <w:vMerge w:val="restart"/>
                  <w:tcBorders>
                    <w:tl2br w:val="nil"/>
                    <w:tr2bl w:val="nil"/>
                  </w:tcBorders>
                  <w:noWrap w:val="0"/>
                  <w:vAlign w:val="center"/>
                </w:tcPr>
                <w:p w14:paraId="4A8CEDB1">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0.04</w:t>
                  </w:r>
                </w:p>
              </w:tc>
              <w:tc>
                <w:tcPr>
                  <w:tcW w:w="396" w:type="pct"/>
                  <w:vMerge w:val="restart"/>
                  <w:tcBorders>
                    <w:tl2br w:val="nil"/>
                    <w:tr2bl w:val="nil"/>
                  </w:tcBorders>
                  <w:noWrap w:val="0"/>
                  <w:vAlign w:val="center"/>
                </w:tcPr>
                <w:p w14:paraId="13A6A44B">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0.02</w:t>
                  </w:r>
                </w:p>
              </w:tc>
              <w:tc>
                <w:tcPr>
                  <w:tcW w:w="362" w:type="pct"/>
                  <w:vMerge w:val="restart"/>
                  <w:tcBorders>
                    <w:tl2br w:val="nil"/>
                    <w:tr2bl w:val="nil"/>
                  </w:tcBorders>
                  <w:noWrap w:val="0"/>
                  <w:vAlign w:val="center"/>
                </w:tcPr>
                <w:p w14:paraId="759FB356">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0.2</w:t>
                  </w:r>
                </w:p>
              </w:tc>
              <w:tc>
                <w:tcPr>
                  <w:tcW w:w="356" w:type="pct"/>
                  <w:vMerge w:val="continue"/>
                  <w:tcBorders>
                    <w:tl2br w:val="nil"/>
                    <w:tr2bl w:val="nil"/>
                  </w:tcBorders>
                  <w:noWrap w:val="0"/>
                  <w:vAlign w:val="center"/>
                </w:tcPr>
                <w:p w14:paraId="5C22EEF8">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r>
            <w:tr w14:paraId="1BFD8EF8">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379" w:type="pct"/>
                  <w:vMerge w:val="continue"/>
                  <w:tcBorders>
                    <w:tl2br w:val="nil"/>
                    <w:tr2bl w:val="nil"/>
                  </w:tcBorders>
                  <w:noWrap w:val="0"/>
                  <w:vAlign w:val="center"/>
                </w:tcPr>
                <w:p w14:paraId="4D88391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833" w:type="pct"/>
                  <w:tcBorders>
                    <w:tl2br w:val="nil"/>
                    <w:tr2bl w:val="nil"/>
                  </w:tcBorders>
                  <w:noWrap w:val="0"/>
                  <w:vAlign w:val="center"/>
                </w:tcPr>
                <w:p w14:paraId="4AAF558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PG FeSi75Al2.5</w:t>
                  </w:r>
                </w:p>
              </w:tc>
              <w:tc>
                <w:tcPr>
                  <w:tcW w:w="691" w:type="pct"/>
                  <w:vMerge w:val="continue"/>
                  <w:tcBorders>
                    <w:tl2br w:val="nil"/>
                    <w:tr2bl w:val="nil"/>
                  </w:tcBorders>
                  <w:noWrap w:val="0"/>
                  <w:vAlign w:val="center"/>
                </w:tcPr>
                <w:p w14:paraId="66CC515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80" w:type="pct"/>
                  <w:tcBorders>
                    <w:tl2br w:val="nil"/>
                    <w:tr2bl w:val="nil"/>
                  </w:tcBorders>
                  <w:noWrap w:val="0"/>
                  <w:vAlign w:val="center"/>
                </w:tcPr>
                <w:p w14:paraId="1C57FF5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2.5</w:t>
                  </w:r>
                </w:p>
              </w:tc>
              <w:tc>
                <w:tcPr>
                  <w:tcW w:w="380" w:type="pct"/>
                  <w:tcBorders>
                    <w:tl2br w:val="nil"/>
                    <w:tr2bl w:val="nil"/>
                  </w:tcBorders>
                  <w:noWrap w:val="0"/>
                  <w:vAlign w:val="center"/>
                </w:tcPr>
                <w:p w14:paraId="457A6114">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w:t>
                  </w:r>
                </w:p>
              </w:tc>
              <w:tc>
                <w:tcPr>
                  <w:tcW w:w="384" w:type="pct"/>
                  <w:vMerge w:val="continue"/>
                  <w:tcBorders>
                    <w:tl2br w:val="nil"/>
                    <w:tr2bl w:val="nil"/>
                  </w:tcBorders>
                  <w:noWrap w:val="0"/>
                  <w:vAlign w:val="center"/>
                </w:tcPr>
                <w:p w14:paraId="7770B601">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84" w:type="pct"/>
                  <w:vMerge w:val="continue"/>
                  <w:tcBorders>
                    <w:tl2br w:val="nil"/>
                    <w:tr2bl w:val="nil"/>
                  </w:tcBorders>
                  <w:noWrap w:val="0"/>
                  <w:vAlign w:val="center"/>
                </w:tcPr>
                <w:p w14:paraId="295D377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452" w:type="pct"/>
                  <w:vMerge w:val="continue"/>
                  <w:tcBorders>
                    <w:tl2br w:val="nil"/>
                    <w:tr2bl w:val="nil"/>
                  </w:tcBorders>
                  <w:noWrap w:val="0"/>
                  <w:vAlign w:val="center"/>
                </w:tcPr>
                <w:p w14:paraId="12177D9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96" w:type="pct"/>
                  <w:vMerge w:val="continue"/>
                  <w:tcBorders>
                    <w:tl2br w:val="nil"/>
                    <w:tr2bl w:val="nil"/>
                  </w:tcBorders>
                  <w:noWrap w:val="0"/>
                  <w:vAlign w:val="center"/>
                </w:tcPr>
                <w:p w14:paraId="5D7CE50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62" w:type="pct"/>
                  <w:vMerge w:val="continue"/>
                  <w:tcBorders>
                    <w:tl2br w:val="nil"/>
                    <w:tr2bl w:val="nil"/>
                  </w:tcBorders>
                  <w:noWrap w:val="0"/>
                  <w:vAlign w:val="center"/>
                </w:tcPr>
                <w:p w14:paraId="2432B91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c>
                <w:tcPr>
                  <w:tcW w:w="356" w:type="pct"/>
                  <w:vMerge w:val="continue"/>
                  <w:tcBorders>
                    <w:tl2br w:val="nil"/>
                    <w:tr2bl w:val="nil"/>
                  </w:tcBorders>
                  <w:noWrap w:val="0"/>
                  <w:vAlign w:val="center"/>
                </w:tcPr>
                <w:p w14:paraId="33E69AF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14:textFill>
                        <w14:solidFill>
                          <w14:schemeClr w14:val="tx1"/>
                        </w14:solidFill>
                      </w14:textFill>
                    </w:rPr>
                  </w:pPr>
                </w:p>
              </w:tc>
            </w:tr>
          </w:tbl>
          <w:p w14:paraId="6E399CBD">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本项目使用的锰铁</w:t>
            </w:r>
            <w:r>
              <w:rPr>
                <w:rFonts w:hint="default" w:ascii="Times New Roman" w:hAnsi="Times New Roman" w:cs="Times New Roman"/>
                <w:color w:val="000000" w:themeColor="text1"/>
                <w:sz w:val="24"/>
                <w:szCs w:val="24"/>
                <w:highlight w:val="none"/>
                <w14:textFill>
                  <w14:solidFill>
                    <w14:schemeClr w14:val="tx1"/>
                  </w14:solidFill>
                </w14:textFill>
              </w:rPr>
              <w:t>即国标标准生产的</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FeMn63</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，根据《锰铁》（GB/T 3795-2014）</w:t>
            </w:r>
            <w:r>
              <w:rPr>
                <w:rFonts w:hint="default" w:ascii="Times New Roman" w:hAnsi="Times New Roman" w:cs="Times New Roman"/>
                <w:color w:val="000000" w:themeColor="text1"/>
                <w:sz w:val="24"/>
                <w:szCs w:val="24"/>
                <w:highlight w:val="none"/>
                <w:shd w:val="clear" w:color="auto" w:fill="FFFFFF"/>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其化学成分见表2-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8</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53C135AF">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highlight w:val="none"/>
                <w:shd w:val="clear" w:color="auto" w:fill="FFFFFF"/>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8</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项目</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锰铁</w:t>
            </w:r>
            <w:r>
              <w:rPr>
                <w:rFonts w:hint="default" w:ascii="Times New Roman" w:hAnsi="Times New Roman" w:cs="Times New Roman"/>
                <w:b/>
                <w:bCs/>
                <w:color w:val="000000" w:themeColor="text1"/>
                <w:highlight w:val="none"/>
                <w:shd w:val="clear" w:color="auto" w:fill="FFFFFF"/>
                <w14:textFill>
                  <w14:solidFill>
                    <w14:schemeClr w14:val="tx1"/>
                  </w14:solidFill>
                </w14:textFill>
              </w:rPr>
              <w:t>化学成分一览表</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fixed"/>
              <w:tblCellMar>
                <w:top w:w="0" w:type="dxa"/>
                <w:left w:w="108" w:type="dxa"/>
                <w:bottom w:w="0" w:type="dxa"/>
                <w:right w:w="108" w:type="dxa"/>
              </w:tblCellMar>
            </w:tblPr>
            <w:tblGrid>
              <w:gridCol w:w="869"/>
              <w:gridCol w:w="959"/>
              <w:gridCol w:w="791"/>
              <w:gridCol w:w="877"/>
              <w:gridCol w:w="877"/>
              <w:gridCol w:w="877"/>
              <w:gridCol w:w="880"/>
              <w:gridCol w:w="880"/>
              <w:gridCol w:w="904"/>
            </w:tblGrid>
            <w:tr w14:paraId="06A402E4">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549" w:type="pct"/>
                  <w:vMerge w:val="restart"/>
                  <w:tcBorders>
                    <w:tl2br w:val="nil"/>
                    <w:tr2bl w:val="nil"/>
                  </w:tcBorders>
                  <w:noWrap w:val="0"/>
                  <w:vAlign w:val="center"/>
                </w:tcPr>
                <w:p w14:paraId="087E0EA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kern w:val="2"/>
                      <w:sz w:val="21"/>
                      <w:szCs w:val="21"/>
                      <w:highlight w:val="none"/>
                      <w:shd w:val="clear" w:color="auto" w:fill="FFFFFF"/>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类别</w:t>
                  </w:r>
                </w:p>
              </w:tc>
              <w:tc>
                <w:tcPr>
                  <w:tcW w:w="605" w:type="pct"/>
                  <w:vMerge w:val="restart"/>
                  <w:tcBorders>
                    <w:tl2br w:val="nil"/>
                    <w:tr2bl w:val="nil"/>
                  </w:tcBorders>
                  <w:noWrap w:val="0"/>
                  <w:vAlign w:val="center"/>
                </w:tcPr>
                <w:p w14:paraId="4F6E4154">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kern w:val="2"/>
                      <w:sz w:val="21"/>
                      <w:szCs w:val="21"/>
                      <w:highlight w:val="none"/>
                      <w:shd w:val="clear" w:color="auto" w:fill="FFFFFF"/>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牌号</w:t>
                  </w:r>
                </w:p>
              </w:tc>
              <w:tc>
                <w:tcPr>
                  <w:tcW w:w="3845" w:type="pct"/>
                  <w:gridSpan w:val="7"/>
                  <w:tcBorders>
                    <w:tl2br w:val="nil"/>
                    <w:tr2bl w:val="nil"/>
                  </w:tcBorders>
                  <w:noWrap w:val="0"/>
                  <w:vAlign w:val="center"/>
                </w:tcPr>
                <w:p w14:paraId="7542932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14:textFill>
                        <w14:solidFill>
                          <w14:schemeClr w14:val="tx1"/>
                        </w14:solidFill>
                      </w14:textFill>
                    </w:rPr>
                    <w:t>化学成分（质量分数/%）</w:t>
                  </w:r>
                </w:p>
              </w:tc>
            </w:tr>
            <w:tr w14:paraId="05CB5CC7">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549" w:type="pct"/>
                  <w:vMerge w:val="continue"/>
                  <w:tcBorders>
                    <w:tl2br w:val="nil"/>
                    <w:tr2bl w:val="nil"/>
                  </w:tcBorders>
                  <w:noWrap w:val="0"/>
                  <w:vAlign w:val="center"/>
                </w:tcPr>
                <w:p w14:paraId="4D6B4D2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605" w:type="pct"/>
                  <w:vMerge w:val="continue"/>
                  <w:tcBorders>
                    <w:tl2br w:val="nil"/>
                    <w:tr2bl w:val="nil"/>
                  </w:tcBorders>
                  <w:noWrap w:val="0"/>
                  <w:vAlign w:val="center"/>
                </w:tcPr>
                <w:p w14:paraId="20BE6549">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499" w:type="pct"/>
                  <w:vMerge w:val="restart"/>
                  <w:tcBorders>
                    <w:tl2br w:val="nil"/>
                    <w:tr2bl w:val="nil"/>
                  </w:tcBorders>
                  <w:noWrap w:val="0"/>
                  <w:vAlign w:val="center"/>
                </w:tcPr>
                <w:p w14:paraId="1E8116F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Mn</w:t>
                  </w:r>
                </w:p>
              </w:tc>
              <w:tc>
                <w:tcPr>
                  <w:tcW w:w="554" w:type="pct"/>
                  <w:vMerge w:val="restart"/>
                  <w:tcBorders>
                    <w:tl2br w:val="nil"/>
                    <w:tr2bl w:val="nil"/>
                  </w:tcBorders>
                  <w:noWrap w:val="0"/>
                  <w:vAlign w:val="center"/>
                </w:tcPr>
                <w:p w14:paraId="7269F06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C</w:t>
                  </w:r>
                </w:p>
              </w:tc>
              <w:tc>
                <w:tcPr>
                  <w:tcW w:w="1108" w:type="pct"/>
                  <w:gridSpan w:val="2"/>
                  <w:tcBorders>
                    <w:tl2br w:val="nil"/>
                    <w:tr2bl w:val="nil"/>
                  </w:tcBorders>
                  <w:noWrap w:val="0"/>
                  <w:vAlign w:val="center"/>
                </w:tcPr>
                <w:p w14:paraId="66864F1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Si</w:t>
                  </w:r>
                </w:p>
              </w:tc>
              <w:tc>
                <w:tcPr>
                  <w:tcW w:w="1111" w:type="pct"/>
                  <w:gridSpan w:val="2"/>
                  <w:tcBorders>
                    <w:tl2br w:val="nil"/>
                    <w:tr2bl w:val="nil"/>
                  </w:tcBorders>
                  <w:noWrap w:val="0"/>
                  <w:vAlign w:val="center"/>
                </w:tcPr>
                <w:p w14:paraId="2E677DD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P</w:t>
                  </w:r>
                </w:p>
              </w:tc>
              <w:tc>
                <w:tcPr>
                  <w:tcW w:w="571" w:type="pct"/>
                  <w:vMerge w:val="restart"/>
                  <w:tcBorders>
                    <w:tl2br w:val="nil"/>
                    <w:tr2bl w:val="nil"/>
                  </w:tcBorders>
                  <w:noWrap w:val="0"/>
                  <w:vAlign w:val="center"/>
                </w:tcPr>
                <w:p w14:paraId="1236EBF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S</w:t>
                  </w:r>
                </w:p>
              </w:tc>
            </w:tr>
            <w:tr w14:paraId="58A5E8BD">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549" w:type="pct"/>
                  <w:vMerge w:val="continue"/>
                  <w:tcBorders>
                    <w:tl2br w:val="nil"/>
                    <w:tr2bl w:val="nil"/>
                  </w:tcBorders>
                  <w:noWrap w:val="0"/>
                  <w:vAlign w:val="center"/>
                </w:tcPr>
                <w:p w14:paraId="000A1727">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605" w:type="pct"/>
                  <w:vMerge w:val="continue"/>
                  <w:tcBorders>
                    <w:tl2br w:val="nil"/>
                    <w:tr2bl w:val="nil"/>
                  </w:tcBorders>
                  <w:noWrap w:val="0"/>
                  <w:vAlign w:val="center"/>
                </w:tcPr>
                <w:p w14:paraId="26C42148">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499" w:type="pct"/>
                  <w:vMerge w:val="continue"/>
                  <w:tcBorders>
                    <w:tl2br w:val="nil"/>
                    <w:tr2bl w:val="nil"/>
                  </w:tcBorders>
                  <w:noWrap w:val="0"/>
                  <w:vAlign w:val="center"/>
                </w:tcPr>
                <w:p w14:paraId="41CF330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554" w:type="pct"/>
                  <w:vMerge w:val="continue"/>
                  <w:tcBorders>
                    <w:tl2br w:val="nil"/>
                    <w:tr2bl w:val="nil"/>
                  </w:tcBorders>
                  <w:noWrap w:val="0"/>
                  <w:vAlign w:val="center"/>
                </w:tcPr>
                <w:p w14:paraId="7D7BE3D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554" w:type="pct"/>
                  <w:tcBorders>
                    <w:tl2br w:val="nil"/>
                    <w:tr2bl w:val="nil"/>
                  </w:tcBorders>
                  <w:noWrap w:val="0"/>
                  <w:vAlign w:val="center"/>
                </w:tcPr>
                <w:p w14:paraId="711AE44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t>Ⅰ</w:t>
                  </w:r>
                </w:p>
              </w:tc>
              <w:tc>
                <w:tcPr>
                  <w:tcW w:w="554" w:type="pct"/>
                  <w:tcBorders>
                    <w:tl2br w:val="nil"/>
                    <w:tr2bl w:val="nil"/>
                  </w:tcBorders>
                  <w:noWrap w:val="0"/>
                  <w:vAlign w:val="center"/>
                </w:tcPr>
                <w:p w14:paraId="0F226CCC">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t>Ⅱ</w:t>
                  </w:r>
                </w:p>
              </w:tc>
              <w:tc>
                <w:tcPr>
                  <w:tcW w:w="555" w:type="pct"/>
                  <w:tcBorders>
                    <w:tl2br w:val="nil"/>
                    <w:tr2bl w:val="nil"/>
                  </w:tcBorders>
                  <w:noWrap w:val="0"/>
                  <w:vAlign w:val="center"/>
                </w:tcPr>
                <w:p w14:paraId="1333E0C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kern w:val="2"/>
                      <w:sz w:val="21"/>
                      <w:szCs w:val="21"/>
                      <w:highlight w:val="none"/>
                      <w:shd w:val="clear" w:color="auto" w:fill="FFFFFF"/>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t>Ⅰ</w:t>
                  </w:r>
                </w:p>
              </w:tc>
              <w:tc>
                <w:tcPr>
                  <w:tcW w:w="555" w:type="pct"/>
                  <w:tcBorders>
                    <w:tl2br w:val="nil"/>
                    <w:tr2bl w:val="nil"/>
                  </w:tcBorders>
                  <w:noWrap w:val="0"/>
                  <w:vAlign w:val="center"/>
                </w:tcPr>
                <w:p w14:paraId="2BD6493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kern w:val="2"/>
                      <w:sz w:val="21"/>
                      <w:szCs w:val="21"/>
                      <w:highlight w:val="none"/>
                      <w:shd w:val="clear" w:color="auto" w:fill="FFFFFF"/>
                      <w:lang w:val="en-US" w:eastAsia="zh-CN" w:bidi="ar-SA"/>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t>Ⅱ</w:t>
                  </w:r>
                </w:p>
              </w:tc>
              <w:tc>
                <w:tcPr>
                  <w:tcW w:w="571" w:type="pct"/>
                  <w:vMerge w:val="continue"/>
                  <w:tcBorders>
                    <w:tl2br w:val="nil"/>
                    <w:tr2bl w:val="nil"/>
                  </w:tcBorders>
                  <w:noWrap w:val="0"/>
                  <w:vAlign w:val="center"/>
                </w:tcPr>
                <w:p w14:paraId="4376FFF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r>
            <w:tr w14:paraId="24AA5081">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549" w:type="pct"/>
                  <w:vMerge w:val="continue"/>
                  <w:tcBorders>
                    <w:tl2br w:val="nil"/>
                    <w:tr2bl w:val="nil"/>
                  </w:tcBorders>
                  <w:noWrap w:val="0"/>
                  <w:vAlign w:val="center"/>
                </w:tcPr>
                <w:p w14:paraId="23F57A9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605" w:type="pct"/>
                  <w:vMerge w:val="continue"/>
                  <w:tcBorders>
                    <w:tl2br w:val="nil"/>
                    <w:tr2bl w:val="nil"/>
                  </w:tcBorders>
                  <w:noWrap w:val="0"/>
                  <w:vAlign w:val="center"/>
                </w:tcPr>
                <w:p w14:paraId="3D486649">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499" w:type="pct"/>
                  <w:vMerge w:val="continue"/>
                  <w:tcBorders>
                    <w:tl2br w:val="nil"/>
                    <w:tr2bl w:val="nil"/>
                  </w:tcBorders>
                  <w:noWrap w:val="0"/>
                  <w:vAlign w:val="center"/>
                </w:tcPr>
                <w:p w14:paraId="174AA54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p>
              </w:tc>
              <w:tc>
                <w:tcPr>
                  <w:tcW w:w="3345" w:type="pct"/>
                  <w:gridSpan w:val="6"/>
                  <w:tcBorders>
                    <w:tl2br w:val="nil"/>
                    <w:tr2bl w:val="nil"/>
                  </w:tcBorders>
                  <w:noWrap w:val="0"/>
                  <w:vAlign w:val="center"/>
                </w:tcPr>
                <w:p w14:paraId="6A91B75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14:textFill>
                        <w14:solidFill>
                          <w14:schemeClr w14:val="tx1"/>
                        </w14:solidFill>
                      </w14:textFill>
                    </w:rPr>
                  </w:pPr>
                  <w:r>
                    <w:rPr>
                      <w:rFonts w:hint="default" w:ascii="Times New Roman" w:hAnsi="Times New Roman" w:cs="Times New Roman"/>
                      <w:b/>
                      <w:bCs/>
                      <w:color w:val="000000" w:themeColor="text1"/>
                      <w:sz w:val="21"/>
                      <w:szCs w:val="21"/>
                      <w:highlight w:val="none"/>
                      <w:shd w:val="clear" w:color="auto" w:fill="FFFFFF"/>
                      <w:vertAlign w:val="baseline"/>
                      <w14:textFill>
                        <w14:solidFill>
                          <w14:schemeClr w14:val="tx1"/>
                        </w14:solidFill>
                      </w14:textFill>
                    </w:rPr>
                    <w:t>≤</w:t>
                  </w:r>
                </w:p>
              </w:tc>
            </w:tr>
            <w:tr w14:paraId="474FCAE3">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jc w:val="center"/>
              </w:trPr>
              <w:tc>
                <w:tcPr>
                  <w:tcW w:w="549" w:type="pct"/>
                  <w:tcBorders>
                    <w:tl2br w:val="nil"/>
                    <w:tr2bl w:val="nil"/>
                  </w:tcBorders>
                  <w:noWrap w:val="0"/>
                  <w:vAlign w:val="center"/>
                </w:tcPr>
                <w:p w14:paraId="35C13177">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高碳锰铁</w:t>
                  </w:r>
                </w:p>
              </w:tc>
              <w:tc>
                <w:tcPr>
                  <w:tcW w:w="605" w:type="pct"/>
                  <w:tcBorders>
                    <w:tl2br w:val="nil"/>
                    <w:tr2bl w:val="nil"/>
                  </w:tcBorders>
                  <w:noWrap w:val="0"/>
                  <w:vAlign w:val="center"/>
                </w:tcPr>
                <w:p w14:paraId="63AAE1E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FeMn63</w:t>
                  </w:r>
                </w:p>
              </w:tc>
              <w:tc>
                <w:tcPr>
                  <w:tcW w:w="499" w:type="pct"/>
                  <w:tcBorders>
                    <w:tl2br w:val="nil"/>
                    <w:tr2bl w:val="nil"/>
                  </w:tcBorders>
                  <w:noWrap w:val="0"/>
                  <w:vAlign w:val="center"/>
                </w:tcPr>
                <w:p w14:paraId="147AB8D7">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60.0~65.0</w:t>
                  </w:r>
                </w:p>
              </w:tc>
              <w:tc>
                <w:tcPr>
                  <w:tcW w:w="554" w:type="pct"/>
                  <w:tcBorders>
                    <w:tl2br w:val="nil"/>
                    <w:tr2bl w:val="nil"/>
                  </w:tcBorders>
                  <w:noWrap w:val="0"/>
                  <w:vAlign w:val="center"/>
                </w:tcPr>
                <w:p w14:paraId="5CD91C9E">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7.0</w:t>
                  </w:r>
                </w:p>
              </w:tc>
              <w:tc>
                <w:tcPr>
                  <w:tcW w:w="554" w:type="pct"/>
                  <w:tcBorders>
                    <w:tl2br w:val="nil"/>
                    <w:tr2bl w:val="nil"/>
                  </w:tcBorders>
                  <w:noWrap w:val="0"/>
                  <w:vAlign w:val="center"/>
                </w:tcPr>
                <w:p w14:paraId="74C4016C">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1.0</w:t>
                  </w:r>
                </w:p>
              </w:tc>
              <w:tc>
                <w:tcPr>
                  <w:tcW w:w="554" w:type="pct"/>
                  <w:tcBorders>
                    <w:tl2br w:val="nil"/>
                    <w:tr2bl w:val="nil"/>
                  </w:tcBorders>
                  <w:noWrap w:val="0"/>
                  <w:vAlign w:val="center"/>
                </w:tcPr>
                <w:p w14:paraId="4AD4F26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2.0</w:t>
                  </w:r>
                </w:p>
              </w:tc>
              <w:tc>
                <w:tcPr>
                  <w:tcW w:w="555" w:type="pct"/>
                  <w:tcBorders>
                    <w:tl2br w:val="nil"/>
                    <w:tr2bl w:val="nil"/>
                  </w:tcBorders>
                  <w:noWrap w:val="0"/>
                  <w:vAlign w:val="center"/>
                </w:tcPr>
                <w:p w14:paraId="24FFFAFB">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0.20</w:t>
                  </w:r>
                </w:p>
              </w:tc>
              <w:tc>
                <w:tcPr>
                  <w:tcW w:w="555" w:type="pct"/>
                  <w:tcBorders>
                    <w:tl2br w:val="nil"/>
                    <w:tr2bl w:val="nil"/>
                  </w:tcBorders>
                  <w:noWrap w:val="0"/>
                  <w:vAlign w:val="center"/>
                </w:tcPr>
                <w:p w14:paraId="35D84831">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0.30</w:t>
                  </w:r>
                </w:p>
              </w:tc>
              <w:tc>
                <w:tcPr>
                  <w:tcW w:w="571" w:type="pct"/>
                  <w:tcBorders>
                    <w:tl2br w:val="nil"/>
                    <w:tr2bl w:val="nil"/>
                  </w:tcBorders>
                  <w:noWrap w:val="0"/>
                  <w:vAlign w:val="center"/>
                </w:tcPr>
                <w:p w14:paraId="376703E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0.03</w:t>
                  </w:r>
                </w:p>
              </w:tc>
            </w:tr>
          </w:tbl>
          <w:p w14:paraId="5DEE2E3C">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本项目使用的红煤粉须满足</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湿性铸造用煤粉</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J</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 xml:space="preserve">B/T </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9222-2008</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技术指标</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9</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3AC2544C">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9</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煤粉的技术指标</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30"/>
              <w:gridCol w:w="5684"/>
            </w:tblGrid>
            <w:tr w14:paraId="52234C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65C3727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牌号</w:t>
                  </w:r>
                </w:p>
              </w:tc>
              <w:tc>
                <w:tcPr>
                  <w:tcW w:w="3590" w:type="pct"/>
                  <w:tcBorders>
                    <w:tl2br w:val="nil"/>
                    <w:tr2bl w:val="nil"/>
                  </w:tcBorders>
                  <w:noWrap w:val="0"/>
                  <w:vAlign w:val="center"/>
                </w:tcPr>
                <w:p w14:paraId="174FEB8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SMF-Ⅰ</w:t>
                  </w:r>
                </w:p>
              </w:tc>
            </w:tr>
            <w:tr w14:paraId="3AC344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4303F99C">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光亮炭（%）</w:t>
                  </w:r>
                </w:p>
              </w:tc>
              <w:tc>
                <w:tcPr>
                  <w:tcW w:w="3590" w:type="pct"/>
                  <w:tcBorders>
                    <w:tl2br w:val="nil"/>
                    <w:tr2bl w:val="nil"/>
                  </w:tcBorders>
                  <w:noWrap w:val="0"/>
                  <w:vAlign w:val="center"/>
                </w:tcPr>
                <w:p w14:paraId="74E92706">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≥12</w:t>
                  </w:r>
                </w:p>
              </w:tc>
            </w:tr>
            <w:tr w14:paraId="770074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333274D6">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挥发分（%）</w:t>
                  </w:r>
                </w:p>
              </w:tc>
              <w:tc>
                <w:tcPr>
                  <w:tcW w:w="3590" w:type="pct"/>
                  <w:tcBorders>
                    <w:tl2br w:val="nil"/>
                    <w:tr2bl w:val="nil"/>
                  </w:tcBorders>
                  <w:noWrap w:val="0"/>
                  <w:vAlign w:val="center"/>
                </w:tcPr>
                <w:p w14:paraId="0B0B7868">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≥30</w:t>
                  </w:r>
                </w:p>
              </w:tc>
            </w:tr>
            <w:tr w14:paraId="76CAC12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350EA380">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硫含量（%）</w:t>
                  </w:r>
                </w:p>
              </w:tc>
              <w:tc>
                <w:tcPr>
                  <w:tcW w:w="3590" w:type="pct"/>
                  <w:tcBorders>
                    <w:tl2br w:val="nil"/>
                    <w:tr2bl w:val="nil"/>
                  </w:tcBorders>
                  <w:noWrap w:val="0"/>
                  <w:vAlign w:val="center"/>
                </w:tcPr>
                <w:p w14:paraId="6CD4575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≤0.6</w:t>
                  </w:r>
                </w:p>
              </w:tc>
            </w:tr>
            <w:tr w14:paraId="701E5DA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71B5D685">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焦渣特性（%）</w:t>
                  </w:r>
                </w:p>
              </w:tc>
              <w:tc>
                <w:tcPr>
                  <w:tcW w:w="3590" w:type="pct"/>
                  <w:tcBorders>
                    <w:tl2br w:val="nil"/>
                    <w:tr2bl w:val="nil"/>
                  </w:tcBorders>
                  <w:noWrap w:val="0"/>
                  <w:vAlign w:val="center"/>
                </w:tcPr>
                <w:p w14:paraId="0AA6477B">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4级~6级</w:t>
                  </w:r>
                </w:p>
              </w:tc>
            </w:tr>
            <w:tr w14:paraId="335F75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7F649143">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灰分（%）</w:t>
                  </w:r>
                </w:p>
              </w:tc>
              <w:tc>
                <w:tcPr>
                  <w:tcW w:w="3590" w:type="pct"/>
                  <w:tcBorders>
                    <w:tl2br w:val="nil"/>
                    <w:tr2bl w:val="nil"/>
                  </w:tcBorders>
                  <w:noWrap w:val="0"/>
                  <w:vAlign w:val="center"/>
                </w:tcPr>
                <w:p w14:paraId="096CF29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≤7</w:t>
                  </w:r>
                </w:p>
              </w:tc>
            </w:tr>
            <w:tr w14:paraId="3A2EA7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3E1DE73E">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水分（%）</w:t>
                  </w:r>
                </w:p>
              </w:tc>
              <w:tc>
                <w:tcPr>
                  <w:tcW w:w="3590" w:type="pct"/>
                  <w:tcBorders>
                    <w:tl2br w:val="nil"/>
                    <w:tr2bl w:val="nil"/>
                  </w:tcBorders>
                  <w:noWrap w:val="0"/>
                  <w:vAlign w:val="center"/>
                </w:tcPr>
                <w:p w14:paraId="45E6D83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≤4</w:t>
                  </w:r>
                </w:p>
              </w:tc>
            </w:tr>
            <w:tr w14:paraId="387EF8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09" w:type="pct"/>
                  <w:tcBorders>
                    <w:tl2br w:val="nil"/>
                    <w:tr2bl w:val="nil"/>
                  </w:tcBorders>
                  <w:noWrap w:val="0"/>
                  <w:vAlign w:val="center"/>
                </w:tcPr>
                <w:p w14:paraId="642A51D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粒度</w:t>
                  </w:r>
                </w:p>
              </w:tc>
              <w:tc>
                <w:tcPr>
                  <w:tcW w:w="3590" w:type="pct"/>
                  <w:tcBorders>
                    <w:tl2br w:val="nil"/>
                    <w:tr2bl w:val="nil"/>
                  </w:tcBorders>
                  <w:noWrap w:val="0"/>
                  <w:vAlign w:val="center"/>
                </w:tcPr>
                <w:p w14:paraId="035B03D3">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100%通过0.150mm筛孔，95%以上通过0.106的筛孔</w:t>
                  </w:r>
                </w:p>
              </w:tc>
            </w:tr>
          </w:tbl>
          <w:p w14:paraId="37436572">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本项目使用的自硬呋喃树脂须满足</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铸造用自硬呋喃树脂</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J</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 xml:space="preserve">B/T </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7526-2008</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低氮含量要求</w:t>
            </w:r>
            <w:r>
              <w:rPr>
                <w:rFonts w:hint="default" w:ascii="Times New Roman" w:hAnsi="Times New Roman" w:cs="Times New Roman"/>
                <w:color w:val="000000" w:themeColor="text1"/>
                <w:sz w:val="24"/>
                <w:szCs w:val="24"/>
                <w:highlight w:val="none"/>
                <w:shd w:val="clear" w:color="auto" w:fill="FFFFFF"/>
                <w:lang w:eastAsia="zh-CN"/>
                <w14:textFill>
                  <w14:solidFill>
                    <w14:schemeClr w14:val="tx1"/>
                  </w14:solidFill>
                </w14:textFill>
              </w:rPr>
              <w:t>，</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其</w:t>
            </w:r>
            <w:r>
              <w:rPr>
                <w:rFonts w:hint="default" w:ascii="Times New Roman" w:hAnsi="Times New Roman" w:cs="Times New Roman"/>
                <w:color w:val="000000" w:themeColor="text1"/>
                <w:sz w:val="24"/>
                <w:szCs w:val="24"/>
                <w:highlight w:val="none"/>
                <w:shd w:val="clear" w:color="auto" w:fill="FFFFFF"/>
                <w:lang w:val="en-US" w:eastAsia="zh-CN"/>
                <w14:textFill>
                  <w14:solidFill>
                    <w14:schemeClr w14:val="tx1"/>
                  </w14:solidFill>
                </w14:textFill>
              </w:rPr>
              <w:t>技术指标</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见表2-</w:t>
            </w:r>
            <w:r>
              <w:rPr>
                <w:rFonts w:hint="eastAsia" w:cs="Times New Roman"/>
                <w:color w:val="000000" w:themeColor="text1"/>
                <w:sz w:val="24"/>
                <w:szCs w:val="24"/>
                <w:highlight w:val="none"/>
                <w:shd w:val="clear" w:color="auto" w:fill="FFFFFF"/>
                <w:lang w:val="en-US" w:eastAsia="zh-CN"/>
                <w14:textFill>
                  <w14:solidFill>
                    <w14:schemeClr w14:val="tx1"/>
                  </w14:solidFill>
                </w14:textFill>
              </w:rPr>
              <w:t>10</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7CB17E3D">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10</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自硬呋喃树脂</w:t>
            </w:r>
            <w:r>
              <w:rPr>
                <w:rFonts w:hint="default" w:ascii="Times New Roman" w:hAnsi="Times New Roman" w:cs="Times New Roman"/>
                <w:b/>
                <w:bCs/>
                <w:color w:val="000000" w:themeColor="text1"/>
                <w:highlight w:val="none"/>
                <w:shd w:val="clear" w:color="auto" w:fill="FFFFFF"/>
                <w:lang w:val="en-US" w:eastAsia="zh-CN"/>
                <w14:textFill>
                  <w14:solidFill>
                    <w14:schemeClr w14:val="tx1"/>
                  </w14:solidFill>
                </w14:textFill>
              </w:rPr>
              <w:t>的技术指标</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418"/>
              <w:gridCol w:w="4496"/>
            </w:tblGrid>
            <w:tr w14:paraId="45F75F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2159" w:type="pct"/>
                  <w:tcBorders>
                    <w:tl2br w:val="nil"/>
                    <w:tr2bl w:val="nil"/>
                  </w:tcBorders>
                  <w:noWrap w:val="0"/>
                  <w:vAlign w:val="center"/>
                </w:tcPr>
                <w:p w14:paraId="0FCD9160">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分类</w:t>
                  </w:r>
                </w:p>
              </w:tc>
              <w:tc>
                <w:tcPr>
                  <w:tcW w:w="2840" w:type="pct"/>
                  <w:tcBorders>
                    <w:tl2br w:val="nil"/>
                    <w:tr2bl w:val="nil"/>
                  </w:tcBorders>
                  <w:noWrap w:val="0"/>
                  <w:vAlign w:val="center"/>
                </w:tcPr>
                <w:p w14:paraId="658E1E02">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shd w:val="clear" w:color="auto" w:fill="FFFFFF"/>
                      <w:lang w:val="en-US" w:eastAsia="zh-CN"/>
                      <w14:textFill>
                        <w14:solidFill>
                          <w14:schemeClr w14:val="tx1"/>
                        </w14:solidFill>
                      </w14:textFill>
                    </w:rPr>
                    <w:t>指标要求</w:t>
                  </w:r>
                </w:p>
              </w:tc>
            </w:tr>
            <w:tr w14:paraId="692738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1E63A639">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氮含量（%）</w:t>
                  </w:r>
                </w:p>
              </w:tc>
              <w:tc>
                <w:tcPr>
                  <w:tcW w:w="2840" w:type="pct"/>
                  <w:tcBorders>
                    <w:tl2br w:val="nil"/>
                    <w:tr2bl w:val="nil"/>
                  </w:tcBorders>
                  <w:noWrap w:val="0"/>
                  <w:vAlign w:val="center"/>
                </w:tcPr>
                <w:p w14:paraId="30584DA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&gt;0.5~2.0</w:t>
                  </w:r>
                </w:p>
              </w:tc>
            </w:tr>
            <w:tr w14:paraId="25CC4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19CBB67A">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试样常温抗拉强度（MPa）</w:t>
                  </w:r>
                </w:p>
              </w:tc>
              <w:tc>
                <w:tcPr>
                  <w:tcW w:w="2840" w:type="pct"/>
                  <w:tcBorders>
                    <w:tl2br w:val="nil"/>
                    <w:tr2bl w:val="nil"/>
                  </w:tcBorders>
                  <w:noWrap w:val="0"/>
                  <w:vAlign w:val="center"/>
                </w:tcPr>
                <w:p w14:paraId="13DED3A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≥1.3</w:t>
                  </w:r>
                </w:p>
              </w:tc>
            </w:tr>
            <w:tr w14:paraId="6E7DAE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4E87624A">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游离甲醛（%）</w:t>
                  </w:r>
                </w:p>
              </w:tc>
              <w:tc>
                <w:tcPr>
                  <w:tcW w:w="2840" w:type="pct"/>
                  <w:tcBorders>
                    <w:tl2br w:val="nil"/>
                    <w:tr2bl w:val="nil"/>
                  </w:tcBorders>
                  <w:noWrap w:val="0"/>
                  <w:vAlign w:val="center"/>
                </w:tcPr>
                <w:p w14:paraId="270574FD">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w:t>
                  </w:r>
                  <w:r>
                    <w:rPr>
                      <w:rFonts w:hint="eastAsia" w:cs="Times New Roman"/>
                      <w:color w:val="000000" w:themeColor="text1"/>
                      <w:sz w:val="21"/>
                      <w:szCs w:val="21"/>
                      <w:highlight w:val="none"/>
                      <w:shd w:val="clear" w:color="auto" w:fill="FFFFFF"/>
                      <w:lang w:val="en-US" w:eastAsia="zh-CN"/>
                      <w14:textFill>
                        <w14:solidFill>
                          <w14:schemeClr w14:val="tx1"/>
                        </w14:solidFill>
                      </w14:textFill>
                    </w:rPr>
                    <w:t>1</w:t>
                  </w:r>
                </w:p>
              </w:tc>
            </w:tr>
            <w:tr w14:paraId="47E3B5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157A4C50">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粘度（mPa·s，20℃）</w:t>
                  </w:r>
                </w:p>
              </w:tc>
              <w:tc>
                <w:tcPr>
                  <w:tcW w:w="2840" w:type="pct"/>
                  <w:tcBorders>
                    <w:tl2br w:val="nil"/>
                    <w:tr2bl w:val="nil"/>
                  </w:tcBorders>
                  <w:noWrap w:val="0"/>
                  <w:vAlign w:val="center"/>
                </w:tcPr>
                <w:p w14:paraId="2A6C6541">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≤60</w:t>
                  </w:r>
                </w:p>
              </w:tc>
            </w:tr>
            <w:tr w14:paraId="56398D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5F63B1DB">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密度（g/cm</w:t>
                  </w:r>
                  <w:r>
                    <w:rPr>
                      <w:rFonts w:hint="default" w:ascii="Times New Roman" w:hAnsi="Times New Roman" w:eastAsia="宋体" w:cs="Times New Roman"/>
                      <w:color w:val="000000" w:themeColor="text1"/>
                      <w:sz w:val="21"/>
                      <w:szCs w:val="21"/>
                      <w:highlight w:val="none"/>
                      <w:shd w:val="clear" w:color="auto" w:fill="FFFFFF"/>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，20℃）</w:t>
                  </w:r>
                </w:p>
              </w:tc>
              <w:tc>
                <w:tcPr>
                  <w:tcW w:w="2840" w:type="pct"/>
                  <w:tcBorders>
                    <w:tl2br w:val="nil"/>
                    <w:tr2bl w:val="nil"/>
                  </w:tcBorders>
                  <w:noWrap w:val="0"/>
                  <w:vAlign w:val="center"/>
                </w:tcPr>
                <w:p w14:paraId="3C50DA3F">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1.10~1.25</w:t>
                  </w:r>
                </w:p>
              </w:tc>
            </w:tr>
            <w:tr w14:paraId="0AF4D8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159" w:type="pct"/>
                  <w:tcBorders>
                    <w:tl2br w:val="nil"/>
                    <w:tr2bl w:val="nil"/>
                  </w:tcBorders>
                  <w:noWrap w:val="0"/>
                  <w:vAlign w:val="center"/>
                </w:tcPr>
                <w:p w14:paraId="42B2E6DD">
                  <w:pPr>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游离酚（%）</w:t>
                  </w:r>
                </w:p>
              </w:tc>
              <w:tc>
                <w:tcPr>
                  <w:tcW w:w="2840" w:type="pct"/>
                  <w:tcBorders>
                    <w:tl2br w:val="nil"/>
                    <w:tr2bl w:val="nil"/>
                  </w:tcBorders>
                  <w:noWrap w:val="0"/>
                  <w:vAlign w:val="center"/>
                </w:tcPr>
                <w:p w14:paraId="3EDADE05">
                  <w:pPr>
                    <w:pStyle w:val="103"/>
                    <w:keepNext w:val="0"/>
                    <w:keepLines w:val="0"/>
                    <w:pageBreakBefore w:val="0"/>
                    <w:widowControl w:val="0"/>
                    <w:shd w:val="clear" w:color="auto" w:fill="auto"/>
                    <w:kinsoku/>
                    <w:wordWrap/>
                    <w:overflowPunct/>
                    <w:topLinePunct w:val="0"/>
                    <w:autoSpaceDE/>
                    <w:autoSpaceDN/>
                    <w:bidi w:val="0"/>
                    <w:adjustRightInd/>
                    <w:snapToGrid/>
                    <w:spacing w:before="0" w:before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shd w:val="clear" w:color="auto" w:fill="FFFFFF"/>
                      <w:lang w:val="en-US" w:eastAsia="zh-CN"/>
                      <w14:textFill>
                        <w14:solidFill>
                          <w14:schemeClr w14:val="tx1"/>
                        </w14:solidFill>
                      </w14:textFill>
                    </w:rPr>
                    <w:t>≤0.3</w:t>
                  </w:r>
                </w:p>
              </w:tc>
            </w:tr>
          </w:tbl>
          <w:p w14:paraId="141B7CE1">
            <w:pPr>
              <w:shd w:val="clear" w:color="auto" w:fill="auto"/>
              <w:ind w:firstLine="480"/>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根据杭州岳昕材料科技有限公司提供的化学品安全技术说明书树脂用磺酸固化剂（附件5）可知，磺酸固化剂成分含量如下</w:t>
            </w:r>
            <w:r>
              <w:rPr>
                <w:rFonts w:hint="default" w:ascii="Times New Roman" w:hAnsi="Times New Roman" w:cs="Times New Roman"/>
                <w:color w:val="000000" w:themeColor="text1"/>
                <w:sz w:val="24"/>
                <w:szCs w:val="24"/>
                <w:highlight w:val="none"/>
                <w:shd w:val="clear" w:color="auto" w:fill="FFFFFF"/>
                <w14:textFill>
                  <w14:solidFill>
                    <w14:schemeClr w14:val="tx1"/>
                  </w14:solidFill>
                </w14:textFill>
              </w:rPr>
              <w:t>。</w:t>
            </w:r>
          </w:p>
          <w:p w14:paraId="2672D221">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pPr>
            <w:r>
              <w:rPr>
                <w:rFonts w:hint="default" w:ascii="Times New Roman" w:hAnsi="Times New Roman" w:cs="Times New Roman"/>
                <w:b/>
                <w:bCs/>
                <w:color w:val="000000" w:themeColor="text1"/>
                <w:highlight w:val="none"/>
                <w:shd w:val="clear" w:color="auto" w:fill="FFFFFF"/>
                <w14:textFill>
                  <w14:solidFill>
                    <w14:schemeClr w14:val="tx1"/>
                  </w14:solidFill>
                </w14:textFill>
              </w:rPr>
              <w:t>表2-</w:t>
            </w:r>
            <w:r>
              <w:rPr>
                <w:rFonts w:hint="eastAsia" w:cs="Times New Roman"/>
                <w:b/>
                <w:bCs/>
                <w:color w:val="000000" w:themeColor="text1"/>
                <w:highlight w:val="none"/>
                <w:shd w:val="clear" w:color="auto" w:fill="FFFFFF"/>
                <w:lang w:val="en-US" w:eastAsia="zh-CN"/>
                <w14:textFill>
                  <w14:solidFill>
                    <w14:schemeClr w14:val="tx1"/>
                  </w14:solidFill>
                </w14:textFill>
              </w:rPr>
              <w:t>11</w:t>
            </w:r>
            <w:r>
              <w:rPr>
                <w:rFonts w:hint="default" w:ascii="Times New Roman" w:hAnsi="Times New Roman" w:cs="Times New Roman"/>
                <w:b/>
                <w:bCs/>
                <w:color w:val="000000" w:themeColor="text1"/>
                <w:highlight w:val="none"/>
                <w:shd w:val="clear" w:color="auto" w:fill="FFFFFF"/>
                <w14:textFill>
                  <w14:solidFill>
                    <w14:schemeClr w14:val="tx1"/>
                  </w14:solidFill>
                </w14:textFill>
              </w:rPr>
              <w:t xml:space="preserve"> </w:t>
            </w:r>
            <w:r>
              <w:rPr>
                <w:rFonts w:hint="eastAsia" w:cs="Times New Roman"/>
                <w:b/>
                <w:bCs/>
                <w:color w:val="000000" w:themeColor="text1"/>
                <w:highlight w:val="none"/>
                <w:shd w:val="clear" w:color="auto" w:fill="FFFFFF"/>
                <w:lang w:val="en-US" w:eastAsia="zh-CN"/>
                <w14:textFill>
                  <w14:solidFill>
                    <w14:schemeClr w14:val="tx1"/>
                  </w14:solidFill>
                </w14:textFill>
              </w:rPr>
              <w:t>树脂用磺酸固化剂</w:t>
            </w:r>
          </w:p>
          <w:tbl>
            <w:tblPr>
              <w:tblStyle w:val="32"/>
              <w:tblW w:w="4996" w:type="pct"/>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1748"/>
              <w:gridCol w:w="3241"/>
              <w:gridCol w:w="2922"/>
            </w:tblGrid>
            <w:tr w14:paraId="0752A4B6">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tcBorders>
                    <w:tl2br w:val="nil"/>
                    <w:tr2bl w:val="nil"/>
                  </w:tcBorders>
                  <w:noWrap w:val="0"/>
                  <w:vAlign w:val="center"/>
                </w:tcPr>
                <w:p w14:paraId="0EB633B5">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2048" w:type="pct"/>
                  <w:tcBorders>
                    <w:tl2br w:val="nil"/>
                    <w:tr2bl w:val="nil"/>
                  </w:tcBorders>
                  <w:noWrap w:val="0"/>
                  <w:vAlign w:val="center"/>
                </w:tcPr>
                <w:p w14:paraId="569410C0">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成分</w:t>
                  </w:r>
                </w:p>
              </w:tc>
              <w:tc>
                <w:tcPr>
                  <w:tcW w:w="1846" w:type="pct"/>
                  <w:tcBorders>
                    <w:tl2br w:val="nil"/>
                    <w:tr2bl w:val="nil"/>
                  </w:tcBorders>
                  <w:noWrap w:val="0"/>
                  <w:vAlign w:val="center"/>
                </w:tcPr>
                <w:p w14:paraId="25DE90B9">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组分比例（%）</w:t>
                  </w:r>
                </w:p>
              </w:tc>
            </w:tr>
            <w:tr w14:paraId="0A13A4ED">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restart"/>
                  <w:tcBorders>
                    <w:tl2br w:val="nil"/>
                    <w:tr2bl w:val="nil"/>
                  </w:tcBorders>
                  <w:noWrap w:val="0"/>
                  <w:vAlign w:val="center"/>
                </w:tcPr>
                <w:p w14:paraId="4E5754A9">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磺酸固化剂</w:t>
                  </w:r>
                </w:p>
              </w:tc>
              <w:tc>
                <w:tcPr>
                  <w:tcW w:w="2048" w:type="pct"/>
                  <w:tcBorders>
                    <w:tl2br w:val="nil"/>
                    <w:tr2bl w:val="nil"/>
                  </w:tcBorders>
                  <w:noWrap w:val="0"/>
                  <w:vAlign w:val="center"/>
                </w:tcPr>
                <w:p w14:paraId="646602F8">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eastAsia="宋体" w:cs="Times New Roman"/>
                      <w:color w:val="000000" w:themeColor="text1"/>
                      <w:sz w:val="21"/>
                      <w:szCs w:val="21"/>
                      <w:highlight w:val="none"/>
                      <w:lang w:val="en-US" w:eastAsia="zh-CN"/>
                      <w14:textFill>
                        <w14:solidFill>
                          <w14:schemeClr w14:val="tx1"/>
                        </w14:solidFill>
                      </w14:textFill>
                    </w:rPr>
                    <w:t>对甲苯磺酸</w:t>
                  </w:r>
                </w:p>
              </w:tc>
              <w:tc>
                <w:tcPr>
                  <w:tcW w:w="1846" w:type="pct"/>
                  <w:tcBorders>
                    <w:tl2br w:val="nil"/>
                    <w:tr2bl w:val="nil"/>
                  </w:tcBorders>
                  <w:noWrap w:val="0"/>
                  <w:vAlign w:val="center"/>
                </w:tcPr>
                <w:p w14:paraId="1436E46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15~35</w:t>
                  </w:r>
                </w:p>
              </w:tc>
            </w:tr>
            <w:tr w14:paraId="21BE091D">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61F2F322">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2048" w:type="pct"/>
                  <w:tcBorders>
                    <w:tl2br w:val="nil"/>
                    <w:tr2bl w:val="nil"/>
                  </w:tcBorders>
                  <w:noWrap w:val="0"/>
                  <w:vAlign w:val="center"/>
                </w:tcPr>
                <w:p w14:paraId="66F31B00">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eastAsia="宋体" w:cs="Times New Roman"/>
                      <w:color w:val="000000" w:themeColor="text1"/>
                      <w:sz w:val="21"/>
                      <w:szCs w:val="21"/>
                      <w:highlight w:val="none"/>
                      <w:lang w:val="en-US" w:eastAsia="zh-CN"/>
                      <w14:textFill>
                        <w14:solidFill>
                          <w14:schemeClr w14:val="tx1"/>
                        </w14:solidFill>
                      </w14:textFill>
                    </w:rPr>
                    <w:t>水</w:t>
                  </w:r>
                </w:p>
              </w:tc>
              <w:tc>
                <w:tcPr>
                  <w:tcW w:w="1846" w:type="pct"/>
                  <w:tcBorders>
                    <w:tl2br w:val="nil"/>
                    <w:tr2bl w:val="nil"/>
                  </w:tcBorders>
                  <w:noWrap w:val="0"/>
                  <w:vAlign w:val="center"/>
                </w:tcPr>
                <w:p w14:paraId="76986BD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65~85</w:t>
                  </w:r>
                </w:p>
              </w:tc>
            </w:tr>
          </w:tbl>
          <w:p w14:paraId="2E9425DC">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本项目</w:t>
            </w:r>
            <w:r>
              <w:rPr>
                <w:rFonts w:hint="eastAsia" w:cs="Times New Roman"/>
                <w:b w:val="0"/>
                <w:bCs w:val="0"/>
                <w:color w:val="000000" w:themeColor="text1"/>
                <w:sz w:val="24"/>
                <w:szCs w:val="24"/>
                <w:highlight w:val="none"/>
                <w:lang w:val="en-US" w:eastAsia="zh-CN"/>
                <w14:textFill>
                  <w14:solidFill>
                    <w14:schemeClr w14:val="tx1"/>
                  </w14:solidFill>
                </w14:textFill>
              </w:rPr>
              <w:t>外购已调好的水性丙烯酸聚氨酯面漆（双组份灰色）</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来自上海沪丽化工有限公司（成分见附件五），项目漆料主要成分见下表。</w:t>
            </w:r>
          </w:p>
          <w:p w14:paraId="15C1A0C4">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pPr>
            <w:r>
              <w:rPr>
                <w:rFonts w:hint="default" w:ascii="Times New Roman" w:hAnsi="Times New Roman" w:eastAsia="宋体" w:cs="Times New Roman"/>
                <w:b/>
                <w:bCs/>
                <w:color w:val="000000" w:themeColor="text1"/>
                <w:highlight w:val="none"/>
                <w:shd w:val="clear" w:color="auto" w:fill="FFFFFF"/>
                <w:lang w:eastAsia="zh-CN"/>
                <w14:textFill>
                  <w14:solidFill>
                    <w14:schemeClr w14:val="tx1"/>
                  </w14:solidFill>
                </w14:textFill>
              </w:rPr>
              <w:t>表</w:t>
            </w:r>
            <w: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t>2-</w:t>
            </w:r>
            <w:r>
              <w:rPr>
                <w:rFonts w:hint="eastAsia" w:cs="Times New Roman"/>
                <w:b/>
                <w:bCs/>
                <w:color w:val="000000" w:themeColor="text1"/>
                <w:highlight w:val="none"/>
                <w:shd w:val="clear" w:color="auto" w:fill="FFFFFF"/>
                <w:lang w:val="en-US" w:eastAsia="zh-CN"/>
                <w14:textFill>
                  <w14:solidFill>
                    <w14:schemeClr w14:val="tx1"/>
                  </w14:solidFill>
                </w14:textFill>
              </w:rPr>
              <w:t>12</w:t>
            </w:r>
            <w:r>
              <w:rPr>
                <w:rFonts w:hint="default"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t xml:space="preserve">  项目漆料主要组分情况一览表</w:t>
            </w:r>
          </w:p>
          <w:tbl>
            <w:tblPr>
              <w:tblStyle w:val="32"/>
              <w:tblW w:w="4996" w:type="pct"/>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1748"/>
              <w:gridCol w:w="988"/>
              <w:gridCol w:w="2650"/>
              <w:gridCol w:w="2525"/>
            </w:tblGrid>
            <w:tr w14:paraId="3D9CE0E9">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tcBorders>
                    <w:tl2br w:val="nil"/>
                    <w:tr2bl w:val="nil"/>
                  </w:tcBorders>
                  <w:noWrap w:val="0"/>
                  <w:vAlign w:val="center"/>
                </w:tcPr>
                <w:p w14:paraId="5183C4FC">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2299" w:type="pct"/>
                  <w:gridSpan w:val="2"/>
                  <w:tcBorders>
                    <w:tl2br w:val="nil"/>
                    <w:tr2bl w:val="nil"/>
                  </w:tcBorders>
                  <w:noWrap w:val="0"/>
                  <w:vAlign w:val="center"/>
                </w:tcPr>
                <w:p w14:paraId="1942B9D6">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成分</w:t>
                  </w:r>
                </w:p>
              </w:tc>
              <w:tc>
                <w:tcPr>
                  <w:tcW w:w="1595" w:type="pct"/>
                  <w:tcBorders>
                    <w:tl2br w:val="nil"/>
                    <w:tr2bl w:val="nil"/>
                  </w:tcBorders>
                  <w:noWrap w:val="0"/>
                  <w:vAlign w:val="center"/>
                </w:tcPr>
                <w:p w14:paraId="56D3CA99">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组分比例（%）</w:t>
                  </w:r>
                </w:p>
              </w:tc>
            </w:tr>
            <w:tr w14:paraId="5A26BF38">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restart"/>
                  <w:tcBorders>
                    <w:tl2br w:val="nil"/>
                    <w:tr2bl w:val="nil"/>
                  </w:tcBorders>
                  <w:noWrap w:val="0"/>
                  <w:vAlign w:val="center"/>
                </w:tcPr>
                <w:p w14:paraId="0B74A164">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水性丙烯酸聚氨酯面漆（双组份灰色）</w:t>
                  </w:r>
                </w:p>
              </w:tc>
              <w:tc>
                <w:tcPr>
                  <w:tcW w:w="624" w:type="pct"/>
                  <w:vMerge w:val="restart"/>
                  <w:tcBorders>
                    <w:tl2br w:val="nil"/>
                    <w:tr2bl w:val="nil"/>
                  </w:tcBorders>
                  <w:noWrap w:val="0"/>
                  <w:vAlign w:val="center"/>
                </w:tcPr>
                <w:p w14:paraId="3EC97E39">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组分一</w:t>
                  </w:r>
                </w:p>
              </w:tc>
              <w:tc>
                <w:tcPr>
                  <w:tcW w:w="1674" w:type="pct"/>
                  <w:tcBorders>
                    <w:tl2br w:val="nil"/>
                    <w:tr2bl w:val="nil"/>
                  </w:tcBorders>
                  <w:shd w:val="clear" w:color="auto" w:fill="auto"/>
                  <w:noWrap w:val="0"/>
                  <w:vAlign w:val="center"/>
                </w:tcPr>
                <w:p w14:paraId="4901E185">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w:t>
                  </w:r>
                </w:p>
              </w:tc>
              <w:tc>
                <w:tcPr>
                  <w:tcW w:w="1595" w:type="pct"/>
                  <w:tcBorders>
                    <w:tl2br w:val="nil"/>
                    <w:tr2bl w:val="nil"/>
                  </w:tcBorders>
                  <w:noWrap w:val="0"/>
                  <w:vAlign w:val="center"/>
                </w:tcPr>
                <w:p w14:paraId="5616C40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15~25</w:t>
                  </w:r>
                </w:p>
              </w:tc>
            </w:tr>
            <w:tr w14:paraId="5290D99A">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56F34976">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565DD60E">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5397BFF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二氧化钛</w:t>
                  </w:r>
                </w:p>
              </w:tc>
              <w:tc>
                <w:tcPr>
                  <w:tcW w:w="1595" w:type="pct"/>
                  <w:tcBorders>
                    <w:tl2br w:val="nil"/>
                    <w:tr2bl w:val="nil"/>
                  </w:tcBorders>
                  <w:noWrap w:val="0"/>
                  <w:vAlign w:val="center"/>
                </w:tcPr>
                <w:p w14:paraId="12C52F7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20~25</w:t>
                  </w:r>
                </w:p>
              </w:tc>
            </w:tr>
            <w:tr w14:paraId="287E12DF">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7D61AC08">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75B9B320">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6D5A3093">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颜填料</w:t>
                  </w:r>
                </w:p>
              </w:tc>
              <w:tc>
                <w:tcPr>
                  <w:tcW w:w="1595" w:type="pct"/>
                  <w:tcBorders>
                    <w:tl2br w:val="nil"/>
                    <w:tr2bl w:val="nil"/>
                  </w:tcBorders>
                  <w:noWrap w:val="0"/>
                  <w:vAlign w:val="center"/>
                </w:tcPr>
                <w:p w14:paraId="0BA8601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10~15</w:t>
                  </w:r>
                </w:p>
              </w:tc>
            </w:tr>
            <w:tr w14:paraId="0B48283F">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0E85FEC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40DD5FD3">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03D2C74A">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水性聚丙烯酸酯</w:t>
                  </w:r>
                </w:p>
              </w:tc>
              <w:tc>
                <w:tcPr>
                  <w:tcW w:w="1595" w:type="pct"/>
                  <w:tcBorders>
                    <w:tl2br w:val="nil"/>
                    <w:tr2bl w:val="nil"/>
                  </w:tcBorders>
                  <w:noWrap w:val="0"/>
                  <w:vAlign w:val="center"/>
                </w:tcPr>
                <w:p w14:paraId="0673A5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20~30</w:t>
                  </w:r>
                </w:p>
              </w:tc>
            </w:tr>
            <w:tr w14:paraId="26644EED">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159A27B2">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6586379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244FB32C">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乙二醇丁醚</w:t>
                  </w:r>
                </w:p>
              </w:tc>
              <w:tc>
                <w:tcPr>
                  <w:tcW w:w="1595" w:type="pct"/>
                  <w:tcBorders>
                    <w:tl2br w:val="nil"/>
                    <w:tr2bl w:val="nil"/>
                  </w:tcBorders>
                  <w:noWrap w:val="0"/>
                  <w:vAlign w:val="center"/>
                </w:tcPr>
                <w:p w14:paraId="1E3444F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5~6</w:t>
                  </w:r>
                </w:p>
              </w:tc>
            </w:tr>
            <w:tr w14:paraId="27F812F9">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5F2B84E2">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4A716DDA">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6865FE26">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S100号溶剂油</w:t>
                  </w:r>
                </w:p>
              </w:tc>
              <w:tc>
                <w:tcPr>
                  <w:tcW w:w="1595" w:type="pct"/>
                  <w:tcBorders>
                    <w:tl2br w:val="nil"/>
                    <w:tr2bl w:val="nil"/>
                  </w:tcBorders>
                  <w:noWrap w:val="0"/>
                  <w:vAlign w:val="center"/>
                </w:tcPr>
                <w:p w14:paraId="7326310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49F9BF74">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54AB6DC1">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restart"/>
                  <w:tcBorders>
                    <w:tl2br w:val="nil"/>
                    <w:tr2bl w:val="nil"/>
                  </w:tcBorders>
                  <w:noWrap w:val="0"/>
                  <w:vAlign w:val="center"/>
                </w:tcPr>
                <w:p w14:paraId="5FDC3C83">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组分二</w:t>
                  </w:r>
                </w:p>
              </w:tc>
              <w:tc>
                <w:tcPr>
                  <w:tcW w:w="1674" w:type="pct"/>
                  <w:tcBorders>
                    <w:tl2br w:val="nil"/>
                    <w:tr2bl w:val="nil"/>
                  </w:tcBorders>
                  <w:shd w:val="clear" w:color="auto" w:fill="auto"/>
                  <w:noWrap w:val="0"/>
                  <w:vAlign w:val="center"/>
                </w:tcPr>
                <w:p w14:paraId="2A8C2C0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亲水的二异氰酸酯聚合物</w:t>
                  </w:r>
                </w:p>
              </w:tc>
              <w:tc>
                <w:tcPr>
                  <w:tcW w:w="1595" w:type="pct"/>
                  <w:tcBorders>
                    <w:tl2br w:val="nil"/>
                    <w:tr2bl w:val="nil"/>
                  </w:tcBorders>
                  <w:noWrap w:val="0"/>
                  <w:vAlign w:val="center"/>
                </w:tcPr>
                <w:p w14:paraId="6BF2284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7.69</w:t>
                  </w:r>
                </w:p>
              </w:tc>
            </w:tr>
            <w:tr w14:paraId="5812C0D8">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1104" w:type="pct"/>
                  <w:vMerge w:val="continue"/>
                  <w:tcBorders>
                    <w:tl2br w:val="nil"/>
                    <w:tr2bl w:val="nil"/>
                  </w:tcBorders>
                  <w:noWrap w:val="0"/>
                  <w:vAlign w:val="center"/>
                </w:tcPr>
                <w:p w14:paraId="664D19AC">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24" w:type="pct"/>
                  <w:vMerge w:val="continue"/>
                  <w:tcBorders>
                    <w:tl2br w:val="nil"/>
                    <w:tr2bl w:val="nil"/>
                  </w:tcBorders>
                  <w:noWrap w:val="0"/>
                  <w:vAlign w:val="center"/>
                </w:tcPr>
                <w:p w14:paraId="218C0C5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cs="Times New Roman"/>
                      <w:color w:val="000000" w:themeColor="text1"/>
                      <w:sz w:val="21"/>
                      <w:szCs w:val="21"/>
                      <w:highlight w:val="none"/>
                      <w:lang w:val="en-US" w:eastAsia="zh-CN"/>
                      <w14:textFill>
                        <w14:solidFill>
                          <w14:schemeClr w14:val="tx1"/>
                        </w14:solidFill>
                      </w14:textFill>
                    </w:rPr>
                  </w:pPr>
                </w:p>
              </w:tc>
              <w:tc>
                <w:tcPr>
                  <w:tcW w:w="1674" w:type="pct"/>
                  <w:tcBorders>
                    <w:tl2br w:val="nil"/>
                    <w:tr2bl w:val="nil"/>
                  </w:tcBorders>
                  <w:shd w:val="clear" w:color="auto" w:fill="auto"/>
                  <w:noWrap w:val="0"/>
                  <w:vAlign w:val="center"/>
                </w:tcPr>
                <w:p w14:paraId="1AA415A7">
                  <w:pPr>
                    <w:keepNext w:val="0"/>
                    <w:keepLines w:val="0"/>
                    <w:pageBreakBefore w:val="0"/>
                    <w:widowControl w:val="0"/>
                    <w:kinsoku/>
                    <w:wordWrap/>
                    <w:overflowPunct/>
                    <w:topLinePunct w:val="0"/>
                    <w:autoSpaceDE/>
                    <w:autoSpaceDN/>
                    <w:bidi w:val="0"/>
                    <w:adjustRightInd w:val="0"/>
                    <w:snapToGrid/>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游离二异氰酸酯单体</w:t>
                  </w:r>
                </w:p>
              </w:tc>
              <w:tc>
                <w:tcPr>
                  <w:tcW w:w="1595" w:type="pct"/>
                  <w:tcBorders>
                    <w:tl2br w:val="nil"/>
                    <w:tr2bl w:val="nil"/>
                  </w:tcBorders>
                  <w:noWrap w:val="0"/>
                  <w:vAlign w:val="center"/>
                </w:tcPr>
                <w:p w14:paraId="27BB7E7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0.01</w:t>
                  </w:r>
                </w:p>
              </w:tc>
            </w:tr>
          </w:tbl>
          <w:p w14:paraId="5A498EF7">
            <w:pPr>
              <w:pStyle w:val="130"/>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default" w:ascii="Times New Roman" w:hAnsi="Times New Roman" w:eastAsia="宋体" w:cs="Times New Roman"/>
                <w:b w:val="0"/>
                <w:bCs w:val="0"/>
                <w:color w:val="000000" w:themeColor="text1"/>
                <w:kern w:val="2"/>
                <w:sz w:val="24"/>
                <w:szCs w:val="24"/>
                <w:highlight w:val="none"/>
                <w:lang w:val="en-US" w:eastAsia="zh-CN" w:bidi="ar-SA"/>
                <w14:textFill>
                  <w14:solidFill>
                    <w14:schemeClr w14:val="tx1"/>
                  </w14:solidFill>
                </w14:textFill>
              </w:rPr>
            </w:pPr>
            <w:r>
              <w:rPr>
                <w:rFonts w:hint="eastAsia" w:cs="Times New Roman"/>
                <w:b w:val="0"/>
                <w:bCs w:val="0"/>
                <w:color w:val="000000" w:themeColor="text1"/>
                <w:kern w:val="2"/>
                <w:sz w:val="24"/>
                <w:szCs w:val="24"/>
                <w:highlight w:val="none"/>
                <w:lang w:val="en-US" w:eastAsia="zh-CN" w:bidi="ar-SA"/>
                <w14:textFill>
                  <w14:solidFill>
                    <w14:schemeClr w14:val="tx1"/>
                  </w14:solidFill>
                </w14:textFill>
              </w:rPr>
              <w:t>注：本次评价固体分按照最不利占比进行评价，固体组分主要为二氧化钛、颜填料、聚丙烯酸酯、二异氰酸酯聚合物。</w:t>
            </w:r>
          </w:p>
          <w:p w14:paraId="2A91C803">
            <w:pPr>
              <w:pStyle w:val="130"/>
              <w:ind w:firstLine="482"/>
              <w:rPr>
                <w:rFonts w:hint="default" w:ascii="Times New Roman" w:hAnsi="Times New Roman" w:eastAsia="宋体" w:cs="Times New Roman"/>
                <w:b w:val="0"/>
                <w:bCs w:val="0"/>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4"/>
                <w:szCs w:val="24"/>
                <w:highlight w:val="none"/>
                <w:lang w:val="en-US" w:eastAsia="zh-CN" w:bidi="ar-SA"/>
                <w14:textFill>
                  <w14:solidFill>
                    <w14:schemeClr w14:val="tx1"/>
                  </w14:solidFill>
                </w14:textFill>
              </w:rPr>
              <w:t>根据</w:t>
            </w:r>
            <w:r>
              <w:rPr>
                <w:rFonts w:hint="eastAsia" w:cs="Times New Roman"/>
                <w:b w:val="0"/>
                <w:bCs w:val="0"/>
                <w:color w:val="000000" w:themeColor="text1"/>
                <w:kern w:val="2"/>
                <w:sz w:val="24"/>
                <w:szCs w:val="24"/>
                <w:highlight w:val="none"/>
                <w:lang w:val="en-US" w:eastAsia="zh-CN" w:bidi="ar-SA"/>
                <w14:textFill>
                  <w14:solidFill>
                    <w14:schemeClr w14:val="tx1"/>
                  </w14:solidFill>
                </w14:textFill>
              </w:rPr>
              <w:t>上海复达检测技术集团有限公司出具的测试报告（</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附件五</w:t>
            </w:r>
            <w:r>
              <w:rPr>
                <w:rFonts w:hint="eastAsia" w:cs="Times New Roman"/>
                <w:b w:val="0"/>
                <w:bCs w:val="0"/>
                <w:color w:val="000000" w:themeColor="text1"/>
                <w:kern w:val="2"/>
                <w:sz w:val="24"/>
                <w:szCs w:val="24"/>
                <w:highlight w:val="none"/>
                <w:lang w:val="en-US" w:eastAsia="zh-CN" w:bidi="ar-SA"/>
                <w14:textFill>
                  <w14:solidFill>
                    <w14:schemeClr w14:val="tx1"/>
                  </w14:solidFill>
                </w14:textFill>
              </w:rPr>
              <w:t>），</w:t>
            </w:r>
            <w:r>
              <w:rPr>
                <w:rFonts w:hint="eastAsia" w:cs="Times New Roman"/>
                <w:b w:val="0"/>
                <w:bCs w:val="0"/>
                <w:color w:val="000000" w:themeColor="text1"/>
                <w:sz w:val="24"/>
                <w:szCs w:val="24"/>
                <w:highlight w:val="none"/>
                <w:lang w:val="en-US" w:eastAsia="zh-CN"/>
                <w14:textFill>
                  <w14:solidFill>
                    <w14:schemeClr w14:val="tx1"/>
                  </w14:solidFill>
                </w14:textFill>
              </w:rPr>
              <w:t>水性丙烯酸聚氨酯面漆（双组份灰色）VOC含量测定结果为16g/L。</w:t>
            </w:r>
          </w:p>
          <w:p w14:paraId="03F999C3">
            <w:pPr>
              <w:pStyle w:val="150"/>
              <w:shd w:val="clear" w:color="auto" w:fill="auto"/>
              <w:snapToGrid w:val="0"/>
              <w:spacing w:line="240" w:lineRule="auto"/>
              <w:ind w:left="0" w:leftChars="0" w:right="0" w:firstLine="0" w:firstLineChars="0"/>
              <w:jc w:val="center"/>
              <w:textAlignment w:val="auto"/>
              <w:rPr>
                <w:rFonts w:hint="default" w:ascii="Times New Roman" w:hAnsi="Times New Roman" w:eastAsia="宋体" w:cs="Times New Roman"/>
                <w:b/>
                <w:bCs/>
                <w:color w:val="000000" w:themeColor="text1"/>
                <w:kern w:val="2"/>
                <w:szCs w:val="24"/>
                <w:highlight w:val="none"/>
                <w:lang w:val="en-US" w:eastAsia="zh-CN"/>
                <w14:textFill>
                  <w14:solidFill>
                    <w14:schemeClr w14:val="tx1"/>
                  </w14:solidFill>
                </w14:textFill>
              </w:rPr>
            </w:pPr>
            <w:r>
              <w:rPr>
                <w:rFonts w:hint="eastAsia" w:cs="Times New Roman"/>
                <w:b/>
                <w:bCs/>
                <w:color w:val="000000" w:themeColor="text1"/>
                <w:kern w:val="2"/>
                <w:szCs w:val="24"/>
                <w:highlight w:val="none"/>
                <w:lang w:val="en-US" w:eastAsia="zh-CN"/>
                <w14:textFill>
                  <w14:solidFill>
                    <w14:schemeClr w14:val="tx1"/>
                  </w14:solidFill>
                </w14:textFill>
              </w:rPr>
              <w:t>表2-13 水性丙烯酸聚氨酯面漆（双组份灰色）测试结果表</w:t>
            </w:r>
          </w:p>
          <w:tbl>
            <w:tblPr>
              <w:tblStyle w:val="33"/>
              <w:tblW w:w="7917"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0"/>
              <w:gridCol w:w="1184"/>
              <w:gridCol w:w="1133"/>
              <w:gridCol w:w="1067"/>
              <w:gridCol w:w="766"/>
              <w:gridCol w:w="1250"/>
              <w:gridCol w:w="1867"/>
            </w:tblGrid>
            <w:tr w14:paraId="6BC88E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14:paraId="72178A98">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序号</w:t>
                  </w:r>
                </w:p>
              </w:tc>
              <w:tc>
                <w:tcPr>
                  <w:tcW w:w="1184" w:type="dxa"/>
                  <w:tcBorders>
                    <w:tl2br w:val="nil"/>
                    <w:tr2bl w:val="nil"/>
                  </w:tcBorders>
                  <w:vAlign w:val="center"/>
                </w:tcPr>
                <w:p w14:paraId="4EABBD5C">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测试项目</w:t>
                  </w:r>
                </w:p>
              </w:tc>
              <w:tc>
                <w:tcPr>
                  <w:tcW w:w="1133" w:type="dxa"/>
                  <w:tcBorders>
                    <w:tl2br w:val="nil"/>
                    <w:tr2bl w:val="nil"/>
                  </w:tcBorders>
                  <w:vAlign w:val="center"/>
                </w:tcPr>
                <w:p w14:paraId="4A41EB58">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技术要求</w:t>
                  </w:r>
                </w:p>
              </w:tc>
              <w:tc>
                <w:tcPr>
                  <w:tcW w:w="1067" w:type="dxa"/>
                  <w:tcBorders>
                    <w:tl2br w:val="nil"/>
                    <w:tr2bl w:val="nil"/>
                  </w:tcBorders>
                  <w:vAlign w:val="center"/>
                </w:tcPr>
                <w:p w14:paraId="20CAA133">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测试结果</w:t>
                  </w:r>
                </w:p>
              </w:tc>
              <w:tc>
                <w:tcPr>
                  <w:tcW w:w="766" w:type="dxa"/>
                  <w:tcBorders>
                    <w:tl2br w:val="nil"/>
                    <w:tr2bl w:val="nil"/>
                  </w:tcBorders>
                  <w:vAlign w:val="center"/>
                </w:tcPr>
                <w:p w14:paraId="198E9801">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单位</w:t>
                  </w:r>
                </w:p>
              </w:tc>
              <w:tc>
                <w:tcPr>
                  <w:tcW w:w="1250" w:type="dxa"/>
                  <w:tcBorders>
                    <w:tl2br w:val="nil"/>
                    <w:tr2bl w:val="nil"/>
                  </w:tcBorders>
                  <w:vAlign w:val="center"/>
                </w:tcPr>
                <w:p w14:paraId="645F816A">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检出限</w:t>
                  </w:r>
                </w:p>
              </w:tc>
              <w:tc>
                <w:tcPr>
                  <w:tcW w:w="1867" w:type="dxa"/>
                  <w:tcBorders>
                    <w:tl2br w:val="nil"/>
                    <w:tr2bl w:val="nil"/>
                  </w:tcBorders>
                  <w:vAlign w:val="center"/>
                </w:tcPr>
                <w:p w14:paraId="05C05FAF">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测试方法/仪器</w:t>
                  </w:r>
                </w:p>
              </w:tc>
            </w:tr>
            <w:tr w14:paraId="5AF58A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50" w:type="dxa"/>
                  <w:tcBorders>
                    <w:tl2br w:val="nil"/>
                    <w:tr2bl w:val="nil"/>
                  </w:tcBorders>
                  <w:vAlign w:val="center"/>
                </w:tcPr>
                <w:p w14:paraId="7ACC43D2">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c>
                <w:tcPr>
                  <w:tcW w:w="1184" w:type="dxa"/>
                  <w:tcBorders>
                    <w:tl2br w:val="nil"/>
                    <w:tr2bl w:val="nil"/>
                  </w:tcBorders>
                  <w:vAlign w:val="center"/>
                </w:tcPr>
                <w:p w14:paraId="02AF4E47">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VOC含量</w:t>
                  </w:r>
                </w:p>
              </w:tc>
              <w:tc>
                <w:tcPr>
                  <w:tcW w:w="1133" w:type="dxa"/>
                  <w:tcBorders>
                    <w:tl2br w:val="nil"/>
                    <w:tr2bl w:val="nil"/>
                  </w:tcBorders>
                  <w:vAlign w:val="center"/>
                </w:tcPr>
                <w:p w14:paraId="4BB4924A">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val="en-US"/>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250</w:t>
                  </w:r>
                </w:p>
              </w:tc>
              <w:tc>
                <w:tcPr>
                  <w:tcW w:w="1067" w:type="dxa"/>
                  <w:tcBorders>
                    <w:tl2br w:val="nil"/>
                    <w:tr2bl w:val="nil"/>
                  </w:tcBorders>
                  <w:vAlign w:val="center"/>
                </w:tcPr>
                <w:p w14:paraId="6F044D86">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16</w:t>
                  </w:r>
                </w:p>
              </w:tc>
              <w:tc>
                <w:tcPr>
                  <w:tcW w:w="766" w:type="dxa"/>
                  <w:tcBorders>
                    <w:tl2br w:val="nil"/>
                    <w:tr2bl w:val="nil"/>
                  </w:tcBorders>
                  <w:vAlign w:val="center"/>
                </w:tcPr>
                <w:p w14:paraId="3AE1BA48">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g/L</w:t>
                  </w:r>
                </w:p>
              </w:tc>
              <w:tc>
                <w:tcPr>
                  <w:tcW w:w="1250" w:type="dxa"/>
                  <w:tcBorders>
                    <w:tl2br w:val="nil"/>
                    <w:tr2bl w:val="nil"/>
                  </w:tcBorders>
                  <w:vAlign w:val="center"/>
                </w:tcPr>
                <w:p w14:paraId="0E5CD126">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w:t>
                  </w:r>
                </w:p>
              </w:tc>
              <w:tc>
                <w:tcPr>
                  <w:tcW w:w="1867" w:type="dxa"/>
                  <w:tcBorders>
                    <w:tl2br w:val="nil"/>
                    <w:tr2bl w:val="nil"/>
                  </w:tcBorders>
                  <w:vAlign w:val="center"/>
                </w:tcPr>
                <w:p w14:paraId="138A8781">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GB/T38597-2020</w:t>
                  </w:r>
                </w:p>
              </w:tc>
            </w:tr>
          </w:tbl>
          <w:p w14:paraId="229E70A1">
            <w:pPr>
              <w:pStyle w:val="150"/>
              <w:shd w:val="clear" w:color="auto" w:fill="auto"/>
              <w:snapToGrid w:val="0"/>
              <w:spacing w:line="240" w:lineRule="auto"/>
              <w:ind w:left="0" w:leftChars="0" w:right="0" w:firstLine="0" w:firstLineChars="0"/>
              <w:jc w:val="center"/>
              <w:textAlignment w:val="auto"/>
              <w:rPr>
                <w:rFonts w:hint="default" w:ascii="Times New Roman" w:hAnsi="Times New Roman" w:cs="Times New Roman"/>
                <w:b/>
                <w:bCs/>
                <w:color w:val="000000" w:themeColor="text1"/>
                <w:kern w:val="2"/>
                <w:szCs w:val="24"/>
                <w:highlight w:val="none"/>
                <w14:textFill>
                  <w14:solidFill>
                    <w14:schemeClr w14:val="tx1"/>
                  </w14:solidFill>
                </w14:textFill>
              </w:rPr>
            </w:pPr>
            <w:r>
              <w:rPr>
                <w:rFonts w:hint="default" w:ascii="Times New Roman" w:hAnsi="Times New Roman" w:cs="Times New Roman"/>
                <w:b/>
                <w:bCs/>
                <w:color w:val="000000" w:themeColor="text1"/>
                <w:kern w:val="2"/>
                <w:szCs w:val="24"/>
                <w:highlight w:val="none"/>
                <w14:textFill>
                  <w14:solidFill>
                    <w14:schemeClr w14:val="tx1"/>
                  </w14:solidFill>
                </w14:textFill>
              </w:rPr>
              <w:t>表2-</w:t>
            </w:r>
            <w:r>
              <w:rPr>
                <w:rFonts w:hint="default" w:ascii="Times New Roman" w:hAnsi="Times New Roman" w:cs="Times New Roman"/>
                <w:b/>
                <w:bCs/>
                <w:color w:val="000000" w:themeColor="text1"/>
                <w:kern w:val="2"/>
                <w:szCs w:val="24"/>
                <w:highlight w:val="none"/>
                <w:lang w:val="en-US" w:eastAsia="zh-CN"/>
                <w14:textFill>
                  <w14:solidFill>
                    <w14:schemeClr w14:val="tx1"/>
                  </w14:solidFill>
                </w14:textFill>
              </w:rPr>
              <w:t>1</w:t>
            </w:r>
            <w:r>
              <w:rPr>
                <w:rFonts w:hint="eastAsia" w:cs="Times New Roman"/>
                <w:b/>
                <w:bCs/>
                <w:color w:val="000000" w:themeColor="text1"/>
                <w:kern w:val="2"/>
                <w:szCs w:val="24"/>
                <w:highlight w:val="none"/>
                <w:lang w:val="en-US" w:eastAsia="zh-CN"/>
                <w14:textFill>
                  <w14:solidFill>
                    <w14:schemeClr w14:val="tx1"/>
                  </w14:solidFill>
                </w14:textFill>
              </w:rPr>
              <w:t>4</w:t>
            </w:r>
            <w:r>
              <w:rPr>
                <w:rFonts w:hint="default" w:ascii="Times New Roman" w:hAnsi="Times New Roman" w:cs="Times New Roman"/>
                <w:b/>
                <w:bCs/>
                <w:color w:val="000000" w:themeColor="text1"/>
                <w:kern w:val="2"/>
                <w:szCs w:val="24"/>
                <w:highlight w:val="none"/>
                <w14:textFill>
                  <w14:solidFill>
                    <w14:schemeClr w14:val="tx1"/>
                  </w14:solidFill>
                </w14:textFill>
              </w:rPr>
              <w:t xml:space="preserve"> 主要原辅材料理化特性</w:t>
            </w:r>
          </w:p>
          <w:tbl>
            <w:tblPr>
              <w:tblStyle w:val="32"/>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31"/>
              <w:gridCol w:w="1197"/>
              <w:gridCol w:w="4829"/>
              <w:gridCol w:w="1154"/>
            </w:tblGrid>
            <w:tr w14:paraId="07067C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259AC758">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序号</w:t>
                  </w:r>
                </w:p>
              </w:tc>
              <w:tc>
                <w:tcPr>
                  <w:tcW w:w="756" w:type="pct"/>
                  <w:noWrap w:val="0"/>
                  <w:vAlign w:val="center"/>
                </w:tcPr>
                <w:p w14:paraId="1A0B3C81">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名称</w:t>
                  </w:r>
                </w:p>
              </w:tc>
              <w:tc>
                <w:tcPr>
                  <w:tcW w:w="3052" w:type="pct"/>
                  <w:noWrap w:val="0"/>
                  <w:vAlign w:val="center"/>
                </w:tcPr>
                <w:p w14:paraId="3DEB466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理化特性</w:t>
                  </w:r>
                </w:p>
              </w:tc>
              <w:tc>
                <w:tcPr>
                  <w:tcW w:w="729" w:type="pct"/>
                  <w:noWrap w:val="0"/>
                  <w:vAlign w:val="center"/>
                </w:tcPr>
                <w:p w14:paraId="530F2F4E">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燃烧爆炸性</w:t>
                  </w:r>
                </w:p>
              </w:tc>
            </w:tr>
            <w:tr w14:paraId="29067A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22527362">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w:t>
                  </w:r>
                </w:p>
              </w:tc>
              <w:tc>
                <w:tcPr>
                  <w:tcW w:w="756" w:type="pct"/>
                  <w:noWrap w:val="0"/>
                  <w:vAlign w:val="center"/>
                </w:tcPr>
                <w:p w14:paraId="3849CDFA">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天然硅</w:t>
                  </w:r>
                  <w:r>
                    <w:rPr>
                      <w:rFonts w:hint="default" w:ascii="Times New Roman" w:hAnsi="Times New Roman" w:eastAsia="宋体" w:cs="Times New Roman"/>
                      <w:bCs/>
                      <w:color w:val="000000" w:themeColor="text1"/>
                      <w:sz w:val="21"/>
                      <w:szCs w:val="21"/>
                      <w:highlight w:val="none"/>
                      <w14:textFill>
                        <w14:solidFill>
                          <w14:schemeClr w14:val="tx1"/>
                        </w14:solidFill>
                      </w14:textFill>
                    </w:rPr>
                    <w:t>砂</w:t>
                  </w:r>
                </w:p>
              </w:tc>
              <w:tc>
                <w:tcPr>
                  <w:tcW w:w="3052" w:type="pct"/>
                  <w:noWrap w:val="0"/>
                  <w:vAlign w:val="center"/>
                </w:tcPr>
                <w:p w14:paraId="563D2CD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硅砂是一种坚硬、耐磨、化学性能稳定的硅酸盐矿物，其主要矿物成分是SiO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硅砂的颜色为乳白色或无色半透明状，硬度7，性脆无解理，贝壳状断口，油脂光泽，相对密度为2.65，其化学、热学和机械性能具有明显的异向性，不溶于酸，微溶于KOH溶液，熔点1750℃。颜色呈乳白色、淡黄、褐色及灰色，硅砂有较高的耐火性能。</w:t>
                  </w:r>
                </w:p>
              </w:tc>
              <w:tc>
                <w:tcPr>
                  <w:tcW w:w="729" w:type="pct"/>
                  <w:noWrap w:val="0"/>
                  <w:vAlign w:val="center"/>
                </w:tcPr>
                <w:p w14:paraId="56737F66">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r>
            <w:tr w14:paraId="19AF3B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30770B41">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c>
                <w:tcPr>
                  <w:tcW w:w="756" w:type="pct"/>
                  <w:noWrap w:val="0"/>
                  <w:vAlign w:val="center"/>
                </w:tcPr>
                <w:p w14:paraId="77371D75">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除渣剂</w:t>
                  </w:r>
                </w:p>
              </w:tc>
              <w:tc>
                <w:tcPr>
                  <w:tcW w:w="3052" w:type="pct"/>
                  <w:noWrap w:val="0"/>
                  <w:vAlign w:val="center"/>
                </w:tcPr>
                <w:p w14:paraId="404DD7C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主要原材料为火山灰矿物质，主成份为硅酸盐，经过先进工艺加工配比而成，主要应用于铸造过程中铁水、钢水熔液的除渣、保温。SiO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65～80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水分≤0.5</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A</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l</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10～18</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CaO2.0～5.0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Fe</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1.5～2.5</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K</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O1.5～4.0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MgO1.0～2.0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Na</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O2.0～4.0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TiO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0.01～0.03</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溶于高浓度热碱</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中性</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堆积密度800～1200Kg/</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m</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失重3.0±2</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软化点1100℃～1300℃</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熔融点1200℃～1550℃</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比重1.0～2.5g/ml</w:t>
                  </w:r>
                </w:p>
              </w:tc>
              <w:tc>
                <w:tcPr>
                  <w:tcW w:w="729" w:type="pct"/>
                  <w:noWrap w:val="0"/>
                  <w:vAlign w:val="center"/>
                </w:tcPr>
                <w:p w14:paraId="3036213F">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r>
            <w:tr w14:paraId="429A15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334D28C3">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c>
                <w:tcPr>
                  <w:tcW w:w="756" w:type="pct"/>
                  <w:noWrap w:val="0"/>
                  <w:vAlign w:val="center"/>
                </w:tcPr>
                <w:p w14:paraId="6AB0D622">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膨润土</w:t>
                  </w:r>
                </w:p>
              </w:tc>
              <w:tc>
                <w:tcPr>
                  <w:tcW w:w="3052" w:type="pct"/>
                  <w:noWrap w:val="0"/>
                  <w:vAlign w:val="center"/>
                </w:tcPr>
                <w:p w14:paraId="2ADC3E2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膨润土是以蒙脱石为主要矿物成分的非金属矿产，蒙脱石结构是由两个硅氧四面体夹一层铝氧八面体组成的2:1型晶体结构，由于蒙脱石晶胞形成的层状结构存在某些阳离子，如Cu、Mg、Na、K等，且这些阳离子与蒙脱石晶胞的作用很不稳定，易被其它阳离子交换，故具有较好的离子交换性。主体化学成分是二氧化硅(Si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)、氧化铝（Al</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）、氧化钾（K</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O）</w:t>
                  </w:r>
                </w:p>
              </w:tc>
              <w:tc>
                <w:tcPr>
                  <w:tcW w:w="729" w:type="pct"/>
                  <w:noWrap w:val="0"/>
                  <w:vAlign w:val="center"/>
                </w:tcPr>
                <w:p w14:paraId="689DDAAA">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r>
            <w:tr w14:paraId="611C5A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4A560E9E">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4</w:t>
                  </w:r>
                </w:p>
              </w:tc>
              <w:tc>
                <w:tcPr>
                  <w:tcW w:w="756" w:type="pct"/>
                  <w:noWrap w:val="0"/>
                  <w:vAlign w:val="center"/>
                </w:tcPr>
                <w:p w14:paraId="6A910BAC">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石墨粉</w:t>
                  </w:r>
                </w:p>
              </w:tc>
              <w:tc>
                <w:tcPr>
                  <w:tcW w:w="3052" w:type="pct"/>
                  <w:noWrap w:val="0"/>
                  <w:vAlign w:val="center"/>
                </w:tcPr>
                <w:p w14:paraId="10685363">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石墨粉是一种矿物粉末，主要成分为碳单质，质软，黑灰色；有油腻感，可污染纸张。硬度为1～2，沿垂直方向随杂质的增加其硬度可增至3～5。比重为1.9～2.3。在隔绝氧气条件下，其熔点在3000℃以上，是最耐温的矿物之一。常温下石墨粉的化学性质比较稳定，不溶于水、稀酸、稀碱和有机溶剂；材料具有耐高温导电性能，可做耐火材料，导电材料，耐磨润滑材料。</w:t>
                  </w:r>
                </w:p>
              </w:tc>
              <w:tc>
                <w:tcPr>
                  <w:tcW w:w="729" w:type="pct"/>
                  <w:noWrap w:val="0"/>
                  <w:vAlign w:val="center"/>
                </w:tcPr>
                <w:p w14:paraId="16541922">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r>
            <w:tr w14:paraId="26549C6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1BAA5FAE">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5</w:t>
                  </w:r>
                </w:p>
              </w:tc>
              <w:tc>
                <w:tcPr>
                  <w:tcW w:w="756" w:type="pct"/>
                  <w:noWrap w:val="0"/>
                  <w:vAlign w:val="center"/>
                </w:tcPr>
                <w:p w14:paraId="7BB7F260">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自硬呋喃</w:t>
                  </w:r>
                  <w:r>
                    <w:rPr>
                      <w:rFonts w:hint="default" w:ascii="Times New Roman" w:hAnsi="Times New Roman" w:eastAsia="宋体" w:cs="Times New Roman"/>
                      <w:bCs/>
                      <w:color w:val="000000" w:themeColor="text1"/>
                      <w:sz w:val="21"/>
                      <w:szCs w:val="21"/>
                      <w:highlight w:val="none"/>
                      <w14:textFill>
                        <w14:solidFill>
                          <w14:schemeClr w14:val="tx1"/>
                        </w14:solidFill>
                      </w14:textFill>
                    </w:rPr>
                    <w:t>树脂</w:t>
                  </w:r>
                </w:p>
              </w:tc>
              <w:tc>
                <w:tcPr>
                  <w:tcW w:w="3052" w:type="pct"/>
                  <w:noWrap w:val="0"/>
                  <w:vAlign w:val="center"/>
                </w:tcPr>
                <w:p w14:paraId="55CE5CA9">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呋喃树脂属热固性树脂，受热时能彼此交联固化而无需添加固化剂。酸在固化反应中起催化作用，还可降低热固化时所需的温度。根据施工工艺的特殊需要，可引入催化型固化剂，无需加热就能在室温下迅速交联固化。固化交联时要放出低分子物质，故固化时体积收缩率较大，其延伸率很低，呈现脆性。由于固化产物分子链节上基本是次甲基(—CH</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color w:val="000000" w:themeColor="text1"/>
                      <w:sz w:val="21"/>
                      <w:szCs w:val="21"/>
                      <w:highlight w:val="none"/>
                      <w14:textFill>
                        <w14:solidFill>
                          <w14:schemeClr w14:val="tx1"/>
                        </w14:solidFill>
                      </w14:textFill>
                    </w:rPr>
                    <w:t>一)和饱和的C一C键，不存在活泼官能团，所以呋喃树脂不参加腐蚀介质的化学反应。固化后的呋喃树脂具有突出的耐碱性能、耐溶剂性能和耐酸碱交替介质性能，对无机酸有良好的耐蚀性能。呋喃树脂还具有良好的耐热性能，一般可在120℃~140℃下长期使用，在某些情况下可在180℃~190℃下使用。但由于呋喃环上含有双键，而且杂环在某些条件下有开环倾向。所以，呋喃树脂抗氧化性不好，在氧化性的硝酸和浓硫酸中会遭到破坏。</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外观为淡黄色至棕色透明半透明液体，沸点为170℃，密度1.2kg/m</w:t>
                  </w:r>
                  <w:r>
                    <w:rPr>
                      <w:rFonts w:hint="default" w:ascii="Times New Roman" w:hAnsi="Times New Roman" w:cs="Times New Roman"/>
                      <w:color w:val="000000" w:themeColor="text1"/>
                      <w:sz w:val="21"/>
                      <w:szCs w:val="21"/>
                      <w:highlight w:val="none"/>
                      <w:vertAlign w:val="superscript"/>
                      <w:lang w:val="en-US" w:eastAsia="zh-CN"/>
                      <w14:textFill>
                        <w14:solidFill>
                          <w14:schemeClr w14:val="tx1"/>
                        </w14:solidFill>
                      </w14:textFill>
                    </w:rPr>
                    <w:t>3</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，本项目呋喃树脂主要成分为呋喃树脂55~85%、尿醛树脂0~30%。</w:t>
                  </w:r>
                </w:p>
              </w:tc>
              <w:tc>
                <w:tcPr>
                  <w:tcW w:w="729" w:type="pct"/>
                  <w:noWrap w:val="0"/>
                  <w:vAlign w:val="center"/>
                </w:tcPr>
                <w:p w14:paraId="047B5FE6">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可燃，</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与强酸、强氧化剂及活性物质能发生强烈反应</w:t>
                  </w:r>
                </w:p>
              </w:tc>
            </w:tr>
            <w:tr w14:paraId="131C33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78002BAB">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6</w:t>
                  </w:r>
                </w:p>
              </w:tc>
              <w:tc>
                <w:tcPr>
                  <w:tcW w:w="756" w:type="pct"/>
                  <w:noWrap w:val="0"/>
                  <w:vAlign w:val="center"/>
                </w:tcPr>
                <w:p w14:paraId="394468F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尿醛树脂</w:t>
                  </w:r>
                </w:p>
              </w:tc>
              <w:tc>
                <w:tcPr>
                  <w:tcW w:w="3052" w:type="pct"/>
                  <w:noWrap w:val="0"/>
                  <w:vAlign w:val="center"/>
                </w:tcPr>
                <w:p w14:paraId="57F9835B">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别称</w:t>
                  </w:r>
                  <w:r>
                    <w:rPr>
                      <w:rFonts w:hint="default" w:ascii="Times New Roman" w:hAnsi="Times New Roman" w:cs="Times New Roman"/>
                      <w:color w:val="000000" w:themeColor="text1"/>
                      <w:sz w:val="21"/>
                      <w:szCs w:val="21"/>
                      <w:highlight w:val="none"/>
                      <w14:textFill>
                        <w14:solidFill>
                          <w14:schemeClr w14:val="tx1"/>
                        </w14:solidFill>
                      </w14:textFill>
                    </w:rPr>
                    <w:t>尿素甲醛树脂</w:t>
                  </w:r>
                  <w:r>
                    <w:rPr>
                      <w:rFonts w:hint="default" w:ascii="Times New Roman" w:hAnsi="Times New Roman" w:cs="Times New Roman"/>
                      <w:color w:val="000000" w:themeColor="text1"/>
                      <w:sz w:val="21"/>
                      <w:szCs w:val="21"/>
                      <w:highlight w:val="none"/>
                      <w:lang w:eastAsia="zh-CN"/>
                      <w14:textFill>
                        <w14:solidFill>
                          <w14:schemeClr w14:val="tx1"/>
                        </w14:solidFill>
                      </w14:textFill>
                    </w:rPr>
                    <w:t>，半透明的热固性树脂，作为一种重要的胶粘剂，‌广泛应用于胶合板、‌人造板、‌层压板以及竹、‌木制品的粘接生产中，‌同时也用于建筑装修、‌制鞋业和保温材料的粘接。‌其特点包括溶于水、‌良好的粘接性能、‌在常温和加热至100℃以上会迅速固化、‌低毒性（固化时会释放甲醛）‌、‌配制容易、‌价格便宜、‌耐老化以及良好的工艺性。</w:t>
                  </w:r>
                </w:p>
              </w:tc>
              <w:tc>
                <w:tcPr>
                  <w:tcW w:w="729" w:type="pct"/>
                  <w:noWrap w:val="0"/>
                  <w:vAlign w:val="center"/>
                </w:tcPr>
                <w:p w14:paraId="59C0A7E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遇明火、高热可燃</w:t>
                  </w:r>
                </w:p>
              </w:tc>
            </w:tr>
            <w:tr w14:paraId="0D5D88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2B455699">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7</w:t>
                  </w:r>
                </w:p>
              </w:tc>
              <w:tc>
                <w:tcPr>
                  <w:tcW w:w="756" w:type="pct"/>
                  <w:noWrap w:val="0"/>
                  <w:vAlign w:val="center"/>
                </w:tcPr>
                <w:p w14:paraId="0BEA1D76">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磺酸</w:t>
                  </w:r>
                  <w:r>
                    <w:rPr>
                      <w:rFonts w:hint="default" w:ascii="Times New Roman" w:hAnsi="Times New Roman" w:eastAsia="宋体" w:cs="Times New Roman"/>
                      <w:bCs/>
                      <w:color w:val="000000" w:themeColor="text1"/>
                      <w:sz w:val="21"/>
                      <w:szCs w:val="21"/>
                      <w:highlight w:val="none"/>
                      <w14:textFill>
                        <w14:solidFill>
                          <w14:schemeClr w14:val="tx1"/>
                        </w14:solidFill>
                      </w14:textFill>
                    </w:rPr>
                    <w:t>固化剂</w:t>
                  </w:r>
                </w:p>
              </w:tc>
              <w:tc>
                <w:tcPr>
                  <w:tcW w:w="3052" w:type="pct"/>
                  <w:noWrap w:val="0"/>
                  <w:vAlign w:val="center"/>
                </w:tcPr>
                <w:p w14:paraId="77E1EB7A">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中文名对甲苯磺酸</w:t>
                  </w:r>
                  <w:r>
                    <w:rPr>
                      <w:rFonts w:hint="default" w:ascii="Times New Roman" w:hAnsi="Times New Roman" w:cs="Times New Roman"/>
                      <w:color w:val="000000" w:themeColor="text1"/>
                      <w:sz w:val="21"/>
                      <w:szCs w:val="21"/>
                      <w:highlight w:val="none"/>
                      <w14:textFill>
                        <w14:solidFill>
                          <w14:schemeClr w14:val="tx1"/>
                        </w14:solidFill>
                      </w14:textFill>
                    </w:rPr>
                    <w:t>，化学式：C</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7</w:t>
                  </w:r>
                  <w:r>
                    <w:rPr>
                      <w:rFonts w:hint="default" w:ascii="Times New Roman" w:hAnsi="Times New Roman" w:cs="Times New Roman"/>
                      <w:color w:val="000000" w:themeColor="text1"/>
                      <w:sz w:val="21"/>
                      <w:szCs w:val="21"/>
                      <w:highlight w:val="none"/>
                      <w14:textFill>
                        <w14:solidFill>
                          <w14:schemeClr w14:val="tx1"/>
                        </w14:solidFill>
                      </w14:textFill>
                    </w:rPr>
                    <w:t>H</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8</w:t>
                  </w:r>
                  <w:r>
                    <w:rPr>
                      <w:rFonts w:hint="default" w:ascii="Times New Roman" w:hAnsi="Times New Roman" w:cs="Times New Roman"/>
                      <w:color w:val="000000" w:themeColor="text1"/>
                      <w:sz w:val="21"/>
                      <w:szCs w:val="21"/>
                      <w:highlight w:val="none"/>
                      <w14:textFill>
                        <w14:solidFill>
                          <w14:schemeClr w14:val="tx1"/>
                        </w14:solidFill>
                      </w14:textFill>
                    </w:rPr>
                    <w:t>O</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S，CAS号：</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104-15-4</w:t>
                  </w:r>
                  <w:r>
                    <w:rPr>
                      <w:rFonts w:hint="default" w:ascii="Times New Roman" w:hAnsi="Times New Roman" w:cs="Times New Roman"/>
                      <w:color w:val="000000" w:themeColor="text1"/>
                      <w:sz w:val="21"/>
                      <w:szCs w:val="21"/>
                      <w:highlight w:val="none"/>
                      <w14:textFill>
                        <w14:solidFill>
                          <w14:schemeClr w14:val="tx1"/>
                        </w14:solidFill>
                      </w14:textFill>
                    </w:rPr>
                    <w:t>外观为白色</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晶体</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水溶性67g/100ml</w:t>
                  </w:r>
                  <w:r>
                    <w:rPr>
                      <w:rFonts w:hint="default" w:ascii="Times New Roman" w:hAnsi="Times New Roman" w:cs="Times New Roman"/>
                      <w:color w:val="000000" w:themeColor="text1"/>
                      <w:sz w:val="21"/>
                      <w:szCs w:val="21"/>
                      <w:highlight w:val="none"/>
                      <w14:textFill>
                        <w14:solidFill>
                          <w14:schemeClr w14:val="tx1"/>
                        </w14:solidFill>
                      </w14:textFill>
                    </w:rPr>
                    <w:t>，密度：</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1.24</w:t>
                  </w:r>
                  <w:r>
                    <w:rPr>
                      <w:rFonts w:hint="default" w:ascii="Times New Roman" w:hAnsi="Times New Roman" w:cs="Times New Roman"/>
                      <w:color w:val="000000" w:themeColor="text1"/>
                      <w:sz w:val="21"/>
                      <w:szCs w:val="21"/>
                      <w:highlight w:val="none"/>
                      <w14:textFill>
                        <w14:solidFill>
                          <w14:schemeClr w14:val="tx1"/>
                        </w14:solidFill>
                      </w14:textFill>
                    </w:rPr>
                    <w:t>g/cm</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，熔点</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106~107</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沸点14</w:t>
                  </w:r>
                  <w:r>
                    <w:rPr>
                      <w:rFonts w:hint="default" w:ascii="Times New Roman" w:hAnsi="Times New Roman" w:cs="Times New Roman"/>
                      <w:color w:val="000000" w:themeColor="text1"/>
                      <w:sz w:val="21"/>
                      <w:szCs w:val="21"/>
                      <w:highlight w:val="none"/>
                      <w14:textFill>
                        <w14:solidFill>
                          <w14:schemeClr w14:val="tx1"/>
                        </w14:solidFill>
                      </w14:textFill>
                    </w:rPr>
                    <w:t>0℃</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20mmHg</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闪点41</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酸性pK</w:t>
                  </w:r>
                  <w:r>
                    <w:rPr>
                      <w:rFonts w:hint="default" w:ascii="Times New Roman" w:hAnsi="Times New Roman" w:cs="Times New Roman"/>
                      <w:color w:val="000000" w:themeColor="text1"/>
                      <w:sz w:val="21"/>
                      <w:szCs w:val="21"/>
                      <w:highlight w:val="none"/>
                      <w:vertAlign w:val="subscript"/>
                      <w:lang w:val="en-US" w:eastAsia="zh-CN"/>
                      <w14:textFill>
                        <w14:solidFill>
                          <w14:schemeClr w14:val="tx1"/>
                        </w14:solidFill>
                      </w14:textFill>
                    </w:rPr>
                    <w:t>a</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-2.8不具氧化性的有机强酸，折射率1.563，急性毒性：大鼠经口LD50：2480mg/kg；鹌鹑经口LD50：&gt;316mg/kg。易潮解，可溶于水、醇和其他极性溶剂。会使纸张、木材等脱水发生碳化。受高热分解产生有毒的硫化物烟气。有害燃烧产物：一氧化碳、二氧化碳、硫化物。</w:t>
                  </w:r>
                </w:p>
              </w:tc>
              <w:tc>
                <w:tcPr>
                  <w:tcW w:w="729" w:type="pct"/>
                  <w:noWrap w:val="0"/>
                  <w:vAlign w:val="center"/>
                </w:tcPr>
                <w:p w14:paraId="3FD9DB77">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遇明火、高热可燃</w:t>
                  </w:r>
                </w:p>
              </w:tc>
            </w:tr>
            <w:tr w14:paraId="5A91DF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52131C23">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8</w:t>
                  </w:r>
                </w:p>
              </w:tc>
              <w:tc>
                <w:tcPr>
                  <w:tcW w:w="756" w:type="pct"/>
                  <w:noWrap w:val="0"/>
                  <w:vAlign w:val="center"/>
                </w:tcPr>
                <w:p w14:paraId="19274262">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机油</w:t>
                  </w:r>
                </w:p>
              </w:tc>
              <w:tc>
                <w:tcPr>
                  <w:tcW w:w="3052" w:type="pct"/>
                  <w:noWrap w:val="0"/>
                  <w:vAlign w:val="center"/>
                </w:tcPr>
                <w:p w14:paraId="7926D526">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别名润滑油，分子量230~500，相对密度&lt;1，油状液体，淡黄色至褐色，无气味或略带异味；不溶于水，闪点76</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引燃温度248</w:t>
                  </w:r>
                  <w:r>
                    <w:rPr>
                      <w:rFonts w:hint="default" w:ascii="Times New Roman" w:hAnsi="Times New Roman" w:cs="Times New Roman"/>
                      <w:color w:val="000000" w:themeColor="text1"/>
                      <w:sz w:val="21"/>
                      <w:szCs w:val="21"/>
                      <w:highlight w:val="none"/>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p>
              </w:tc>
              <w:tc>
                <w:tcPr>
                  <w:tcW w:w="729" w:type="pct"/>
                  <w:noWrap w:val="0"/>
                  <w:vAlign w:val="center"/>
                </w:tcPr>
                <w:p w14:paraId="07D0E61D">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遇明火、高热可燃</w:t>
                  </w:r>
                </w:p>
              </w:tc>
            </w:tr>
            <w:tr w14:paraId="31D72F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5CE62669">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9</w:t>
                  </w:r>
                </w:p>
              </w:tc>
              <w:tc>
                <w:tcPr>
                  <w:tcW w:w="756" w:type="pct"/>
                  <w:noWrap w:val="0"/>
                  <w:vAlign w:val="center"/>
                </w:tcPr>
                <w:p w14:paraId="654BEEED">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丙烯酸</w:t>
                  </w:r>
                </w:p>
              </w:tc>
              <w:tc>
                <w:tcPr>
                  <w:tcW w:w="3052" w:type="pct"/>
                  <w:noWrap w:val="0"/>
                  <w:vAlign w:val="center"/>
                </w:tcPr>
                <w:p w14:paraId="385DA546">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化学式为C</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eastAsia="宋体" w:cs="Times New Roman"/>
                      <w:color w:val="000000" w:themeColor="text1"/>
                      <w:sz w:val="21"/>
                      <w:szCs w:val="21"/>
                      <w:highlight w:val="none"/>
                      <w14:textFill>
                        <w14:solidFill>
                          <w14:schemeClr w14:val="tx1"/>
                        </w14:solidFill>
                      </w14:textFill>
                    </w:rPr>
                    <w:t>H</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O</w:t>
                  </w:r>
                  <w:r>
                    <w:rPr>
                      <w:rFonts w:hint="default" w:ascii="Times New Roman" w:hAnsi="Times New Roman" w:eastAsia="宋体" w:cs="Times New Roman"/>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color w:val="000000" w:themeColor="text1"/>
                      <w:sz w:val="21"/>
                      <w:szCs w:val="21"/>
                      <w:highlight w:val="none"/>
                      <w14:textFill>
                        <w14:solidFill>
                          <w14:schemeClr w14:val="tx1"/>
                        </w14:solidFill>
                      </w14:textFill>
                    </w:rPr>
                    <w:t>，分子量72.063</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CAS登录号9-10-7</w:t>
                  </w:r>
                </w:p>
                <w:p w14:paraId="3CD5340D">
                  <w:pPr>
                    <w:pStyle w:val="150"/>
                    <w:shd w:val="clear" w:color="auto" w:fill="auto"/>
                    <w:snapToGrid w:val="0"/>
                    <w:spacing w:line="240" w:lineRule="auto"/>
                    <w:ind w:left="0" w:right="0"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14:textFill>
                        <w14:solidFill>
                          <w14:schemeClr w14:val="tx1"/>
                        </w14:solidFill>
                      </w14:textFill>
                    </w:rPr>
                    <w:t>熔点13℃</w:t>
                  </w:r>
                  <w:r>
                    <w:rPr>
                      <w:rFonts w:hint="default" w:ascii="Times New Roman" w:hAnsi="Times New Roman" w:cs="Times New Roman"/>
                      <w:color w:val="000000" w:themeColor="text1"/>
                      <w:sz w:val="21"/>
                      <w:szCs w:val="21"/>
                      <w:highlight w:val="none"/>
                      <w:lang w:eastAsia="zh-CN"/>
                      <w14:textFill>
                        <w14:solidFill>
                          <w14:schemeClr w14:val="tx1"/>
                        </w14:solidFill>
                      </w14:textFill>
                    </w:rPr>
                    <w:t>，沸点140.9℃，密度1.051g/cm³，闪点54℃（CC），</w:t>
                  </w:r>
                  <w:r>
                    <w:rPr>
                      <w:rFonts w:hint="default" w:ascii="Times New Roman" w:hAnsi="Times New Roman" w:eastAsia="宋体" w:cs="Times New Roman"/>
                      <w:color w:val="000000" w:themeColor="text1"/>
                      <w:sz w:val="21"/>
                      <w:szCs w:val="21"/>
                      <w:highlight w:val="none"/>
                      <w14:textFill>
                        <w14:solidFill>
                          <w14:schemeClr w14:val="tx1"/>
                        </w14:solidFill>
                      </w14:textFill>
                    </w:rPr>
                    <w:t>为无色液体，有刺激性气味，与水混溶，可混溶于乙醇、乙醚。化学性质活泼，在空气中易聚合，加氢可还原成丙酸，与氯化氢加成生成2-氯丙酸，主要用于制备丙烯酸树脂</w:t>
                  </w:r>
                  <w:r>
                    <w:rPr>
                      <w:rFonts w:hint="eastAsia" w:cs="Times New Roman"/>
                      <w:color w:val="000000" w:themeColor="text1"/>
                      <w:sz w:val="21"/>
                      <w:szCs w:val="21"/>
                      <w:highlight w:val="none"/>
                      <w:lang w:eastAsia="zh-CN"/>
                      <w14:textFill>
                        <w14:solidFill>
                          <w14:schemeClr w14:val="tx1"/>
                        </w14:solidFill>
                      </w14:textFill>
                    </w:rPr>
                    <w:t>。</w:t>
                  </w:r>
                </w:p>
              </w:tc>
              <w:tc>
                <w:tcPr>
                  <w:tcW w:w="729" w:type="pct"/>
                  <w:noWrap w:val="0"/>
                  <w:vAlign w:val="center"/>
                </w:tcPr>
                <w:p w14:paraId="6B6FC5BC">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引燃温度</w:t>
                  </w:r>
                </w:p>
                <w:p w14:paraId="33BC1351">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360℃</w:t>
                  </w:r>
                </w:p>
                <w:p w14:paraId="1CBCF699">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爆炸上限（V/V）</w:t>
                  </w:r>
                </w:p>
                <w:p w14:paraId="6987C6AD">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8.0％</w:t>
                  </w:r>
                </w:p>
                <w:p w14:paraId="4AC83FEC">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爆炸下限（V/V）</w:t>
                  </w:r>
                </w:p>
                <w:p w14:paraId="1254408E">
                  <w:pPr>
                    <w:pStyle w:val="150"/>
                    <w:shd w:val="clear" w:color="auto" w:fill="auto"/>
                    <w:snapToGrid w:val="0"/>
                    <w:spacing w:line="240" w:lineRule="auto"/>
                    <w:ind w:left="0" w:right="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2.4％</w:t>
                  </w:r>
                </w:p>
              </w:tc>
            </w:tr>
            <w:tr w14:paraId="024225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36EAF1BA">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10</w:t>
                  </w:r>
                </w:p>
              </w:tc>
              <w:tc>
                <w:tcPr>
                  <w:tcW w:w="756" w:type="pct"/>
                  <w:noWrap w:val="0"/>
                  <w:vAlign w:val="center"/>
                </w:tcPr>
                <w:p w14:paraId="4F155BCE">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苯酚</w:t>
                  </w:r>
                </w:p>
              </w:tc>
              <w:tc>
                <w:tcPr>
                  <w:tcW w:w="3052" w:type="pct"/>
                  <w:noWrap w:val="0"/>
                  <w:vAlign w:val="center"/>
                </w:tcPr>
                <w:p w14:paraId="5D5FFCB3">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化学式C6H5OH</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分子量94.111</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CAS登录号108-95-2</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EINECS登录号203-632-7；熔点43 ℃；沸点181.9 ℃；密度1.071 g/cm³；无色或白色结晶性粉末；闪点72.5 ℃；饱和蒸气压：0.13kPa（40.1℃）；应用化工合成、油田工业、电镀、溶剂，医学；溶解性微溶于冷水，可混溶于乙醇、醚、氯仿、甘油；化学性质弱酸性，高毒类，突变原，还原性；</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性质</w:t>
                  </w:r>
                  <w:r>
                    <w:rPr>
                      <w:rFonts w:hint="default" w:ascii="Times New Roman" w:hAnsi="Times New Roman" w:cs="Times New Roman"/>
                      <w:color w:val="000000" w:themeColor="text1"/>
                      <w:sz w:val="21"/>
                      <w:szCs w:val="21"/>
                      <w:highlight w:val="none"/>
                      <w:lang w:eastAsia="zh-CN"/>
                      <w14:textFill>
                        <w14:solidFill>
                          <w14:schemeClr w14:val="tx1"/>
                        </w14:solidFill>
                      </w14:textFill>
                    </w:rPr>
                    <w:t>稳定；LD50：317mg/kg（大鼠经口）；270mg/kg（小鼠经口）；669mg/kg（大鼠经皮）；630mg/kg（兔经皮）LC50：316mg/m3（大鼠吸入，4h）</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p>
              </w:tc>
              <w:tc>
                <w:tcPr>
                  <w:tcW w:w="729" w:type="pct"/>
                  <w:noWrap w:val="0"/>
                  <w:vAlign w:val="center"/>
                </w:tcPr>
                <w:p w14:paraId="7243D8A3">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引燃温度：715℃</w:t>
                  </w:r>
                </w:p>
                <w:p w14:paraId="6DF0F3C4">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爆炸上限（V/V）：8.5%</w:t>
                  </w:r>
                </w:p>
                <w:p w14:paraId="453F69D9">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爆炸下限（V/V）：1.3%</w:t>
                  </w:r>
                </w:p>
              </w:tc>
            </w:tr>
            <w:tr w14:paraId="086C4D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2EA334E1">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11</w:t>
                  </w:r>
                </w:p>
              </w:tc>
              <w:tc>
                <w:tcPr>
                  <w:tcW w:w="756" w:type="pct"/>
                  <w:noWrap w:val="0"/>
                  <w:vAlign w:val="center"/>
                </w:tcPr>
                <w:p w14:paraId="04B139BE">
                  <w:pPr>
                    <w:pStyle w:val="150"/>
                    <w:shd w:val="clear" w:color="auto" w:fill="auto"/>
                    <w:snapToGrid w:val="0"/>
                    <w:spacing w:line="240" w:lineRule="auto"/>
                    <w:ind w:left="0" w:right="0" w:firstLine="0" w:firstLineChars="0"/>
                    <w:jc w:val="center"/>
                    <w:textAlignment w:val="auto"/>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甲醛</w:t>
                  </w:r>
                </w:p>
              </w:tc>
              <w:tc>
                <w:tcPr>
                  <w:tcW w:w="3052" w:type="pct"/>
                  <w:noWrap w:val="0"/>
                  <w:vAlign w:val="center"/>
                </w:tcPr>
                <w:p w14:paraId="463330F1">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化学式CH2O</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分子量30.03</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 xml:space="preserve">CAS登录号50-00-0 </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EINECS登录号200-001-8</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熔点-92 ℃</w:t>
                  </w:r>
                  <w:r>
                    <w:rPr>
                      <w:rFonts w:hint="eastAsia" w:cs="Times New Roman"/>
                      <w:color w:val="000000" w:themeColor="text1"/>
                      <w:sz w:val="21"/>
                      <w:szCs w:val="21"/>
                      <w:highlight w:val="none"/>
                      <w:lang w:eastAsia="zh-CN"/>
                      <w14:textFill>
                        <w14:solidFill>
                          <w14:schemeClr w14:val="tx1"/>
                        </w14:solidFill>
                      </w14:textFill>
                    </w:rPr>
                    <w:t>；</w:t>
                  </w:r>
                  <w:r>
                    <w:rPr>
                      <w:rFonts w:hint="default" w:ascii="Times New Roman" w:hAnsi="Times New Roman" w:cs="Times New Roman"/>
                      <w:color w:val="000000" w:themeColor="text1"/>
                      <w:sz w:val="21"/>
                      <w:szCs w:val="21"/>
                      <w:highlight w:val="none"/>
                      <w:lang w:eastAsia="zh-CN"/>
                      <w14:textFill>
                        <w14:solidFill>
                          <w14:schemeClr w14:val="tx1"/>
                        </w14:solidFill>
                      </w14:textFill>
                    </w:rPr>
                    <w:t>沸点-19.5 ℃</w:t>
                  </w:r>
                  <w:r>
                    <w:rPr>
                      <w:rFonts w:hint="eastAsia" w:cs="Times New Roman"/>
                      <w:color w:val="000000" w:themeColor="text1"/>
                      <w:sz w:val="21"/>
                      <w:szCs w:val="21"/>
                      <w:highlight w:val="none"/>
                      <w:lang w:eastAsia="zh-CN"/>
                      <w14:textFill>
                        <w14:solidFill>
                          <w14:schemeClr w14:val="tx1"/>
                        </w14:solidFill>
                      </w14:textFill>
                    </w:rPr>
                    <w:t>；水溶性易溶于水；密度0.815 g/cm³；无色气体；蒸气压3463.8 mmHg at 25°C；闪点</w:t>
                  </w:r>
                  <w:r>
                    <w:rPr>
                      <w:rFonts w:hint="default" w:ascii="Times New Roman" w:hAnsi="Times New Roman" w:cs="Times New Roman"/>
                      <w:color w:val="000000" w:themeColor="text1"/>
                      <w:sz w:val="21"/>
                      <w:szCs w:val="21"/>
                      <w:highlight w:val="none"/>
                      <w:lang w:eastAsia="zh-CN"/>
                      <w14:textFill>
                        <w14:solidFill>
                          <w14:schemeClr w14:val="tx1"/>
                        </w14:solidFill>
                      </w14:textFill>
                    </w:rPr>
                    <w:t>：60℃；</w:t>
                  </w:r>
                  <w:r>
                    <w:rPr>
                      <w:rFonts w:hint="eastAsia" w:cs="Times New Roman"/>
                      <w:color w:val="000000" w:themeColor="text1"/>
                      <w:sz w:val="21"/>
                      <w:szCs w:val="21"/>
                      <w:highlight w:val="none"/>
                      <w:lang w:eastAsia="zh-CN"/>
                      <w14:textFill>
                        <w14:solidFill>
                          <w14:schemeClr w14:val="tx1"/>
                        </w14:solidFill>
                      </w14:textFill>
                    </w:rPr>
                    <w:t>急性毒性：LD50：800 mg/kg(大鼠经口)，2700 mg/kg(兔经皮)；LC50：590 mg/m3(大鼠吸入)；人吸入60～120 mg/m3，发生支气管炎、肺部严重损害；人吸入12～24 mg/m3，鼻、咽粘膜严重灼伤、流泪、咳嗽；人经口10～20 ml，致死。</w:t>
                  </w:r>
                </w:p>
              </w:tc>
              <w:tc>
                <w:tcPr>
                  <w:tcW w:w="729" w:type="pct"/>
                  <w:noWrap w:val="0"/>
                  <w:vAlign w:val="center"/>
                </w:tcPr>
                <w:p w14:paraId="462FDF8D">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自燃温度430℃，爆炸极限空气中7%-73%，V/V</w:t>
                  </w:r>
                </w:p>
              </w:tc>
            </w:tr>
            <w:tr w14:paraId="377E0D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shd w:val="clear" w:color="auto" w:fill="auto"/>
                  <w:noWrap w:val="0"/>
                  <w:vAlign w:val="center"/>
                </w:tcPr>
                <w:p w14:paraId="05A3441B">
                  <w:pPr>
                    <w:pStyle w:val="150"/>
                    <w:shd w:val="clear" w:color="auto" w:fill="auto"/>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12</w:t>
                  </w:r>
                </w:p>
              </w:tc>
              <w:tc>
                <w:tcPr>
                  <w:tcW w:w="756" w:type="pct"/>
                  <w:noWrap w:val="0"/>
                  <w:vAlign w:val="center"/>
                </w:tcPr>
                <w:p w14:paraId="59B5AE6A">
                  <w:pPr>
                    <w:pStyle w:val="150"/>
                    <w:shd w:val="clear" w:color="auto" w:fill="auto"/>
                    <w:snapToGrid w:val="0"/>
                    <w:spacing w:line="240" w:lineRule="auto"/>
                    <w:ind w:left="0" w:right="0" w:firstLine="0" w:firstLineChars="0"/>
                    <w:jc w:val="center"/>
                    <w:textAlignment w:val="auto"/>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脱模剂</w:t>
                  </w:r>
                </w:p>
              </w:tc>
              <w:tc>
                <w:tcPr>
                  <w:tcW w:w="3052" w:type="pct"/>
                  <w:noWrap w:val="0"/>
                  <w:vAlign w:val="center"/>
                </w:tcPr>
                <w:p w14:paraId="2FF1AF64">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lang w:val="en-US" w:eastAsia="zh-CN"/>
                      <w14:textFill>
                        <w14:solidFill>
                          <w14:schemeClr w14:val="tx1"/>
                        </w14:solidFill>
                      </w14:textFill>
                    </w:rPr>
                    <w:t>合成硅油10%～32%、乳化剂2%～2.5%、添加剂1%～5%、润滑油基油1%～5%、水86%～55.5%。</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物理形态：液体，颜色：乳白色，气味：无特殊的气味，引燃温度：不适用，爆炸极限：不适用。稳定性：正常工业使用下非常稳定。反应性：避免接触的条件：无资料，禁配物：无资料，分解产物：按本品的操作说明使用无明显分解，聚合危害：不发生聚合反应。</w:t>
                  </w:r>
                </w:p>
              </w:tc>
              <w:tc>
                <w:tcPr>
                  <w:tcW w:w="729" w:type="pct"/>
                  <w:noWrap w:val="0"/>
                  <w:vAlign w:val="center"/>
                </w:tcPr>
                <w:p w14:paraId="40C0A2FC">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不可燃</w:t>
                  </w:r>
                </w:p>
              </w:tc>
            </w:tr>
            <w:tr w14:paraId="02AA9F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66BD5773">
                  <w:pPr>
                    <w:pStyle w:val="150"/>
                    <w:shd w:val="clear" w:color="auto" w:fill="auto"/>
                    <w:snapToGrid w:val="0"/>
                    <w:spacing w:line="240" w:lineRule="auto"/>
                    <w:ind w:left="0" w:right="0" w:firstLine="0" w:firstLineChars="0"/>
                    <w:jc w:val="center"/>
                    <w:textAlignment w:val="auto"/>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13</w:t>
                  </w:r>
                </w:p>
              </w:tc>
              <w:tc>
                <w:tcPr>
                  <w:tcW w:w="756" w:type="pct"/>
                  <w:noWrap w:val="0"/>
                  <w:vAlign w:val="center"/>
                </w:tcPr>
                <w:p w14:paraId="5A098009">
                  <w:pPr>
                    <w:pStyle w:val="150"/>
                    <w:shd w:val="clear" w:color="auto" w:fill="auto"/>
                    <w:snapToGrid w:val="0"/>
                    <w:spacing w:line="240" w:lineRule="auto"/>
                    <w:ind w:left="0" w:right="0" w:firstLine="0" w:firstLineChars="0"/>
                    <w:jc w:val="center"/>
                    <w:textAlignment w:val="auto"/>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乳化液</w:t>
                  </w:r>
                </w:p>
              </w:tc>
              <w:tc>
                <w:tcPr>
                  <w:tcW w:w="3052" w:type="pct"/>
                  <w:noWrap w:val="0"/>
                  <w:vAlign w:val="center"/>
                </w:tcPr>
                <w:p w14:paraId="5B0EDF99">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eastAsiaTheme="minorEastAsia"/>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基础油、表面活性剂、防锈剂和合成添加剂</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外观与性状：墨绿色液体。气味：温和。闪点：160℃。自燃点：不自燃。爆炸危险：不爆炸。在水中的溶解度/和水的相容性：相溶。稳定性和反应性：热分解/避免的状况：如按说明书使用，不会产生热分解。危险性反应：无。危险性的产品组份：无。毒性资料：剧毒性：无。对皮肤：无刺激性影响。对眼睛：无刺激性影响。过敏作用：无。</w:t>
                  </w:r>
                </w:p>
              </w:tc>
              <w:tc>
                <w:tcPr>
                  <w:tcW w:w="729" w:type="pct"/>
                  <w:noWrap w:val="0"/>
                  <w:vAlign w:val="center"/>
                </w:tcPr>
                <w:p w14:paraId="2B3B2925">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遇明火、高热可燃</w:t>
                  </w:r>
                </w:p>
              </w:tc>
            </w:tr>
            <w:tr w14:paraId="393805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62" w:type="pct"/>
                  <w:noWrap w:val="0"/>
                  <w:vAlign w:val="center"/>
                </w:tcPr>
                <w:p w14:paraId="28382A5B">
                  <w:pPr>
                    <w:pStyle w:val="150"/>
                    <w:shd w:val="clear" w:color="auto" w:fill="auto"/>
                    <w:snapToGrid w:val="0"/>
                    <w:spacing w:line="240" w:lineRule="auto"/>
                    <w:ind w:left="0" w:right="0" w:firstLine="0" w:firstLineChars="0"/>
                    <w:jc w:val="center"/>
                    <w:textAlignment w:val="auto"/>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14</w:t>
                  </w:r>
                </w:p>
              </w:tc>
              <w:tc>
                <w:tcPr>
                  <w:tcW w:w="756" w:type="pct"/>
                  <w:noWrap w:val="0"/>
                  <w:vAlign w:val="center"/>
                </w:tcPr>
                <w:p w14:paraId="02D97B8B">
                  <w:pPr>
                    <w:pStyle w:val="150"/>
                    <w:shd w:val="clear" w:color="auto" w:fill="auto"/>
                    <w:snapToGrid w:val="0"/>
                    <w:spacing w:line="240" w:lineRule="auto"/>
                    <w:ind w:left="0" w:right="0" w:firstLine="0" w:firstLineChars="0"/>
                    <w:jc w:val="center"/>
                    <w:textAlignment w:val="auto"/>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乙二醇丁醚</w:t>
                  </w:r>
                </w:p>
              </w:tc>
              <w:tc>
                <w:tcPr>
                  <w:tcW w:w="3052" w:type="pct"/>
                  <w:noWrap w:val="0"/>
                  <w:vAlign w:val="center"/>
                </w:tcPr>
                <w:p w14:paraId="0E32B816">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无色易燃液体，具有中等程度醚味，低毒，蒸气压（20℃）0.101kPa，闪点61.1℃，自燃点472 ℃，溶于20倍的水，溶於大多数有机溶剂及矿物油，与石油烃具有高的稀释比，沸点171℃</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，闪点61.1</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。毒性及防护具有中等性。工作场所空气中最高容许浓度240mg/m3。</w:t>
                  </w:r>
                </w:p>
              </w:tc>
              <w:tc>
                <w:tcPr>
                  <w:tcW w:w="729" w:type="pct"/>
                  <w:noWrap w:val="0"/>
                  <w:vAlign w:val="center"/>
                </w:tcPr>
                <w:p w14:paraId="65F70F1B">
                  <w:pPr>
                    <w:pStyle w:val="150"/>
                    <w:shd w:val="clear" w:color="auto" w:fill="auto"/>
                    <w:snapToGrid w:val="0"/>
                    <w:spacing w:line="240" w:lineRule="auto"/>
                    <w:ind w:left="0" w:right="0"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遇明火、高热可燃</w:t>
                  </w:r>
                </w:p>
              </w:tc>
            </w:tr>
          </w:tbl>
          <w:p w14:paraId="70790050">
            <w:pPr>
              <w:shd w:val="clear" w:color="auto" w:fill="auto"/>
              <w:ind w:firstLine="482"/>
              <w:rPr>
                <w:rFonts w:hint="eastAsia" w:ascii="Times New Roman" w:hAnsi="Times New Roman" w:eastAsia="宋体" w:cs="Times New Roman"/>
                <w:b/>
                <w:color w:val="000000" w:themeColor="text1"/>
                <w:highlight w:val="none"/>
                <w:lang w:val="en-US" w:eastAsia="zh-CN"/>
                <w14:textFill>
                  <w14:solidFill>
                    <w14:schemeClr w14:val="tx1"/>
                  </w14:solidFill>
                </w14:textFill>
              </w:rPr>
            </w:pPr>
            <w:r>
              <w:rPr>
                <w:rFonts w:hint="eastAsia" w:cs="Times New Roman"/>
                <w:b/>
                <w:color w:val="000000" w:themeColor="text1"/>
                <w:highlight w:val="none"/>
                <w:lang w:val="en-US" w:eastAsia="zh-CN"/>
                <w14:textFill>
                  <w14:solidFill>
                    <w14:schemeClr w14:val="tx1"/>
                  </w14:solidFill>
                </w14:textFill>
              </w:rPr>
              <w:t>4</w:t>
            </w:r>
            <w:r>
              <w:rPr>
                <w:rFonts w:hint="eastAsia" w:ascii="Times New Roman" w:hAnsi="Times New Roman" w:eastAsia="宋体" w:cs="Times New Roman"/>
                <w:b/>
                <w:color w:val="000000" w:themeColor="text1"/>
                <w:highlight w:val="none"/>
                <w:lang w:val="en-US" w:eastAsia="zh-CN"/>
                <w14:textFill>
                  <w14:solidFill>
                    <w14:schemeClr w14:val="tx1"/>
                  </w14:solidFill>
                </w14:textFill>
              </w:rPr>
              <w:t>、漆料用量核算</w:t>
            </w:r>
          </w:p>
          <w:p w14:paraId="28771C67">
            <w:pPr>
              <w:spacing w:line="360" w:lineRule="auto"/>
              <w:ind w:firstLine="480" w:firstLineChars="200"/>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本项目仅对平衡块进行防锈涂装，汽车排气歧管无需涂装</w:t>
            </w: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p>
          <w:p w14:paraId="6211735D">
            <w:pPr>
              <w:spacing w:line="360" w:lineRule="auto"/>
              <w:ind w:firstLine="480" w:firstLineChars="200"/>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油漆用量采用以下公式计算：</w:t>
            </w:r>
          </w:p>
          <w:p w14:paraId="3E34D47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m=ρδs×10</w:t>
            </w:r>
            <w:r>
              <w:rPr>
                <w:rFonts w:hint="default"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-6</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/（NV·ε）</w:t>
            </w:r>
          </w:p>
          <w:p w14:paraId="3538D3B1">
            <w:pPr>
              <w:spacing w:line="360" w:lineRule="auto"/>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其中：m—漆料总用量（t/a）；</w:t>
            </w:r>
          </w:p>
          <w:p w14:paraId="78075429">
            <w:pPr>
              <w:spacing w:line="360" w:lineRule="auto"/>
              <w:ind w:firstLine="1200" w:firstLineChars="5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ρ—漆料密度（g/cm</w:t>
            </w:r>
            <w:r>
              <w:rPr>
                <w:rFonts w:hint="default"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4E70AE9C">
            <w:pPr>
              <w:spacing w:line="360" w:lineRule="auto"/>
              <w:ind w:firstLine="1200" w:firstLineChars="5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δ—涂层厚度（μm）；</w:t>
            </w:r>
          </w:p>
          <w:p w14:paraId="43A985C7">
            <w:pPr>
              <w:spacing w:line="360" w:lineRule="auto"/>
              <w:ind w:firstLine="1200" w:firstLineChars="5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s—喷漆总面积（m</w:t>
            </w:r>
            <w:r>
              <w:rPr>
                <w:rFonts w:hint="default" w:ascii="Times New Roman" w:hAnsi="Times New Roman" w:eastAsia="宋体" w:cs="Times New Roman"/>
                <w:color w:val="000000" w:themeColor="text1"/>
                <w:sz w:val="24"/>
                <w:szCs w:val="24"/>
                <w:highlight w:val="none"/>
                <w:vertAlign w:val="superscript"/>
                <w:lang w:val="en-US" w:eastAsia="zh-CN"/>
                <w14:textFill>
                  <w14:solidFill>
                    <w14:schemeClr w14:val="tx1"/>
                  </w14:solidFill>
                </w14:textFill>
              </w:rPr>
              <w:t>2</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/a）；</w:t>
            </w:r>
          </w:p>
          <w:p w14:paraId="10EB27DA">
            <w:pPr>
              <w:spacing w:line="360" w:lineRule="auto"/>
              <w:ind w:firstLine="1200" w:firstLineChars="50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NV—漆料中（已配好）的固体分（%），</w:t>
            </w:r>
            <w:r>
              <w:rPr>
                <w:rFonts w:hint="eastAsia" w:cs="Times New Roman"/>
                <w:color w:val="000000" w:themeColor="text1"/>
                <w:sz w:val="24"/>
                <w:szCs w:val="24"/>
                <w:highlight w:val="none"/>
                <w:lang w:val="en-US" w:eastAsia="zh-CN"/>
                <w14:textFill>
                  <w14:solidFill>
                    <w14:schemeClr w14:val="tx1"/>
                  </w14:solidFill>
                </w14:textFill>
              </w:rPr>
              <w:t>项目使用的水性丙烯酸聚氨酯面漆（双组份灰色）</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，根据</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上海沪丽化工有限公司</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出具的化学品安全技术说明书可知本项目使用的漆料固体分为</w:t>
            </w:r>
            <w:r>
              <w:rPr>
                <w:rFonts w:hint="eastAsia" w:cs="Times New Roman"/>
                <w:color w:val="000000" w:themeColor="text1"/>
                <w:sz w:val="24"/>
                <w:szCs w:val="24"/>
                <w:highlight w:val="none"/>
                <w:lang w:val="en-US" w:eastAsia="zh-CN"/>
                <w14:textFill>
                  <w14:solidFill>
                    <w14:schemeClr w14:val="tx1"/>
                  </w14:solidFill>
                </w14:textFill>
              </w:rPr>
              <w:t>72.7</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41959F1C">
            <w:pPr>
              <w:keepNext w:val="0"/>
              <w:keepLines w:val="0"/>
              <w:pageBreakBefore w:val="0"/>
              <w:widowControl w:val="0"/>
              <w:kinsoku/>
              <w:wordWrap/>
              <w:overflowPunct/>
              <w:topLinePunct w:val="0"/>
              <w:autoSpaceDE/>
              <w:autoSpaceDN/>
              <w:bidi w:val="0"/>
              <w:adjustRightInd/>
              <w:snapToGrid/>
              <w:spacing w:line="360" w:lineRule="auto"/>
              <w:ind w:firstLine="1200" w:firstLineChars="500"/>
              <w:jc w:val="both"/>
              <w:textAlignment w:val="auto"/>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pP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ε—上漆率根据《污染源源强核算技术指南 汽车制造》（HJ1097-2020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使用空气喷涂设备，物料中固体分附着率为40%</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p>
          <w:p w14:paraId="406FD82D">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4"/>
                <w:szCs w:val="24"/>
                <w:highlight w:val="none"/>
                <w:lang w:eastAsia="zh-CN"/>
                <w14:textFill>
                  <w14:solidFill>
                    <w14:schemeClr w14:val="tx1"/>
                  </w14:solidFill>
                </w14:textFill>
              </w:rPr>
              <w:t>根据油漆使用说明，通过喷涂表面积及单位面积喷涂量计算确定本项目油漆使用量，详见</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下表。</w:t>
            </w:r>
          </w:p>
          <w:p w14:paraId="561483E4">
            <w:pPr>
              <w:pStyle w:val="103"/>
              <w:shd w:val="clear" w:color="auto" w:fill="auto"/>
              <w:spacing w:before="0" w:beforeLines="0" w:line="240" w:lineRule="auto"/>
              <w:ind w:firstLine="0" w:firstLineChars="0"/>
              <w:jc w:val="center"/>
              <w:rPr>
                <w:rFonts w:hint="eastAsia" w:ascii="Times New Roman" w:hAnsi="Times New Roman" w:eastAsia="宋体" w:cs="Times New Roman"/>
                <w:b/>
                <w:bCs/>
                <w:color w:val="000000" w:themeColor="text1"/>
                <w:highlight w:val="none"/>
                <w:shd w:val="clear" w:color="auto" w:fill="FFFFFF"/>
                <w:lang w:eastAsia="zh-CN"/>
                <w14:textFill>
                  <w14:solidFill>
                    <w14:schemeClr w14:val="tx1"/>
                  </w14:solidFill>
                </w14:textFill>
              </w:rPr>
            </w:pPr>
            <w:r>
              <w:rPr>
                <w:rFonts w:hint="eastAsia" w:ascii="Times New Roman" w:hAnsi="Times New Roman" w:eastAsia="宋体" w:cs="Times New Roman"/>
                <w:b/>
                <w:bCs/>
                <w:color w:val="000000" w:themeColor="text1"/>
                <w:highlight w:val="none"/>
                <w:shd w:val="clear" w:color="auto" w:fill="FFFFFF"/>
                <w:lang w:eastAsia="zh-CN"/>
                <w14:textFill>
                  <w14:solidFill>
                    <w14:schemeClr w14:val="tx1"/>
                  </w14:solidFill>
                </w14:textFill>
              </w:rPr>
              <w:t>表2-</w:t>
            </w:r>
            <w:r>
              <w:rPr>
                <w:rFonts w:hint="eastAsia" w:ascii="Times New Roman" w:hAnsi="Times New Roman" w:eastAsia="宋体" w:cs="Times New Roman"/>
                <w:b/>
                <w:bCs/>
                <w:color w:val="000000" w:themeColor="text1"/>
                <w:highlight w:val="none"/>
                <w:shd w:val="clear" w:color="auto" w:fill="FFFFFF"/>
                <w:lang w:val="en-US" w:eastAsia="zh-CN"/>
                <w14:textFill>
                  <w14:solidFill>
                    <w14:schemeClr w14:val="tx1"/>
                  </w14:solidFill>
                </w14:textFill>
              </w:rPr>
              <w:t>1</w:t>
            </w:r>
            <w:r>
              <w:rPr>
                <w:rFonts w:hint="eastAsia" w:cs="Times New Roman"/>
                <w:b/>
                <w:bCs/>
                <w:color w:val="000000" w:themeColor="text1"/>
                <w:highlight w:val="none"/>
                <w:shd w:val="clear" w:color="auto" w:fill="FFFFFF"/>
                <w:lang w:val="en-US" w:eastAsia="zh-CN"/>
                <w14:textFill>
                  <w14:solidFill>
                    <w14:schemeClr w14:val="tx1"/>
                  </w14:solidFill>
                </w14:textFill>
              </w:rPr>
              <w:t>4</w:t>
            </w:r>
            <w:r>
              <w:rPr>
                <w:rFonts w:hint="eastAsia" w:ascii="Times New Roman" w:hAnsi="Times New Roman" w:eastAsia="宋体" w:cs="Times New Roman"/>
                <w:b/>
                <w:bCs/>
                <w:color w:val="000000" w:themeColor="text1"/>
                <w:highlight w:val="none"/>
                <w:shd w:val="clear" w:color="auto" w:fill="FFFFFF"/>
                <w:lang w:eastAsia="zh-CN"/>
                <w14:textFill>
                  <w14:solidFill>
                    <w14:schemeClr w14:val="tx1"/>
                  </w14:solidFill>
                </w14:textFill>
              </w:rPr>
              <w:t xml:space="preserve"> 项目产品油漆消耗量分析表</w:t>
            </w:r>
          </w:p>
          <w:tbl>
            <w:tblPr>
              <w:tblStyle w:val="32"/>
              <w:tblW w:w="4996" w:type="pct"/>
              <w:jc w:val="center"/>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Layout w:type="fixed"/>
              <w:tblCellMar>
                <w:top w:w="0" w:type="dxa"/>
                <w:left w:w="108" w:type="dxa"/>
                <w:bottom w:w="0" w:type="dxa"/>
                <w:right w:w="108" w:type="dxa"/>
              </w:tblCellMar>
            </w:tblPr>
            <w:tblGrid>
              <w:gridCol w:w="1498"/>
              <w:gridCol w:w="1068"/>
              <w:gridCol w:w="1154"/>
              <w:gridCol w:w="1203"/>
              <w:gridCol w:w="1666"/>
              <w:gridCol w:w="1322"/>
            </w:tblGrid>
            <w:tr w14:paraId="78C3BCE2">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946" w:type="pct"/>
                  <w:tcBorders>
                    <w:tl2br w:val="nil"/>
                    <w:tr2bl w:val="nil"/>
                  </w:tcBorders>
                  <w:noWrap w:val="0"/>
                  <w:vAlign w:val="center"/>
                </w:tcPr>
                <w:p w14:paraId="7E251DF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类型</w:t>
                  </w:r>
                </w:p>
              </w:tc>
              <w:tc>
                <w:tcPr>
                  <w:tcW w:w="675" w:type="pct"/>
                  <w:tcBorders>
                    <w:tl2br w:val="nil"/>
                    <w:tr2bl w:val="nil"/>
                  </w:tcBorders>
                  <w:noWrap w:val="0"/>
                  <w:vAlign w:val="center"/>
                </w:tcPr>
                <w:p w14:paraId="220AEFA3">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油漆密度ρ</w:t>
                  </w:r>
                  <w:r>
                    <w:rPr>
                      <w:rFonts w:hint="eastAsia" w:ascii="Times New Roman" w:hAnsi="Times New Roman" w:eastAsia="宋体" w:cs="Times New Roman"/>
                      <w:b/>
                      <w:bCs w:val="0"/>
                      <w:color w:val="000000" w:themeColor="text1"/>
                      <w:sz w:val="21"/>
                      <w:szCs w:val="21"/>
                      <w:highlight w:val="none"/>
                      <w:lang w:val="en-US" w:eastAsia="zh-CN"/>
                      <w14:textFill>
                        <w14:solidFill>
                          <w14:schemeClr w14:val="tx1"/>
                        </w14:solidFill>
                      </w14:textFill>
                    </w:rPr>
                    <w:t xml:space="preserve"> </w:t>
                  </w:r>
                  <w:r>
                    <w:rPr>
                      <w:rFonts w:ascii="Times New Roman" w:hAnsi="Times New Roman" w:eastAsia="宋体" w:cs="Times New Roman"/>
                      <w:b/>
                      <w:bCs w:val="0"/>
                      <w:color w:val="000000" w:themeColor="text1"/>
                      <w:sz w:val="21"/>
                      <w:szCs w:val="21"/>
                      <w:highlight w:val="none"/>
                      <w14:textFill>
                        <w14:solidFill>
                          <w14:schemeClr w14:val="tx1"/>
                        </w14:solidFill>
                      </w14:textFill>
                    </w:rPr>
                    <w:t>g/cm</w:t>
                  </w:r>
                  <w:r>
                    <w:rPr>
                      <w:rFonts w:ascii="Times New Roman" w:hAnsi="Times New Roman" w:eastAsia="宋体" w:cs="Times New Roman"/>
                      <w:b/>
                      <w:bCs w:val="0"/>
                      <w:color w:val="000000" w:themeColor="text1"/>
                      <w:sz w:val="21"/>
                      <w:szCs w:val="21"/>
                      <w:highlight w:val="none"/>
                      <w:vertAlign w:val="superscript"/>
                      <w14:textFill>
                        <w14:solidFill>
                          <w14:schemeClr w14:val="tx1"/>
                        </w14:solidFill>
                      </w14:textFill>
                    </w:rPr>
                    <w:t>3</w:t>
                  </w:r>
                </w:p>
              </w:tc>
              <w:tc>
                <w:tcPr>
                  <w:tcW w:w="729" w:type="pct"/>
                  <w:tcBorders>
                    <w:tl2br w:val="nil"/>
                    <w:tr2bl w:val="nil"/>
                  </w:tcBorders>
                  <w:noWrap w:val="0"/>
                  <w:vAlign w:val="center"/>
                </w:tcPr>
                <w:p w14:paraId="7DE3EB6C">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涂料厚度</w:t>
                  </w:r>
                </w:p>
                <w:p w14:paraId="42401BD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δ/μm</w:t>
                  </w:r>
                </w:p>
              </w:tc>
              <w:tc>
                <w:tcPr>
                  <w:tcW w:w="760" w:type="pct"/>
                  <w:tcBorders>
                    <w:tl2br w:val="nil"/>
                    <w:tr2bl w:val="nil"/>
                  </w:tcBorders>
                  <w:noWrap w:val="0"/>
                  <w:vAlign w:val="center"/>
                </w:tcPr>
                <w:p w14:paraId="3EA06D3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喷涂距</w:t>
                  </w:r>
                </w:p>
                <w:p w14:paraId="6E57B16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离/cm</w:t>
                  </w:r>
                </w:p>
              </w:tc>
              <w:tc>
                <w:tcPr>
                  <w:tcW w:w="1052" w:type="pct"/>
                  <w:tcBorders>
                    <w:tl2br w:val="nil"/>
                    <w:tr2bl w:val="nil"/>
                  </w:tcBorders>
                  <w:noWrap w:val="0"/>
                  <w:vAlign w:val="center"/>
                </w:tcPr>
                <w:p w14:paraId="209883C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油漆中</w:t>
                  </w:r>
                </w:p>
                <w:p w14:paraId="007EE010">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固体分 NV%</w:t>
                  </w:r>
                </w:p>
              </w:tc>
              <w:tc>
                <w:tcPr>
                  <w:tcW w:w="835" w:type="pct"/>
                  <w:tcBorders>
                    <w:tl2br w:val="nil"/>
                    <w:tr2bl w:val="nil"/>
                  </w:tcBorders>
                  <w:noWrap w:val="0"/>
                  <w:vAlign w:val="center"/>
                </w:tcPr>
                <w:p w14:paraId="66B28191">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上漆率</w:t>
                  </w:r>
                </w:p>
                <w:p w14:paraId="2C11EBF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
                      <w:bCs w:val="0"/>
                      <w:color w:val="000000" w:themeColor="text1"/>
                      <w:sz w:val="21"/>
                      <w:szCs w:val="21"/>
                      <w:highlight w:val="none"/>
                      <w14:textFill>
                        <w14:solidFill>
                          <w14:schemeClr w14:val="tx1"/>
                        </w14:solidFill>
                      </w14:textFill>
                    </w:rPr>
                  </w:pPr>
                  <w:r>
                    <w:rPr>
                      <w:rFonts w:ascii="Times New Roman" w:hAnsi="Times New Roman" w:eastAsia="宋体" w:cs="Times New Roman"/>
                      <w:b/>
                      <w:bCs w:val="0"/>
                      <w:color w:val="000000" w:themeColor="text1"/>
                      <w:sz w:val="21"/>
                      <w:szCs w:val="21"/>
                      <w:highlight w:val="none"/>
                      <w14:textFill>
                        <w14:solidFill>
                          <w14:schemeClr w14:val="tx1"/>
                        </w14:solidFill>
                      </w14:textFill>
                    </w:rPr>
                    <w:t>ε%</w:t>
                  </w:r>
                </w:p>
              </w:tc>
            </w:tr>
            <w:tr w14:paraId="2EDD6B67">
              <w:tblPrEx>
                <w:tblBorders>
                  <w:top w:val="single" w:color="auto" w:sz="12" w:space="0"/>
                  <w:left w:val="none" w:color="auto" w:sz="0" w:space="0"/>
                  <w:bottom w:val="single" w:color="auto" w:sz="12" w:space="0"/>
                  <w:right w:val="none" w:color="auto" w:sz="0" w:space="0"/>
                  <w:insideH w:val="single" w:color="auto" w:sz="2" w:space="0"/>
                  <w:insideV w:val="single" w:color="auto" w:sz="4" w:space="0"/>
                </w:tblBorders>
                <w:tblCellMar>
                  <w:top w:w="0" w:type="dxa"/>
                  <w:left w:w="108" w:type="dxa"/>
                  <w:bottom w:w="0" w:type="dxa"/>
                  <w:right w:w="108" w:type="dxa"/>
                </w:tblCellMar>
              </w:tblPrEx>
              <w:trPr>
                <w:trHeight w:val="340" w:hRule="atLeast"/>
                <w:jc w:val="center"/>
              </w:trPr>
              <w:tc>
                <w:tcPr>
                  <w:tcW w:w="946" w:type="pct"/>
                  <w:tcBorders>
                    <w:tl2br w:val="nil"/>
                    <w:tr2bl w:val="nil"/>
                  </w:tcBorders>
                  <w:noWrap w:val="0"/>
                  <w:vAlign w:val="center"/>
                </w:tcPr>
                <w:p w14:paraId="5977AC8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水性丙烯酸聚氨酯面漆</w:t>
                  </w:r>
                </w:p>
              </w:tc>
              <w:tc>
                <w:tcPr>
                  <w:tcW w:w="675" w:type="pct"/>
                  <w:tcBorders>
                    <w:tl2br w:val="nil"/>
                    <w:tr2bl w:val="nil"/>
                  </w:tcBorders>
                  <w:noWrap w:val="0"/>
                  <w:vAlign w:val="center"/>
                </w:tcPr>
                <w:p w14:paraId="1942FBE2">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highlight w:val="none"/>
                      <w:lang w:val="en-US" w:eastAsia="zh-CN"/>
                      <w14:textFill>
                        <w14:solidFill>
                          <w14:schemeClr w14:val="tx1"/>
                        </w14:solidFill>
                      </w14:textFill>
                    </w:rPr>
                    <w:t>1.2</w:t>
                  </w:r>
                  <w:r>
                    <w:rPr>
                      <w:rFonts w:hint="eastAsia" w:cs="Times New Roman"/>
                      <w:bCs/>
                      <w:color w:val="000000" w:themeColor="text1"/>
                      <w:sz w:val="21"/>
                      <w:szCs w:val="21"/>
                      <w:highlight w:val="none"/>
                      <w:lang w:val="en-US" w:eastAsia="zh-CN"/>
                      <w14:textFill>
                        <w14:solidFill>
                          <w14:schemeClr w14:val="tx1"/>
                        </w14:solidFill>
                      </w14:textFill>
                    </w:rPr>
                    <w:t>5</w:t>
                  </w:r>
                </w:p>
              </w:tc>
              <w:tc>
                <w:tcPr>
                  <w:tcW w:w="729" w:type="pct"/>
                  <w:tcBorders>
                    <w:tl2br w:val="nil"/>
                    <w:tr2bl w:val="nil"/>
                  </w:tcBorders>
                  <w:noWrap w:val="0"/>
                  <w:vAlign w:val="center"/>
                </w:tcPr>
                <w:p w14:paraId="04868A66">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highlight w:val="none"/>
                      <w:lang w:val="en-US" w:eastAsia="zh-CN"/>
                      <w14:textFill>
                        <w14:solidFill>
                          <w14:schemeClr w14:val="tx1"/>
                        </w14:solidFill>
                      </w14:textFill>
                    </w:rPr>
                    <w:t>20</w:t>
                  </w:r>
                </w:p>
              </w:tc>
              <w:tc>
                <w:tcPr>
                  <w:tcW w:w="760" w:type="pct"/>
                  <w:tcBorders>
                    <w:tl2br w:val="nil"/>
                    <w:tr2bl w:val="nil"/>
                  </w:tcBorders>
                  <w:noWrap w:val="0"/>
                  <w:vAlign w:val="center"/>
                </w:tcPr>
                <w:p w14:paraId="7B17FB8B">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ascii="Times New Roman" w:hAnsi="Times New Roman" w:eastAsia="宋体" w:cs="Times New Roman"/>
                      <w:bCs/>
                      <w:color w:val="000000" w:themeColor="text1"/>
                      <w:sz w:val="21"/>
                      <w:szCs w:val="21"/>
                      <w:highlight w:val="none"/>
                      <w14:textFill>
                        <w14:solidFill>
                          <w14:schemeClr w14:val="tx1"/>
                        </w14:solidFill>
                      </w14:textFill>
                    </w:rPr>
                  </w:pPr>
                  <w:r>
                    <w:rPr>
                      <w:rFonts w:ascii="Times New Roman" w:hAnsi="Times New Roman" w:eastAsia="宋体" w:cs="Times New Roman"/>
                      <w:bCs/>
                      <w:color w:val="000000" w:themeColor="text1"/>
                      <w:sz w:val="21"/>
                      <w:szCs w:val="21"/>
                      <w:highlight w:val="none"/>
                      <w14:textFill>
                        <w14:solidFill>
                          <w14:schemeClr w14:val="tx1"/>
                        </w14:solidFill>
                      </w14:textFill>
                    </w:rPr>
                    <w:t>20</w:t>
                  </w:r>
                </w:p>
              </w:tc>
              <w:tc>
                <w:tcPr>
                  <w:tcW w:w="1052" w:type="pct"/>
                  <w:tcBorders>
                    <w:tl2br w:val="nil"/>
                    <w:tr2bl w:val="nil"/>
                  </w:tcBorders>
                  <w:noWrap w:val="0"/>
                  <w:vAlign w:val="center"/>
                </w:tcPr>
                <w:p w14:paraId="6F6D86CD">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72.7</w:t>
                  </w:r>
                </w:p>
              </w:tc>
              <w:tc>
                <w:tcPr>
                  <w:tcW w:w="835" w:type="pct"/>
                  <w:tcBorders>
                    <w:tl2br w:val="nil"/>
                    <w:tr2bl w:val="nil"/>
                  </w:tcBorders>
                  <w:noWrap w:val="0"/>
                  <w:vAlign w:val="center"/>
                </w:tcPr>
                <w:p w14:paraId="0BCF60EA">
                  <w:pPr>
                    <w:keepNext w:val="0"/>
                    <w:keepLines w:val="0"/>
                    <w:pageBreakBefore w:val="0"/>
                    <w:widowControl w:val="0"/>
                    <w:kinsoku/>
                    <w:wordWrap/>
                    <w:overflowPunct/>
                    <w:topLinePunct w:val="0"/>
                    <w:autoSpaceDE/>
                    <w:autoSpaceDN/>
                    <w:bidi w:val="0"/>
                    <w:adjustRightInd w:val="0"/>
                    <w:snapToGrid/>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eastAsia" w:cs="Times New Roman"/>
                      <w:bCs/>
                      <w:color w:val="000000" w:themeColor="text1"/>
                      <w:sz w:val="21"/>
                      <w:szCs w:val="21"/>
                      <w:highlight w:val="none"/>
                      <w:lang w:val="en-US" w:eastAsia="zh-CN"/>
                      <w14:textFill>
                        <w14:solidFill>
                          <w14:schemeClr w14:val="tx1"/>
                        </w14:solidFill>
                      </w14:textFill>
                    </w:rPr>
                    <w:t>40</w:t>
                  </w:r>
                </w:p>
              </w:tc>
            </w:tr>
          </w:tbl>
          <w:p w14:paraId="5848A9A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平衡块（联轴器）厚8~10mm，</w:t>
            </w:r>
            <w:r>
              <w:rPr>
                <w:rFonts w:hint="eastAsia" w:cs="Times New Roman"/>
                <w:b w:val="0"/>
                <w:bCs w:val="0"/>
                <w:color w:val="000000" w:themeColor="text1"/>
                <w:sz w:val="24"/>
                <w:szCs w:val="24"/>
                <w:highlight w:val="none"/>
                <w:lang w:val="en-US" w:eastAsia="zh-CN"/>
                <w14:textFill>
                  <w14:solidFill>
                    <w14:schemeClr w14:val="tx1"/>
                  </w14:solidFill>
                </w14:textFill>
              </w:rPr>
              <w:t>本次</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评价按照最不利情况8mm核算，平衡块密度为7.2吨/m</w:t>
            </w:r>
            <w:r>
              <w:rPr>
                <w:rFonts w:hint="eastAsia" w:ascii="Times New Roman" w:hAnsi="Times New Roman" w:eastAsia="宋体" w:cs="Times New Roman"/>
                <w:b w:val="0"/>
                <w:bCs w:val="0"/>
                <w:color w:val="000000" w:themeColor="text1"/>
                <w:sz w:val="24"/>
                <w:szCs w:val="24"/>
                <w:highlight w:val="none"/>
                <w:vertAlign w:val="superscript"/>
                <w:lang w:val="en-US" w:eastAsia="zh-CN"/>
                <w14:textFill>
                  <w14:solidFill>
                    <w14:schemeClr w14:val="tx1"/>
                  </w14:solidFill>
                </w14:textFill>
              </w:rPr>
              <w:t>3</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，产品年产量为500万个</w:t>
            </w:r>
            <w:r>
              <w:rPr>
                <w:rFonts w:hint="eastAsia" w:cs="Times New Roman"/>
                <w:b w:val="0"/>
                <w:bCs w:val="0"/>
                <w:color w:val="000000" w:themeColor="text1"/>
                <w:sz w:val="24"/>
                <w:szCs w:val="24"/>
                <w:highlight w:val="none"/>
                <w:lang w:val="en-US" w:eastAsia="zh-CN"/>
                <w14:textFill>
                  <w14:solidFill>
                    <w14:schemeClr w14:val="tx1"/>
                  </w14:solidFill>
                </w14:textFill>
              </w:rPr>
              <w:t>80</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00t，安装面不涂装，根据产品样品可知，平衡块（联轴器）的平均直径为0.</w:t>
            </w:r>
            <w:r>
              <w:rPr>
                <w:rFonts w:hint="eastAsia" w:cs="Times New Roman"/>
                <w:b w:val="0"/>
                <w:bCs w:val="0"/>
                <w:color w:val="000000" w:themeColor="text1"/>
                <w:sz w:val="24"/>
                <w:szCs w:val="24"/>
                <w:highlight w:val="none"/>
                <w:lang w:val="en-US" w:eastAsia="zh-CN"/>
                <w14:textFill>
                  <w14:solidFill>
                    <w14:schemeClr w14:val="tx1"/>
                  </w14:solidFill>
                </w14:textFill>
              </w:rPr>
              <w:t>188</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m，周长为0.</w:t>
            </w:r>
            <w:r>
              <w:rPr>
                <w:rFonts w:hint="eastAsia" w:cs="Times New Roman"/>
                <w:b w:val="0"/>
                <w:bCs w:val="0"/>
                <w:color w:val="000000" w:themeColor="text1"/>
                <w:sz w:val="24"/>
                <w:szCs w:val="24"/>
                <w:highlight w:val="none"/>
                <w:lang w:val="en-US" w:eastAsia="zh-CN"/>
                <w14:textFill>
                  <w14:solidFill>
                    <w14:schemeClr w14:val="tx1"/>
                  </w14:solidFill>
                </w14:textFill>
              </w:rPr>
              <w:t>59</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m，平衡块（联轴器）喷涂面积</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为S=</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π×r</w:t>
            </w:r>
            <w:r>
              <w:rPr>
                <w:rFonts w:hint="default" w:ascii="Times New Roman" w:hAnsi="Times New Roman" w:eastAsia="宋体" w:cs="Times New Roman"/>
                <w:b w:val="0"/>
                <w:bCs w:val="0"/>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+L</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d)</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5000000=</w:t>
            </w:r>
            <w:r>
              <w:rPr>
                <w:rFonts w:hint="eastAsia" w:cs="Times New Roman"/>
                <w:b w:val="0"/>
                <w:bCs w:val="0"/>
                <w:color w:val="000000" w:themeColor="text1"/>
                <w:sz w:val="24"/>
                <w:szCs w:val="24"/>
                <w:highlight w:val="none"/>
                <w:lang w:val="en-US" w:eastAsia="zh-CN"/>
                <w14:textFill>
                  <w14:solidFill>
                    <w14:schemeClr w14:val="tx1"/>
                  </w14:solidFill>
                </w14:textFill>
              </w:rPr>
              <w:t>（3.14</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0.</w:t>
            </w:r>
            <w:r>
              <w:rPr>
                <w:rFonts w:hint="eastAsia" w:cs="Times New Roman"/>
                <w:b w:val="0"/>
                <w:bCs w:val="0"/>
                <w:color w:val="000000" w:themeColor="text1"/>
                <w:sz w:val="24"/>
                <w:szCs w:val="24"/>
                <w:highlight w:val="none"/>
                <w:lang w:val="en-US" w:eastAsia="zh-CN"/>
                <w14:textFill>
                  <w14:solidFill>
                    <w14:schemeClr w14:val="tx1"/>
                  </w14:solidFill>
                </w14:textFill>
              </w:rPr>
              <w:t>094</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0.</w:t>
            </w:r>
            <w:r>
              <w:rPr>
                <w:rFonts w:hint="eastAsia" w:cs="Times New Roman"/>
                <w:b w:val="0"/>
                <w:bCs w:val="0"/>
                <w:color w:val="000000" w:themeColor="text1"/>
                <w:sz w:val="24"/>
                <w:szCs w:val="24"/>
                <w:highlight w:val="none"/>
                <w:lang w:val="en-US" w:eastAsia="zh-CN"/>
                <w14:textFill>
                  <w14:solidFill>
                    <w14:schemeClr w14:val="tx1"/>
                  </w14:solidFill>
                </w14:textFill>
              </w:rPr>
              <w:t>094</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+0.</w:t>
            </w:r>
            <w:r>
              <w:rPr>
                <w:rFonts w:hint="eastAsia" w:cs="Times New Roman"/>
                <w:b w:val="0"/>
                <w:bCs w:val="0"/>
                <w:color w:val="000000" w:themeColor="text1"/>
                <w:sz w:val="24"/>
                <w:szCs w:val="24"/>
                <w:highlight w:val="none"/>
                <w:lang w:val="en-US" w:eastAsia="zh-CN"/>
                <w14:textFill>
                  <w14:solidFill>
                    <w14:schemeClr w14:val="tx1"/>
                  </w14:solidFill>
                </w14:textFill>
              </w:rPr>
              <w:t>59</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0.008</w:t>
            </w:r>
            <w:r>
              <w:rPr>
                <w:rFonts w:hint="eastAsia" w:cs="Times New Roman"/>
                <w:b w:val="0"/>
                <w:bCs w:val="0"/>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500</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10</w:t>
            </w:r>
            <w:r>
              <w:rPr>
                <w:rFonts w:hint="eastAsia" w:ascii="Times New Roman" w:hAnsi="Times New Roman" w:eastAsia="宋体" w:cs="Times New Roman"/>
                <w:b w:val="0"/>
                <w:bCs w:val="0"/>
                <w:color w:val="000000" w:themeColor="text1"/>
                <w:sz w:val="24"/>
                <w:szCs w:val="24"/>
                <w:highlight w:val="none"/>
                <w:vertAlign w:val="superscript"/>
                <w:lang w:val="en-US" w:eastAsia="zh-CN"/>
                <w14:textFill>
                  <w14:solidFill>
                    <w14:schemeClr w14:val="tx1"/>
                  </w14:solidFill>
                </w14:textFill>
              </w:rPr>
              <w:t>4</w:t>
            </w:r>
            <w:r>
              <w:rPr>
                <w:rFonts w:hint="eastAsia"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=162325.2</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m</w:t>
            </w:r>
            <w:r>
              <w:rPr>
                <w:rFonts w:hint="eastAsia" w:ascii="Times New Roman" w:hAnsi="Times New Roman" w:eastAsia="宋体" w:cs="Times New Roman"/>
                <w:b w:val="0"/>
                <w:bCs w:val="0"/>
                <w:color w:val="000000" w:themeColor="text1"/>
                <w:sz w:val="24"/>
                <w:szCs w:val="24"/>
                <w:highlight w:val="none"/>
                <w:vertAlign w:val="superscript"/>
                <w:lang w:val="en-US" w:eastAsia="zh-CN"/>
                <w14:textFill>
                  <w14:solidFill>
                    <w14:schemeClr w14:val="tx1"/>
                  </w14:solidFill>
                </w14:textFill>
              </w:rPr>
              <w:t>2</w:t>
            </w:r>
            <w:r>
              <w:rPr>
                <w:rFonts w:hint="eastAsia" w:ascii="Times New Roman" w:hAnsi="Times New Roman" w:eastAsia="宋体" w:cs="Times New Roman"/>
                <w:b w:val="0"/>
                <w:bCs w:val="0"/>
                <w:color w:val="000000" w:themeColor="text1"/>
                <w:sz w:val="24"/>
                <w:szCs w:val="24"/>
                <w:highlight w:val="none"/>
                <w:vertAlign w:val="baseli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根据油漆计算公式可得：m（</w:t>
            </w:r>
            <w:r>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t>漆料总用量</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w:t>
            </w:r>
            <w:r>
              <w:rPr>
                <w:rFonts w:hint="eastAsia" w:cs="Times New Roman"/>
                <w:b w:val="0"/>
                <w:bCs w:val="0"/>
                <w:color w:val="000000" w:themeColor="text1"/>
                <w:sz w:val="24"/>
                <w:szCs w:val="24"/>
                <w:highlight w:val="none"/>
                <w:lang w:val="en-US" w:eastAsia="zh-CN"/>
                <w14:textFill>
                  <w14:solidFill>
                    <w14:schemeClr w14:val="tx1"/>
                  </w14:solidFill>
                </w14:textFill>
              </w:rPr>
              <w:t>13.96</w:t>
            </w:r>
            <w:r>
              <w:rPr>
                <w:rFonts w:hint="default" w:ascii="Times New Roman" w:hAnsi="Times New Roman" w:eastAsia="宋体" w:cs="Times New Roman"/>
                <w:b w:val="0"/>
                <w:bCs w:val="0"/>
                <w:color w:val="000000" w:themeColor="text1"/>
                <w:sz w:val="24"/>
                <w:szCs w:val="24"/>
                <w:highlight w:val="none"/>
                <w:lang w:val="en-US" w:eastAsia="zh-CN"/>
                <w14:textFill>
                  <w14:solidFill>
                    <w14:schemeClr w14:val="tx1"/>
                  </w14:solidFill>
                </w14:textFill>
              </w:rPr>
              <w:t>t/a。</w:t>
            </w:r>
          </w:p>
          <w:p w14:paraId="06498654">
            <w:pPr>
              <w:shd w:val="clear" w:color="auto" w:fill="auto"/>
              <w:ind w:firstLine="482"/>
              <w:rPr>
                <w:rFonts w:hint="default" w:ascii="Times New Roman" w:hAnsi="Times New Roman" w:cs="Times New Roman"/>
                <w:b/>
                <w:color w:val="000000" w:themeColor="text1"/>
                <w:kern w:val="0"/>
                <w:highlight w:val="none"/>
                <w14:textFill>
                  <w14:solidFill>
                    <w14:schemeClr w14:val="tx1"/>
                  </w14:solidFill>
                </w14:textFill>
              </w:rPr>
            </w:pPr>
            <w:r>
              <w:rPr>
                <w:rFonts w:hint="eastAsia" w:cs="Times New Roman"/>
                <w:b/>
                <w:color w:val="000000" w:themeColor="text1"/>
                <w:highlight w:val="none"/>
                <w:lang w:val="en-US" w:eastAsia="zh-CN"/>
                <w14:textFill>
                  <w14:solidFill>
                    <w14:schemeClr w14:val="tx1"/>
                  </w14:solidFill>
                </w14:textFill>
              </w:rPr>
              <w:t>5</w:t>
            </w:r>
            <w:r>
              <w:rPr>
                <w:rFonts w:hint="default" w:ascii="Times New Roman" w:hAnsi="Times New Roman" w:cs="Times New Roman"/>
                <w:b/>
                <w:color w:val="000000" w:themeColor="text1"/>
                <w:highlight w:val="none"/>
                <w14:textFill>
                  <w14:solidFill>
                    <w14:schemeClr w14:val="tx1"/>
                  </w14:solidFill>
                </w14:textFill>
              </w:rPr>
              <w:t>、</w:t>
            </w:r>
            <w:r>
              <w:rPr>
                <w:rFonts w:hint="default" w:ascii="Times New Roman" w:hAnsi="Times New Roman" w:cs="Times New Roman"/>
                <w:b/>
                <w:color w:val="000000" w:themeColor="text1"/>
                <w:kern w:val="0"/>
                <w:highlight w:val="none"/>
                <w14:textFill>
                  <w14:solidFill>
                    <w14:schemeClr w14:val="tx1"/>
                  </w14:solidFill>
                </w14:textFill>
              </w:rPr>
              <w:t>主要设备</w:t>
            </w:r>
          </w:p>
          <w:p w14:paraId="3092C7ED">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项目主要环保及生产设备详见表2-</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w:t>
            </w:r>
          </w:p>
          <w:p w14:paraId="11E7D70F">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default" w:ascii="Times New Roman" w:hAnsi="Times New Roman" w:cs="Times New Roman"/>
                <w:color w:val="000000" w:themeColor="text1"/>
                <w:sz w:val="24"/>
                <w:highlight w:val="none"/>
                <w:lang w:val="en-US" w:eastAsia="zh-CN"/>
                <w14:textFill>
                  <w14:solidFill>
                    <w14:schemeClr w14:val="tx1"/>
                  </w14:solidFill>
                </w14:textFill>
              </w:rPr>
              <w:t>1</w:t>
            </w:r>
            <w:r>
              <w:rPr>
                <w:rFonts w:hint="eastAsia" w:cs="Times New Roman"/>
                <w:color w:val="000000" w:themeColor="text1"/>
                <w:sz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highlight w:val="none"/>
                <w14:textFill>
                  <w14:solidFill>
                    <w14:schemeClr w14:val="tx1"/>
                  </w14:solidFill>
                </w14:textFill>
              </w:rPr>
              <w:t xml:space="preserve"> 项目主要设备清单</w:t>
            </w:r>
          </w:p>
          <w:tbl>
            <w:tblPr>
              <w:tblStyle w:val="32"/>
              <w:tblW w:w="7968"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05"/>
              <w:gridCol w:w="1104"/>
              <w:gridCol w:w="2946"/>
              <w:gridCol w:w="1500"/>
              <w:gridCol w:w="1313"/>
            </w:tblGrid>
            <w:tr w14:paraId="19B05FA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noWrap w:val="0"/>
                  <w:vAlign w:val="center"/>
                </w:tcPr>
                <w:p w14:paraId="5A57F16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生产工艺</w:t>
                  </w:r>
                </w:p>
              </w:tc>
              <w:tc>
                <w:tcPr>
                  <w:tcW w:w="692" w:type="pct"/>
                  <w:noWrap w:val="0"/>
                  <w:vAlign w:val="center"/>
                </w:tcPr>
                <w:p w14:paraId="4C6ED16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生产单元</w:t>
                  </w:r>
                </w:p>
              </w:tc>
              <w:tc>
                <w:tcPr>
                  <w:tcW w:w="1848" w:type="pct"/>
                  <w:noWrap w:val="0"/>
                  <w:vAlign w:val="center"/>
                </w:tcPr>
                <w:p w14:paraId="2060EA9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生产设备</w:t>
                  </w:r>
                </w:p>
              </w:tc>
              <w:tc>
                <w:tcPr>
                  <w:tcW w:w="941" w:type="pct"/>
                  <w:noWrap w:val="0"/>
                  <w:vAlign w:val="center"/>
                </w:tcPr>
                <w:p w14:paraId="3C213C3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规格型号</w:t>
                  </w:r>
                </w:p>
              </w:tc>
              <w:tc>
                <w:tcPr>
                  <w:tcW w:w="823" w:type="pct"/>
                  <w:noWrap w:val="0"/>
                  <w:vAlign w:val="center"/>
                </w:tcPr>
                <w:p w14:paraId="754FBEA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数量（台）</w:t>
                  </w:r>
                </w:p>
              </w:tc>
            </w:tr>
            <w:tr w14:paraId="4A40AA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restart"/>
                  <w:noWrap w:val="0"/>
                  <w:vAlign w:val="center"/>
                </w:tcPr>
                <w:p w14:paraId="1AEF03F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精密铸造</w:t>
                  </w:r>
                </w:p>
              </w:tc>
              <w:tc>
                <w:tcPr>
                  <w:tcW w:w="692" w:type="pct"/>
                  <w:vMerge w:val="restart"/>
                  <w:noWrap w:val="0"/>
                  <w:vAlign w:val="center"/>
                </w:tcPr>
                <w:p w14:paraId="6947759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熔化</w:t>
                  </w:r>
                </w:p>
              </w:tc>
              <w:tc>
                <w:tcPr>
                  <w:tcW w:w="1848" w:type="pct"/>
                  <w:vMerge w:val="restart"/>
                  <w:noWrap w:val="0"/>
                  <w:vAlign w:val="center"/>
                </w:tcPr>
                <w:p w14:paraId="1361CF0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无芯中频感应炉</w:t>
                  </w:r>
                </w:p>
              </w:tc>
              <w:tc>
                <w:tcPr>
                  <w:tcW w:w="941" w:type="pct"/>
                  <w:noWrap w:val="0"/>
                  <w:vAlign w:val="center"/>
                </w:tcPr>
                <w:p w14:paraId="7FBECD5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w:t>
                  </w:r>
                  <w:r>
                    <w:rPr>
                      <w:rFonts w:hint="eastAsia" w:cs="Times New Roman"/>
                      <w:color w:val="000000" w:themeColor="text1"/>
                      <w:sz w:val="21"/>
                      <w:szCs w:val="21"/>
                      <w:highlight w:val="none"/>
                      <w:lang w:val="en-US" w:eastAsia="zh-CN"/>
                      <w14:textFill>
                        <w14:solidFill>
                          <w14:schemeClr w14:val="tx1"/>
                        </w14:solidFill>
                      </w14:textFill>
                    </w:rPr>
                    <w:t>25</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T</w:t>
                  </w:r>
                </w:p>
              </w:tc>
              <w:tc>
                <w:tcPr>
                  <w:tcW w:w="823" w:type="pct"/>
                  <w:noWrap w:val="0"/>
                  <w:vAlign w:val="center"/>
                </w:tcPr>
                <w:p w14:paraId="61C89A7F">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w:t>
                  </w:r>
                </w:p>
              </w:tc>
            </w:tr>
            <w:tr w14:paraId="5DB8A1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69F5DC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5588820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vMerge w:val="continue"/>
                  <w:noWrap w:val="0"/>
                  <w:vAlign w:val="center"/>
                </w:tcPr>
                <w:p w14:paraId="041DCE9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941" w:type="pct"/>
                  <w:noWrap w:val="0"/>
                  <w:vAlign w:val="center"/>
                </w:tcPr>
                <w:p w14:paraId="192C654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2T</w:t>
                  </w:r>
                </w:p>
              </w:tc>
              <w:tc>
                <w:tcPr>
                  <w:tcW w:w="823" w:type="pct"/>
                  <w:noWrap w:val="0"/>
                  <w:vAlign w:val="center"/>
                </w:tcPr>
                <w:p w14:paraId="55E8B31B">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07D77F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C02D0C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56824C1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制芯</w:t>
                  </w:r>
                </w:p>
              </w:tc>
              <w:tc>
                <w:tcPr>
                  <w:tcW w:w="1848" w:type="pct"/>
                  <w:noWrap w:val="0"/>
                  <w:vAlign w:val="center"/>
                </w:tcPr>
                <w:p w14:paraId="21D696B6">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t>全自动</w:t>
                  </w:r>
                  <w:r>
                    <w:rPr>
                      <w:rFonts w:hint="default" w:ascii="Times New Roman" w:hAnsi="Times New Roman" w:cs="Times New Roman"/>
                      <w:color w:val="000000" w:themeColor="text1"/>
                      <w:sz w:val="21"/>
                      <w:szCs w:val="21"/>
                      <w:highlight w:val="none"/>
                      <w:lang w:val="en-US" w:bidi="ar-SA"/>
                      <w14:textFill>
                        <w14:solidFill>
                          <w14:schemeClr w14:val="tx1"/>
                        </w14:solidFill>
                      </w14:textFill>
                    </w:rPr>
                    <w:t>射芯机</w:t>
                  </w:r>
                </w:p>
              </w:tc>
              <w:tc>
                <w:tcPr>
                  <w:tcW w:w="941" w:type="pct"/>
                  <w:noWrap w:val="0"/>
                  <w:vAlign w:val="center"/>
                </w:tcPr>
                <w:p w14:paraId="38703C2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779E8E6F">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22</w:t>
                  </w:r>
                </w:p>
              </w:tc>
            </w:tr>
            <w:tr w14:paraId="081301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3" w:type="pct"/>
                  <w:vMerge w:val="continue"/>
                  <w:noWrap w:val="0"/>
                  <w:vAlign w:val="center"/>
                </w:tcPr>
                <w:p w14:paraId="713396F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30E0DDB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造型</w:t>
                  </w:r>
                </w:p>
              </w:tc>
              <w:tc>
                <w:tcPr>
                  <w:tcW w:w="1848" w:type="pct"/>
                  <w:noWrap w:val="0"/>
                  <w:vAlign w:val="center"/>
                </w:tcPr>
                <w:p w14:paraId="1959D8FF">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t>全自动</w:t>
                  </w:r>
                  <w:r>
                    <w:rPr>
                      <w:rFonts w:hint="default" w:ascii="Times New Roman" w:hAnsi="Times New Roman" w:cs="Times New Roman"/>
                      <w:color w:val="000000" w:themeColor="text1"/>
                      <w:sz w:val="21"/>
                      <w:szCs w:val="21"/>
                      <w:highlight w:val="none"/>
                      <w:lang w:val="en-US" w:bidi="ar-SA"/>
                      <w14:textFill>
                        <w14:solidFill>
                          <w14:schemeClr w14:val="tx1"/>
                        </w14:solidFill>
                      </w14:textFill>
                    </w:rPr>
                    <w:t>水平分型滑出式造型机</w:t>
                  </w:r>
                </w:p>
              </w:tc>
              <w:tc>
                <w:tcPr>
                  <w:tcW w:w="941" w:type="pct"/>
                  <w:noWrap w:val="0"/>
                  <w:vAlign w:val="center"/>
                </w:tcPr>
                <w:p w14:paraId="617132A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11616F48">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r>
            <w:tr w14:paraId="396C47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20D94E2D">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7679068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7B4FA3C3">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t>全自动</w:t>
                  </w:r>
                  <w:r>
                    <w:rPr>
                      <w:rFonts w:hint="default" w:ascii="Times New Roman" w:hAnsi="Times New Roman" w:cs="Times New Roman"/>
                      <w:color w:val="000000" w:themeColor="text1"/>
                      <w:sz w:val="21"/>
                      <w:szCs w:val="21"/>
                      <w:highlight w:val="none"/>
                      <w:lang w:val="en-US" w:bidi="ar-SA"/>
                      <w14:textFill>
                        <w14:solidFill>
                          <w14:schemeClr w14:val="tx1"/>
                        </w14:solidFill>
                      </w14:textFill>
                    </w:rPr>
                    <w:t>顶箱震压造型机</w:t>
                  </w:r>
                </w:p>
              </w:tc>
              <w:tc>
                <w:tcPr>
                  <w:tcW w:w="941" w:type="pct"/>
                  <w:noWrap w:val="0"/>
                  <w:vAlign w:val="center"/>
                </w:tcPr>
                <w:p w14:paraId="6BF590B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28AE40ED">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8</w:t>
                  </w:r>
                </w:p>
              </w:tc>
            </w:tr>
            <w:tr w14:paraId="77AD170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E86B43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0757C6D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浇注</w:t>
                  </w:r>
                </w:p>
              </w:tc>
              <w:tc>
                <w:tcPr>
                  <w:tcW w:w="1848" w:type="pct"/>
                  <w:noWrap w:val="0"/>
                  <w:vAlign w:val="center"/>
                </w:tcPr>
                <w:p w14:paraId="17436458">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t>铁水包</w:t>
                  </w:r>
                </w:p>
              </w:tc>
              <w:tc>
                <w:tcPr>
                  <w:tcW w:w="941" w:type="pct"/>
                  <w:noWrap w:val="0"/>
                  <w:vAlign w:val="center"/>
                </w:tcPr>
                <w:p w14:paraId="18CBFBD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1.5T</w:t>
                  </w:r>
                </w:p>
              </w:tc>
              <w:tc>
                <w:tcPr>
                  <w:tcW w:w="823" w:type="pct"/>
                  <w:noWrap w:val="0"/>
                  <w:vAlign w:val="center"/>
                </w:tcPr>
                <w:p w14:paraId="12F58C07">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4</w:t>
                  </w:r>
                </w:p>
              </w:tc>
            </w:tr>
            <w:tr w14:paraId="5552C49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CA2D70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288566E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848" w:type="pct"/>
                  <w:noWrap w:val="0"/>
                  <w:vAlign w:val="center"/>
                </w:tcPr>
                <w:p w14:paraId="747109C4">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bidi="ar-SA"/>
                      <w14:textFill>
                        <w14:solidFill>
                          <w14:schemeClr w14:val="tx1"/>
                        </w14:solidFill>
                      </w14:textFill>
                    </w:rPr>
                    <w:t>浇铸机</w:t>
                  </w:r>
                </w:p>
              </w:tc>
              <w:tc>
                <w:tcPr>
                  <w:tcW w:w="941" w:type="pct"/>
                  <w:noWrap w:val="0"/>
                  <w:vAlign w:val="center"/>
                </w:tcPr>
                <w:p w14:paraId="50F82B5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p>
              </w:tc>
              <w:tc>
                <w:tcPr>
                  <w:tcW w:w="823" w:type="pct"/>
                  <w:noWrap w:val="0"/>
                  <w:vAlign w:val="center"/>
                </w:tcPr>
                <w:p w14:paraId="1CF8B10C">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p>
              </w:tc>
            </w:tr>
            <w:tr w14:paraId="5EB201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B055E5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0D1156C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冷却</w:t>
                  </w:r>
                </w:p>
              </w:tc>
              <w:tc>
                <w:tcPr>
                  <w:tcW w:w="1848" w:type="pct"/>
                  <w:noWrap w:val="0"/>
                  <w:vAlign w:val="center"/>
                </w:tcPr>
                <w:p w14:paraId="45C7F0FE">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冷却塔</w:t>
                  </w:r>
                </w:p>
              </w:tc>
              <w:tc>
                <w:tcPr>
                  <w:tcW w:w="941" w:type="pct"/>
                  <w:noWrap w:val="0"/>
                  <w:vAlign w:val="center"/>
                </w:tcPr>
                <w:p w14:paraId="2097345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32D9BCEF">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1CCEA1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restart"/>
                  <w:noWrap w:val="0"/>
                  <w:vAlign w:val="center"/>
                </w:tcPr>
                <w:p w14:paraId="3A64F03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692" w:type="pct"/>
                  <w:vMerge w:val="restart"/>
                  <w:noWrap w:val="0"/>
                  <w:vAlign w:val="center"/>
                </w:tcPr>
                <w:p w14:paraId="36AB756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抛丸</w:t>
                  </w:r>
                </w:p>
              </w:tc>
              <w:tc>
                <w:tcPr>
                  <w:tcW w:w="1848" w:type="pct"/>
                  <w:noWrap w:val="0"/>
                  <w:vAlign w:val="center"/>
                </w:tcPr>
                <w:p w14:paraId="2944AAA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吊钩式抛丸机</w:t>
                  </w:r>
                </w:p>
              </w:tc>
              <w:tc>
                <w:tcPr>
                  <w:tcW w:w="941" w:type="pct"/>
                  <w:noWrap w:val="0"/>
                  <w:vAlign w:val="center"/>
                </w:tcPr>
                <w:p w14:paraId="0300B34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1356889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r>
            <w:tr w14:paraId="73EB18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515DA5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2286F7F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51B6D05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履带式抛丸机</w:t>
                  </w:r>
                </w:p>
              </w:tc>
              <w:tc>
                <w:tcPr>
                  <w:tcW w:w="941" w:type="pct"/>
                  <w:noWrap w:val="0"/>
                  <w:vAlign w:val="center"/>
                </w:tcPr>
                <w:p w14:paraId="4700F0A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709C771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4</w:t>
                  </w:r>
                </w:p>
              </w:tc>
            </w:tr>
            <w:tr w14:paraId="5F54D8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B35265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4085526D">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0E71E817">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t>液压分离钳</w:t>
                  </w:r>
                </w:p>
              </w:tc>
              <w:tc>
                <w:tcPr>
                  <w:tcW w:w="941" w:type="pct"/>
                  <w:noWrap w:val="0"/>
                  <w:vAlign w:val="center"/>
                </w:tcPr>
                <w:p w14:paraId="7546C9C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3A1C61C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r>
            <w:tr w14:paraId="38F7D7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5A1DC7A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4938E3F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6578E8C1">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t>立式砂轮机</w:t>
                  </w:r>
                </w:p>
              </w:tc>
              <w:tc>
                <w:tcPr>
                  <w:tcW w:w="941" w:type="pct"/>
                  <w:noWrap w:val="0"/>
                  <w:vAlign w:val="center"/>
                </w:tcPr>
                <w:p w14:paraId="3937DC9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30FB3FB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6</w:t>
                  </w:r>
                </w:p>
              </w:tc>
            </w:tr>
            <w:tr w14:paraId="70DA48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3FC0D0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4C14A04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22D91C1B">
                  <w:pPr>
                    <w:pStyle w:val="96"/>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bidi="ar-SA"/>
                      <w14:textFill>
                        <w14:solidFill>
                          <w14:schemeClr w14:val="tx1"/>
                        </w14:solidFill>
                      </w14:textFill>
                    </w:rPr>
                    <w:t>车床</w:t>
                  </w:r>
                </w:p>
              </w:tc>
              <w:tc>
                <w:tcPr>
                  <w:tcW w:w="941" w:type="pct"/>
                  <w:noWrap w:val="0"/>
                  <w:vAlign w:val="center"/>
                </w:tcPr>
                <w:p w14:paraId="679EA9A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45A3EBB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30</w:t>
                  </w:r>
                </w:p>
              </w:tc>
            </w:tr>
            <w:tr w14:paraId="32C05A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3" w:type="pct"/>
                  <w:vMerge w:val="continue"/>
                  <w:noWrap w:val="0"/>
                  <w:vAlign w:val="center"/>
                </w:tcPr>
                <w:p w14:paraId="09D1DCD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22A36AF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0F3FD6C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14:textFill>
                        <w14:solidFill>
                          <w14:schemeClr w14:val="tx1"/>
                        </w14:solidFill>
                      </w14:textFill>
                    </w:rPr>
                    <w:t>铣床</w:t>
                  </w:r>
                </w:p>
              </w:tc>
              <w:tc>
                <w:tcPr>
                  <w:tcW w:w="941" w:type="pct"/>
                  <w:noWrap w:val="0"/>
                  <w:vAlign w:val="center"/>
                </w:tcPr>
                <w:p w14:paraId="5FBFF00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823" w:type="pct"/>
                  <w:noWrap w:val="0"/>
                  <w:vAlign w:val="center"/>
                </w:tcPr>
                <w:p w14:paraId="5C6E5CE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15</w:t>
                  </w:r>
                </w:p>
              </w:tc>
            </w:tr>
            <w:tr w14:paraId="158B5F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F76F8C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12351D8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4DB4864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14:textFill>
                        <w14:solidFill>
                          <w14:schemeClr w14:val="tx1"/>
                        </w14:solidFill>
                      </w14:textFill>
                    </w:rPr>
                    <w:t>钻床</w:t>
                  </w:r>
                </w:p>
              </w:tc>
              <w:tc>
                <w:tcPr>
                  <w:tcW w:w="941" w:type="pct"/>
                  <w:noWrap w:val="0"/>
                  <w:vAlign w:val="center"/>
                </w:tcPr>
                <w:p w14:paraId="11C3ECF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35F27F3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23</w:t>
                  </w:r>
                </w:p>
              </w:tc>
            </w:tr>
            <w:tr w14:paraId="265ECE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AAF58B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31419D1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60CB9A9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14:textFill>
                        <w14:solidFill>
                          <w14:schemeClr w14:val="tx1"/>
                        </w14:solidFill>
                      </w14:textFill>
                    </w:rPr>
                    <w:t>加工中心</w:t>
                  </w:r>
                </w:p>
              </w:tc>
              <w:tc>
                <w:tcPr>
                  <w:tcW w:w="941" w:type="pct"/>
                  <w:noWrap w:val="0"/>
                  <w:vAlign w:val="center"/>
                </w:tcPr>
                <w:p w14:paraId="14764EC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3BCF826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6</w:t>
                  </w:r>
                </w:p>
              </w:tc>
            </w:tr>
            <w:tr w14:paraId="1720B7F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952213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4BF03A9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机加工</w:t>
                  </w:r>
                </w:p>
              </w:tc>
              <w:tc>
                <w:tcPr>
                  <w:tcW w:w="1848" w:type="pct"/>
                  <w:noWrap w:val="0"/>
                  <w:vAlign w:val="center"/>
                </w:tcPr>
                <w:p w14:paraId="3CC0221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14:textFill>
                        <w14:solidFill>
                          <w14:schemeClr w14:val="tx1"/>
                        </w14:solidFill>
                      </w14:textFill>
                    </w:rPr>
                    <w:t>气动磨光</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机</w:t>
                  </w:r>
                </w:p>
              </w:tc>
              <w:tc>
                <w:tcPr>
                  <w:tcW w:w="941" w:type="pct"/>
                  <w:noWrap w:val="0"/>
                  <w:vAlign w:val="center"/>
                </w:tcPr>
                <w:p w14:paraId="0085ECE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23B86FB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6</w:t>
                  </w:r>
                </w:p>
              </w:tc>
            </w:tr>
            <w:tr w14:paraId="682734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restart"/>
                  <w:noWrap w:val="0"/>
                  <w:vAlign w:val="center"/>
                </w:tcPr>
                <w:p w14:paraId="75CC05A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喷涂</w:t>
                  </w:r>
                </w:p>
              </w:tc>
              <w:tc>
                <w:tcPr>
                  <w:tcW w:w="692" w:type="pct"/>
                  <w:vMerge w:val="restart"/>
                  <w:noWrap w:val="0"/>
                  <w:vAlign w:val="center"/>
                </w:tcPr>
                <w:p w14:paraId="185AC30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涂装</w:t>
                  </w:r>
                </w:p>
              </w:tc>
              <w:tc>
                <w:tcPr>
                  <w:tcW w:w="1848" w:type="pct"/>
                  <w:noWrap w:val="0"/>
                  <w:vAlign w:val="center"/>
                </w:tcPr>
                <w:p w14:paraId="6DA84E4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喷漆房</w:t>
                  </w:r>
                </w:p>
              </w:tc>
              <w:tc>
                <w:tcPr>
                  <w:tcW w:w="941" w:type="pct"/>
                  <w:noWrap w:val="0"/>
                  <w:vAlign w:val="center"/>
                </w:tcPr>
                <w:p w14:paraId="6C49BB5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4m*6m*3m</w:t>
                  </w:r>
                </w:p>
              </w:tc>
              <w:tc>
                <w:tcPr>
                  <w:tcW w:w="823" w:type="pct"/>
                  <w:noWrap w:val="0"/>
                  <w:vAlign w:val="center"/>
                </w:tcPr>
                <w:p w14:paraId="5FE292C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w:t>
                  </w:r>
                </w:p>
              </w:tc>
            </w:tr>
            <w:tr w14:paraId="64A108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627FC8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4818E8B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848" w:type="pct"/>
                  <w:noWrap w:val="0"/>
                  <w:vAlign w:val="center"/>
                </w:tcPr>
                <w:p w14:paraId="1C032DA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晾干房</w:t>
                  </w:r>
                </w:p>
              </w:tc>
              <w:tc>
                <w:tcPr>
                  <w:tcW w:w="941" w:type="pct"/>
                  <w:noWrap w:val="0"/>
                  <w:vAlign w:val="center"/>
                </w:tcPr>
                <w:p w14:paraId="1E2A7DE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4m*4m*3m</w:t>
                  </w:r>
                </w:p>
              </w:tc>
              <w:tc>
                <w:tcPr>
                  <w:tcW w:w="823" w:type="pct"/>
                  <w:noWrap w:val="0"/>
                  <w:vAlign w:val="center"/>
                </w:tcPr>
                <w:p w14:paraId="71322BD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r>
            <w:tr w14:paraId="6FF706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AFCEE6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22ED1C9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848" w:type="pct"/>
                  <w:noWrap w:val="0"/>
                  <w:vAlign w:val="center"/>
                </w:tcPr>
                <w:p w14:paraId="53D5918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悬挂式流水线</w:t>
                  </w:r>
                </w:p>
              </w:tc>
              <w:tc>
                <w:tcPr>
                  <w:tcW w:w="941" w:type="pct"/>
                  <w:noWrap w:val="0"/>
                  <w:vAlign w:val="center"/>
                </w:tcPr>
                <w:p w14:paraId="5CA9AE1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w:t>
                  </w:r>
                </w:p>
              </w:tc>
              <w:tc>
                <w:tcPr>
                  <w:tcW w:w="823" w:type="pct"/>
                  <w:noWrap w:val="0"/>
                  <w:vAlign w:val="center"/>
                </w:tcPr>
                <w:p w14:paraId="51740A7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r>
            <w:tr w14:paraId="167BC6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D15D32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20ED80E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44A673F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喷枪</w:t>
                  </w:r>
                </w:p>
              </w:tc>
              <w:tc>
                <w:tcPr>
                  <w:tcW w:w="941" w:type="pct"/>
                  <w:noWrap w:val="0"/>
                  <w:vAlign w:val="center"/>
                </w:tcPr>
                <w:p w14:paraId="1172DE4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W-71-</w:t>
                  </w:r>
                  <w:r>
                    <w:rPr>
                      <w:rFonts w:hint="eastAsia" w:cs="Times New Roman"/>
                      <w:color w:val="000000" w:themeColor="text1"/>
                      <w:sz w:val="21"/>
                      <w:szCs w:val="21"/>
                      <w:highlight w:val="none"/>
                      <w:lang w:val="en-US" w:eastAsia="zh-CN"/>
                      <w14:textFill>
                        <w14:solidFill>
                          <w14:schemeClr w14:val="tx1"/>
                        </w14:solidFill>
                      </w14:textFill>
                    </w:rPr>
                    <w:t>2</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G，口径1.</w:t>
                  </w:r>
                  <w:r>
                    <w:rPr>
                      <w:rFonts w:hint="eastAsia" w:cs="Times New Roman"/>
                      <w:color w:val="000000" w:themeColor="text1"/>
                      <w:sz w:val="21"/>
                      <w:szCs w:val="21"/>
                      <w:highlight w:val="none"/>
                      <w:lang w:val="en-US" w:eastAsia="zh-CN"/>
                      <w14:textFill>
                        <w14:solidFill>
                          <w14:schemeClr w14:val="tx1"/>
                        </w14:solidFill>
                      </w14:textFill>
                    </w:rPr>
                    <w:t>3</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mm</w:t>
                  </w:r>
                </w:p>
              </w:tc>
              <w:tc>
                <w:tcPr>
                  <w:tcW w:w="823" w:type="pct"/>
                  <w:noWrap w:val="0"/>
                  <w:vAlign w:val="center"/>
                </w:tcPr>
                <w:p w14:paraId="3EC74C3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2（1备1用）</w:t>
                  </w:r>
                </w:p>
              </w:tc>
            </w:tr>
            <w:tr w14:paraId="4F68CEC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3D9CE2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30B8CE0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4255EAE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水帘柜</w:t>
                  </w:r>
                </w:p>
              </w:tc>
              <w:tc>
                <w:tcPr>
                  <w:tcW w:w="941" w:type="pct"/>
                  <w:noWrap w:val="0"/>
                  <w:vAlign w:val="center"/>
                </w:tcPr>
                <w:p w14:paraId="771ED52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2m*1.2m*2m</w:t>
                  </w:r>
                </w:p>
              </w:tc>
              <w:tc>
                <w:tcPr>
                  <w:tcW w:w="823" w:type="pct"/>
                  <w:noWrap w:val="0"/>
                  <w:vAlign w:val="center"/>
                </w:tcPr>
                <w:p w14:paraId="37103506">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w:t>
                  </w:r>
                </w:p>
              </w:tc>
            </w:tr>
            <w:tr w14:paraId="2DD367C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restart"/>
                  <w:noWrap w:val="0"/>
                  <w:vAlign w:val="center"/>
                </w:tcPr>
                <w:p w14:paraId="5366095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树脂</w:t>
                  </w:r>
                  <w:r>
                    <w:rPr>
                      <w:rFonts w:hint="default" w:ascii="Times New Roman" w:hAnsi="Times New Roman" w:eastAsia="宋体" w:cs="Times New Roman"/>
                      <w:color w:val="000000" w:themeColor="text1"/>
                      <w:sz w:val="21"/>
                      <w:szCs w:val="21"/>
                      <w:highlight w:val="none"/>
                      <w14:textFill>
                        <w14:solidFill>
                          <w14:schemeClr w14:val="tx1"/>
                        </w14:solidFill>
                      </w14:textFill>
                    </w:rPr>
                    <w:t>砂再生</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10t/h</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692" w:type="pct"/>
                  <w:noWrap w:val="0"/>
                  <w:vAlign w:val="center"/>
                </w:tcPr>
                <w:p w14:paraId="295EF34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落砂</w:t>
                  </w:r>
                </w:p>
              </w:tc>
              <w:tc>
                <w:tcPr>
                  <w:tcW w:w="1848" w:type="pct"/>
                  <w:noWrap w:val="0"/>
                  <w:vAlign w:val="center"/>
                </w:tcPr>
                <w:p w14:paraId="19636FD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惯性振动落砂机</w:t>
                  </w:r>
                </w:p>
              </w:tc>
              <w:tc>
                <w:tcPr>
                  <w:tcW w:w="941" w:type="pct"/>
                  <w:noWrap w:val="0"/>
                  <w:vAlign w:val="center"/>
                </w:tcPr>
                <w:p w14:paraId="4B39109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L1210CZ.0</w:t>
                  </w:r>
                </w:p>
              </w:tc>
              <w:tc>
                <w:tcPr>
                  <w:tcW w:w="823" w:type="pct"/>
                  <w:noWrap w:val="0"/>
                  <w:vAlign w:val="center"/>
                </w:tcPr>
                <w:p w14:paraId="3C7E6CA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BECCC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3F78785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noWrap w:val="0"/>
                  <w:vAlign w:val="center"/>
                </w:tcPr>
                <w:p w14:paraId="6E9C5E8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物料输送</w:t>
                  </w:r>
                </w:p>
              </w:tc>
              <w:tc>
                <w:tcPr>
                  <w:tcW w:w="1848" w:type="pct"/>
                  <w:noWrap w:val="0"/>
                  <w:vAlign w:val="center"/>
                </w:tcPr>
                <w:p w14:paraId="7CB4D37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振动输送槽</w:t>
                  </w:r>
                </w:p>
              </w:tc>
              <w:tc>
                <w:tcPr>
                  <w:tcW w:w="941" w:type="pct"/>
                  <w:noWrap w:val="0"/>
                  <w:vAlign w:val="center"/>
                </w:tcPr>
                <w:p w14:paraId="5D5F7B3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ZS0450</w:t>
                  </w:r>
                </w:p>
              </w:tc>
              <w:tc>
                <w:tcPr>
                  <w:tcW w:w="823" w:type="pct"/>
                  <w:noWrap w:val="0"/>
                  <w:vAlign w:val="center"/>
                </w:tcPr>
                <w:p w14:paraId="03BBF5D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40532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6478ED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restart"/>
                  <w:noWrap w:val="0"/>
                  <w:vAlign w:val="center"/>
                </w:tcPr>
                <w:p w14:paraId="2A7978C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磁选</w:t>
                  </w:r>
                </w:p>
              </w:tc>
              <w:tc>
                <w:tcPr>
                  <w:tcW w:w="1848" w:type="pct"/>
                  <w:noWrap w:val="0"/>
                  <w:vAlign w:val="center"/>
                </w:tcPr>
                <w:p w14:paraId="2975024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悬挂磁选机</w:t>
                  </w:r>
                </w:p>
              </w:tc>
              <w:tc>
                <w:tcPr>
                  <w:tcW w:w="941" w:type="pct"/>
                  <w:noWrap w:val="0"/>
                  <w:vAlign w:val="center"/>
                </w:tcPr>
                <w:p w14:paraId="7345049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S995</w:t>
                  </w:r>
                </w:p>
              </w:tc>
              <w:tc>
                <w:tcPr>
                  <w:tcW w:w="823" w:type="pct"/>
                  <w:noWrap w:val="0"/>
                  <w:vAlign w:val="center"/>
                </w:tcPr>
                <w:p w14:paraId="181FFCF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4E9DC8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1E2A53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152237E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2290498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板链式提升机</w:t>
                  </w:r>
                </w:p>
              </w:tc>
              <w:tc>
                <w:tcPr>
                  <w:tcW w:w="941" w:type="pct"/>
                  <w:noWrap w:val="0"/>
                  <w:vAlign w:val="center"/>
                </w:tcPr>
                <w:p w14:paraId="4480540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NE15</w:t>
                  </w:r>
                </w:p>
              </w:tc>
              <w:tc>
                <w:tcPr>
                  <w:tcW w:w="823" w:type="pct"/>
                  <w:noWrap w:val="0"/>
                  <w:vAlign w:val="center"/>
                </w:tcPr>
                <w:p w14:paraId="0AD9164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037840C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D26F79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noWrap w:val="0"/>
                  <w:vAlign w:val="center"/>
                </w:tcPr>
                <w:p w14:paraId="22D346A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破碎</w:t>
                  </w:r>
                </w:p>
              </w:tc>
              <w:tc>
                <w:tcPr>
                  <w:tcW w:w="1848" w:type="pct"/>
                  <w:noWrap w:val="0"/>
                  <w:vAlign w:val="center"/>
                </w:tcPr>
                <w:p w14:paraId="0B89E9E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振动给料机</w:t>
                  </w:r>
                </w:p>
              </w:tc>
              <w:tc>
                <w:tcPr>
                  <w:tcW w:w="941" w:type="pct"/>
                  <w:noWrap w:val="0"/>
                  <w:vAlign w:val="center"/>
                </w:tcPr>
                <w:p w14:paraId="44C4EE8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DZG50120</w:t>
                  </w:r>
                </w:p>
              </w:tc>
              <w:tc>
                <w:tcPr>
                  <w:tcW w:w="823" w:type="pct"/>
                  <w:noWrap w:val="0"/>
                  <w:vAlign w:val="center"/>
                </w:tcPr>
                <w:p w14:paraId="02207D8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BD74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3" w:type="pct"/>
                  <w:vMerge w:val="continue"/>
                  <w:noWrap w:val="0"/>
                  <w:vAlign w:val="center"/>
                </w:tcPr>
                <w:p w14:paraId="664C0C9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noWrap w:val="0"/>
                  <w:vAlign w:val="center"/>
                </w:tcPr>
                <w:p w14:paraId="6EEF04C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振动</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筛分</w:t>
                  </w:r>
                </w:p>
              </w:tc>
              <w:tc>
                <w:tcPr>
                  <w:tcW w:w="1848" w:type="pct"/>
                  <w:noWrap w:val="0"/>
                  <w:vAlign w:val="center"/>
                </w:tcPr>
                <w:p w14:paraId="4DBA886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振动破碎筛分机</w:t>
                  </w:r>
                </w:p>
              </w:tc>
              <w:tc>
                <w:tcPr>
                  <w:tcW w:w="941" w:type="pct"/>
                  <w:noWrap w:val="0"/>
                  <w:vAlign w:val="center"/>
                </w:tcPr>
                <w:p w14:paraId="12307FA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S3310</w:t>
                  </w:r>
                </w:p>
              </w:tc>
              <w:tc>
                <w:tcPr>
                  <w:tcW w:w="823" w:type="pct"/>
                  <w:noWrap w:val="0"/>
                  <w:vAlign w:val="center"/>
                </w:tcPr>
                <w:p w14:paraId="45A7876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07A1B8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2D8EC7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restart"/>
                  <w:noWrap w:val="0"/>
                  <w:vAlign w:val="center"/>
                </w:tcPr>
                <w:p w14:paraId="7326693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磁选</w:t>
                  </w:r>
                </w:p>
              </w:tc>
              <w:tc>
                <w:tcPr>
                  <w:tcW w:w="1848" w:type="pct"/>
                  <w:noWrap w:val="0"/>
                  <w:vAlign w:val="center"/>
                </w:tcPr>
                <w:p w14:paraId="02E3D3D6">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斗式提升机</w:t>
                  </w:r>
                </w:p>
              </w:tc>
              <w:tc>
                <w:tcPr>
                  <w:tcW w:w="941" w:type="pct"/>
                  <w:noWrap w:val="0"/>
                  <w:vAlign w:val="center"/>
                </w:tcPr>
                <w:p w14:paraId="441E97B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DT10</w:t>
                  </w:r>
                </w:p>
              </w:tc>
              <w:tc>
                <w:tcPr>
                  <w:tcW w:w="823" w:type="pct"/>
                  <w:noWrap w:val="0"/>
                  <w:vAlign w:val="center"/>
                </w:tcPr>
                <w:p w14:paraId="05A9A2E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3A1B0E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C63161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07238E3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48" w:type="pct"/>
                  <w:noWrap w:val="0"/>
                  <w:vAlign w:val="center"/>
                </w:tcPr>
                <w:p w14:paraId="10871B0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贯通式磁选机</w:t>
                  </w:r>
                </w:p>
              </w:tc>
              <w:tc>
                <w:tcPr>
                  <w:tcW w:w="941" w:type="pct"/>
                  <w:noWrap w:val="0"/>
                  <w:vAlign w:val="center"/>
                </w:tcPr>
                <w:p w14:paraId="3D2158F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S954B</w:t>
                  </w:r>
                </w:p>
              </w:tc>
              <w:tc>
                <w:tcPr>
                  <w:tcW w:w="823" w:type="pct"/>
                  <w:noWrap w:val="0"/>
                  <w:vAlign w:val="center"/>
                </w:tcPr>
                <w:p w14:paraId="165976E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AA99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348450E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noWrap w:val="0"/>
                  <w:vAlign w:val="center"/>
                </w:tcPr>
                <w:p w14:paraId="101A845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再生</w:t>
                  </w:r>
                </w:p>
              </w:tc>
              <w:tc>
                <w:tcPr>
                  <w:tcW w:w="1848" w:type="pct"/>
                  <w:noWrap w:val="0"/>
                  <w:vAlign w:val="center"/>
                </w:tcPr>
                <w:p w14:paraId="42E606B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涡流式再生机</w:t>
                  </w:r>
                </w:p>
              </w:tc>
              <w:tc>
                <w:tcPr>
                  <w:tcW w:w="941" w:type="pct"/>
                  <w:noWrap w:val="0"/>
                  <w:vAlign w:val="center"/>
                </w:tcPr>
                <w:p w14:paraId="1B2B043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S524</w:t>
                  </w:r>
                  <w:r>
                    <w:rPr>
                      <w:rFonts w:hint="default" w:ascii="Times New Roman" w:hAnsi="Times New Roman" w:eastAsia="仿宋" w:cs="Times New Roman"/>
                      <w:color w:val="000000" w:themeColor="text1"/>
                      <w:kern w:val="1"/>
                      <w:sz w:val="21"/>
                      <w:szCs w:val="21"/>
                      <w:highlight w:val="none"/>
                      <w14:textFill>
                        <w14:solidFill>
                          <w14:schemeClr w14:val="tx1"/>
                        </w14:solidFill>
                      </w14:textFill>
                    </w:rPr>
                    <w:t>Ⅳ</w:t>
                  </w:r>
                  <w:r>
                    <w:rPr>
                      <w:rFonts w:hint="default" w:ascii="Times New Roman" w:hAnsi="Times New Roman" w:cs="Times New Roman"/>
                      <w:color w:val="000000" w:themeColor="text1"/>
                      <w:kern w:val="1"/>
                      <w:sz w:val="21"/>
                      <w:szCs w:val="21"/>
                      <w:highlight w:val="none"/>
                      <w14:textFill>
                        <w14:solidFill>
                          <w14:schemeClr w14:val="tx1"/>
                        </w14:solidFill>
                      </w14:textFill>
                    </w:rPr>
                    <w:t>A</w:t>
                  </w:r>
                </w:p>
              </w:tc>
              <w:tc>
                <w:tcPr>
                  <w:tcW w:w="823" w:type="pct"/>
                  <w:noWrap w:val="0"/>
                  <w:vAlign w:val="center"/>
                </w:tcPr>
                <w:p w14:paraId="5A0840F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6F0F87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3F9BD13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restart"/>
                  <w:noWrap w:val="0"/>
                  <w:vAlign w:val="center"/>
                </w:tcPr>
                <w:p w14:paraId="71F3895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冷却</w:t>
                  </w:r>
                </w:p>
              </w:tc>
              <w:tc>
                <w:tcPr>
                  <w:tcW w:w="1848" w:type="pct"/>
                  <w:noWrap w:val="0"/>
                  <w:vAlign w:val="center"/>
                </w:tcPr>
                <w:p w14:paraId="46E185D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斗式提升机</w:t>
                  </w:r>
                </w:p>
              </w:tc>
              <w:tc>
                <w:tcPr>
                  <w:tcW w:w="941" w:type="pct"/>
                  <w:noWrap w:val="0"/>
                  <w:vAlign w:val="center"/>
                </w:tcPr>
                <w:p w14:paraId="792F608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DT10</w:t>
                  </w:r>
                </w:p>
              </w:tc>
              <w:tc>
                <w:tcPr>
                  <w:tcW w:w="823" w:type="pct"/>
                  <w:noWrap w:val="0"/>
                  <w:vAlign w:val="center"/>
                </w:tcPr>
                <w:p w14:paraId="38B2A6B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67B1FD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012FCF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7BC2153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48" w:type="pct"/>
                  <w:noWrap w:val="0"/>
                  <w:vAlign w:val="center"/>
                </w:tcPr>
                <w:p w14:paraId="0A3A5D7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砂定量闸门</w:t>
                  </w:r>
                </w:p>
              </w:tc>
              <w:tc>
                <w:tcPr>
                  <w:tcW w:w="941" w:type="pct"/>
                  <w:noWrap w:val="0"/>
                  <w:vAlign w:val="center"/>
                </w:tcPr>
                <w:p w14:paraId="338BE83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TYM1</w:t>
                  </w:r>
                </w:p>
              </w:tc>
              <w:tc>
                <w:tcPr>
                  <w:tcW w:w="823" w:type="pct"/>
                  <w:noWrap w:val="0"/>
                  <w:vAlign w:val="center"/>
                </w:tcPr>
                <w:p w14:paraId="447922D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3</w:t>
                  </w:r>
                </w:p>
              </w:tc>
            </w:tr>
            <w:tr w14:paraId="195BBB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3A420AB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7C59F64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79DB36A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沸腾式冷却床</w:t>
                  </w:r>
                </w:p>
              </w:tc>
              <w:tc>
                <w:tcPr>
                  <w:tcW w:w="941" w:type="pct"/>
                  <w:noWrap w:val="0"/>
                  <w:vAlign w:val="center"/>
                </w:tcPr>
                <w:p w14:paraId="3D1BF0A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FT</w:t>
                  </w:r>
                  <w:r>
                    <w:rPr>
                      <w:rFonts w:hint="default" w:ascii="Times New Roman" w:hAnsi="Times New Roman" w:cs="Times New Roman"/>
                      <w:color w:val="000000" w:themeColor="text1"/>
                      <w:kern w:val="1"/>
                      <w:sz w:val="21"/>
                      <w:szCs w:val="21"/>
                      <w:highlight w:val="none"/>
                      <w14:textFill>
                        <w14:solidFill>
                          <w14:schemeClr w14:val="tx1"/>
                        </w14:solidFill>
                      </w14:textFill>
                    </w:rPr>
                    <w:t>B-10JDZ</w:t>
                  </w:r>
                </w:p>
              </w:tc>
              <w:tc>
                <w:tcPr>
                  <w:tcW w:w="823" w:type="pct"/>
                  <w:noWrap w:val="0"/>
                  <w:vAlign w:val="center"/>
                </w:tcPr>
                <w:p w14:paraId="0DB7CEF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4C7DF9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0A3EA2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387718A8">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232D02D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沸腾床水控系统</w:t>
                  </w:r>
                </w:p>
              </w:tc>
              <w:tc>
                <w:tcPr>
                  <w:tcW w:w="941" w:type="pct"/>
                  <w:noWrap w:val="0"/>
                  <w:vAlign w:val="center"/>
                </w:tcPr>
                <w:p w14:paraId="7E8C6FB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S528JDZ-SK</w:t>
                  </w:r>
                </w:p>
              </w:tc>
              <w:tc>
                <w:tcPr>
                  <w:tcW w:w="823" w:type="pct"/>
                  <w:noWrap w:val="0"/>
                  <w:vAlign w:val="center"/>
                </w:tcPr>
                <w:p w14:paraId="5714E3B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09F146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FE45E6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restart"/>
                  <w:noWrap w:val="0"/>
                  <w:vAlign w:val="center"/>
                </w:tcPr>
                <w:p w14:paraId="5F5F8E8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混砂</w:t>
                  </w:r>
                </w:p>
              </w:tc>
              <w:tc>
                <w:tcPr>
                  <w:tcW w:w="1848" w:type="pct"/>
                  <w:noWrap w:val="0"/>
                  <w:vAlign w:val="center"/>
                </w:tcPr>
                <w:p w14:paraId="510F1EF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斗式提升机</w:t>
                  </w:r>
                </w:p>
              </w:tc>
              <w:tc>
                <w:tcPr>
                  <w:tcW w:w="941" w:type="pct"/>
                  <w:noWrap w:val="0"/>
                  <w:vAlign w:val="center"/>
                </w:tcPr>
                <w:p w14:paraId="156E99D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DT10</w:t>
                  </w:r>
                </w:p>
              </w:tc>
              <w:tc>
                <w:tcPr>
                  <w:tcW w:w="823" w:type="pct"/>
                  <w:noWrap w:val="0"/>
                  <w:vAlign w:val="center"/>
                </w:tcPr>
                <w:p w14:paraId="66CBDFE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542085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5DC9273D">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2820F4B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5595133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螺旋输送器</w:t>
                  </w:r>
                </w:p>
              </w:tc>
              <w:tc>
                <w:tcPr>
                  <w:tcW w:w="941" w:type="pct"/>
                  <w:noWrap w:val="0"/>
                  <w:vAlign w:val="center"/>
                </w:tcPr>
                <w:p w14:paraId="531B510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Y4220</w:t>
                  </w:r>
                </w:p>
              </w:tc>
              <w:tc>
                <w:tcPr>
                  <w:tcW w:w="823" w:type="pct"/>
                  <w:noWrap w:val="0"/>
                  <w:vAlign w:val="center"/>
                </w:tcPr>
                <w:p w14:paraId="77E062A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5A61C7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9F1BD6E">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78DAB15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3EAB72D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10t/h固定式连续双臂混砂机</w:t>
                  </w:r>
                </w:p>
              </w:tc>
              <w:tc>
                <w:tcPr>
                  <w:tcW w:w="941" w:type="pct"/>
                  <w:noWrap w:val="0"/>
                  <w:vAlign w:val="center"/>
                </w:tcPr>
                <w:p w14:paraId="05411EC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S2510</w:t>
                  </w:r>
                </w:p>
              </w:tc>
              <w:tc>
                <w:tcPr>
                  <w:tcW w:w="823" w:type="pct"/>
                  <w:noWrap w:val="0"/>
                  <w:vAlign w:val="center"/>
                </w:tcPr>
                <w:p w14:paraId="024B640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28F4C9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37D1FC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noWrap w:val="0"/>
                  <w:vAlign w:val="center"/>
                </w:tcPr>
                <w:p w14:paraId="423D535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储存</w:t>
                  </w:r>
                </w:p>
              </w:tc>
              <w:tc>
                <w:tcPr>
                  <w:tcW w:w="1848" w:type="pct"/>
                  <w:noWrap w:val="0"/>
                  <w:vAlign w:val="center"/>
                </w:tcPr>
                <w:p w14:paraId="777CFBC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阻旋式料位计</w:t>
                  </w:r>
                </w:p>
              </w:tc>
              <w:tc>
                <w:tcPr>
                  <w:tcW w:w="941" w:type="pct"/>
                  <w:noWrap w:val="0"/>
                  <w:vAlign w:val="center"/>
                </w:tcPr>
                <w:p w14:paraId="53EFE2B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C18系列</w:t>
                  </w:r>
                </w:p>
              </w:tc>
              <w:tc>
                <w:tcPr>
                  <w:tcW w:w="823" w:type="pct"/>
                  <w:noWrap w:val="0"/>
                  <w:vAlign w:val="center"/>
                </w:tcPr>
                <w:p w14:paraId="5FA7BE8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6</w:t>
                  </w:r>
                </w:p>
              </w:tc>
            </w:tr>
            <w:tr w14:paraId="4BCB08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1BCED8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restart"/>
                  <w:noWrap w:val="0"/>
                  <w:vAlign w:val="center"/>
                </w:tcPr>
                <w:p w14:paraId="003C01D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环保设备</w:t>
                  </w:r>
                </w:p>
              </w:tc>
              <w:tc>
                <w:tcPr>
                  <w:tcW w:w="1848" w:type="pct"/>
                  <w:noWrap w:val="0"/>
                  <w:vAlign w:val="center"/>
                </w:tcPr>
                <w:p w14:paraId="101515E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离心式风机</w:t>
                  </w:r>
                </w:p>
              </w:tc>
              <w:tc>
                <w:tcPr>
                  <w:tcW w:w="941" w:type="pct"/>
                  <w:noWrap w:val="0"/>
                  <w:vAlign w:val="center"/>
                </w:tcPr>
                <w:p w14:paraId="2B9BF45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4-72ND10C</w:t>
                  </w:r>
                </w:p>
              </w:tc>
              <w:tc>
                <w:tcPr>
                  <w:tcW w:w="823" w:type="pct"/>
                  <w:noWrap w:val="0"/>
                  <w:vAlign w:val="center"/>
                </w:tcPr>
                <w:p w14:paraId="6CA5407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FC40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BD9014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92" w:type="pct"/>
                  <w:vMerge w:val="continue"/>
                  <w:noWrap w:val="0"/>
                  <w:vAlign w:val="center"/>
                </w:tcPr>
                <w:p w14:paraId="4612150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6B93AEA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脉冲反吹式布袋除尘器</w:t>
                  </w:r>
                </w:p>
              </w:tc>
              <w:tc>
                <w:tcPr>
                  <w:tcW w:w="941" w:type="pct"/>
                  <w:noWrap w:val="0"/>
                  <w:vAlign w:val="center"/>
                </w:tcPr>
                <w:p w14:paraId="212E3DA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JSMC400</w:t>
                  </w:r>
                </w:p>
              </w:tc>
              <w:tc>
                <w:tcPr>
                  <w:tcW w:w="823" w:type="pct"/>
                  <w:noWrap w:val="0"/>
                  <w:vAlign w:val="center"/>
                </w:tcPr>
                <w:p w14:paraId="2260383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35CD84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restart"/>
                  <w:noWrap w:val="0"/>
                  <w:vAlign w:val="center"/>
                </w:tcPr>
                <w:p w14:paraId="3244139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粘土砂再生</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0t/h</w:t>
                  </w: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t>）</w:t>
                  </w:r>
                </w:p>
              </w:tc>
              <w:tc>
                <w:tcPr>
                  <w:tcW w:w="692" w:type="pct"/>
                  <w:noWrap w:val="0"/>
                  <w:vAlign w:val="center"/>
                </w:tcPr>
                <w:p w14:paraId="76AEA85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落砂</w:t>
                  </w:r>
                </w:p>
              </w:tc>
              <w:tc>
                <w:tcPr>
                  <w:tcW w:w="1848" w:type="pct"/>
                  <w:noWrap w:val="0"/>
                  <w:vAlign w:val="center"/>
                </w:tcPr>
                <w:p w14:paraId="482C2C3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振动落砂机</w:t>
                  </w:r>
                </w:p>
              </w:tc>
              <w:tc>
                <w:tcPr>
                  <w:tcW w:w="941" w:type="pct"/>
                  <w:noWrap w:val="0"/>
                  <w:vAlign w:val="center"/>
                </w:tcPr>
                <w:p w14:paraId="176AD32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L252LPBD</w:t>
                  </w:r>
                </w:p>
              </w:tc>
              <w:tc>
                <w:tcPr>
                  <w:tcW w:w="823" w:type="pct"/>
                  <w:noWrap w:val="0"/>
                  <w:vAlign w:val="center"/>
                </w:tcPr>
                <w:p w14:paraId="352C26F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627CF9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521B279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14D83F6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物料输送</w:t>
                  </w:r>
                </w:p>
              </w:tc>
              <w:tc>
                <w:tcPr>
                  <w:tcW w:w="1848" w:type="pct"/>
                  <w:noWrap w:val="0"/>
                  <w:vAlign w:val="center"/>
                </w:tcPr>
                <w:p w14:paraId="5CA93B4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耐热皮带输送机</w:t>
                  </w:r>
                </w:p>
              </w:tc>
              <w:tc>
                <w:tcPr>
                  <w:tcW w:w="941" w:type="pct"/>
                  <w:noWrap w:val="0"/>
                  <w:vAlign w:val="center"/>
                </w:tcPr>
                <w:p w14:paraId="3CD1A23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Y335LPBD1.0</w:t>
                  </w:r>
                </w:p>
              </w:tc>
              <w:tc>
                <w:tcPr>
                  <w:tcW w:w="823" w:type="pct"/>
                  <w:noWrap w:val="0"/>
                  <w:vAlign w:val="center"/>
                </w:tcPr>
                <w:p w14:paraId="40F48AA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1A51ED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4B06E8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607267E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磁选</w:t>
                  </w:r>
                </w:p>
              </w:tc>
              <w:tc>
                <w:tcPr>
                  <w:tcW w:w="1848" w:type="pct"/>
                  <w:noWrap w:val="0"/>
                  <w:vAlign w:val="center"/>
                </w:tcPr>
                <w:p w14:paraId="60F8348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悬挂磁选机</w:t>
                  </w:r>
                </w:p>
              </w:tc>
              <w:tc>
                <w:tcPr>
                  <w:tcW w:w="941" w:type="pct"/>
                  <w:noWrap w:val="0"/>
                  <w:vAlign w:val="center"/>
                </w:tcPr>
                <w:p w14:paraId="23E8A9C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S995</w:t>
                  </w:r>
                </w:p>
              </w:tc>
              <w:tc>
                <w:tcPr>
                  <w:tcW w:w="823" w:type="pct"/>
                  <w:noWrap w:val="0"/>
                  <w:vAlign w:val="center"/>
                </w:tcPr>
                <w:p w14:paraId="33FE66C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8ABE3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281EC42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11A4DE4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6361777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磁选头轮</w:t>
                  </w:r>
                </w:p>
              </w:tc>
              <w:tc>
                <w:tcPr>
                  <w:tcW w:w="941" w:type="pct"/>
                  <w:noWrap w:val="0"/>
                  <w:vAlign w:val="center"/>
                </w:tcPr>
                <w:p w14:paraId="5EF91B2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S</w:t>
                  </w:r>
                  <w:r>
                    <w:rPr>
                      <w:rFonts w:hint="default" w:ascii="Times New Roman" w:hAnsi="Times New Roman" w:cs="Times New Roman"/>
                      <w:color w:val="000000" w:themeColor="text1"/>
                      <w:kern w:val="1"/>
                      <w:sz w:val="21"/>
                      <w:szCs w:val="21"/>
                      <w:highlight w:val="none"/>
                      <w14:textFill>
                        <w14:solidFill>
                          <w14:schemeClr w14:val="tx1"/>
                        </w14:solidFill>
                      </w14:textFill>
                    </w:rPr>
                    <w:t>975</w:t>
                  </w:r>
                </w:p>
              </w:tc>
              <w:tc>
                <w:tcPr>
                  <w:tcW w:w="823" w:type="pct"/>
                  <w:noWrap w:val="0"/>
                  <w:vAlign w:val="center"/>
                </w:tcPr>
                <w:p w14:paraId="227B0C2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313F98D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A6E9CE5">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369DEDA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筛分</w:t>
                  </w:r>
                </w:p>
              </w:tc>
              <w:tc>
                <w:tcPr>
                  <w:tcW w:w="1848" w:type="pct"/>
                  <w:noWrap w:val="0"/>
                  <w:vAlign w:val="center"/>
                </w:tcPr>
                <w:p w14:paraId="50A32ED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斗式提升机</w:t>
                  </w:r>
                </w:p>
              </w:tc>
              <w:tc>
                <w:tcPr>
                  <w:tcW w:w="941" w:type="pct"/>
                  <w:noWrap w:val="0"/>
                  <w:vAlign w:val="center"/>
                </w:tcPr>
                <w:p w14:paraId="2D72CAE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Y3725</w:t>
                  </w:r>
                </w:p>
              </w:tc>
              <w:tc>
                <w:tcPr>
                  <w:tcW w:w="823" w:type="pct"/>
                  <w:noWrap w:val="0"/>
                  <w:vAlign w:val="center"/>
                </w:tcPr>
                <w:p w14:paraId="52BF9EE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3</w:t>
                  </w:r>
                </w:p>
              </w:tc>
            </w:tr>
            <w:tr w14:paraId="49577B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551988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3444201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0A0F1F3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精细六角筛</w:t>
                  </w:r>
                </w:p>
              </w:tc>
              <w:tc>
                <w:tcPr>
                  <w:tcW w:w="941" w:type="pct"/>
                  <w:noWrap w:val="0"/>
                  <w:vAlign w:val="center"/>
                </w:tcPr>
                <w:p w14:paraId="3B6B547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S4311</w:t>
                  </w:r>
                </w:p>
              </w:tc>
              <w:tc>
                <w:tcPr>
                  <w:tcW w:w="823" w:type="pct"/>
                  <w:noWrap w:val="0"/>
                  <w:vAlign w:val="center"/>
                </w:tcPr>
                <w:p w14:paraId="1D090F7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6BB74A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7C73F5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07252CC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7A0A476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皮带给料机</w:t>
                  </w:r>
                </w:p>
              </w:tc>
              <w:tc>
                <w:tcPr>
                  <w:tcW w:w="941" w:type="pct"/>
                  <w:noWrap w:val="0"/>
                  <w:vAlign w:val="center"/>
                </w:tcPr>
                <w:p w14:paraId="2A22E1D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Y335LPBD2.0</w:t>
                  </w:r>
                </w:p>
              </w:tc>
              <w:tc>
                <w:tcPr>
                  <w:tcW w:w="823" w:type="pct"/>
                  <w:noWrap w:val="0"/>
                  <w:vAlign w:val="center"/>
                </w:tcPr>
                <w:p w14:paraId="029877D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24CB32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326987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noWrap w:val="0"/>
                  <w:vAlign w:val="center"/>
                </w:tcPr>
                <w:p w14:paraId="17235B5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冷却</w:t>
                  </w:r>
                </w:p>
              </w:tc>
              <w:tc>
                <w:tcPr>
                  <w:tcW w:w="1848" w:type="pct"/>
                  <w:noWrap w:val="0"/>
                  <w:vAlign w:val="center"/>
                </w:tcPr>
                <w:p w14:paraId="53A7ACA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沸腾式冷却床</w:t>
                  </w:r>
                </w:p>
              </w:tc>
              <w:tc>
                <w:tcPr>
                  <w:tcW w:w="941" w:type="pct"/>
                  <w:noWrap w:val="0"/>
                  <w:vAlign w:val="center"/>
                </w:tcPr>
                <w:p w14:paraId="5AAF3FE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SL8609</w:t>
                  </w:r>
                </w:p>
              </w:tc>
              <w:tc>
                <w:tcPr>
                  <w:tcW w:w="823" w:type="pct"/>
                  <w:noWrap w:val="0"/>
                  <w:vAlign w:val="center"/>
                </w:tcPr>
                <w:p w14:paraId="31DCEF5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4B1633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53FCB446">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3A62409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振动筛分</w:t>
                  </w:r>
                </w:p>
              </w:tc>
              <w:tc>
                <w:tcPr>
                  <w:tcW w:w="1848" w:type="pct"/>
                  <w:noWrap w:val="0"/>
                  <w:vAlign w:val="center"/>
                </w:tcPr>
                <w:p w14:paraId="0DB002F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直线振动筛</w:t>
                  </w:r>
                </w:p>
              </w:tc>
              <w:tc>
                <w:tcPr>
                  <w:tcW w:w="941" w:type="pct"/>
                  <w:noWrap w:val="0"/>
                  <w:vAlign w:val="center"/>
                </w:tcPr>
                <w:p w14:paraId="2D47471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S456</w:t>
                  </w:r>
                </w:p>
              </w:tc>
              <w:tc>
                <w:tcPr>
                  <w:tcW w:w="823" w:type="pct"/>
                  <w:noWrap w:val="0"/>
                  <w:vAlign w:val="center"/>
                </w:tcPr>
                <w:p w14:paraId="1E2F44F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3D672B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A84C5F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16CE9934">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0A45EAC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低阻旋风除尘器</w:t>
                  </w:r>
                </w:p>
              </w:tc>
              <w:tc>
                <w:tcPr>
                  <w:tcW w:w="941" w:type="pct"/>
                  <w:noWrap w:val="0"/>
                  <w:vAlign w:val="center"/>
                </w:tcPr>
                <w:p w14:paraId="04933CD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F33160</w:t>
                  </w:r>
                </w:p>
              </w:tc>
              <w:tc>
                <w:tcPr>
                  <w:tcW w:w="823" w:type="pct"/>
                  <w:noWrap w:val="0"/>
                  <w:vAlign w:val="center"/>
                </w:tcPr>
                <w:p w14:paraId="2B333C2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0E9BBA1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06C9C5C">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1CEA621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混砂</w:t>
                  </w:r>
                </w:p>
              </w:tc>
              <w:tc>
                <w:tcPr>
                  <w:tcW w:w="1848" w:type="pct"/>
                  <w:noWrap w:val="0"/>
                  <w:vAlign w:val="center"/>
                </w:tcPr>
                <w:p w14:paraId="09DBE82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皮带给料机</w:t>
                  </w:r>
                </w:p>
              </w:tc>
              <w:tc>
                <w:tcPr>
                  <w:tcW w:w="941" w:type="pct"/>
                  <w:noWrap w:val="0"/>
                  <w:vAlign w:val="center"/>
                </w:tcPr>
                <w:p w14:paraId="29BD321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Y335LPBD3.0</w:t>
                  </w:r>
                </w:p>
              </w:tc>
              <w:tc>
                <w:tcPr>
                  <w:tcW w:w="823" w:type="pct"/>
                  <w:noWrap w:val="0"/>
                  <w:vAlign w:val="center"/>
                </w:tcPr>
                <w:p w14:paraId="573089C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146E7A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5746A5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3CE1DD8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26BE118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气动定量斗</w:t>
                  </w:r>
                </w:p>
              </w:tc>
              <w:tc>
                <w:tcPr>
                  <w:tcW w:w="941" w:type="pct"/>
                  <w:noWrap w:val="0"/>
                  <w:vAlign w:val="center"/>
                </w:tcPr>
                <w:p w14:paraId="0DA5043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DLD600C</w:t>
                  </w:r>
                </w:p>
              </w:tc>
              <w:tc>
                <w:tcPr>
                  <w:tcW w:w="823" w:type="pct"/>
                  <w:noWrap w:val="0"/>
                  <w:vAlign w:val="center"/>
                </w:tcPr>
                <w:p w14:paraId="357E2FC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640C19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1B8BCD0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3C97B1B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5303222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螺旋给料机</w:t>
                  </w:r>
                </w:p>
              </w:tc>
              <w:tc>
                <w:tcPr>
                  <w:tcW w:w="941" w:type="pct"/>
                  <w:noWrap w:val="0"/>
                  <w:vAlign w:val="center"/>
                </w:tcPr>
                <w:p w14:paraId="1BAED48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Y4215B</w:t>
                  </w:r>
                </w:p>
              </w:tc>
              <w:tc>
                <w:tcPr>
                  <w:tcW w:w="823" w:type="pct"/>
                  <w:noWrap w:val="0"/>
                  <w:vAlign w:val="center"/>
                </w:tcPr>
                <w:p w14:paraId="5BA2B19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3</w:t>
                  </w:r>
                </w:p>
              </w:tc>
            </w:tr>
            <w:tr w14:paraId="796CAE0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3DFBB393">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54661B1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76C3711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敷料提升系统</w:t>
                  </w:r>
                </w:p>
              </w:tc>
              <w:tc>
                <w:tcPr>
                  <w:tcW w:w="941" w:type="pct"/>
                  <w:noWrap w:val="0"/>
                  <w:vAlign w:val="center"/>
                </w:tcPr>
                <w:p w14:paraId="2EEE485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CD11-9</w:t>
                  </w:r>
                </w:p>
              </w:tc>
              <w:tc>
                <w:tcPr>
                  <w:tcW w:w="823" w:type="pct"/>
                  <w:noWrap w:val="0"/>
                  <w:vAlign w:val="center"/>
                </w:tcPr>
                <w:p w14:paraId="58FCBAD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A6437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D4C46F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760B81E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2AF2626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定量加水器</w:t>
                  </w:r>
                </w:p>
              </w:tc>
              <w:tc>
                <w:tcPr>
                  <w:tcW w:w="941" w:type="pct"/>
                  <w:noWrap w:val="0"/>
                  <w:vAlign w:val="center"/>
                </w:tcPr>
                <w:p w14:paraId="3B53622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BJG800</w:t>
                  </w:r>
                </w:p>
              </w:tc>
              <w:tc>
                <w:tcPr>
                  <w:tcW w:w="823" w:type="pct"/>
                  <w:noWrap w:val="0"/>
                  <w:vAlign w:val="center"/>
                </w:tcPr>
                <w:p w14:paraId="775A106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7992E9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66EFFC8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1BF1880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43E07A2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20t/h</w:t>
                  </w:r>
                  <w:r>
                    <w:rPr>
                      <w:rFonts w:hint="default" w:ascii="Times New Roman" w:hAnsi="Times New Roman" w:cs="Times New Roman"/>
                      <w:color w:val="000000" w:themeColor="text1"/>
                      <w:kern w:val="1"/>
                      <w:sz w:val="21"/>
                      <w:szCs w:val="21"/>
                      <w:highlight w:val="none"/>
                      <w14:textFill>
                        <w14:solidFill>
                          <w14:schemeClr w14:val="tx1"/>
                        </w14:solidFill>
                      </w14:textFill>
                    </w:rPr>
                    <w:t>高效转子混砂机</w:t>
                  </w:r>
                </w:p>
              </w:tc>
              <w:tc>
                <w:tcPr>
                  <w:tcW w:w="941" w:type="pct"/>
                  <w:noWrap w:val="0"/>
                  <w:vAlign w:val="center"/>
                </w:tcPr>
                <w:p w14:paraId="1196E36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GS16-22</w:t>
                  </w:r>
                </w:p>
              </w:tc>
              <w:tc>
                <w:tcPr>
                  <w:tcW w:w="823" w:type="pct"/>
                  <w:noWrap w:val="0"/>
                  <w:vAlign w:val="center"/>
                </w:tcPr>
                <w:p w14:paraId="0CB0F19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225705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FDE562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44297CA1">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储存</w:t>
                  </w:r>
                </w:p>
              </w:tc>
              <w:tc>
                <w:tcPr>
                  <w:tcW w:w="1848" w:type="pct"/>
                  <w:noWrap w:val="0"/>
                  <w:vAlign w:val="center"/>
                </w:tcPr>
                <w:p w14:paraId="75630D6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型砂皮带输送机</w:t>
                  </w:r>
                </w:p>
              </w:tc>
              <w:tc>
                <w:tcPr>
                  <w:tcW w:w="941" w:type="pct"/>
                  <w:noWrap w:val="0"/>
                  <w:vAlign w:val="center"/>
                </w:tcPr>
                <w:p w14:paraId="41C1B14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Y337LPBD4.0</w:t>
                  </w:r>
                </w:p>
              </w:tc>
              <w:tc>
                <w:tcPr>
                  <w:tcW w:w="823" w:type="pct"/>
                  <w:noWrap w:val="0"/>
                  <w:vAlign w:val="center"/>
                </w:tcPr>
                <w:p w14:paraId="067F023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0F3F6B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E4A2BA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54C14267">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7D9751F3">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气动双侧犁式卸料器</w:t>
                  </w:r>
                </w:p>
              </w:tc>
              <w:tc>
                <w:tcPr>
                  <w:tcW w:w="941" w:type="pct"/>
                  <w:noWrap w:val="0"/>
                  <w:vAlign w:val="center"/>
                </w:tcPr>
                <w:p w14:paraId="6065EBB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LXS7.0</w:t>
                  </w:r>
                </w:p>
              </w:tc>
              <w:tc>
                <w:tcPr>
                  <w:tcW w:w="823" w:type="pct"/>
                  <w:noWrap w:val="0"/>
                  <w:vAlign w:val="center"/>
                </w:tcPr>
                <w:p w14:paraId="4713D627">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2</w:t>
                  </w:r>
                </w:p>
              </w:tc>
            </w:tr>
            <w:tr w14:paraId="26AA73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D55F312">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07306B6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3B8547A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皮带给料机</w:t>
                  </w:r>
                </w:p>
              </w:tc>
              <w:tc>
                <w:tcPr>
                  <w:tcW w:w="941" w:type="pct"/>
                  <w:noWrap w:val="0"/>
                  <w:vAlign w:val="center"/>
                </w:tcPr>
                <w:p w14:paraId="647A230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Y335LPBD5.0</w:t>
                  </w:r>
                </w:p>
              </w:tc>
              <w:tc>
                <w:tcPr>
                  <w:tcW w:w="823" w:type="pct"/>
                  <w:noWrap w:val="0"/>
                  <w:vAlign w:val="center"/>
                </w:tcPr>
                <w:p w14:paraId="730088D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23935F2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4D870B2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60BABEBF">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003CAEB6">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阻旋式料位计</w:t>
                  </w:r>
                </w:p>
              </w:tc>
              <w:tc>
                <w:tcPr>
                  <w:tcW w:w="941" w:type="pct"/>
                  <w:noWrap w:val="0"/>
                  <w:vAlign w:val="center"/>
                </w:tcPr>
                <w:p w14:paraId="7D69863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C18系列</w:t>
                  </w:r>
                </w:p>
              </w:tc>
              <w:tc>
                <w:tcPr>
                  <w:tcW w:w="823" w:type="pct"/>
                  <w:noWrap w:val="0"/>
                  <w:vAlign w:val="center"/>
                </w:tcPr>
                <w:p w14:paraId="0F4B085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11</w:t>
                  </w:r>
                </w:p>
              </w:tc>
            </w:tr>
            <w:tr w14:paraId="22D05E3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0A72FC9A">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restart"/>
                  <w:noWrap w:val="0"/>
                  <w:vAlign w:val="center"/>
                </w:tcPr>
                <w:p w14:paraId="5C24A41B">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环保设备</w:t>
                  </w:r>
                </w:p>
              </w:tc>
              <w:tc>
                <w:tcPr>
                  <w:tcW w:w="1848" w:type="pct"/>
                  <w:noWrap w:val="0"/>
                  <w:vAlign w:val="center"/>
                </w:tcPr>
                <w:p w14:paraId="062817E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风机</w:t>
                  </w:r>
                </w:p>
              </w:tc>
              <w:tc>
                <w:tcPr>
                  <w:tcW w:w="941" w:type="pct"/>
                  <w:noWrap w:val="0"/>
                  <w:vAlign w:val="center"/>
                </w:tcPr>
                <w:p w14:paraId="0CEECDC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4-72No10C</w:t>
                  </w:r>
                </w:p>
              </w:tc>
              <w:tc>
                <w:tcPr>
                  <w:tcW w:w="823" w:type="pct"/>
                  <w:noWrap w:val="0"/>
                  <w:vAlign w:val="center"/>
                </w:tcPr>
                <w:p w14:paraId="187F58D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4ED6D00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693" w:type="pct"/>
                  <w:vMerge w:val="continue"/>
                  <w:noWrap w:val="0"/>
                  <w:vAlign w:val="center"/>
                </w:tcPr>
                <w:p w14:paraId="7231FE99">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92" w:type="pct"/>
                  <w:vMerge w:val="continue"/>
                  <w:noWrap w:val="0"/>
                  <w:vAlign w:val="center"/>
                </w:tcPr>
                <w:p w14:paraId="664226D0">
                  <w:pPr>
                    <w:pStyle w:val="39"/>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848" w:type="pct"/>
                  <w:noWrap w:val="0"/>
                  <w:vAlign w:val="center"/>
                </w:tcPr>
                <w:p w14:paraId="0CF832BF">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脉冲布袋除尘器</w:t>
                  </w:r>
                </w:p>
              </w:tc>
              <w:tc>
                <w:tcPr>
                  <w:tcW w:w="941" w:type="pct"/>
                  <w:noWrap w:val="0"/>
                  <w:vAlign w:val="center"/>
                </w:tcPr>
                <w:p w14:paraId="24DDDE96">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JSMC400</w:t>
                  </w:r>
                </w:p>
              </w:tc>
              <w:tc>
                <w:tcPr>
                  <w:tcW w:w="823" w:type="pct"/>
                  <w:noWrap w:val="0"/>
                  <w:vAlign w:val="center"/>
                </w:tcPr>
                <w:p w14:paraId="77B15C1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1</w:t>
                  </w:r>
                </w:p>
              </w:tc>
            </w:tr>
            <w:tr w14:paraId="5ABC30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restart"/>
                  <w:noWrap w:val="0"/>
                  <w:vAlign w:val="center"/>
                </w:tcPr>
                <w:p w14:paraId="1360B3A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辅助</w:t>
                  </w:r>
                </w:p>
              </w:tc>
              <w:tc>
                <w:tcPr>
                  <w:tcW w:w="1848" w:type="pct"/>
                  <w:noWrap w:val="0"/>
                  <w:vAlign w:val="center"/>
                </w:tcPr>
                <w:p w14:paraId="119F748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螺杆压缩机</w:t>
                  </w:r>
                </w:p>
              </w:tc>
              <w:tc>
                <w:tcPr>
                  <w:tcW w:w="941" w:type="pct"/>
                  <w:noWrap w:val="0"/>
                  <w:vAlign w:val="center"/>
                </w:tcPr>
                <w:p w14:paraId="07576E0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w:t>
                  </w:r>
                </w:p>
              </w:tc>
              <w:tc>
                <w:tcPr>
                  <w:tcW w:w="823" w:type="pct"/>
                  <w:noWrap w:val="0"/>
                  <w:vAlign w:val="center"/>
                </w:tcPr>
                <w:p w14:paraId="5571455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r>
            <w:tr w14:paraId="66E12C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0DCADCC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15B533F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吊运电动葫芦</w:t>
                  </w:r>
                </w:p>
              </w:tc>
              <w:tc>
                <w:tcPr>
                  <w:tcW w:w="941" w:type="pct"/>
                  <w:noWrap w:val="0"/>
                  <w:vAlign w:val="center"/>
                </w:tcPr>
                <w:p w14:paraId="0DCAE95C">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CD-1-6</w:t>
                  </w:r>
                </w:p>
              </w:tc>
              <w:tc>
                <w:tcPr>
                  <w:tcW w:w="823" w:type="pct"/>
                  <w:noWrap w:val="0"/>
                  <w:vAlign w:val="center"/>
                </w:tcPr>
                <w:p w14:paraId="52D69AC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w:t>
                  </w:r>
                </w:p>
              </w:tc>
            </w:tr>
            <w:tr w14:paraId="5A24E41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0C3865C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66A1E4D6">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行车</w:t>
                  </w:r>
                </w:p>
              </w:tc>
              <w:tc>
                <w:tcPr>
                  <w:tcW w:w="941" w:type="pct"/>
                  <w:noWrap w:val="0"/>
                  <w:vAlign w:val="center"/>
                </w:tcPr>
                <w:p w14:paraId="69BC648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w:t>
                  </w:r>
                </w:p>
              </w:tc>
              <w:tc>
                <w:tcPr>
                  <w:tcW w:w="823" w:type="pct"/>
                  <w:noWrap w:val="0"/>
                  <w:vAlign w:val="center"/>
                </w:tcPr>
                <w:p w14:paraId="2FF62A18">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8</w:t>
                  </w:r>
                </w:p>
              </w:tc>
            </w:tr>
            <w:tr w14:paraId="088F93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7A0F57B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776C277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铲车</w:t>
                  </w:r>
                </w:p>
              </w:tc>
              <w:tc>
                <w:tcPr>
                  <w:tcW w:w="941" w:type="pct"/>
                  <w:noWrap w:val="0"/>
                  <w:vAlign w:val="center"/>
                </w:tcPr>
                <w:p w14:paraId="517EF30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w:t>
                  </w:r>
                </w:p>
              </w:tc>
              <w:tc>
                <w:tcPr>
                  <w:tcW w:w="823" w:type="pct"/>
                  <w:noWrap w:val="0"/>
                  <w:vAlign w:val="center"/>
                </w:tcPr>
                <w:p w14:paraId="7A1CF40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24444B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4457D5B5">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40D8901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叉车</w:t>
                  </w:r>
                </w:p>
              </w:tc>
              <w:tc>
                <w:tcPr>
                  <w:tcW w:w="941" w:type="pct"/>
                  <w:noWrap w:val="0"/>
                  <w:vAlign w:val="center"/>
                </w:tcPr>
                <w:p w14:paraId="0F32AAA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w:t>
                  </w:r>
                </w:p>
              </w:tc>
              <w:tc>
                <w:tcPr>
                  <w:tcW w:w="823" w:type="pct"/>
                  <w:noWrap w:val="0"/>
                  <w:vAlign w:val="center"/>
                </w:tcPr>
                <w:p w14:paraId="2CB339B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w:t>
                  </w:r>
                </w:p>
              </w:tc>
            </w:tr>
            <w:tr w14:paraId="6D8F10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41C0F57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49731F9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碳硅仪</w:t>
                  </w:r>
                </w:p>
              </w:tc>
              <w:tc>
                <w:tcPr>
                  <w:tcW w:w="941" w:type="pct"/>
                  <w:noWrap w:val="0"/>
                  <w:vAlign w:val="center"/>
                </w:tcPr>
                <w:p w14:paraId="48D34500">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w:t>
                  </w:r>
                </w:p>
              </w:tc>
              <w:tc>
                <w:tcPr>
                  <w:tcW w:w="823" w:type="pct"/>
                  <w:noWrap w:val="0"/>
                  <w:vAlign w:val="center"/>
                </w:tcPr>
                <w:p w14:paraId="5F9B92C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1BFA44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7CC8497D">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1CDE2941">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壁挂式熔炼测温仪</w:t>
                  </w:r>
                </w:p>
              </w:tc>
              <w:tc>
                <w:tcPr>
                  <w:tcW w:w="941" w:type="pct"/>
                  <w:noWrap w:val="0"/>
                  <w:vAlign w:val="center"/>
                </w:tcPr>
                <w:p w14:paraId="6205DD6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W500</w:t>
                  </w:r>
                </w:p>
              </w:tc>
              <w:tc>
                <w:tcPr>
                  <w:tcW w:w="823" w:type="pct"/>
                  <w:noWrap w:val="0"/>
                  <w:vAlign w:val="center"/>
                </w:tcPr>
                <w:p w14:paraId="334FEA0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660912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09C76B4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70B75B79">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电控系统</w:t>
                  </w:r>
                </w:p>
              </w:tc>
              <w:tc>
                <w:tcPr>
                  <w:tcW w:w="941" w:type="pct"/>
                  <w:noWrap w:val="0"/>
                  <w:vAlign w:val="center"/>
                </w:tcPr>
                <w:p w14:paraId="1B2E385E">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S528JDZ-DK</w:t>
                  </w:r>
                </w:p>
              </w:tc>
              <w:tc>
                <w:tcPr>
                  <w:tcW w:w="823" w:type="pct"/>
                  <w:noWrap w:val="0"/>
                  <w:vAlign w:val="center"/>
                </w:tcPr>
                <w:p w14:paraId="470A7A1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r w14:paraId="489737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86" w:type="pct"/>
                  <w:gridSpan w:val="2"/>
                  <w:vMerge w:val="continue"/>
                  <w:noWrap w:val="0"/>
                  <w:vAlign w:val="center"/>
                </w:tcPr>
                <w:p w14:paraId="681382DB">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p>
              </w:tc>
              <w:tc>
                <w:tcPr>
                  <w:tcW w:w="1848" w:type="pct"/>
                  <w:noWrap w:val="0"/>
                  <w:vAlign w:val="center"/>
                </w:tcPr>
                <w:p w14:paraId="0CA23CE4">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eastAsia="宋体" w:cs="Times New Roman"/>
                      <w:color w:val="000000" w:themeColor="text1"/>
                      <w:kern w:val="1"/>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1"/>
                      <w:sz w:val="21"/>
                      <w:szCs w:val="21"/>
                      <w:highlight w:val="none"/>
                      <w:lang w:val="en-US" w:eastAsia="zh-CN"/>
                      <w14:textFill>
                        <w14:solidFill>
                          <w14:schemeClr w14:val="tx1"/>
                        </w14:solidFill>
                      </w14:textFill>
                    </w:rPr>
                    <w:t>气控系统</w:t>
                  </w:r>
                </w:p>
              </w:tc>
              <w:tc>
                <w:tcPr>
                  <w:tcW w:w="941" w:type="pct"/>
                  <w:noWrap w:val="0"/>
                  <w:vAlign w:val="center"/>
                </w:tcPr>
                <w:p w14:paraId="1FE6CBFA">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kern w:val="1"/>
                      <w:sz w:val="21"/>
                      <w:szCs w:val="21"/>
                      <w:highlight w:val="none"/>
                      <w14:textFill>
                        <w14:solidFill>
                          <w14:schemeClr w14:val="tx1"/>
                        </w14:solidFill>
                      </w14:textFill>
                    </w:rPr>
                  </w:pPr>
                  <w:r>
                    <w:rPr>
                      <w:rFonts w:hint="default" w:ascii="Times New Roman" w:hAnsi="Times New Roman" w:cs="Times New Roman"/>
                      <w:color w:val="000000" w:themeColor="text1"/>
                      <w:kern w:val="1"/>
                      <w:sz w:val="21"/>
                      <w:szCs w:val="21"/>
                      <w:highlight w:val="none"/>
                      <w14:textFill>
                        <w14:solidFill>
                          <w14:schemeClr w14:val="tx1"/>
                        </w14:solidFill>
                      </w14:textFill>
                    </w:rPr>
                    <w:t>S528JDZ-QK</w:t>
                  </w:r>
                </w:p>
              </w:tc>
              <w:tc>
                <w:tcPr>
                  <w:tcW w:w="823" w:type="pct"/>
                  <w:noWrap w:val="0"/>
                  <w:vAlign w:val="center"/>
                </w:tcPr>
                <w:p w14:paraId="3E0EC8A2">
                  <w:pPr>
                    <w:keepNext w:val="0"/>
                    <w:keepLines w:val="0"/>
                    <w:pageBreakBefore w:val="0"/>
                    <w:widowControl w:val="0"/>
                    <w:shd w:val="clear" w:color="auto" w:fill="auto"/>
                    <w:kinsoku/>
                    <w:wordWrap/>
                    <w:overflowPunct/>
                    <w:topLinePunct w:val="0"/>
                    <w:bidi w:val="0"/>
                    <w:snapToGrid/>
                    <w:spacing w:line="240" w:lineRule="auto"/>
                    <w:ind w:firstLine="0" w:firstLineChars="0"/>
                    <w:jc w:val="center"/>
                    <w:textAlignment w:val="auto"/>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w:t>
                  </w:r>
                </w:p>
              </w:tc>
            </w:tr>
          </w:tbl>
          <w:p w14:paraId="0AAD1D5A">
            <w:pPr>
              <w:pStyle w:val="16"/>
              <w:keepNext w:val="0"/>
              <w:keepLines w:val="0"/>
              <w:pageBreakBefore w:val="0"/>
              <w:widowControl w:val="0"/>
              <w:shd w:val="clear" w:color="auto" w:fill="auto"/>
              <w:kinsoku/>
              <w:wordWrap/>
              <w:overflowPunct/>
              <w:topLinePunct w:val="0"/>
              <w:autoSpaceDE/>
              <w:autoSpaceDN/>
              <w:bidi w:val="0"/>
              <w:adjustRightInd w:val="0"/>
              <w:snapToGrid w:val="0"/>
              <w:spacing w:before="0" w:beforeAutospacing="0" w:after="0" w:line="360" w:lineRule="auto"/>
              <w:ind w:left="0" w:leftChars="0" w:firstLine="480" w:firstLineChars="2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①参照《铸造企业生产能力核算方法》（T/CFA030501-2020）相关计算方法，项目熔炼（化）设备铸件生产能力核算如下：</w:t>
            </w:r>
          </w:p>
          <w:p w14:paraId="48BB7166">
            <w:pPr>
              <w:keepNext w:val="0"/>
              <w:keepLines w:val="0"/>
              <w:pageBreakBefore w:val="0"/>
              <w:widowControl w:val="0"/>
              <w:shd w:val="clear" w:color="auto" w:fill="auto"/>
              <w:kinsoku/>
              <w:wordWrap/>
              <w:overflowPunct/>
              <w:topLinePunct w:val="0"/>
              <w:autoSpaceDE/>
              <w:autoSpaceDN/>
              <w:bidi w:val="0"/>
              <w:spacing w:line="360" w:lineRule="auto"/>
              <w:ind w:left="0" w:leftChars="0" w:firstLine="0" w:firstLineChars="0"/>
              <w:jc w:val="center"/>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Ri=Rj×K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1</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×（1-K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3</w:t>
            </w:r>
          </w:p>
          <w:p w14:paraId="0E8E4A0A">
            <w:pPr>
              <w:keepNext w:val="0"/>
              <w:keepLines w:val="0"/>
              <w:pageBreakBefore w:val="0"/>
              <w:widowControl w:val="0"/>
              <w:shd w:val="clear" w:color="auto" w:fill="auto"/>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式中：R</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i</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—单台熔炼（化）设备铸件生产能力（t/a）</w:t>
            </w:r>
            <w:r>
              <w:rPr>
                <w:rFonts w:hint="eastAsia" w:cs="Times New Roman"/>
                <w:color w:val="000000" w:themeColor="text1"/>
                <w:kern w:val="2"/>
                <w:sz w:val="24"/>
                <w:szCs w:val="21"/>
                <w:highlight w:val="none"/>
                <w:lang w:val="en-US" w:eastAsia="zh-CN" w:bidi="ar-SA"/>
                <w14:textFill>
                  <w14:solidFill>
                    <w14:schemeClr w14:val="tx1"/>
                  </w14:solidFill>
                </w14:textFill>
              </w:rPr>
              <w:t>；</w:t>
            </w:r>
          </w:p>
          <w:p w14:paraId="3ECE8024">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R</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j</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—单台设备金属液熔炼（化）能力（t/a）</w:t>
            </w:r>
            <w:r>
              <w:rPr>
                <w:rFonts w:hint="eastAsia" w:cs="Times New Roman"/>
                <w:color w:val="000000" w:themeColor="text1"/>
                <w:kern w:val="2"/>
                <w:sz w:val="24"/>
                <w:szCs w:val="21"/>
                <w:highlight w:val="none"/>
                <w:lang w:val="en-US" w:eastAsia="zh-CN" w:bidi="ar-SA"/>
                <w14:textFill>
                  <w14:solidFill>
                    <w14:schemeClr w14:val="tx1"/>
                  </w14:solidFill>
                </w14:textFill>
              </w:rPr>
              <w:t>；</w:t>
            </w:r>
          </w:p>
          <w:p w14:paraId="0BC60314">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1</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—工艺出品率（%），取</w:t>
            </w:r>
            <w:r>
              <w:rPr>
                <w:rFonts w:hint="eastAsia" w:cs="Times New Roman"/>
                <w:color w:val="000000" w:themeColor="text1"/>
                <w:kern w:val="2"/>
                <w:sz w:val="24"/>
                <w:szCs w:val="21"/>
                <w:highlight w:val="none"/>
                <w:lang w:val="en-US" w:eastAsia="zh-CN" w:bidi="ar-SA"/>
                <w14:textFill>
                  <w14:solidFill>
                    <w14:schemeClr w14:val="tx1"/>
                  </w14:solidFill>
                </w14:textFill>
              </w:rPr>
              <w:t>8</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w:t>
            </w:r>
            <w:r>
              <w:rPr>
                <w:rFonts w:hint="eastAsia" w:cs="Times New Roman"/>
                <w:color w:val="000000" w:themeColor="text1"/>
                <w:kern w:val="2"/>
                <w:sz w:val="24"/>
                <w:szCs w:val="21"/>
                <w:highlight w:val="none"/>
                <w:lang w:val="en-US" w:eastAsia="zh-CN" w:bidi="ar-SA"/>
                <w14:textFill>
                  <w14:solidFill>
                    <w14:schemeClr w14:val="tx1"/>
                  </w14:solidFill>
                </w14:textFill>
              </w:rPr>
              <w:t>；</w:t>
            </w:r>
          </w:p>
          <w:p w14:paraId="2A97AAE1">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2</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—铸件废品率（%），取</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w:t>
            </w:r>
            <w:r>
              <w:rPr>
                <w:rFonts w:hint="eastAsia" w:cs="Times New Roman"/>
                <w:color w:val="000000" w:themeColor="text1"/>
                <w:kern w:val="2"/>
                <w:sz w:val="24"/>
                <w:szCs w:val="21"/>
                <w:highlight w:val="none"/>
                <w:lang w:val="en-US" w:eastAsia="zh-CN" w:bidi="ar-SA"/>
                <w14:textFill>
                  <w14:solidFill>
                    <w14:schemeClr w14:val="tx1"/>
                  </w14:solidFill>
                </w14:textFill>
              </w:rPr>
              <w:t>；</w:t>
            </w:r>
          </w:p>
          <w:p w14:paraId="2F0B4E33">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K</w:t>
            </w:r>
            <w:r>
              <w:rPr>
                <w:rFonts w:hint="default" w:ascii="Times New Roman" w:hAnsi="Times New Roman" w:eastAsia="宋体" w:cs="Times New Roman"/>
                <w:color w:val="000000" w:themeColor="text1"/>
                <w:kern w:val="2"/>
                <w:sz w:val="24"/>
                <w:szCs w:val="21"/>
                <w:highlight w:val="none"/>
                <w:vertAlign w:val="subscript"/>
                <w:lang w:val="en-US" w:eastAsia="zh-CN" w:bidi="ar-SA"/>
                <w14:textFill>
                  <w14:solidFill>
                    <w14:schemeClr w14:val="tx1"/>
                  </w14:solidFill>
                </w14:textFill>
              </w:rPr>
              <w:t>3</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—金属液利用率（%），取97%</w:t>
            </w:r>
            <w:r>
              <w:rPr>
                <w:rFonts w:hint="eastAsia" w:cs="Times New Roman"/>
                <w:color w:val="000000" w:themeColor="text1"/>
                <w:kern w:val="2"/>
                <w:sz w:val="24"/>
                <w:szCs w:val="21"/>
                <w:highlight w:val="none"/>
                <w:lang w:val="en-US" w:eastAsia="zh-CN" w:bidi="ar-SA"/>
                <w14:textFill>
                  <w14:solidFill>
                    <w14:schemeClr w14:val="tx1"/>
                  </w14:solidFill>
                </w14:textFill>
              </w:rPr>
              <w:t>。</w:t>
            </w:r>
          </w:p>
          <w:p w14:paraId="513633BC">
            <w:pPr>
              <w:keepNext w:val="0"/>
              <w:keepLines w:val="0"/>
              <w:pageBreakBefore w:val="0"/>
              <w:widowControl w:val="0"/>
              <w:shd w:val="clear" w:color="auto" w:fill="auto"/>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熔炼（化）工序生产能力核算如下：</w:t>
            </w:r>
          </w:p>
          <w:p w14:paraId="20875294">
            <w:pPr>
              <w:keepNext w:val="0"/>
              <w:keepLines w:val="0"/>
              <w:pageBreakBefore w:val="0"/>
              <w:widowControl w:val="0"/>
              <w:shd w:val="clear" w:color="auto" w:fill="auto"/>
              <w:kinsoku/>
              <w:wordWrap/>
              <w:overflowPunct/>
              <w:topLinePunct w:val="0"/>
              <w:autoSpaceDE/>
              <w:autoSpaceDN/>
              <w:bidi w:val="0"/>
              <w:spacing w:line="360" w:lineRule="auto"/>
              <w:ind w:left="0" w:leftChars="0" w:firstLine="0" w:firstLineChars="0"/>
              <w:jc w:val="center"/>
              <w:textAlignment w:val="auto"/>
              <w:rPr>
                <w:rFonts w:hint="default" w:ascii="Times New Roman" w:hAnsi="Times New Roman" w:cs="Times New Roman"/>
                <w:i w:val="0"/>
                <w:color w:val="000000" w:themeColor="text1"/>
                <w:kern w:val="2"/>
                <w:sz w:val="24"/>
                <w:szCs w:val="21"/>
                <w:highlight w:val="none"/>
                <w:lang w:val="en-US" w:bidi="ar-SA"/>
                <w14:textFill>
                  <w14:solidFill>
                    <w14:schemeClr w14:val="tx1"/>
                  </w14:solidFill>
                </w14:textFill>
              </w:rPr>
            </w:pPr>
            <m:oMathPara>
              <m:oMath>
                <m:nary>
                  <m:naryPr>
                    <m:chr m:val="∑"/>
                    <m:limLoc m:val="undOvr"/>
                    <m:ctrlPr>
                      <w:rPr>
                        <w:rFonts w:hint="default" w:ascii="Cambria Math" w:hAnsi="Cambria Math" w:cs="Times New Roman"/>
                        <w:i/>
                        <w:color w:val="000000" w:themeColor="text1"/>
                        <w:kern w:val="2"/>
                        <w:sz w:val="24"/>
                        <w:szCs w:val="21"/>
                        <w:highlight w:val="none"/>
                        <w:lang w:val="en-US" w:bidi="ar-SA"/>
                        <w14:textFill>
                          <w14:solidFill>
                            <w14:schemeClr w14:val="tx1"/>
                          </w14:solidFill>
                        </w14:textFill>
                      </w:rPr>
                    </m:ctrlPr>
                  </m:naryPr>
                  <m:sub>
                    <m:r>
                      <m:rPr/>
                      <w:rPr>
                        <w:rFonts w:hint="default" w:ascii="Cambria Math" w:hAnsi="Cambria Math" w:cs="Times New Roman"/>
                        <w:color w:val="000000" w:themeColor="text1"/>
                        <w:kern w:val="2"/>
                        <w:sz w:val="24"/>
                        <w:szCs w:val="21"/>
                        <w:highlight w:val="none"/>
                        <w:lang w:val="en-US" w:eastAsia="zh-CN" w:bidi="ar-SA"/>
                        <w14:textFill>
                          <w14:solidFill>
                            <w14:schemeClr w14:val="tx1"/>
                          </w14:solidFill>
                        </w14:textFill>
                      </w:rPr>
                      <m:t>i=0</m:t>
                    </m:r>
                    <m:ctrlPr>
                      <w:rPr>
                        <w:rFonts w:hint="default" w:ascii="Cambria Math" w:hAnsi="Cambria Math" w:cs="Times New Roman"/>
                        <w:i/>
                        <w:color w:val="000000" w:themeColor="text1"/>
                        <w:kern w:val="2"/>
                        <w:sz w:val="24"/>
                        <w:szCs w:val="21"/>
                        <w:highlight w:val="none"/>
                        <w:lang w:val="en-US" w:bidi="ar-SA"/>
                        <w14:textFill>
                          <w14:solidFill>
                            <w14:schemeClr w14:val="tx1"/>
                          </w14:solidFill>
                        </w14:textFill>
                      </w:rPr>
                    </m:ctrlPr>
                  </m:sub>
                  <m:sup>
                    <m:r>
                      <m:rPr/>
                      <w:rPr>
                        <w:rFonts w:hint="default" w:ascii="Cambria Math" w:hAnsi="Cambria Math" w:cs="Times New Roman"/>
                        <w:color w:val="000000" w:themeColor="text1"/>
                        <w:kern w:val="2"/>
                        <w:sz w:val="24"/>
                        <w:szCs w:val="21"/>
                        <w:highlight w:val="none"/>
                        <w:lang w:val="en-US" w:eastAsia="zh-CN" w:bidi="ar-SA"/>
                        <w14:textFill>
                          <w14:solidFill>
                            <w14:schemeClr w14:val="tx1"/>
                          </w14:solidFill>
                        </w14:textFill>
                      </w:rPr>
                      <m:t>n</m:t>
                    </m:r>
                    <m:ctrlPr>
                      <w:rPr>
                        <w:rFonts w:hint="default" w:ascii="Cambria Math" w:hAnsi="Cambria Math" w:cs="Times New Roman"/>
                        <w:i/>
                        <w:color w:val="000000" w:themeColor="text1"/>
                        <w:kern w:val="2"/>
                        <w:sz w:val="24"/>
                        <w:szCs w:val="21"/>
                        <w:highlight w:val="none"/>
                        <w:lang w:val="en-US" w:bidi="ar-SA"/>
                        <w14:textFill>
                          <w14:solidFill>
                            <w14:schemeClr w14:val="tx1"/>
                          </w14:solidFill>
                        </w14:textFill>
                      </w:rPr>
                    </m:ctrlPr>
                  </m:sup>
                  <m:e>
                    <m:r>
                      <m:rPr/>
                      <w:rPr>
                        <w:rFonts w:hint="default" w:ascii="Cambria Math" w:hAnsi="Cambria Math" w:cs="Times New Roman"/>
                        <w:color w:val="000000" w:themeColor="text1"/>
                        <w:kern w:val="2"/>
                        <w:sz w:val="24"/>
                        <w:szCs w:val="21"/>
                        <w:highlight w:val="none"/>
                        <w:lang w:val="en-US" w:eastAsia="zh-CN" w:bidi="ar-SA"/>
                        <w14:textFill>
                          <w14:solidFill>
                            <w14:schemeClr w14:val="tx1"/>
                          </w14:solidFill>
                        </w14:textFill>
                      </w:rPr>
                      <m:t>R=R1+R2+</m:t>
                    </m:r>
                    <m:r>
                      <m:rPr/>
                      <w:rPr>
                        <w:rFonts w:hint="default" w:ascii="Cambria Math" w:hAnsi="Cambria Math" w:cs="Times New Roman"/>
                        <w:color w:val="000000" w:themeColor="text1"/>
                        <w:kern w:val="2"/>
                        <w:sz w:val="24"/>
                        <w:szCs w:val="21"/>
                        <w:highlight w:val="none"/>
                        <w:lang w:val="en-US" w:bidi="ar-SA"/>
                        <w14:textFill>
                          <w14:solidFill>
                            <w14:schemeClr w14:val="tx1"/>
                          </w14:solidFill>
                        </w14:textFill>
                      </w:rPr>
                      <m:t>⋯</m:t>
                    </m:r>
                    <m:r>
                      <m:rPr/>
                      <w:rPr>
                        <w:rFonts w:hint="default" w:ascii="Cambria Math" w:hAnsi="Cambria Math" w:cs="Times New Roman"/>
                        <w:color w:val="000000" w:themeColor="text1"/>
                        <w:kern w:val="2"/>
                        <w:sz w:val="24"/>
                        <w:szCs w:val="21"/>
                        <w:highlight w:val="none"/>
                        <w:lang w:val="en-US" w:eastAsia="zh-CN" w:bidi="ar-SA"/>
                        <w14:textFill>
                          <w14:solidFill>
                            <w14:schemeClr w14:val="tx1"/>
                          </w14:solidFill>
                        </w14:textFill>
                      </w:rPr>
                      <m:t>Ri</m:t>
                    </m:r>
                    <m:r>
                      <m:rPr/>
                      <w:rPr>
                        <w:rFonts w:hint="default" w:ascii="Cambria Math" w:hAnsi="Cambria Math" w:cs="Times New Roman"/>
                        <w:color w:val="000000" w:themeColor="text1"/>
                        <w:kern w:val="2"/>
                        <w:sz w:val="24"/>
                        <w:szCs w:val="21"/>
                        <w:highlight w:val="none"/>
                        <w:lang w:val="en-US" w:bidi="ar-SA"/>
                        <w14:textFill>
                          <w14:solidFill>
                            <w14:schemeClr w14:val="tx1"/>
                          </w14:solidFill>
                        </w14:textFill>
                      </w:rPr>
                      <m:t>⋯</m:t>
                    </m:r>
                    <m:r>
                      <m:rPr/>
                      <w:rPr>
                        <w:rFonts w:hint="default" w:ascii="Cambria Math" w:hAnsi="Cambria Math" w:cs="Times New Roman"/>
                        <w:color w:val="000000" w:themeColor="text1"/>
                        <w:kern w:val="2"/>
                        <w:sz w:val="24"/>
                        <w:szCs w:val="21"/>
                        <w:highlight w:val="none"/>
                        <w:lang w:val="en-US" w:eastAsia="zh-CN" w:bidi="ar-SA"/>
                        <w14:textFill>
                          <w14:solidFill>
                            <w14:schemeClr w14:val="tx1"/>
                          </w14:solidFill>
                        </w14:textFill>
                      </w:rPr>
                      <m:t>+Rn</m:t>
                    </m:r>
                    <m:ctrlPr>
                      <w:rPr>
                        <w:rFonts w:hint="default" w:ascii="Cambria Math" w:hAnsi="Cambria Math" w:cs="Times New Roman"/>
                        <w:i/>
                        <w:color w:val="000000" w:themeColor="text1"/>
                        <w:kern w:val="2"/>
                        <w:sz w:val="24"/>
                        <w:szCs w:val="21"/>
                        <w:highlight w:val="none"/>
                        <w:lang w:val="en-US" w:bidi="ar-SA"/>
                        <w14:textFill>
                          <w14:solidFill>
                            <w14:schemeClr w14:val="tx1"/>
                          </w14:solidFill>
                        </w14:textFill>
                      </w:rPr>
                    </m:ctrlPr>
                  </m:e>
                </m:nary>
              </m:oMath>
            </m:oMathPara>
          </w:p>
          <w:p w14:paraId="7CD9077F">
            <w:pPr>
              <w:keepNext w:val="0"/>
              <w:keepLines w:val="0"/>
              <w:pageBreakBefore w:val="0"/>
              <w:widowControl w:val="0"/>
              <w:shd w:val="clear" w:color="auto" w:fill="auto"/>
              <w:kinsoku/>
              <w:wordWrap/>
              <w:overflowPunct/>
              <w:topLinePunct w:val="0"/>
              <w:autoSpaceDE/>
              <w:autoSpaceDN/>
              <w:bidi w:val="0"/>
              <w:spacing w:line="360" w:lineRule="auto"/>
              <w:ind w:firstLine="480" w:firstLineChars="200"/>
              <w:textAlignment w:val="auto"/>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式中</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：i—熔炼（化）设备数量</w:t>
            </w:r>
          </w:p>
          <w:p w14:paraId="28897052">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R—熔炼（化）工序生产能力（t/a）</w:t>
            </w:r>
          </w:p>
          <w:p w14:paraId="4F774AED">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当n=1时，取单台熔炼（化）设备的铸件生产能力；</w:t>
            </w:r>
          </w:p>
          <w:p w14:paraId="17F693AC">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当n&gt;1时，每台熔炼（化）设备可满足同时按照设计熔化率生产时，取所有设备铸件生产能力之和；</w:t>
            </w:r>
          </w:p>
          <w:p w14:paraId="08D444AF">
            <w:pPr>
              <w:keepNext w:val="0"/>
              <w:keepLines w:val="0"/>
              <w:pageBreakBefore w:val="0"/>
              <w:widowControl w:val="0"/>
              <w:shd w:val="clear" w:color="auto" w:fill="auto"/>
              <w:kinsoku/>
              <w:wordWrap/>
              <w:overflowPunct/>
              <w:topLinePunct w:val="0"/>
              <w:autoSpaceDE/>
              <w:autoSpaceDN/>
              <w:bidi w:val="0"/>
              <w:spacing w:line="360" w:lineRule="auto"/>
              <w:ind w:firstLine="1200" w:firstLineChars="500"/>
              <w:textAlignment w:val="auto"/>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每台熔炼（化）设备不能同时满足按设计熔化率生产时，取每台设备在实际功率条件下的铸件生产能力之和。</w:t>
            </w:r>
          </w:p>
          <w:p w14:paraId="5ABB51BC">
            <w:pPr>
              <w:keepNext w:val="0"/>
              <w:keepLines w:val="0"/>
              <w:pageBreakBefore w:val="0"/>
              <w:widowControl w:val="0"/>
              <w:shd w:val="clear" w:color="auto" w:fill="auto"/>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根据表2-1</w:t>
            </w:r>
            <w:r>
              <w:rPr>
                <w:rFonts w:hint="eastAsia" w:cs="Times New Roman"/>
                <w:color w:val="000000" w:themeColor="text1"/>
                <w:kern w:val="2"/>
                <w:sz w:val="24"/>
                <w:szCs w:val="21"/>
                <w:highlight w:val="none"/>
                <w:lang w:val="en-US" w:eastAsia="zh-CN" w:bidi="ar-SA"/>
                <w14:textFill>
                  <w14:solidFill>
                    <w14:schemeClr w14:val="tx1"/>
                  </w14:solidFill>
                </w14:textFill>
              </w:rPr>
              <w:t>4</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可知，本项目设计1台1.</w:t>
            </w:r>
            <w:r>
              <w:rPr>
                <w:rFonts w:hint="eastAsia" w:cs="Times New Roman"/>
                <w:color w:val="000000" w:themeColor="text1"/>
                <w:kern w:val="2"/>
                <w:sz w:val="24"/>
                <w:szCs w:val="21"/>
                <w:highlight w:val="none"/>
                <w:lang w:val="en-US" w:eastAsia="zh-CN" w:bidi="ar-SA"/>
                <w14:textFill>
                  <w14:solidFill>
                    <w14:schemeClr w14:val="tx1"/>
                  </w14:solidFill>
                </w14:textFill>
              </w:rPr>
              <w:t>25</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t/h和2台2t/h中频感应炉，年工作时间</w:t>
            </w:r>
            <w:r>
              <w:rPr>
                <w:rFonts w:hint="eastAsia" w:cs="Times New Roman"/>
                <w:color w:val="000000" w:themeColor="text1"/>
                <w:kern w:val="2"/>
                <w:sz w:val="24"/>
                <w:szCs w:val="21"/>
                <w:highlight w:val="none"/>
                <w:lang w:val="en-US" w:eastAsia="zh-CN" w:bidi="ar-SA"/>
                <w14:textFill>
                  <w14:solidFill>
                    <w14:schemeClr w14:val="tx1"/>
                  </w14:solidFill>
                </w14:textFill>
              </w:rPr>
              <w:t>2640</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h，</w:t>
            </w:r>
            <w:r>
              <w:rPr>
                <w:rFonts w:hint="eastAsia" w:cs="Times New Roman"/>
                <w:color w:val="000000" w:themeColor="text1"/>
                <w:kern w:val="2"/>
                <w:sz w:val="24"/>
                <w:szCs w:val="21"/>
                <w:highlight w:val="none"/>
                <w:lang w:val="en-US" w:eastAsia="zh-CN" w:bidi="ar-SA"/>
                <w14:textFill>
                  <w14:solidFill>
                    <w14:schemeClr w14:val="tx1"/>
                  </w14:solidFill>
                </w14:textFill>
              </w:rPr>
              <w:t>中频感应炉的最大熔化能力为13860t/a，</w:t>
            </w:r>
            <w:r>
              <w:rPr>
                <w:rFonts w:hint="default" w:ascii="Times New Roman" w:hAnsi="Times New Roman" w:cs="Times New Roman"/>
                <w:color w:val="000000" w:themeColor="text1"/>
                <w:kern w:val="2"/>
                <w:sz w:val="24"/>
                <w:szCs w:val="21"/>
                <w:highlight w:val="none"/>
                <w:lang w:val="en-US" w:eastAsia="zh-CN" w:bidi="ar-SA"/>
                <w14:textFill>
                  <w14:solidFill>
                    <w14:schemeClr w14:val="tx1"/>
                  </w14:solidFill>
                </w14:textFill>
              </w:rPr>
              <w:t>经计算</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本项目熔炼工序铸件</w:t>
            </w:r>
            <w:r>
              <w:rPr>
                <w:rFonts w:hint="eastAsia" w:cs="Times New Roman"/>
                <w:color w:val="000000" w:themeColor="text1"/>
                <w:kern w:val="2"/>
                <w:sz w:val="24"/>
                <w:szCs w:val="21"/>
                <w:highlight w:val="none"/>
                <w:lang w:val="en-US" w:eastAsia="zh-CN" w:bidi="ar-SA"/>
                <w14:textFill>
                  <w14:solidFill>
                    <w14:schemeClr w14:val="tx1"/>
                  </w14:solidFill>
                </w14:textFill>
              </w:rPr>
              <w:t>最大产品</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生产产能为</w:t>
            </w:r>
            <w:r>
              <w:rPr>
                <w:rFonts w:hint="eastAsia" w:cs="Times New Roman"/>
                <w:color w:val="000000" w:themeColor="text1"/>
                <w:kern w:val="2"/>
                <w:sz w:val="24"/>
                <w:szCs w:val="21"/>
                <w:highlight w:val="none"/>
                <w:lang w:val="en-US" w:eastAsia="zh-CN" w:bidi="ar-SA"/>
                <w14:textFill>
                  <w14:solidFill>
                    <w14:schemeClr w14:val="tx1"/>
                  </w14:solidFill>
                </w14:textFill>
              </w:rPr>
              <w:t>11084.7t</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/a</w:t>
            </w:r>
            <w:r>
              <w:rPr>
                <w:rFonts w:hint="eastAsia" w:cs="Times New Roman"/>
                <w:color w:val="000000" w:themeColor="text1"/>
                <w:kern w:val="2"/>
                <w:sz w:val="24"/>
                <w:szCs w:val="21"/>
                <w:highlight w:val="none"/>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本项目</w:t>
            </w:r>
            <w:r>
              <w:rPr>
                <w:rFonts w:hint="eastAsia" w:cs="Times New Roman"/>
                <w:color w:val="000000" w:themeColor="text1"/>
                <w:kern w:val="2"/>
                <w:sz w:val="24"/>
                <w:szCs w:val="21"/>
                <w:highlight w:val="none"/>
                <w:lang w:val="en-US" w:eastAsia="zh-CN" w:bidi="ar-SA"/>
                <w14:textFill>
                  <w14:solidFill>
                    <w14:schemeClr w14:val="tx1"/>
                  </w14:solidFill>
                </w14:textFill>
              </w:rPr>
              <w:t>原材新料量为10464t/a，回炉重铸边料量为2604t/a，原料总计为13068t/a，</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设计生产</w:t>
            </w:r>
            <w:r>
              <w:rPr>
                <w:rFonts w:hint="eastAsia" w:cs="Times New Roman"/>
                <w:color w:val="000000" w:themeColor="text1"/>
                <w:kern w:val="2"/>
                <w:sz w:val="24"/>
                <w:szCs w:val="21"/>
                <w:highlight w:val="none"/>
                <w:lang w:val="en-US" w:eastAsia="zh-CN" w:bidi="ar-SA"/>
                <w14:textFill>
                  <w14:solidFill>
                    <w14:schemeClr w14:val="tx1"/>
                  </w14:solidFill>
                </w14:textFill>
              </w:rPr>
              <w:t>产能</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为</w:t>
            </w:r>
            <w:r>
              <w:rPr>
                <w:rFonts w:hint="eastAsia" w:cs="Times New Roman"/>
                <w:color w:val="000000" w:themeColor="text1"/>
                <w:kern w:val="2"/>
                <w:sz w:val="24"/>
                <w:szCs w:val="21"/>
                <w:highlight w:val="none"/>
                <w:lang w:val="en-US" w:eastAsia="zh-CN" w:bidi="ar-SA"/>
                <w14:textFill>
                  <w14:solidFill>
                    <w14:schemeClr w14:val="tx1"/>
                  </w14:solidFill>
                </w14:textFill>
              </w:rPr>
              <w:t>10400</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t/a，因此</w:t>
            </w:r>
            <w:r>
              <w:rPr>
                <w:rFonts w:hint="eastAsia" w:cs="Times New Roman"/>
                <w:color w:val="000000" w:themeColor="text1"/>
                <w:kern w:val="2"/>
                <w:sz w:val="24"/>
                <w:szCs w:val="21"/>
                <w:highlight w:val="none"/>
                <w:lang w:val="en-US" w:eastAsia="zh-CN" w:bidi="ar-SA"/>
                <w14:textFill>
                  <w14:solidFill>
                    <w14:schemeClr w14:val="tx1"/>
                  </w14:solidFill>
                </w14:textFill>
              </w:rPr>
              <w:t>，从</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项目</w:t>
            </w:r>
            <w:r>
              <w:rPr>
                <w:rFonts w:hint="eastAsia" w:cs="Times New Roman"/>
                <w:color w:val="000000" w:themeColor="text1"/>
                <w:kern w:val="2"/>
                <w:sz w:val="24"/>
                <w:szCs w:val="21"/>
                <w:highlight w:val="none"/>
                <w:lang w:val="en-US" w:eastAsia="zh-CN" w:bidi="ar-SA"/>
                <w14:textFill>
                  <w14:solidFill>
                    <w14:schemeClr w14:val="tx1"/>
                  </w14:solidFill>
                </w14:textFill>
              </w:rPr>
              <w:t>原料熔化能力和产品产能分析，</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生产设备与生产规模相匹配。</w:t>
            </w:r>
          </w:p>
          <w:p w14:paraId="0056A59B">
            <w:pPr>
              <w:pStyle w:val="130"/>
              <w:ind w:firstLine="482"/>
              <w:rPr>
                <w:rFonts w:hint="default" w:ascii="Times New Roman" w:hAnsi="Times New Roman" w:eastAsia="宋体" w:cs="Times New Roman"/>
                <w:b w:val="0"/>
                <w:bCs w:val="0"/>
                <w:color w:val="000000" w:themeColor="text1"/>
                <w:highlight w:val="none"/>
                <w:lang w:val="en-US" w:eastAsia="zh-CN"/>
                <w14:textFill>
                  <w14:solidFill>
                    <w14:schemeClr w14:val="tx1"/>
                  </w14:solidFill>
                </w14:textFill>
              </w:rPr>
            </w:pPr>
            <w:r>
              <w:rPr>
                <w:rFonts w:hint="eastAsia" w:ascii="Times New Roman" w:hAnsi="Times New Roman" w:cs="Times New Roman"/>
                <w:b w:val="0"/>
                <w:bCs w:val="0"/>
                <w:color w:val="000000" w:themeColor="text1"/>
                <w:highlight w:val="none"/>
                <w:lang w:val="en-US" w:eastAsia="zh-CN"/>
                <w14:textFill>
                  <w14:solidFill>
                    <w14:schemeClr w14:val="tx1"/>
                  </w14:solidFill>
                </w14:textFill>
              </w:rPr>
              <w:t>喷涂工序</w:t>
            </w:r>
            <w:r>
              <w:rPr>
                <w:rFonts w:hint="default" w:ascii="Times New Roman" w:hAnsi="Times New Roman" w:cs="Times New Roman"/>
                <w:b w:val="0"/>
                <w:bCs w:val="0"/>
                <w:color w:val="000000" w:themeColor="text1"/>
                <w:highlight w:val="none"/>
                <w:lang w:val="en-US" w:eastAsia="zh-CN"/>
                <w14:textFill>
                  <w14:solidFill>
                    <w14:schemeClr w14:val="tx1"/>
                  </w14:solidFill>
                </w14:textFill>
              </w:rPr>
              <w:t>产能匹配性分析：</w:t>
            </w:r>
          </w:p>
          <w:tbl>
            <w:tblPr>
              <w:tblStyle w:val="33"/>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205"/>
              <w:gridCol w:w="1205"/>
              <w:gridCol w:w="1205"/>
              <w:gridCol w:w="1205"/>
              <w:gridCol w:w="1102"/>
              <w:gridCol w:w="1310"/>
            </w:tblGrid>
            <w:tr w14:paraId="71276C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tcBorders>
                    <w:tl2br w:val="nil"/>
                    <w:tr2bl w:val="nil"/>
                  </w:tcBorders>
                  <w:noWrap w:val="0"/>
                  <w:vAlign w:val="center"/>
                </w:tcPr>
                <w:p w14:paraId="1A22058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设备</w:t>
                  </w:r>
                </w:p>
              </w:tc>
              <w:tc>
                <w:tcPr>
                  <w:tcW w:w="761" w:type="pct"/>
                  <w:tcBorders>
                    <w:tl2br w:val="nil"/>
                    <w:tr2bl w:val="nil"/>
                  </w:tcBorders>
                  <w:noWrap w:val="0"/>
                  <w:vAlign w:val="center"/>
                </w:tcPr>
                <w:p w14:paraId="500CCB6D">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最大</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速率</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ml</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/min</w:t>
                  </w:r>
                </w:p>
              </w:tc>
              <w:tc>
                <w:tcPr>
                  <w:tcW w:w="761" w:type="pct"/>
                  <w:tcBorders>
                    <w:tl2br w:val="nil"/>
                    <w:tr2bl w:val="nil"/>
                  </w:tcBorders>
                  <w:noWrap w:val="0"/>
                  <w:vAlign w:val="center"/>
                </w:tcPr>
                <w:p w14:paraId="31081EC5">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设备数量</w:t>
                  </w:r>
                </w:p>
              </w:tc>
              <w:tc>
                <w:tcPr>
                  <w:tcW w:w="761" w:type="pct"/>
                  <w:tcBorders>
                    <w:tl2br w:val="nil"/>
                    <w:tr2bl w:val="nil"/>
                  </w:tcBorders>
                  <w:noWrap w:val="0"/>
                  <w:vAlign w:val="center"/>
                </w:tcPr>
                <w:p w14:paraId="1A507E18">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运行时间/h</w:t>
                  </w:r>
                </w:p>
              </w:tc>
              <w:tc>
                <w:tcPr>
                  <w:tcW w:w="761" w:type="pct"/>
                  <w:tcBorders>
                    <w:tl2br w:val="nil"/>
                    <w:tr2bl w:val="nil"/>
                  </w:tcBorders>
                  <w:noWrap w:val="0"/>
                  <w:vAlign w:val="center"/>
                </w:tcPr>
                <w:p w14:paraId="082BE8FA">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密度t/m</w:t>
                  </w:r>
                  <w:r>
                    <w:rPr>
                      <w:rFonts w:hint="eastAsia" w:ascii="Times New Roman" w:hAnsi="Times New Roman" w:eastAsia="宋体" w:cs="Times New Roman"/>
                      <w:i w:val="0"/>
                      <w:iCs w:val="0"/>
                      <w:color w:val="000000" w:themeColor="text1"/>
                      <w:kern w:val="0"/>
                      <w:sz w:val="21"/>
                      <w:szCs w:val="21"/>
                      <w:u w:val="none"/>
                      <w:vertAlign w:val="superscript"/>
                      <w:lang w:val="en-US" w:eastAsia="zh-CN" w:bidi="ar"/>
                      <w14:textFill>
                        <w14:solidFill>
                          <w14:schemeClr w14:val="tx1"/>
                        </w14:solidFill>
                      </w14:textFill>
                    </w:rPr>
                    <w:t>3</w:t>
                  </w:r>
                </w:p>
              </w:tc>
              <w:tc>
                <w:tcPr>
                  <w:tcW w:w="696" w:type="pct"/>
                  <w:tcBorders>
                    <w:tl2br w:val="nil"/>
                    <w:tr2bl w:val="nil"/>
                  </w:tcBorders>
                  <w:noWrap w:val="0"/>
                  <w:vAlign w:val="center"/>
                </w:tcPr>
                <w:p w14:paraId="7B902B7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年最大消耗量/t</w:t>
                  </w:r>
                </w:p>
              </w:tc>
              <w:tc>
                <w:tcPr>
                  <w:tcW w:w="827" w:type="pct"/>
                  <w:tcBorders>
                    <w:tl2br w:val="nil"/>
                    <w:tr2bl w:val="nil"/>
                  </w:tcBorders>
                  <w:noWrap w:val="0"/>
                  <w:vAlign w:val="center"/>
                </w:tcPr>
                <w:p w14:paraId="5D8AEAE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原材料使用量</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/t</w:t>
                  </w:r>
                </w:p>
              </w:tc>
            </w:tr>
            <w:tr w14:paraId="2A40A6A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tcBorders>
                    <w:tl2br w:val="nil"/>
                    <w:tr2bl w:val="nil"/>
                  </w:tcBorders>
                  <w:noWrap w:val="0"/>
                  <w:vAlign w:val="center"/>
                </w:tcPr>
                <w:p w14:paraId="5F5D23CD">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喷枪</w:t>
                  </w:r>
                </w:p>
              </w:tc>
              <w:tc>
                <w:tcPr>
                  <w:tcW w:w="761" w:type="pct"/>
                  <w:tcBorders>
                    <w:tl2br w:val="nil"/>
                    <w:tr2bl w:val="nil"/>
                  </w:tcBorders>
                  <w:noWrap w:val="0"/>
                  <w:vAlign w:val="center"/>
                </w:tcPr>
                <w:p w14:paraId="436A4C8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w:t>
                  </w:r>
                  <w:r>
                    <w:rPr>
                      <w:rFonts w:hint="eastAsia" w:cs="Times New Roman"/>
                      <w:i w:val="0"/>
                      <w:iCs w:val="0"/>
                      <w:color w:val="000000" w:themeColor="text1"/>
                      <w:kern w:val="0"/>
                      <w:sz w:val="21"/>
                      <w:szCs w:val="21"/>
                      <w:u w:val="none"/>
                      <w:lang w:val="en-US" w:eastAsia="zh-CN" w:bidi="ar"/>
                      <w14:textFill>
                        <w14:solidFill>
                          <w14:schemeClr w14:val="tx1"/>
                        </w14:solidFill>
                      </w14:textFill>
                    </w:rPr>
                    <w:t>9</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p>
              </w:tc>
              <w:tc>
                <w:tcPr>
                  <w:tcW w:w="761" w:type="pct"/>
                  <w:tcBorders>
                    <w:tl2br w:val="nil"/>
                    <w:tr2bl w:val="nil"/>
                  </w:tcBorders>
                  <w:noWrap w:val="0"/>
                  <w:vAlign w:val="center"/>
                </w:tcPr>
                <w:p w14:paraId="5C32115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w:t>
                  </w:r>
                </w:p>
              </w:tc>
              <w:tc>
                <w:tcPr>
                  <w:tcW w:w="761" w:type="pct"/>
                  <w:tcBorders>
                    <w:tl2br w:val="nil"/>
                    <w:tr2bl w:val="nil"/>
                  </w:tcBorders>
                  <w:noWrap w:val="0"/>
                  <w:vAlign w:val="center"/>
                </w:tcPr>
                <w:p w14:paraId="43624FA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1320</w:t>
                  </w:r>
                </w:p>
              </w:tc>
              <w:tc>
                <w:tcPr>
                  <w:tcW w:w="761" w:type="pct"/>
                  <w:tcBorders>
                    <w:tl2br w:val="nil"/>
                    <w:tr2bl w:val="nil"/>
                  </w:tcBorders>
                  <w:noWrap w:val="0"/>
                  <w:vAlign w:val="center"/>
                </w:tcPr>
                <w:p w14:paraId="2BDE4D0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w:t>
                  </w:r>
                  <w:r>
                    <w:rPr>
                      <w:rFonts w:hint="eastAsia" w:cs="Times New Roman"/>
                      <w:i w:val="0"/>
                      <w:iCs w:val="0"/>
                      <w:color w:val="000000" w:themeColor="text1"/>
                      <w:kern w:val="0"/>
                      <w:sz w:val="21"/>
                      <w:szCs w:val="21"/>
                      <w:u w:val="none"/>
                      <w:lang w:val="en-US" w:eastAsia="zh-CN" w:bidi="ar"/>
                      <w14:textFill>
                        <w14:solidFill>
                          <w14:schemeClr w14:val="tx1"/>
                        </w14:solidFill>
                      </w14:textFill>
                    </w:rPr>
                    <w:t>5</w:t>
                  </w:r>
                </w:p>
              </w:tc>
              <w:tc>
                <w:tcPr>
                  <w:tcW w:w="696" w:type="pct"/>
                  <w:tcBorders>
                    <w:tl2br w:val="nil"/>
                    <w:tr2bl w:val="nil"/>
                  </w:tcBorders>
                  <w:noWrap w:val="0"/>
                  <w:vAlign w:val="center"/>
                </w:tcPr>
                <w:p w14:paraId="559EBAA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18.81</w:t>
                  </w:r>
                </w:p>
              </w:tc>
              <w:tc>
                <w:tcPr>
                  <w:tcW w:w="827" w:type="pct"/>
                  <w:tcBorders>
                    <w:tl2br w:val="nil"/>
                    <w:tr2bl w:val="nil"/>
                  </w:tcBorders>
                  <w:noWrap w:val="0"/>
                  <w:vAlign w:val="center"/>
                </w:tcPr>
                <w:p w14:paraId="6EB748F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13.96</w:t>
                  </w:r>
                </w:p>
              </w:tc>
            </w:tr>
          </w:tbl>
          <w:p w14:paraId="72DFEFCC">
            <w:pPr>
              <w:shd w:val="clear" w:color="auto" w:fill="auto"/>
              <w:spacing w:line="360" w:lineRule="auto"/>
              <w:ind w:firstLine="480"/>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综上所述，本项目主要生产设备能满足实际生产要求，产能匹配。</w:t>
            </w:r>
          </w:p>
          <w:p w14:paraId="0FF2FE1E">
            <w:pPr>
              <w:shd w:val="clear" w:color="auto" w:fill="auto"/>
              <w:ind w:firstLine="482"/>
              <w:rPr>
                <w:rFonts w:hint="default" w:ascii="Times New Roman" w:hAnsi="Times New Roman" w:cs="Times New Roman"/>
                <w:b/>
                <w:color w:val="000000" w:themeColor="text1"/>
                <w:kern w:val="0"/>
                <w:highlight w:val="none"/>
                <w14:textFill>
                  <w14:solidFill>
                    <w14:schemeClr w14:val="tx1"/>
                  </w14:solidFill>
                </w14:textFill>
              </w:rPr>
            </w:pPr>
            <w:r>
              <w:rPr>
                <w:rFonts w:hint="eastAsia" w:cs="Times New Roman"/>
                <w:b/>
                <w:color w:val="000000" w:themeColor="text1"/>
                <w:highlight w:val="none"/>
                <w:lang w:val="en-US" w:eastAsia="zh-CN"/>
                <w14:textFill>
                  <w14:solidFill>
                    <w14:schemeClr w14:val="tx1"/>
                  </w14:solidFill>
                </w14:textFill>
              </w:rPr>
              <w:t>6</w:t>
            </w:r>
            <w:r>
              <w:rPr>
                <w:rFonts w:hint="default" w:ascii="Times New Roman" w:hAnsi="Times New Roman" w:cs="Times New Roman"/>
                <w:b/>
                <w:color w:val="000000" w:themeColor="text1"/>
                <w:highlight w:val="none"/>
                <w14:textFill>
                  <w14:solidFill>
                    <w14:schemeClr w14:val="tx1"/>
                  </w14:solidFill>
                </w14:textFill>
              </w:rPr>
              <w:t>、</w:t>
            </w:r>
            <w:r>
              <w:rPr>
                <w:rFonts w:hint="default" w:ascii="Times New Roman" w:hAnsi="Times New Roman" w:cs="Times New Roman"/>
                <w:b/>
                <w:color w:val="000000" w:themeColor="text1"/>
                <w:kern w:val="0"/>
                <w:highlight w:val="none"/>
                <w14:textFill>
                  <w14:solidFill>
                    <w14:schemeClr w14:val="tx1"/>
                  </w14:solidFill>
                </w14:textFill>
              </w:rPr>
              <w:t>劳动定员及工作制度</w:t>
            </w:r>
          </w:p>
          <w:p w14:paraId="54DE1B77">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劳动定员：公司劳动定员</w:t>
            </w:r>
            <w:r>
              <w:rPr>
                <w:rFonts w:hint="default" w:ascii="Times New Roman" w:hAnsi="Times New Roman" w:cs="Times New Roman"/>
                <w:color w:val="000000" w:themeColor="text1"/>
                <w:highlight w:val="none"/>
                <w:lang w:val="en-US" w:eastAsia="zh-CN"/>
                <w14:textFill>
                  <w14:solidFill>
                    <w14:schemeClr w14:val="tx1"/>
                  </w14:solidFill>
                </w14:textFill>
              </w:rPr>
              <w:t>60</w:t>
            </w:r>
            <w:r>
              <w:rPr>
                <w:rFonts w:hint="default" w:ascii="Times New Roman" w:hAnsi="Times New Roman" w:cs="Times New Roman"/>
                <w:color w:val="000000" w:themeColor="text1"/>
                <w:highlight w:val="none"/>
                <w14:textFill>
                  <w14:solidFill>
                    <w14:schemeClr w14:val="tx1"/>
                  </w14:solidFill>
                </w14:textFill>
              </w:rPr>
              <w:t>人，</w:t>
            </w:r>
            <w:r>
              <w:rPr>
                <w:rFonts w:hint="default" w:ascii="Times New Roman" w:hAnsi="Times New Roman" w:cs="Times New Roman"/>
                <w:color w:val="000000" w:themeColor="text1"/>
                <w:highlight w:val="none"/>
                <w:lang w:eastAsia="zh-CN"/>
                <w14:textFill>
                  <w14:solidFill>
                    <w14:schemeClr w14:val="tx1"/>
                  </w14:solidFill>
                </w14:textFill>
              </w:rPr>
              <w:t>在厂区内就餐，不在厂区内住宿</w:t>
            </w:r>
            <w:r>
              <w:rPr>
                <w:rFonts w:hint="default" w:ascii="Times New Roman" w:hAnsi="Times New Roman" w:cs="Times New Roman"/>
                <w:color w:val="000000" w:themeColor="text1"/>
                <w:highlight w:val="none"/>
                <w14:textFill>
                  <w14:solidFill>
                    <w14:schemeClr w14:val="tx1"/>
                  </w14:solidFill>
                </w14:textFill>
              </w:rPr>
              <w:t>。</w:t>
            </w:r>
          </w:p>
          <w:p w14:paraId="781253F4">
            <w:pPr>
              <w:shd w:val="clear" w:color="auto" w:fill="auto"/>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工作制度：工作制度为</w:t>
            </w:r>
            <w:r>
              <w:rPr>
                <w:rFonts w:hint="eastAsia" w:cs="Times New Roman"/>
                <w:color w:val="000000" w:themeColor="text1"/>
                <w:highlight w:val="none"/>
                <w:lang w:val="en-US" w:eastAsia="zh-CN"/>
                <w14:textFill>
                  <w14:solidFill>
                    <w14:schemeClr w14:val="tx1"/>
                  </w14:solidFill>
                </w14:textFill>
              </w:rPr>
              <w:t>一</w:t>
            </w:r>
            <w:r>
              <w:rPr>
                <w:rFonts w:hint="default" w:ascii="Times New Roman" w:hAnsi="Times New Roman" w:cs="Times New Roman"/>
                <w:color w:val="000000" w:themeColor="text1"/>
                <w:highlight w:val="none"/>
                <w14:textFill>
                  <w14:solidFill>
                    <w14:schemeClr w14:val="tx1"/>
                  </w14:solidFill>
                </w14:textFill>
              </w:rPr>
              <w:t>班制，</w:t>
            </w:r>
            <w:r>
              <w:rPr>
                <w:rFonts w:hint="eastAsia" w:cs="Times New Roman"/>
                <w:color w:val="000000" w:themeColor="text1"/>
                <w:highlight w:val="none"/>
                <w:lang w:val="en-US" w:eastAsia="zh-CN"/>
                <w14:textFill>
                  <w14:solidFill>
                    <w14:schemeClr w14:val="tx1"/>
                  </w14:solidFill>
                </w14:textFill>
              </w:rPr>
              <w:t>每</w:t>
            </w:r>
            <w:r>
              <w:rPr>
                <w:rFonts w:hint="default" w:ascii="Times New Roman" w:hAnsi="Times New Roman" w:cs="Times New Roman"/>
                <w:color w:val="000000" w:themeColor="text1"/>
                <w:highlight w:val="none"/>
                <w:lang w:val="en-US" w:eastAsia="zh-CN"/>
                <w14:textFill>
                  <w14:solidFill>
                    <w14:schemeClr w14:val="tx1"/>
                  </w14:solidFill>
                </w14:textFill>
              </w:rPr>
              <w:t>班8</w:t>
            </w:r>
            <w:r>
              <w:rPr>
                <w:rFonts w:hint="default" w:ascii="Times New Roman" w:hAnsi="Times New Roman" w:cs="Times New Roman"/>
                <w:color w:val="000000" w:themeColor="text1"/>
                <w:highlight w:val="none"/>
                <w14:textFill>
                  <w14:solidFill>
                    <w14:schemeClr w14:val="tx1"/>
                  </w14:solidFill>
                </w14:textFill>
              </w:rPr>
              <w:t>小时，年工作日330天。</w:t>
            </w:r>
            <w:r>
              <w:rPr>
                <w:rFonts w:hint="eastAsia" w:cs="Times New Roman"/>
                <w:color w:val="000000" w:themeColor="text1"/>
                <w:kern w:val="2"/>
                <w:sz w:val="24"/>
                <w:szCs w:val="21"/>
                <w:highlight w:val="none"/>
                <w:lang w:val="en-US" w:eastAsia="zh-CN" w:bidi="ar-SA"/>
                <w14:textFill>
                  <w14:solidFill>
                    <w14:schemeClr w14:val="tx1"/>
                  </w14:solidFill>
                </w14:textFill>
              </w:rPr>
              <w:t>喷涂工作时间为4h/d，晾干时间为330d（7920h）。</w:t>
            </w:r>
          </w:p>
          <w:p w14:paraId="37874D2B">
            <w:pPr>
              <w:pStyle w:val="50"/>
              <w:shd w:val="clear" w:color="auto" w:fill="auto"/>
              <w:ind w:firstLine="482" w:firstLineChars="200"/>
              <w:rPr>
                <w:rFonts w:hint="default" w:ascii="Times New Roman" w:hAnsi="Times New Roman" w:cs="Times New Roman"/>
                <w:b/>
                <w:bCs/>
                <w:color w:val="000000" w:themeColor="text1"/>
                <w:highlight w:val="none"/>
                <w14:textFill>
                  <w14:solidFill>
                    <w14:schemeClr w14:val="tx1"/>
                  </w14:solidFill>
                </w14:textFill>
              </w:rPr>
            </w:pPr>
            <w:r>
              <w:rPr>
                <w:rFonts w:hint="eastAsia" w:ascii="Times New Roman" w:hAnsi="Times New Roman" w:cs="Times New Roman"/>
                <w:b/>
                <w:bCs/>
                <w:color w:val="000000" w:themeColor="text1"/>
                <w:highlight w:val="none"/>
                <w:lang w:val="en-US" w:eastAsia="zh-CN"/>
                <w14:textFill>
                  <w14:solidFill>
                    <w14:schemeClr w14:val="tx1"/>
                  </w14:solidFill>
                </w14:textFill>
              </w:rPr>
              <w:t>7</w:t>
            </w:r>
            <w:r>
              <w:rPr>
                <w:rFonts w:hint="default" w:ascii="Times New Roman" w:hAnsi="Times New Roman" w:cs="Times New Roman"/>
                <w:b/>
                <w:bCs/>
                <w:color w:val="000000" w:themeColor="text1"/>
                <w:highlight w:val="none"/>
                <w14:textFill>
                  <w14:solidFill>
                    <w14:schemeClr w14:val="tx1"/>
                  </w14:solidFill>
                </w14:textFill>
              </w:rPr>
              <w:t>、公用工程情况</w:t>
            </w:r>
          </w:p>
          <w:p w14:paraId="6E0A2191">
            <w:pPr>
              <w:pStyle w:val="17"/>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（1）供水：本项目用水为自来水，由园区自来水管网统一供给。</w:t>
            </w:r>
          </w:p>
          <w:p w14:paraId="4653856D">
            <w:pPr>
              <w:pStyle w:val="17"/>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（2）排水：</w:t>
            </w:r>
            <w:r>
              <w:rPr>
                <w:rFonts w:hint="default" w:ascii="Times New Roman" w:hAnsi="Times New Roman" w:cs="Times New Roman"/>
                <w:color w:val="000000" w:themeColor="text1"/>
                <w:szCs w:val="21"/>
                <w:highlight w:val="none"/>
                <w14:textFill>
                  <w14:solidFill>
                    <w14:schemeClr w14:val="tx1"/>
                  </w14:solidFill>
                </w14:textFill>
              </w:rPr>
              <w:t>生活污水近期经隔油池+化粪池+一体化污水处理设施处理，达到《污水综合排放标准》（GB8978-1996）表4中一级标准后排入园区管网，最终排入乐安河；远期待金山工业园污水处理厂正式投运后，经隔油池+化粪池+一体化污水处理设施处理后排入金山工业园污水处理厂，处理达到《城镇污水处理厂污染物排放标准》（GB18918-2002）一级A标准后外排至乐安河。项目无生产废水外排。</w:t>
            </w:r>
          </w:p>
          <w:p w14:paraId="15E13240">
            <w:pPr>
              <w:pStyle w:val="17"/>
              <w:shd w:val="clear" w:color="auto" w:fill="auto"/>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（3）供电：项目由当地供电网络统一供给</w:t>
            </w:r>
            <w:r>
              <w:rPr>
                <w:rFonts w:hint="eastAsia" w:ascii="Times New Roman" w:hAnsi="Times New Roman" w:cs="Times New Roman"/>
                <w:color w:val="000000" w:themeColor="text1"/>
                <w:highlight w:val="none"/>
                <w:lang w:eastAsia="zh-CN"/>
                <w14:textFill>
                  <w14:solidFill>
                    <w14:schemeClr w14:val="tx1"/>
                  </w14:solidFill>
                </w14:textFill>
              </w:rPr>
              <w:t>。</w:t>
            </w:r>
          </w:p>
          <w:p w14:paraId="204ADAF6">
            <w:pPr>
              <w:pStyle w:val="15"/>
              <w:shd w:val="clear" w:color="auto" w:fill="auto"/>
              <w:spacing w:after="0"/>
              <w:ind w:left="0" w:leftChars="0" w:firstLine="482"/>
              <w:jc w:val="both"/>
              <w:rPr>
                <w:rFonts w:hint="default" w:ascii="Times New Roman" w:hAnsi="Times New Roman" w:cs="Times New Roman"/>
                <w:b/>
                <w:bCs/>
                <w:color w:val="000000" w:themeColor="text1"/>
                <w:szCs w:val="24"/>
                <w:highlight w:val="none"/>
                <w14:textFill>
                  <w14:solidFill>
                    <w14:schemeClr w14:val="tx1"/>
                  </w14:solidFill>
                </w14:textFill>
              </w:rPr>
            </w:pPr>
            <w:r>
              <w:rPr>
                <w:rFonts w:hint="eastAsia" w:cs="Times New Roman"/>
                <w:b/>
                <w:bCs/>
                <w:color w:val="000000" w:themeColor="text1"/>
                <w:szCs w:val="24"/>
                <w:highlight w:val="none"/>
                <w:lang w:val="en-US" w:eastAsia="zh-CN"/>
                <w14:textFill>
                  <w14:solidFill>
                    <w14:schemeClr w14:val="tx1"/>
                  </w14:solidFill>
                </w14:textFill>
              </w:rPr>
              <w:t>8</w:t>
            </w:r>
            <w:r>
              <w:rPr>
                <w:rFonts w:hint="default" w:ascii="Times New Roman" w:hAnsi="Times New Roman" w:cs="Times New Roman"/>
                <w:b/>
                <w:bCs/>
                <w:color w:val="000000" w:themeColor="text1"/>
                <w:szCs w:val="24"/>
                <w:highlight w:val="none"/>
                <w14:textFill>
                  <w14:solidFill>
                    <w14:schemeClr w14:val="tx1"/>
                  </w14:solidFill>
                </w14:textFill>
              </w:rPr>
              <w:t>、</w:t>
            </w:r>
            <w:r>
              <w:rPr>
                <w:rFonts w:hint="default" w:ascii="Times New Roman" w:hAnsi="Times New Roman" w:cs="Times New Roman"/>
                <w:b/>
                <w:bCs/>
                <w:color w:val="000000" w:themeColor="text1"/>
                <w:szCs w:val="24"/>
                <w:highlight w:val="none"/>
                <w:lang w:eastAsia="zh-CN"/>
                <w14:textFill>
                  <w14:solidFill>
                    <w14:schemeClr w14:val="tx1"/>
                  </w14:solidFill>
                </w14:textFill>
              </w:rPr>
              <w:t>项目</w:t>
            </w:r>
            <w:r>
              <w:rPr>
                <w:rFonts w:hint="default" w:ascii="Times New Roman" w:hAnsi="Times New Roman" w:cs="Times New Roman"/>
                <w:b/>
                <w:bCs/>
                <w:color w:val="000000" w:themeColor="text1"/>
                <w:szCs w:val="24"/>
                <w:highlight w:val="none"/>
                <w14:textFill>
                  <w14:solidFill>
                    <w14:schemeClr w14:val="tx1"/>
                  </w14:solidFill>
                </w14:textFill>
              </w:rPr>
              <w:t>平衡</w:t>
            </w:r>
          </w:p>
          <w:p w14:paraId="495962EC">
            <w:pPr>
              <w:shd w:val="clear" w:color="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物料平衡</w:t>
            </w:r>
          </w:p>
          <w:p w14:paraId="648383AB">
            <w:pPr>
              <w:shd w:val="clear" w:color="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eastAsia="zh-CN"/>
                <w14:textFill>
                  <w14:solidFill>
                    <w14:schemeClr w14:val="tx1"/>
                  </w14:solidFill>
                </w14:textFill>
              </w:rPr>
              <w:t>①</w:t>
            </w:r>
            <w:r>
              <w:rPr>
                <w:rFonts w:hint="eastAsia" w:cs="Times New Roman"/>
                <w:color w:val="000000" w:themeColor="text1"/>
                <w:highlight w:val="none"/>
                <w:lang w:val="en-US" w:eastAsia="zh-CN"/>
                <w14:textFill>
                  <w14:solidFill>
                    <w14:schemeClr w14:val="tx1"/>
                  </w14:solidFill>
                </w14:textFill>
              </w:rPr>
              <w:t>铁铸件平衡</w:t>
            </w:r>
          </w:p>
          <w:p w14:paraId="5472D9BA">
            <w:pPr>
              <w:keepNext w:val="0"/>
              <w:keepLines w:val="0"/>
              <w:pageBreakBefore w:val="0"/>
              <w:widowControl w:val="0"/>
              <w:shd w:val="clear" w:color="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themeColor="text1"/>
                <w:szCs w:val="21"/>
                <w:highlight w:val="none"/>
                <w14:textFill>
                  <w14:solidFill>
                    <w14:schemeClr w14:val="tx1"/>
                  </w14:solidFill>
                </w14:textFill>
              </w:rPr>
            </w:pPr>
            <w:r>
              <w:rPr>
                <w:rFonts w:hint="default" w:ascii="Times New Roman" w:hAnsi="Times New Roman" w:cs="Times New Roman"/>
                <w:b/>
                <w:bCs/>
                <w:color w:val="000000" w:themeColor="text1"/>
                <w:szCs w:val="21"/>
                <w:highlight w:val="none"/>
                <w14:textFill>
                  <w14:solidFill>
                    <w14:schemeClr w14:val="tx1"/>
                  </w14:solidFill>
                </w14:textFill>
              </w:rPr>
              <w:t>表2-</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1</w:t>
            </w:r>
            <w:r>
              <w:rPr>
                <w:rFonts w:hint="eastAsia" w:cs="Times New Roman"/>
                <w:b/>
                <w:bCs/>
                <w:color w:val="000000" w:themeColor="text1"/>
                <w:szCs w:val="21"/>
                <w:highlight w:val="none"/>
                <w:lang w:val="en-US" w:eastAsia="zh-CN"/>
                <w14:textFill>
                  <w14:solidFill>
                    <w14:schemeClr w14:val="tx1"/>
                  </w14:solidFill>
                </w14:textFill>
              </w:rPr>
              <w:t>6</w:t>
            </w:r>
            <w:r>
              <w:rPr>
                <w:rFonts w:hint="default" w:ascii="Times New Roman" w:hAnsi="Times New Roman" w:cs="Times New Roman"/>
                <w:b/>
                <w:bCs/>
                <w:color w:val="000000" w:themeColor="text1"/>
                <w:szCs w:val="21"/>
                <w:highlight w:val="none"/>
                <w14:textFill>
                  <w14:solidFill>
                    <w14:schemeClr w14:val="tx1"/>
                  </w14:solidFill>
                </w14:textFill>
              </w:rPr>
              <w:t xml:space="preserve"> </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 xml:space="preserve"> 铁铸件平衡</w:t>
            </w:r>
            <w:r>
              <w:rPr>
                <w:rFonts w:hint="eastAsia" w:ascii="Times New Roman" w:hAnsi="Times New Roman" w:cs="Times New Roman"/>
                <w:b/>
                <w:bCs/>
                <w:color w:val="000000" w:themeColor="text1"/>
                <w:szCs w:val="21"/>
                <w:highlight w:val="none"/>
                <w:lang w:val="en-US" w:eastAsia="zh-CN"/>
                <w14:textFill>
                  <w14:solidFill>
                    <w14:schemeClr w14:val="tx1"/>
                  </w14:solidFill>
                </w14:textFill>
              </w:rPr>
              <w:t xml:space="preserve">   单位：t/a</w:t>
            </w:r>
          </w:p>
          <w:tbl>
            <w:tblPr>
              <w:tblStyle w:val="32"/>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485"/>
              <w:gridCol w:w="1486"/>
              <w:gridCol w:w="1733"/>
              <w:gridCol w:w="1916"/>
              <w:gridCol w:w="1297"/>
            </w:tblGrid>
            <w:tr w14:paraId="1A79267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2971" w:type="dxa"/>
                  <w:gridSpan w:val="2"/>
                  <w:tcBorders>
                    <w:tl2br w:val="nil"/>
                    <w:tr2bl w:val="nil"/>
                  </w:tcBorders>
                  <w:shd w:val="clear" w:color="auto" w:fill="auto"/>
                  <w:vAlign w:val="center"/>
                </w:tcPr>
                <w:p w14:paraId="5800A3DB">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投入量</w:t>
                  </w:r>
                </w:p>
              </w:tc>
              <w:tc>
                <w:tcPr>
                  <w:tcW w:w="4946" w:type="dxa"/>
                  <w:gridSpan w:val="3"/>
                  <w:tcBorders>
                    <w:tl2br w:val="nil"/>
                    <w:tr2bl w:val="nil"/>
                  </w:tcBorders>
                  <w:shd w:val="clear" w:color="auto" w:fill="auto"/>
                  <w:vAlign w:val="center"/>
                </w:tcPr>
                <w:p w14:paraId="16766B4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产出量</w:t>
                  </w:r>
                </w:p>
              </w:tc>
            </w:tr>
            <w:tr w14:paraId="6DA80B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08CB957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生铁（新料）</w:t>
                  </w:r>
                </w:p>
              </w:tc>
              <w:tc>
                <w:tcPr>
                  <w:tcW w:w="1486" w:type="dxa"/>
                  <w:tcBorders>
                    <w:tl2br w:val="nil"/>
                    <w:tr2bl w:val="nil"/>
                  </w:tcBorders>
                  <w:shd w:val="clear" w:color="auto" w:fill="auto"/>
                  <w:vAlign w:val="center"/>
                </w:tcPr>
                <w:p w14:paraId="4205965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7115</w:t>
                  </w:r>
                </w:p>
              </w:tc>
              <w:tc>
                <w:tcPr>
                  <w:tcW w:w="3649" w:type="dxa"/>
                  <w:gridSpan w:val="2"/>
                  <w:tcBorders>
                    <w:tl2br w:val="nil"/>
                    <w:tr2bl w:val="nil"/>
                  </w:tcBorders>
                  <w:shd w:val="clear" w:color="auto" w:fill="auto"/>
                  <w:vAlign w:val="center"/>
                </w:tcPr>
                <w:p w14:paraId="41CFE59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半成品铸件</w:t>
                  </w:r>
                </w:p>
              </w:tc>
              <w:tc>
                <w:tcPr>
                  <w:tcW w:w="1297" w:type="dxa"/>
                  <w:tcBorders>
                    <w:tl2br w:val="nil"/>
                    <w:tr2bl w:val="nil"/>
                  </w:tcBorders>
                  <w:shd w:val="clear" w:color="auto" w:fill="auto"/>
                  <w:vAlign w:val="center"/>
                </w:tcPr>
                <w:p w14:paraId="6D17319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10400</w:t>
                  </w:r>
                </w:p>
              </w:tc>
            </w:tr>
            <w:tr w14:paraId="0625EE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6E07F63A">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碳钢（新料）</w:t>
                  </w:r>
                </w:p>
              </w:tc>
              <w:tc>
                <w:tcPr>
                  <w:tcW w:w="1486" w:type="dxa"/>
                  <w:tcBorders>
                    <w:tl2br w:val="nil"/>
                    <w:tr2bl w:val="nil"/>
                  </w:tcBorders>
                  <w:shd w:val="clear" w:color="auto" w:fill="auto"/>
                  <w:vAlign w:val="center"/>
                </w:tcPr>
                <w:p w14:paraId="521D8B8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2930</w:t>
                  </w:r>
                </w:p>
              </w:tc>
              <w:tc>
                <w:tcPr>
                  <w:tcW w:w="1733" w:type="dxa"/>
                  <w:tcBorders>
                    <w:tl2br w:val="nil"/>
                    <w:tr2bl w:val="nil"/>
                  </w:tcBorders>
                  <w:shd w:val="clear" w:color="auto" w:fill="auto"/>
                  <w:vAlign w:val="center"/>
                </w:tcPr>
                <w:p w14:paraId="534C22C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金属熔化废气（G1-1）</w:t>
                  </w:r>
                </w:p>
              </w:tc>
              <w:tc>
                <w:tcPr>
                  <w:tcW w:w="1916" w:type="dxa"/>
                  <w:tcBorders>
                    <w:tl2br w:val="nil"/>
                    <w:tr2bl w:val="nil"/>
                  </w:tcBorders>
                  <w:shd w:val="clear" w:color="auto" w:fill="auto"/>
                  <w:vAlign w:val="center"/>
                </w:tcPr>
                <w:p w14:paraId="25383F9D">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颗粒物</w:t>
                  </w:r>
                </w:p>
              </w:tc>
              <w:tc>
                <w:tcPr>
                  <w:tcW w:w="1297" w:type="dxa"/>
                  <w:tcBorders>
                    <w:tl2br w:val="nil"/>
                    <w:tr2bl w:val="nil"/>
                  </w:tcBorders>
                  <w:shd w:val="clear" w:color="auto" w:fill="auto"/>
                  <w:vAlign w:val="center"/>
                </w:tcPr>
                <w:p w14:paraId="7C28618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4.982</w:t>
                  </w:r>
                </w:p>
              </w:tc>
            </w:tr>
            <w:tr w14:paraId="01C586E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786EDCDC">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石墨粉</w:t>
                  </w:r>
                </w:p>
              </w:tc>
              <w:tc>
                <w:tcPr>
                  <w:tcW w:w="1486" w:type="dxa"/>
                  <w:tcBorders>
                    <w:tl2br w:val="nil"/>
                    <w:tr2bl w:val="nil"/>
                  </w:tcBorders>
                  <w:shd w:val="clear" w:color="auto" w:fill="auto"/>
                  <w:vAlign w:val="center"/>
                </w:tcPr>
                <w:p w14:paraId="45D8FE7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209</w:t>
                  </w:r>
                </w:p>
              </w:tc>
              <w:tc>
                <w:tcPr>
                  <w:tcW w:w="1733" w:type="dxa"/>
                  <w:vMerge w:val="restart"/>
                  <w:tcBorders>
                    <w:tl2br w:val="nil"/>
                    <w:tr2bl w:val="nil"/>
                  </w:tcBorders>
                  <w:shd w:val="clear" w:color="auto" w:fill="auto"/>
                  <w:vAlign w:val="center"/>
                </w:tcPr>
                <w:p w14:paraId="22BEFC4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浇注废气（G1-2）、树脂砂造型/制芯废气（G1-4）、粘土砂造型废气（G1-5）</w:t>
                  </w:r>
                </w:p>
              </w:tc>
              <w:tc>
                <w:tcPr>
                  <w:tcW w:w="1916" w:type="dxa"/>
                  <w:tcBorders>
                    <w:tl2br w:val="nil"/>
                    <w:tr2bl w:val="nil"/>
                  </w:tcBorders>
                  <w:shd w:val="clear" w:color="auto" w:fill="auto"/>
                  <w:vAlign w:val="center"/>
                </w:tcPr>
                <w:p w14:paraId="079F092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颗粒物（粘土砂）</w:t>
                  </w:r>
                </w:p>
              </w:tc>
              <w:tc>
                <w:tcPr>
                  <w:tcW w:w="1297" w:type="dxa"/>
                  <w:tcBorders>
                    <w:tl2br w:val="nil"/>
                    <w:tr2bl w:val="nil"/>
                  </w:tcBorders>
                  <w:shd w:val="clear" w:color="auto" w:fill="auto"/>
                  <w:vAlign w:val="center"/>
                </w:tcPr>
                <w:p w14:paraId="7DD76B5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13.593</w:t>
                  </w:r>
                </w:p>
              </w:tc>
            </w:tr>
            <w:tr w14:paraId="6BF4171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23C4C9E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硅铁（新料）</w:t>
                  </w:r>
                </w:p>
              </w:tc>
              <w:tc>
                <w:tcPr>
                  <w:tcW w:w="1486" w:type="dxa"/>
                  <w:tcBorders>
                    <w:tl2br w:val="nil"/>
                    <w:tr2bl w:val="nil"/>
                  </w:tcBorders>
                  <w:shd w:val="clear" w:color="auto" w:fill="auto"/>
                  <w:vAlign w:val="center"/>
                </w:tcPr>
                <w:p w14:paraId="1E8836D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105</w:t>
                  </w:r>
                </w:p>
              </w:tc>
              <w:tc>
                <w:tcPr>
                  <w:tcW w:w="1733" w:type="dxa"/>
                  <w:vMerge w:val="continue"/>
                  <w:tcBorders>
                    <w:tl2br w:val="nil"/>
                    <w:tr2bl w:val="nil"/>
                  </w:tcBorders>
                  <w:shd w:val="clear" w:color="auto" w:fill="auto"/>
                  <w:vAlign w:val="center"/>
                </w:tcPr>
                <w:p w14:paraId="114A1C8F">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75F5D45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颗粒物（树脂砂）</w:t>
                  </w:r>
                </w:p>
              </w:tc>
              <w:tc>
                <w:tcPr>
                  <w:tcW w:w="1297" w:type="dxa"/>
                  <w:tcBorders>
                    <w:tl2br w:val="nil"/>
                    <w:tr2bl w:val="nil"/>
                  </w:tcBorders>
                  <w:shd w:val="clear" w:color="auto" w:fill="auto"/>
                  <w:vAlign w:val="center"/>
                </w:tcPr>
                <w:p w14:paraId="01E58C15">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4.144</w:t>
                  </w:r>
                </w:p>
              </w:tc>
            </w:tr>
            <w:tr w14:paraId="32A73B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632D165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锰铁（新料）</w:t>
                  </w:r>
                </w:p>
              </w:tc>
              <w:tc>
                <w:tcPr>
                  <w:tcW w:w="1486" w:type="dxa"/>
                  <w:tcBorders>
                    <w:tl2br w:val="nil"/>
                    <w:tr2bl w:val="nil"/>
                  </w:tcBorders>
                  <w:shd w:val="clear" w:color="auto" w:fill="auto"/>
                  <w:vAlign w:val="center"/>
                </w:tcPr>
                <w:p w14:paraId="3D49670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105</w:t>
                  </w:r>
                </w:p>
              </w:tc>
              <w:tc>
                <w:tcPr>
                  <w:tcW w:w="1733" w:type="dxa"/>
                  <w:vMerge w:val="continue"/>
                  <w:tcBorders>
                    <w:tl2br w:val="nil"/>
                    <w:tr2bl w:val="nil"/>
                  </w:tcBorders>
                  <w:shd w:val="clear" w:color="auto" w:fill="auto"/>
                  <w:vAlign w:val="center"/>
                </w:tcPr>
                <w:p w14:paraId="1435E1DA">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5316E4F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酚类（以苯酚计）</w:t>
                  </w:r>
                </w:p>
              </w:tc>
              <w:tc>
                <w:tcPr>
                  <w:tcW w:w="1297" w:type="dxa"/>
                  <w:tcBorders>
                    <w:tl2br w:val="nil"/>
                    <w:tr2bl w:val="nil"/>
                  </w:tcBorders>
                  <w:shd w:val="clear" w:color="auto" w:fill="auto"/>
                  <w:vAlign w:val="center"/>
                </w:tcPr>
                <w:p w14:paraId="78CB3FEA">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0.144</w:t>
                  </w:r>
                </w:p>
              </w:tc>
            </w:tr>
            <w:tr w14:paraId="4A2254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4D87664B">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除渣剂</w:t>
                  </w:r>
                </w:p>
              </w:tc>
              <w:tc>
                <w:tcPr>
                  <w:tcW w:w="1486" w:type="dxa"/>
                  <w:tcBorders>
                    <w:tl2br w:val="nil"/>
                    <w:tr2bl w:val="nil"/>
                  </w:tcBorders>
                  <w:shd w:val="clear" w:color="auto" w:fill="auto"/>
                  <w:vAlign w:val="center"/>
                </w:tcPr>
                <w:p w14:paraId="6DEAAF3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60</w:t>
                  </w:r>
                </w:p>
              </w:tc>
              <w:tc>
                <w:tcPr>
                  <w:tcW w:w="1733" w:type="dxa"/>
                  <w:vMerge w:val="continue"/>
                  <w:tcBorders>
                    <w:tl2br w:val="nil"/>
                    <w:tr2bl w:val="nil"/>
                  </w:tcBorders>
                  <w:shd w:val="clear" w:color="auto" w:fill="auto"/>
                  <w:vAlign w:val="center"/>
                </w:tcPr>
                <w:p w14:paraId="1BF6565E">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3203FEA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甲醛</w:t>
                  </w:r>
                </w:p>
              </w:tc>
              <w:tc>
                <w:tcPr>
                  <w:tcW w:w="1297" w:type="dxa"/>
                  <w:tcBorders>
                    <w:tl2br w:val="nil"/>
                    <w:tr2bl w:val="nil"/>
                  </w:tcBorders>
                  <w:shd w:val="clear" w:color="auto" w:fill="auto"/>
                  <w:vAlign w:val="center"/>
                </w:tcPr>
                <w:p w14:paraId="3DA9529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0.04</w:t>
                  </w:r>
                </w:p>
              </w:tc>
            </w:tr>
            <w:tr w14:paraId="36D9B5C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4A4477E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再生树脂砂</w:t>
                  </w:r>
                </w:p>
              </w:tc>
              <w:tc>
                <w:tcPr>
                  <w:tcW w:w="1486" w:type="dxa"/>
                  <w:tcBorders>
                    <w:tl2br w:val="nil"/>
                    <w:tr2bl w:val="nil"/>
                  </w:tcBorders>
                  <w:shd w:val="clear" w:color="auto" w:fill="auto"/>
                  <w:vAlign w:val="center"/>
                </w:tcPr>
                <w:p w14:paraId="0542A968">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6509.712</w:t>
                  </w:r>
                </w:p>
              </w:tc>
              <w:tc>
                <w:tcPr>
                  <w:tcW w:w="1733" w:type="dxa"/>
                  <w:vMerge w:val="continue"/>
                  <w:tcBorders>
                    <w:tl2br w:val="nil"/>
                    <w:tr2bl w:val="nil"/>
                  </w:tcBorders>
                  <w:shd w:val="clear" w:color="auto" w:fill="auto"/>
                  <w:vAlign w:val="center"/>
                </w:tcPr>
                <w:p w14:paraId="5317C43E">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5B07EF2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粘土砂</w:t>
                  </w:r>
                  <w:r>
                    <w:rPr>
                      <w:rFonts w:hint="eastAsia" w:cs="Times New Roman"/>
                      <w:i w:val="0"/>
                      <w:iCs w:val="0"/>
                      <w:color w:val="000000" w:themeColor="text1"/>
                      <w:kern w:val="0"/>
                      <w:sz w:val="21"/>
                      <w:szCs w:val="21"/>
                      <w:u w:val="none"/>
                      <w:lang w:val="en-US" w:eastAsia="zh-CN" w:bidi="ar"/>
                      <w14:textFill>
                        <w14:solidFill>
                          <w14:schemeClr w14:val="tx1"/>
                        </w14:solidFill>
                      </w14:textFill>
                    </w:rPr>
                    <w:t>TVOC</w:t>
                  </w:r>
                </w:p>
              </w:tc>
              <w:tc>
                <w:tcPr>
                  <w:tcW w:w="1297" w:type="dxa"/>
                  <w:tcBorders>
                    <w:tl2br w:val="nil"/>
                    <w:tr2bl w:val="nil"/>
                  </w:tcBorders>
                  <w:shd w:val="clear" w:color="auto" w:fill="auto"/>
                  <w:vAlign w:val="center"/>
                </w:tcPr>
                <w:p w14:paraId="45977DB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1.47</w:t>
                  </w:r>
                </w:p>
              </w:tc>
            </w:tr>
            <w:tr w14:paraId="7748C46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6DEC8DEB">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再生粘土砂</w:t>
                  </w:r>
                </w:p>
              </w:tc>
              <w:tc>
                <w:tcPr>
                  <w:tcW w:w="1486" w:type="dxa"/>
                  <w:tcBorders>
                    <w:tl2br w:val="nil"/>
                    <w:tr2bl w:val="nil"/>
                  </w:tcBorders>
                  <w:shd w:val="clear" w:color="auto" w:fill="auto"/>
                  <w:vAlign w:val="center"/>
                </w:tcPr>
                <w:p w14:paraId="1BD9EB6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421</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35</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.012</w:t>
                  </w:r>
                </w:p>
              </w:tc>
              <w:tc>
                <w:tcPr>
                  <w:tcW w:w="1733" w:type="dxa"/>
                  <w:vMerge w:val="continue"/>
                  <w:tcBorders>
                    <w:tl2br w:val="nil"/>
                    <w:tr2bl w:val="nil"/>
                  </w:tcBorders>
                  <w:shd w:val="clear" w:color="auto" w:fill="auto"/>
                  <w:vAlign w:val="center"/>
                </w:tcPr>
                <w:p w14:paraId="09907018">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4C965B6E">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树脂砂</w:t>
                  </w:r>
                  <w:r>
                    <w:rPr>
                      <w:rFonts w:hint="eastAsia" w:cs="Times New Roman"/>
                      <w:i w:val="0"/>
                      <w:iCs w:val="0"/>
                      <w:color w:val="000000" w:themeColor="text1"/>
                      <w:kern w:val="0"/>
                      <w:sz w:val="21"/>
                      <w:szCs w:val="21"/>
                      <w:u w:val="none"/>
                      <w:lang w:val="en-US" w:eastAsia="zh-CN" w:bidi="ar"/>
                      <w14:textFill>
                        <w14:solidFill>
                          <w14:schemeClr w14:val="tx1"/>
                        </w14:solidFill>
                      </w14:textFill>
                    </w:rPr>
                    <w:t>TVOC</w:t>
                  </w:r>
                </w:p>
              </w:tc>
              <w:tc>
                <w:tcPr>
                  <w:tcW w:w="1297" w:type="dxa"/>
                  <w:tcBorders>
                    <w:tl2br w:val="nil"/>
                    <w:tr2bl w:val="nil"/>
                  </w:tcBorders>
                  <w:shd w:val="clear" w:color="auto" w:fill="auto"/>
                  <w:vAlign w:val="center"/>
                </w:tcPr>
                <w:p w14:paraId="6D5189BE">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1.733</w:t>
                  </w:r>
                </w:p>
              </w:tc>
            </w:tr>
            <w:tr w14:paraId="299181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4517E49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不合格品和金属边料</w:t>
                  </w:r>
                </w:p>
              </w:tc>
              <w:tc>
                <w:tcPr>
                  <w:tcW w:w="1486" w:type="dxa"/>
                  <w:tcBorders>
                    <w:tl2br w:val="nil"/>
                    <w:tr2bl w:val="nil"/>
                  </w:tcBorders>
                  <w:shd w:val="clear" w:color="auto" w:fill="auto"/>
                  <w:noWrap/>
                  <w:vAlign w:val="center"/>
                </w:tcPr>
                <w:p w14:paraId="420B9D85">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2604</w:t>
                  </w:r>
                </w:p>
              </w:tc>
              <w:tc>
                <w:tcPr>
                  <w:tcW w:w="1733" w:type="dxa"/>
                  <w:vMerge w:val="continue"/>
                  <w:tcBorders>
                    <w:tl2br w:val="nil"/>
                    <w:tr2bl w:val="nil"/>
                  </w:tcBorders>
                  <w:shd w:val="clear" w:color="auto" w:fill="auto"/>
                  <w:vAlign w:val="center"/>
                </w:tcPr>
                <w:p w14:paraId="425FC8A2">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18F5DB7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SO</w:t>
                  </w:r>
                  <w:r>
                    <w:rPr>
                      <w:rFonts w:hint="default" w:ascii="Times New Roman" w:hAnsi="Times New Roman" w:eastAsia="宋体" w:cs="Times New Roman"/>
                      <w:i w:val="0"/>
                      <w:iCs w:val="0"/>
                      <w:color w:val="000000" w:themeColor="text1"/>
                      <w:kern w:val="0"/>
                      <w:sz w:val="21"/>
                      <w:szCs w:val="21"/>
                      <w:u w:val="none"/>
                      <w:vertAlign w:val="subscript"/>
                      <w:lang w:val="en-US" w:eastAsia="zh-CN" w:bidi="ar"/>
                      <w14:textFill>
                        <w14:solidFill>
                          <w14:schemeClr w14:val="tx1"/>
                        </w14:solidFill>
                      </w14:textFill>
                    </w:rPr>
                    <w:t>2</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（以S计）</w:t>
                  </w:r>
                </w:p>
              </w:tc>
              <w:tc>
                <w:tcPr>
                  <w:tcW w:w="1297" w:type="dxa"/>
                  <w:tcBorders>
                    <w:tl2br w:val="nil"/>
                    <w:tr2bl w:val="nil"/>
                  </w:tcBorders>
                  <w:shd w:val="clear" w:color="auto" w:fill="auto"/>
                  <w:vAlign w:val="center"/>
                </w:tcPr>
                <w:p w14:paraId="24D8877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0.162</w:t>
                  </w:r>
                </w:p>
              </w:tc>
            </w:tr>
            <w:tr w14:paraId="158E6C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2D332CCA">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0695749A">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tcBorders>
                    <w:tl2br w:val="nil"/>
                    <w:tr2bl w:val="nil"/>
                  </w:tcBorders>
                  <w:shd w:val="clear" w:color="auto" w:fill="auto"/>
                  <w:vAlign w:val="center"/>
                </w:tcPr>
                <w:p w14:paraId="0BBC15B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落砂废气（G1-3）</w:t>
                  </w:r>
                </w:p>
              </w:tc>
              <w:tc>
                <w:tcPr>
                  <w:tcW w:w="1916" w:type="dxa"/>
                  <w:tcBorders>
                    <w:tl2br w:val="nil"/>
                    <w:tr2bl w:val="nil"/>
                  </w:tcBorders>
                  <w:shd w:val="clear" w:color="auto" w:fill="auto"/>
                  <w:vAlign w:val="center"/>
                </w:tcPr>
                <w:p w14:paraId="381430D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颗粒物</w:t>
                  </w:r>
                </w:p>
              </w:tc>
              <w:tc>
                <w:tcPr>
                  <w:tcW w:w="1297" w:type="dxa"/>
                  <w:tcBorders>
                    <w:tl2br w:val="nil"/>
                    <w:tr2bl w:val="nil"/>
                  </w:tcBorders>
                  <w:shd w:val="clear" w:color="auto" w:fill="auto"/>
                  <w:vAlign w:val="center"/>
                </w:tcPr>
                <w:p w14:paraId="7093355B">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4.16</w:t>
                  </w:r>
                </w:p>
              </w:tc>
            </w:tr>
            <w:tr w14:paraId="793676A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687237A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0A30253E">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tcBorders>
                    <w:tl2br w:val="nil"/>
                    <w:tr2bl w:val="nil"/>
                  </w:tcBorders>
                  <w:shd w:val="clear" w:color="auto" w:fill="auto"/>
                  <w:vAlign w:val="center"/>
                </w:tcPr>
                <w:p w14:paraId="68C2B9A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打磨废气（G1-6）、抛丸废气（G1-7）</w:t>
                  </w:r>
                </w:p>
              </w:tc>
              <w:tc>
                <w:tcPr>
                  <w:tcW w:w="1916" w:type="dxa"/>
                  <w:tcBorders>
                    <w:tl2br w:val="nil"/>
                    <w:tr2bl w:val="nil"/>
                  </w:tcBorders>
                  <w:shd w:val="clear" w:color="auto" w:fill="auto"/>
                  <w:vAlign w:val="center"/>
                </w:tcPr>
                <w:p w14:paraId="0235F66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颗粒物</w:t>
                  </w:r>
                </w:p>
              </w:tc>
              <w:tc>
                <w:tcPr>
                  <w:tcW w:w="1297" w:type="dxa"/>
                  <w:tcBorders>
                    <w:tl2br w:val="nil"/>
                    <w:tr2bl w:val="nil"/>
                  </w:tcBorders>
                  <w:shd w:val="clear" w:color="auto" w:fill="auto"/>
                  <w:vAlign w:val="center"/>
                </w:tcPr>
                <w:p w14:paraId="35464B3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25.054</w:t>
                  </w:r>
                </w:p>
              </w:tc>
            </w:tr>
            <w:tr w14:paraId="42266C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6CC5174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21B7FF4D">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tcBorders>
                    <w:tl2br w:val="nil"/>
                    <w:tr2bl w:val="nil"/>
                  </w:tcBorders>
                  <w:shd w:val="clear" w:color="auto" w:fill="auto"/>
                  <w:vAlign w:val="center"/>
                </w:tcPr>
                <w:p w14:paraId="004F687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S1-1炉渣</w:t>
                  </w:r>
                </w:p>
              </w:tc>
              <w:tc>
                <w:tcPr>
                  <w:tcW w:w="1916" w:type="dxa"/>
                  <w:tcBorders>
                    <w:tl2br w:val="nil"/>
                    <w:tr2bl w:val="nil"/>
                  </w:tcBorders>
                  <w:shd w:val="clear" w:color="auto" w:fill="auto"/>
                  <w:vAlign w:val="center"/>
                </w:tcPr>
                <w:p w14:paraId="42D9A48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炉渣</w:t>
                  </w:r>
                </w:p>
              </w:tc>
              <w:tc>
                <w:tcPr>
                  <w:tcW w:w="1297" w:type="dxa"/>
                  <w:tcBorders>
                    <w:tl2br w:val="nil"/>
                    <w:tr2bl w:val="nil"/>
                  </w:tcBorders>
                  <w:shd w:val="clear" w:color="auto" w:fill="auto"/>
                  <w:vAlign w:val="center"/>
                </w:tcPr>
                <w:p w14:paraId="381D043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92.378</w:t>
                  </w:r>
                </w:p>
              </w:tc>
            </w:tr>
            <w:tr w14:paraId="7C19AA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399C797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78F30DF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tcBorders>
                    <w:tl2br w:val="nil"/>
                    <w:tr2bl w:val="nil"/>
                  </w:tcBorders>
                  <w:shd w:val="clear" w:color="auto" w:fill="auto"/>
                  <w:vAlign w:val="center"/>
                </w:tcPr>
                <w:p w14:paraId="7DE5203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1916" w:type="dxa"/>
                  <w:tcBorders>
                    <w:tl2br w:val="nil"/>
                    <w:tr2bl w:val="nil"/>
                  </w:tcBorders>
                  <w:shd w:val="clear" w:color="auto" w:fill="auto"/>
                  <w:vAlign w:val="center"/>
                </w:tcPr>
                <w:p w14:paraId="18A7AEE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不合格品和金属边料</w:t>
                  </w:r>
                </w:p>
              </w:tc>
              <w:tc>
                <w:tcPr>
                  <w:tcW w:w="1297" w:type="dxa"/>
                  <w:tcBorders>
                    <w:tl2br w:val="nil"/>
                    <w:tr2bl w:val="nil"/>
                  </w:tcBorders>
                  <w:shd w:val="clear" w:color="auto" w:fill="auto"/>
                  <w:vAlign w:val="center"/>
                </w:tcPr>
                <w:p w14:paraId="16D1C6E5">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2604</w:t>
                  </w:r>
                </w:p>
              </w:tc>
            </w:tr>
            <w:tr w14:paraId="5086886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5A0EE92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22DAECA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vMerge w:val="restart"/>
                  <w:tcBorders>
                    <w:tl2br w:val="nil"/>
                    <w:tr2bl w:val="nil"/>
                  </w:tcBorders>
                  <w:shd w:val="clear" w:color="auto" w:fill="auto"/>
                  <w:noWrap/>
                  <w:vAlign w:val="center"/>
                </w:tcPr>
                <w:p w14:paraId="6E3A663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S1-4废再生砂</w:t>
                  </w:r>
                </w:p>
              </w:tc>
              <w:tc>
                <w:tcPr>
                  <w:tcW w:w="1916" w:type="dxa"/>
                  <w:tcBorders>
                    <w:tl2br w:val="nil"/>
                    <w:tr2bl w:val="nil"/>
                  </w:tcBorders>
                  <w:shd w:val="clear" w:color="auto" w:fill="auto"/>
                  <w:vAlign w:val="center"/>
                </w:tcPr>
                <w:p w14:paraId="7271B8F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废树脂砂</w:t>
                  </w:r>
                  <w:r>
                    <w:rPr>
                      <w:rFonts w:hint="eastAsia" w:cs="Times New Roman"/>
                      <w:i w:val="0"/>
                      <w:iCs w:val="0"/>
                      <w:color w:val="000000" w:themeColor="text1"/>
                      <w:kern w:val="0"/>
                      <w:sz w:val="21"/>
                      <w:szCs w:val="21"/>
                      <w:u w:val="none"/>
                      <w:lang w:val="en-US" w:eastAsia="zh-CN" w:bidi="ar"/>
                      <w14:textFill>
                        <w14:solidFill>
                          <w14:schemeClr w14:val="tx1"/>
                        </w14:solidFill>
                      </w14:textFill>
                    </w:rPr>
                    <w:t>（循环量）</w:t>
                  </w:r>
                </w:p>
              </w:tc>
              <w:tc>
                <w:tcPr>
                  <w:tcW w:w="1297" w:type="dxa"/>
                  <w:tcBorders>
                    <w:tl2br w:val="nil"/>
                    <w:tr2bl w:val="nil"/>
                  </w:tcBorders>
                  <w:shd w:val="clear" w:color="auto" w:fill="auto"/>
                  <w:vAlign w:val="center"/>
                </w:tcPr>
                <w:p w14:paraId="01F2494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6500.864</w:t>
                  </w:r>
                </w:p>
              </w:tc>
            </w:tr>
            <w:tr w14:paraId="5B804A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335F0E7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43874BAC">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vMerge w:val="continue"/>
                  <w:tcBorders>
                    <w:tl2br w:val="nil"/>
                    <w:tr2bl w:val="nil"/>
                  </w:tcBorders>
                  <w:shd w:val="clear" w:color="auto" w:fill="auto"/>
                  <w:noWrap/>
                  <w:vAlign w:val="center"/>
                </w:tcPr>
                <w:p w14:paraId="0593B805">
                  <w:pPr>
                    <w:keepNext w:val="0"/>
                    <w:keepLines w:val="0"/>
                    <w:pageBreakBefore w:val="0"/>
                    <w:widowControl/>
                    <w:shd w:val="clear"/>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916" w:type="dxa"/>
                  <w:tcBorders>
                    <w:tl2br w:val="nil"/>
                    <w:tr2bl w:val="nil"/>
                  </w:tcBorders>
                  <w:shd w:val="clear" w:color="auto" w:fill="auto"/>
                  <w:vAlign w:val="center"/>
                </w:tcPr>
                <w:p w14:paraId="3BF3368E">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废粘土砂</w:t>
                  </w:r>
                  <w:r>
                    <w:rPr>
                      <w:rFonts w:hint="eastAsia" w:cs="Times New Roman"/>
                      <w:i w:val="0"/>
                      <w:iCs w:val="0"/>
                      <w:color w:val="000000" w:themeColor="text1"/>
                      <w:kern w:val="0"/>
                      <w:sz w:val="21"/>
                      <w:szCs w:val="21"/>
                      <w:u w:val="none"/>
                      <w:lang w:val="en-US" w:eastAsia="zh-CN" w:bidi="ar"/>
                      <w14:textFill>
                        <w14:solidFill>
                          <w14:schemeClr w14:val="tx1"/>
                        </w14:solidFill>
                      </w14:textFill>
                    </w:rPr>
                    <w:t>（循环量）</w:t>
                  </w:r>
                </w:p>
              </w:tc>
              <w:tc>
                <w:tcPr>
                  <w:tcW w:w="1297" w:type="dxa"/>
                  <w:tcBorders>
                    <w:tl2br w:val="nil"/>
                    <w:tr2bl w:val="nil"/>
                  </w:tcBorders>
                  <w:shd w:val="clear" w:color="auto" w:fill="auto"/>
                  <w:noWrap/>
                  <w:vAlign w:val="center"/>
                </w:tcPr>
                <w:p w14:paraId="0B17FF68">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4085</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p>
              </w:tc>
            </w:tr>
            <w:tr w14:paraId="4E75EA8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59718A9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48A583D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733" w:type="dxa"/>
                  <w:tcBorders>
                    <w:tl2br w:val="nil"/>
                    <w:tr2bl w:val="nil"/>
                  </w:tcBorders>
                  <w:shd w:val="clear" w:color="auto" w:fill="auto"/>
                  <w:vAlign w:val="center"/>
                </w:tcPr>
                <w:p w14:paraId="309210E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S1-7沾染废乳化液刨花屑</w:t>
                  </w:r>
                </w:p>
              </w:tc>
              <w:tc>
                <w:tcPr>
                  <w:tcW w:w="1916" w:type="dxa"/>
                  <w:tcBorders>
                    <w:tl2br w:val="nil"/>
                    <w:tr2bl w:val="nil"/>
                  </w:tcBorders>
                  <w:shd w:val="clear" w:color="auto" w:fill="auto"/>
                  <w:vAlign w:val="center"/>
                </w:tcPr>
                <w:p w14:paraId="190A74C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沾染废乳化液刨花屑</w:t>
                  </w:r>
                </w:p>
              </w:tc>
              <w:tc>
                <w:tcPr>
                  <w:tcW w:w="1297" w:type="dxa"/>
                  <w:tcBorders>
                    <w:tl2br w:val="nil"/>
                    <w:tr2bl w:val="nil"/>
                  </w:tcBorders>
                  <w:shd w:val="clear" w:color="auto" w:fill="auto"/>
                  <w:noWrap/>
                  <w:vAlign w:val="center"/>
                </w:tcPr>
                <w:p w14:paraId="1591BA4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w:t>
                  </w:r>
                </w:p>
              </w:tc>
            </w:tr>
            <w:tr w14:paraId="2E945B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vAlign w:val="center"/>
                </w:tcPr>
                <w:p w14:paraId="4DDCA7E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486" w:type="dxa"/>
                  <w:tcBorders>
                    <w:tl2br w:val="nil"/>
                    <w:tr2bl w:val="nil"/>
                  </w:tcBorders>
                  <w:shd w:val="clear" w:color="auto" w:fill="auto"/>
                  <w:vAlign w:val="center"/>
                </w:tcPr>
                <w:p w14:paraId="6825FAEB">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3649" w:type="dxa"/>
                  <w:gridSpan w:val="2"/>
                  <w:tcBorders>
                    <w:tl2br w:val="nil"/>
                    <w:tr2bl w:val="nil"/>
                  </w:tcBorders>
                  <w:shd w:val="clear" w:color="auto" w:fill="auto"/>
                  <w:noWrap/>
                  <w:vAlign w:val="center"/>
                </w:tcPr>
                <w:p w14:paraId="5AE88062">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蒸发水</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（粘土砂浇注工序蒸发）</w:t>
                  </w:r>
                </w:p>
              </w:tc>
              <w:tc>
                <w:tcPr>
                  <w:tcW w:w="1297" w:type="dxa"/>
                  <w:tcBorders>
                    <w:tl2br w:val="nil"/>
                    <w:tr2bl w:val="nil"/>
                  </w:tcBorders>
                  <w:shd w:val="clear" w:color="auto" w:fill="auto"/>
                  <w:vAlign w:val="center"/>
                </w:tcPr>
                <w:p w14:paraId="4A433DF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1267</w:t>
                  </w:r>
                </w:p>
              </w:tc>
            </w:tr>
            <w:tr w14:paraId="466257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1485" w:type="dxa"/>
                  <w:tcBorders>
                    <w:tl2br w:val="nil"/>
                    <w:tr2bl w:val="nil"/>
                  </w:tcBorders>
                  <w:shd w:val="clear" w:color="auto" w:fill="auto"/>
                  <w:noWrap/>
                  <w:vAlign w:val="center"/>
                </w:tcPr>
                <w:p w14:paraId="05EEF177">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合计</w:t>
                  </w:r>
                </w:p>
              </w:tc>
              <w:tc>
                <w:tcPr>
                  <w:tcW w:w="1486" w:type="dxa"/>
                  <w:tcBorders>
                    <w:tl2br w:val="nil"/>
                    <w:tr2bl w:val="nil"/>
                  </w:tcBorders>
                  <w:shd w:val="clear" w:color="auto" w:fill="auto"/>
                  <w:vAlign w:val="center"/>
                </w:tcPr>
                <w:p w14:paraId="6AF45A68">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6177</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.724</w:t>
                  </w:r>
                </w:p>
              </w:tc>
              <w:tc>
                <w:tcPr>
                  <w:tcW w:w="3649" w:type="dxa"/>
                  <w:gridSpan w:val="2"/>
                  <w:tcBorders>
                    <w:tl2br w:val="nil"/>
                    <w:tr2bl w:val="nil"/>
                  </w:tcBorders>
                  <w:shd w:val="clear" w:color="auto" w:fill="auto"/>
                  <w:noWrap/>
                  <w:vAlign w:val="center"/>
                </w:tcPr>
                <w:p w14:paraId="4D3785BD">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合计</w:t>
                  </w:r>
                </w:p>
              </w:tc>
              <w:tc>
                <w:tcPr>
                  <w:tcW w:w="1297" w:type="dxa"/>
                  <w:tcBorders>
                    <w:tl2br w:val="nil"/>
                    <w:tr2bl w:val="nil"/>
                  </w:tcBorders>
                  <w:shd w:val="clear" w:color="auto" w:fill="auto"/>
                  <w:vAlign w:val="center"/>
                </w:tcPr>
                <w:p w14:paraId="40B5923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6177</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.724</w:t>
                  </w:r>
                </w:p>
              </w:tc>
            </w:tr>
          </w:tbl>
          <w:p w14:paraId="21BD06A2">
            <w:pPr>
              <w:shd w:val="clear" w:color="auto" w:fill="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②</w:t>
            </w:r>
            <w:r>
              <w:rPr>
                <w:rFonts w:hint="default" w:ascii="Times New Roman" w:hAnsi="Times New Roman" w:cs="Times New Roman"/>
                <w:color w:val="000000" w:themeColor="text1"/>
                <w:highlight w:val="none"/>
                <w:lang w:val="en-US" w:eastAsia="zh-CN"/>
                <w14:textFill>
                  <w14:solidFill>
                    <w14:schemeClr w14:val="tx1"/>
                  </w14:solidFill>
                </w14:textFill>
              </w:rPr>
              <w:t>项目砂平衡</w:t>
            </w:r>
          </w:p>
          <w:p w14:paraId="0529EEFC">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themeColor="text1"/>
                <w:szCs w:val="21"/>
                <w:highlight w:val="none"/>
                <w14:textFill>
                  <w14:solidFill>
                    <w14:schemeClr w14:val="tx1"/>
                  </w14:solidFill>
                </w14:textFill>
              </w:rPr>
            </w:pPr>
            <w:r>
              <w:rPr>
                <w:rFonts w:hint="default" w:ascii="Times New Roman" w:hAnsi="Times New Roman" w:cs="Times New Roman"/>
                <w:b/>
                <w:bCs/>
                <w:color w:val="000000" w:themeColor="text1"/>
                <w:szCs w:val="21"/>
                <w:highlight w:val="none"/>
                <w14:textFill>
                  <w14:solidFill>
                    <w14:schemeClr w14:val="tx1"/>
                  </w14:solidFill>
                </w14:textFill>
              </w:rPr>
              <w:t>表2-</w:t>
            </w:r>
            <w:r>
              <w:rPr>
                <w:rFonts w:hint="eastAsia" w:cs="Times New Roman"/>
                <w:b/>
                <w:bCs/>
                <w:color w:val="000000" w:themeColor="text1"/>
                <w:szCs w:val="21"/>
                <w:highlight w:val="none"/>
                <w:lang w:val="en-US" w:eastAsia="zh-CN"/>
                <w14:textFill>
                  <w14:solidFill>
                    <w14:schemeClr w14:val="tx1"/>
                  </w14:solidFill>
                </w14:textFill>
              </w:rPr>
              <w:t>17</w:t>
            </w:r>
            <w:r>
              <w:rPr>
                <w:rFonts w:hint="default" w:ascii="Times New Roman" w:hAnsi="Times New Roman" w:cs="Times New Roman"/>
                <w:b/>
                <w:bCs/>
                <w:color w:val="000000" w:themeColor="text1"/>
                <w:szCs w:val="21"/>
                <w:highlight w:val="none"/>
                <w14:textFill>
                  <w14:solidFill>
                    <w14:schemeClr w14:val="tx1"/>
                  </w14:solidFill>
                </w14:textFill>
              </w:rPr>
              <w:t xml:space="preserve"> </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 xml:space="preserve"> </w:t>
            </w:r>
            <w:r>
              <w:rPr>
                <w:rFonts w:hint="eastAsia" w:cs="Times New Roman"/>
                <w:b/>
                <w:bCs/>
                <w:color w:val="000000" w:themeColor="text1"/>
                <w:szCs w:val="21"/>
                <w:highlight w:val="none"/>
                <w:lang w:val="en-US" w:eastAsia="zh-CN"/>
                <w14:textFill>
                  <w14:solidFill>
                    <w14:schemeClr w14:val="tx1"/>
                  </w14:solidFill>
                </w14:textFill>
              </w:rPr>
              <w:t>树脂</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砂</w:t>
            </w:r>
            <w:r>
              <w:rPr>
                <w:rFonts w:hint="eastAsia" w:cs="Times New Roman"/>
                <w:b/>
                <w:bCs/>
                <w:color w:val="000000" w:themeColor="text1"/>
                <w:szCs w:val="21"/>
                <w:highlight w:val="none"/>
                <w:lang w:val="en-US" w:eastAsia="zh-CN"/>
                <w14:textFill>
                  <w14:solidFill>
                    <w14:schemeClr w14:val="tx1"/>
                  </w14:solidFill>
                </w14:textFill>
              </w:rPr>
              <w:t>再生线</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平衡</w:t>
            </w:r>
            <w:r>
              <w:rPr>
                <w:rFonts w:hint="eastAsia" w:ascii="Times New Roman" w:hAnsi="Times New Roman" w:cs="Times New Roman"/>
                <w:b/>
                <w:bCs/>
                <w:color w:val="000000" w:themeColor="text1"/>
                <w:szCs w:val="21"/>
                <w:highlight w:val="none"/>
                <w:lang w:val="en-US" w:eastAsia="zh-CN"/>
                <w14:textFill>
                  <w14:solidFill>
                    <w14:schemeClr w14:val="tx1"/>
                  </w14:solidFill>
                </w14:textFill>
              </w:rPr>
              <w:t xml:space="preserve">   单位：t/a</w:t>
            </w:r>
          </w:p>
          <w:tbl>
            <w:tblPr>
              <w:tblStyle w:val="32"/>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2104"/>
              <w:gridCol w:w="1100"/>
              <w:gridCol w:w="1750"/>
              <w:gridCol w:w="1833"/>
              <w:gridCol w:w="1130"/>
            </w:tblGrid>
            <w:tr w14:paraId="5F5BCAC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PrEx>
              <w:trPr>
                <w:trHeight w:val="283" w:hRule="atLeast"/>
                <w:jc w:val="center"/>
              </w:trPr>
              <w:tc>
                <w:tcPr>
                  <w:tcW w:w="3204" w:type="dxa"/>
                  <w:gridSpan w:val="2"/>
                  <w:tcBorders>
                    <w:tl2br w:val="nil"/>
                    <w:tr2bl w:val="nil"/>
                  </w:tcBorders>
                  <w:shd w:val="clear" w:color="auto" w:fill="auto"/>
                  <w:vAlign w:val="center"/>
                </w:tcPr>
                <w:p w14:paraId="507AE8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投入量</w:t>
                  </w:r>
                </w:p>
              </w:tc>
              <w:tc>
                <w:tcPr>
                  <w:tcW w:w="4713" w:type="dxa"/>
                  <w:gridSpan w:val="3"/>
                  <w:tcBorders>
                    <w:tl2br w:val="nil"/>
                    <w:tr2bl w:val="nil"/>
                  </w:tcBorders>
                  <w:shd w:val="clear" w:color="auto" w:fill="auto"/>
                  <w:vAlign w:val="center"/>
                </w:tcPr>
                <w:p w14:paraId="013FC5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产出量</w:t>
                  </w:r>
                </w:p>
              </w:tc>
            </w:tr>
            <w:tr w14:paraId="1BEF1C6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104" w:type="dxa"/>
                  <w:tcBorders>
                    <w:tl2br w:val="nil"/>
                    <w:tr2bl w:val="nil"/>
                  </w:tcBorders>
                  <w:shd w:val="clear" w:color="auto" w:fill="auto"/>
                  <w:vAlign w:val="center"/>
                </w:tcPr>
                <w:p w14:paraId="131214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废树脂砂</w:t>
                  </w:r>
                  <w:r>
                    <w:rPr>
                      <w:rFonts w:hint="eastAsia" w:cs="Times New Roman"/>
                      <w:i w:val="0"/>
                      <w:iCs w:val="0"/>
                      <w:color w:val="000000" w:themeColor="text1"/>
                      <w:kern w:val="0"/>
                      <w:sz w:val="21"/>
                      <w:szCs w:val="21"/>
                      <w:u w:val="none"/>
                      <w:lang w:val="en-US" w:eastAsia="zh-CN" w:bidi="ar"/>
                      <w14:textFill>
                        <w14:solidFill>
                          <w14:schemeClr w14:val="tx1"/>
                        </w14:solidFill>
                      </w14:textFill>
                    </w:rPr>
                    <w:t>（循环量）</w:t>
                  </w:r>
                </w:p>
              </w:tc>
              <w:tc>
                <w:tcPr>
                  <w:tcW w:w="1100" w:type="dxa"/>
                  <w:tcBorders>
                    <w:tl2br w:val="nil"/>
                    <w:tr2bl w:val="nil"/>
                  </w:tcBorders>
                  <w:shd w:val="clear" w:color="auto" w:fill="auto"/>
                  <w:vAlign w:val="center"/>
                </w:tcPr>
                <w:p w14:paraId="4E6BDD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6500.864</w:t>
                  </w:r>
                </w:p>
              </w:tc>
              <w:tc>
                <w:tcPr>
                  <w:tcW w:w="3583" w:type="dxa"/>
                  <w:gridSpan w:val="2"/>
                  <w:tcBorders>
                    <w:tl2br w:val="nil"/>
                    <w:tr2bl w:val="nil"/>
                  </w:tcBorders>
                  <w:shd w:val="clear" w:color="auto" w:fill="auto"/>
                  <w:vAlign w:val="center"/>
                </w:tcPr>
                <w:p w14:paraId="103DC2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再生树脂砂</w:t>
                  </w:r>
                </w:p>
              </w:tc>
              <w:tc>
                <w:tcPr>
                  <w:tcW w:w="1130" w:type="dxa"/>
                  <w:tcBorders>
                    <w:tl2br w:val="nil"/>
                    <w:tr2bl w:val="nil"/>
                  </w:tcBorders>
                  <w:shd w:val="clear" w:color="auto" w:fill="auto"/>
                  <w:vAlign w:val="center"/>
                </w:tcPr>
                <w:p w14:paraId="541FF7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6509.712</w:t>
                  </w:r>
                </w:p>
              </w:tc>
            </w:tr>
            <w:tr w14:paraId="59D602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08" w:hRule="atLeast"/>
                <w:jc w:val="center"/>
              </w:trPr>
              <w:tc>
                <w:tcPr>
                  <w:tcW w:w="2104" w:type="dxa"/>
                  <w:vMerge w:val="restart"/>
                  <w:tcBorders>
                    <w:tl2br w:val="nil"/>
                    <w:tr2bl w:val="nil"/>
                  </w:tcBorders>
                  <w:shd w:val="clear" w:color="auto" w:fill="auto"/>
                  <w:vAlign w:val="center"/>
                </w:tcPr>
                <w:p w14:paraId="67B32F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天然</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硅砂</w:t>
                  </w:r>
                </w:p>
              </w:tc>
              <w:tc>
                <w:tcPr>
                  <w:tcW w:w="1100" w:type="dxa"/>
                  <w:vMerge w:val="restart"/>
                  <w:tcBorders>
                    <w:tl2br w:val="nil"/>
                    <w:tr2bl w:val="nil"/>
                  </w:tcBorders>
                  <w:shd w:val="clear" w:color="auto" w:fill="auto"/>
                  <w:vAlign w:val="center"/>
                </w:tcPr>
                <w:p w14:paraId="4293A7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299</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.984</w:t>
                  </w:r>
                </w:p>
              </w:tc>
              <w:tc>
                <w:tcPr>
                  <w:tcW w:w="1750" w:type="dxa"/>
                  <w:vMerge w:val="restart"/>
                  <w:tcBorders>
                    <w:tl2br w:val="nil"/>
                    <w:tr2bl w:val="nil"/>
                  </w:tcBorders>
                  <w:shd w:val="clear" w:color="auto" w:fill="auto"/>
                  <w:vAlign w:val="center"/>
                </w:tcPr>
                <w:p w14:paraId="4DF5ED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树脂砂再生颗粒物（</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G2-1</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G2-2</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G2-3</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G2-4</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p>
              </w:tc>
              <w:tc>
                <w:tcPr>
                  <w:tcW w:w="1833" w:type="dxa"/>
                  <w:tcBorders>
                    <w:tl2br w:val="nil"/>
                    <w:tr2bl w:val="nil"/>
                  </w:tcBorders>
                  <w:shd w:val="clear" w:color="auto" w:fill="auto"/>
                  <w:vAlign w:val="center"/>
                </w:tcPr>
                <w:p w14:paraId="2707A0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有组织排放量</w:t>
                  </w:r>
                </w:p>
              </w:tc>
              <w:tc>
                <w:tcPr>
                  <w:tcW w:w="1130" w:type="dxa"/>
                  <w:tcBorders>
                    <w:tl2br w:val="nil"/>
                    <w:tr2bl w:val="nil"/>
                  </w:tcBorders>
                  <w:shd w:val="clear" w:color="auto" w:fill="auto"/>
                  <w:vAlign w:val="center"/>
                </w:tcPr>
                <w:p w14:paraId="6F4B2E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i w:val="0"/>
                      <w:iCs w:val="0"/>
                      <w:color w:val="000000" w:themeColor="text1"/>
                      <w:kern w:val="0"/>
                      <w:sz w:val="21"/>
                      <w:szCs w:val="21"/>
                      <w:u w:val="none"/>
                      <w:lang w:val="en-US" w:eastAsia="zh-CN" w:bidi="ar"/>
                      <w14:textFill>
                        <w14:solidFill>
                          <w14:schemeClr w14:val="tx1"/>
                        </w14:solidFill>
                      </w14:textFill>
                    </w:rPr>
                    <w:t>0.277</w:t>
                  </w:r>
                </w:p>
              </w:tc>
            </w:tr>
            <w:tr w14:paraId="7FD479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8" w:hRule="atLeast"/>
                <w:jc w:val="center"/>
              </w:trPr>
              <w:tc>
                <w:tcPr>
                  <w:tcW w:w="2104" w:type="dxa"/>
                  <w:vMerge w:val="continue"/>
                  <w:tcBorders>
                    <w:tl2br w:val="nil"/>
                    <w:tr2bl w:val="nil"/>
                  </w:tcBorders>
                  <w:shd w:val="clear" w:color="auto" w:fill="auto"/>
                  <w:vAlign w:val="center"/>
                </w:tcPr>
                <w:p w14:paraId="7314A2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100" w:type="dxa"/>
                  <w:vMerge w:val="continue"/>
                  <w:tcBorders>
                    <w:tl2br w:val="nil"/>
                    <w:tr2bl w:val="nil"/>
                  </w:tcBorders>
                  <w:shd w:val="clear" w:color="auto" w:fill="auto"/>
                  <w:vAlign w:val="center"/>
                </w:tcPr>
                <w:p w14:paraId="0CD6F9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750" w:type="dxa"/>
                  <w:vMerge w:val="continue"/>
                  <w:tcBorders>
                    <w:tl2br w:val="nil"/>
                    <w:tr2bl w:val="nil"/>
                  </w:tcBorders>
                  <w:shd w:val="clear" w:color="auto" w:fill="auto"/>
                  <w:vAlign w:val="center"/>
                </w:tcPr>
                <w:p w14:paraId="4A3FE1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833" w:type="dxa"/>
                  <w:tcBorders>
                    <w:tl2br w:val="nil"/>
                    <w:tr2bl w:val="nil"/>
                  </w:tcBorders>
                  <w:shd w:val="clear" w:color="auto" w:fill="auto"/>
                  <w:vAlign w:val="center"/>
                </w:tcPr>
                <w:p w14:paraId="44D380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布袋除尘收集量</w:t>
                  </w:r>
                </w:p>
              </w:tc>
              <w:tc>
                <w:tcPr>
                  <w:tcW w:w="1130" w:type="dxa"/>
                  <w:tcBorders>
                    <w:tl2br w:val="nil"/>
                    <w:tr2bl w:val="nil"/>
                  </w:tcBorders>
                  <w:shd w:val="clear" w:color="auto" w:fill="auto"/>
                  <w:vAlign w:val="center"/>
                </w:tcPr>
                <w:p w14:paraId="6342AF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i w:val="0"/>
                      <w:iCs w:val="0"/>
                      <w:color w:val="000000" w:themeColor="text1"/>
                      <w:kern w:val="0"/>
                      <w:sz w:val="21"/>
                      <w:szCs w:val="21"/>
                      <w:u w:val="none"/>
                      <w:lang w:val="en-US" w:eastAsia="zh-CN" w:bidi="ar"/>
                      <w14:textFill>
                        <w14:solidFill>
                          <w14:schemeClr w14:val="tx1"/>
                        </w14:solidFill>
                      </w14:textFill>
                    </w:rPr>
                    <w:t>55.163</w:t>
                  </w:r>
                </w:p>
              </w:tc>
            </w:tr>
            <w:tr w14:paraId="738A90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08" w:hRule="atLeast"/>
                <w:jc w:val="center"/>
              </w:trPr>
              <w:tc>
                <w:tcPr>
                  <w:tcW w:w="2104" w:type="dxa"/>
                  <w:vMerge w:val="continue"/>
                  <w:tcBorders>
                    <w:tl2br w:val="nil"/>
                    <w:tr2bl w:val="nil"/>
                  </w:tcBorders>
                  <w:shd w:val="clear" w:color="auto" w:fill="auto"/>
                  <w:vAlign w:val="center"/>
                </w:tcPr>
                <w:p w14:paraId="53F288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100" w:type="dxa"/>
                  <w:vMerge w:val="continue"/>
                  <w:tcBorders>
                    <w:tl2br w:val="nil"/>
                    <w:tr2bl w:val="nil"/>
                  </w:tcBorders>
                  <w:shd w:val="clear" w:color="auto" w:fill="auto"/>
                  <w:vAlign w:val="center"/>
                </w:tcPr>
                <w:p w14:paraId="4F1DA5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750" w:type="dxa"/>
                  <w:vMerge w:val="continue"/>
                  <w:tcBorders>
                    <w:tl2br w:val="nil"/>
                    <w:tr2bl w:val="nil"/>
                  </w:tcBorders>
                  <w:shd w:val="clear" w:color="auto" w:fill="auto"/>
                  <w:vAlign w:val="center"/>
                </w:tcPr>
                <w:p w14:paraId="1C84E8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833" w:type="dxa"/>
                  <w:tcBorders>
                    <w:tl2br w:val="nil"/>
                    <w:tr2bl w:val="nil"/>
                  </w:tcBorders>
                  <w:shd w:val="clear" w:color="auto" w:fill="auto"/>
                  <w:vAlign w:val="center"/>
                </w:tcPr>
                <w:p w14:paraId="486CE9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无组织产生量</w:t>
                  </w:r>
                </w:p>
              </w:tc>
              <w:tc>
                <w:tcPr>
                  <w:tcW w:w="1130" w:type="dxa"/>
                  <w:tcBorders>
                    <w:tl2br w:val="nil"/>
                    <w:tr2bl w:val="nil"/>
                  </w:tcBorders>
                  <w:shd w:val="clear" w:color="auto" w:fill="auto"/>
                  <w:vAlign w:val="center"/>
                </w:tcPr>
                <w:p w14:paraId="460E08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0.56</w:t>
                  </w:r>
                </w:p>
              </w:tc>
            </w:tr>
            <w:tr w14:paraId="4C1B88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83" w:hRule="atLeast"/>
                <w:jc w:val="center"/>
              </w:trPr>
              <w:tc>
                <w:tcPr>
                  <w:tcW w:w="2104" w:type="dxa"/>
                  <w:tcBorders>
                    <w:tl2br w:val="nil"/>
                    <w:tr2bl w:val="nil"/>
                  </w:tcBorders>
                  <w:shd w:val="clear" w:color="auto" w:fill="auto"/>
                  <w:vAlign w:val="center"/>
                </w:tcPr>
                <w:p w14:paraId="6A2731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自硬呋喃树脂</w:t>
                  </w:r>
                </w:p>
              </w:tc>
              <w:tc>
                <w:tcPr>
                  <w:tcW w:w="1100" w:type="dxa"/>
                  <w:tcBorders>
                    <w:tl2br w:val="nil"/>
                    <w:tr2bl w:val="nil"/>
                  </w:tcBorders>
                  <w:shd w:val="clear" w:color="auto" w:fill="auto"/>
                  <w:vAlign w:val="center"/>
                </w:tcPr>
                <w:p w14:paraId="0B7627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80</w:t>
                  </w:r>
                </w:p>
              </w:tc>
              <w:tc>
                <w:tcPr>
                  <w:tcW w:w="1750" w:type="dxa"/>
                  <w:vMerge w:val="restart"/>
                  <w:tcBorders>
                    <w:tl2br w:val="nil"/>
                    <w:tr2bl w:val="nil"/>
                  </w:tcBorders>
                  <w:shd w:val="clear" w:color="auto" w:fill="auto"/>
                  <w:vAlign w:val="center"/>
                </w:tcPr>
                <w:p w14:paraId="523DCC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lang w:val="en-US"/>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树</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脂砂混砂</w:t>
                  </w:r>
                  <w:r>
                    <w:rPr>
                      <w:rFonts w:hint="eastAsia" w:cs="Times New Roman"/>
                      <w:i w:val="0"/>
                      <w:iCs w:val="0"/>
                      <w:color w:val="000000" w:themeColor="text1"/>
                      <w:kern w:val="0"/>
                      <w:sz w:val="21"/>
                      <w:szCs w:val="21"/>
                      <w:u w:val="none"/>
                      <w:lang w:val="en-US" w:eastAsia="zh-CN" w:bidi="ar"/>
                      <w14:textFill>
                        <w14:solidFill>
                          <w14:schemeClr w14:val="tx1"/>
                        </w14:solidFill>
                      </w14:textFill>
                    </w:rPr>
                    <w:t>TVOC</w:t>
                  </w:r>
                  <w:r>
                    <w:rPr>
                      <w:rFonts w:hint="default" w:ascii="Times New Roman" w:hAnsi="Times New Roman" w:cs="Times New Roman"/>
                      <w:i w:val="0"/>
                      <w:iCs w:val="0"/>
                      <w:color w:val="000000" w:themeColor="text1"/>
                      <w:kern w:val="0"/>
                      <w:sz w:val="21"/>
                      <w:szCs w:val="21"/>
                      <w:u w:val="none"/>
                      <w:lang w:val="en-US" w:eastAsia="zh-CN" w:bidi="ar"/>
                      <w14:textFill>
                        <w14:solidFill>
                          <w14:schemeClr w14:val="tx1"/>
                        </w14:solidFill>
                      </w14:textFill>
                    </w:rPr>
                    <w:t>产生量</w:t>
                  </w:r>
                </w:p>
              </w:tc>
              <w:tc>
                <w:tcPr>
                  <w:tcW w:w="1833" w:type="dxa"/>
                  <w:tcBorders>
                    <w:tl2br w:val="nil"/>
                    <w:tr2bl w:val="nil"/>
                  </w:tcBorders>
                  <w:shd w:val="clear" w:color="auto" w:fill="auto"/>
                  <w:vAlign w:val="center"/>
                </w:tcPr>
                <w:p w14:paraId="4C1D0D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酚类（以苯酚计）</w:t>
                  </w:r>
                </w:p>
              </w:tc>
              <w:tc>
                <w:tcPr>
                  <w:tcW w:w="1130" w:type="dxa"/>
                  <w:tcBorders>
                    <w:tl2br w:val="nil"/>
                    <w:tr2bl w:val="nil"/>
                  </w:tcBorders>
                  <w:shd w:val="clear" w:color="auto" w:fill="auto"/>
                  <w:vAlign w:val="center"/>
                </w:tcPr>
                <w:p w14:paraId="4DC0C0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0.096</w:t>
                  </w:r>
                </w:p>
              </w:tc>
            </w:tr>
            <w:tr w14:paraId="3FFE5B8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2104" w:type="dxa"/>
                  <w:tcBorders>
                    <w:tl2br w:val="nil"/>
                    <w:tr2bl w:val="nil"/>
                  </w:tcBorders>
                  <w:shd w:val="clear" w:color="auto" w:fill="auto"/>
                  <w:vAlign w:val="center"/>
                </w:tcPr>
                <w:p w14:paraId="03DE8E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磺酸固化剂</w:t>
                  </w:r>
                </w:p>
              </w:tc>
              <w:tc>
                <w:tcPr>
                  <w:tcW w:w="1100" w:type="dxa"/>
                  <w:tcBorders>
                    <w:tl2br w:val="nil"/>
                    <w:tr2bl w:val="nil"/>
                  </w:tcBorders>
                  <w:shd w:val="clear" w:color="auto" w:fill="auto"/>
                  <w:vAlign w:val="center"/>
                </w:tcPr>
                <w:p w14:paraId="7B4CE3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w:t>
                  </w:r>
                </w:p>
              </w:tc>
              <w:tc>
                <w:tcPr>
                  <w:tcW w:w="1750" w:type="dxa"/>
                  <w:vMerge w:val="continue"/>
                  <w:tcBorders>
                    <w:tl2br w:val="nil"/>
                    <w:tr2bl w:val="nil"/>
                  </w:tcBorders>
                  <w:shd w:val="clear" w:color="auto" w:fill="auto"/>
                  <w:vAlign w:val="center"/>
                </w:tcPr>
                <w:p w14:paraId="0D360F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14:textFill>
                        <w14:solidFill>
                          <w14:schemeClr w14:val="tx1"/>
                        </w14:solidFill>
                      </w14:textFill>
                    </w:rPr>
                  </w:pPr>
                </w:p>
              </w:tc>
              <w:tc>
                <w:tcPr>
                  <w:tcW w:w="1833" w:type="dxa"/>
                  <w:tcBorders>
                    <w:tl2br w:val="nil"/>
                    <w:tr2bl w:val="nil"/>
                  </w:tcBorders>
                  <w:shd w:val="clear" w:color="auto" w:fill="auto"/>
                  <w:vAlign w:val="center"/>
                </w:tcPr>
                <w:p w14:paraId="1BF696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甲醛</w:t>
                  </w:r>
                </w:p>
              </w:tc>
              <w:tc>
                <w:tcPr>
                  <w:tcW w:w="1130" w:type="dxa"/>
                  <w:tcBorders>
                    <w:tl2br w:val="nil"/>
                    <w:tr2bl w:val="nil"/>
                  </w:tcBorders>
                  <w:shd w:val="clear" w:color="auto" w:fill="auto"/>
                  <w:vAlign w:val="center"/>
                </w:tcPr>
                <w:p w14:paraId="25597E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0.04</w:t>
                  </w:r>
                </w:p>
              </w:tc>
            </w:tr>
            <w:tr w14:paraId="37805F3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104" w:type="dxa"/>
                  <w:tcBorders>
                    <w:tl2br w:val="nil"/>
                    <w:tr2bl w:val="nil"/>
                  </w:tcBorders>
                  <w:shd w:val="clear" w:color="auto" w:fill="auto"/>
                  <w:vAlign w:val="center"/>
                </w:tcPr>
                <w:p w14:paraId="73D015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100" w:type="dxa"/>
                  <w:tcBorders>
                    <w:tl2br w:val="nil"/>
                    <w:tr2bl w:val="nil"/>
                  </w:tcBorders>
                  <w:shd w:val="clear" w:color="auto" w:fill="auto"/>
                  <w:vAlign w:val="center"/>
                </w:tcPr>
                <w:p w14:paraId="670079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3583" w:type="dxa"/>
                  <w:gridSpan w:val="2"/>
                  <w:tcBorders>
                    <w:tl2br w:val="nil"/>
                    <w:tr2bl w:val="nil"/>
                  </w:tcBorders>
                  <w:shd w:val="clear" w:color="auto" w:fill="auto"/>
                  <w:vAlign w:val="center"/>
                </w:tcPr>
                <w:p w14:paraId="19AAB8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不可再生砂</w:t>
                  </w:r>
                </w:p>
              </w:tc>
              <w:tc>
                <w:tcPr>
                  <w:tcW w:w="1130" w:type="dxa"/>
                  <w:tcBorders>
                    <w:tl2br w:val="nil"/>
                    <w:tr2bl w:val="nil"/>
                  </w:tcBorders>
                  <w:shd w:val="clear" w:color="auto" w:fill="auto"/>
                  <w:vAlign w:val="center"/>
                </w:tcPr>
                <w:p w14:paraId="0B741C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330</w:t>
                  </w:r>
                </w:p>
              </w:tc>
            </w:tr>
            <w:tr w14:paraId="4E1DC0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104" w:type="dxa"/>
                  <w:tcBorders>
                    <w:tl2br w:val="nil"/>
                    <w:tr2bl w:val="nil"/>
                  </w:tcBorders>
                  <w:shd w:val="clear" w:color="auto" w:fill="auto"/>
                  <w:vAlign w:val="center"/>
                </w:tcPr>
                <w:p w14:paraId="0053D6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100" w:type="dxa"/>
                  <w:tcBorders>
                    <w:tl2br w:val="nil"/>
                    <w:tr2bl w:val="nil"/>
                  </w:tcBorders>
                  <w:shd w:val="clear" w:color="auto" w:fill="auto"/>
                  <w:vAlign w:val="center"/>
                </w:tcPr>
                <w:p w14:paraId="0DED70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3583" w:type="dxa"/>
                  <w:gridSpan w:val="2"/>
                  <w:tcBorders>
                    <w:tl2br w:val="nil"/>
                    <w:tr2bl w:val="nil"/>
                  </w:tcBorders>
                  <w:shd w:val="clear" w:color="auto" w:fill="auto"/>
                  <w:vAlign w:val="center"/>
                </w:tcPr>
                <w:p w14:paraId="299973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磁选金属</w:t>
                  </w:r>
                </w:p>
              </w:tc>
              <w:tc>
                <w:tcPr>
                  <w:tcW w:w="1130" w:type="dxa"/>
                  <w:tcBorders>
                    <w:tl2br w:val="nil"/>
                    <w:tr2bl w:val="nil"/>
                  </w:tcBorders>
                  <w:shd w:val="clear" w:color="auto" w:fill="auto"/>
                  <w:vAlign w:val="center"/>
                </w:tcPr>
                <w:p w14:paraId="1AAA6B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w:t>
                  </w:r>
                </w:p>
              </w:tc>
            </w:tr>
            <w:tr w14:paraId="5B40B8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2104" w:type="dxa"/>
                  <w:tcBorders>
                    <w:tl2br w:val="nil"/>
                    <w:tr2bl w:val="nil"/>
                  </w:tcBorders>
                  <w:shd w:val="clear" w:color="auto" w:fill="auto"/>
                  <w:noWrap/>
                  <w:vAlign w:val="center"/>
                </w:tcPr>
                <w:p w14:paraId="417B82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合计</w:t>
                  </w:r>
                </w:p>
              </w:tc>
              <w:tc>
                <w:tcPr>
                  <w:tcW w:w="1100" w:type="dxa"/>
                  <w:tcBorders>
                    <w:tl2br w:val="nil"/>
                    <w:tr2bl w:val="nil"/>
                  </w:tcBorders>
                  <w:shd w:val="clear" w:color="auto" w:fill="auto"/>
                  <w:noWrap/>
                  <w:vAlign w:val="center"/>
                </w:tcPr>
                <w:p w14:paraId="0F70E3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690</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.848</w:t>
                  </w:r>
                </w:p>
              </w:tc>
              <w:tc>
                <w:tcPr>
                  <w:tcW w:w="3583" w:type="dxa"/>
                  <w:gridSpan w:val="2"/>
                  <w:tcBorders>
                    <w:tl2br w:val="nil"/>
                    <w:tr2bl w:val="nil"/>
                  </w:tcBorders>
                  <w:shd w:val="clear" w:color="auto" w:fill="auto"/>
                  <w:noWrap/>
                  <w:vAlign w:val="center"/>
                </w:tcPr>
                <w:p w14:paraId="72D924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合计</w:t>
                  </w:r>
                </w:p>
              </w:tc>
              <w:tc>
                <w:tcPr>
                  <w:tcW w:w="1130" w:type="dxa"/>
                  <w:tcBorders>
                    <w:tl2br w:val="nil"/>
                    <w:tr2bl w:val="nil"/>
                  </w:tcBorders>
                  <w:shd w:val="clear" w:color="auto" w:fill="auto"/>
                  <w:noWrap/>
                  <w:vAlign w:val="center"/>
                </w:tcPr>
                <w:p w14:paraId="3EDA03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690</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.848</w:t>
                  </w:r>
                </w:p>
              </w:tc>
            </w:tr>
          </w:tbl>
          <w:p w14:paraId="0A9652CF">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000000" w:themeColor="text1"/>
                <w:szCs w:val="21"/>
                <w:highlight w:val="none"/>
                <w14:textFill>
                  <w14:solidFill>
                    <w14:schemeClr w14:val="tx1"/>
                  </w14:solidFill>
                </w14:textFill>
              </w:rPr>
            </w:pPr>
            <w:r>
              <w:rPr>
                <w:rFonts w:hint="default" w:ascii="Times New Roman" w:hAnsi="Times New Roman" w:cs="Times New Roman"/>
                <w:b/>
                <w:bCs/>
                <w:color w:val="000000" w:themeColor="text1"/>
                <w:szCs w:val="21"/>
                <w:highlight w:val="none"/>
                <w14:textFill>
                  <w14:solidFill>
                    <w14:schemeClr w14:val="tx1"/>
                  </w14:solidFill>
                </w14:textFill>
              </w:rPr>
              <w:t>表2-</w:t>
            </w:r>
            <w:r>
              <w:rPr>
                <w:rFonts w:hint="eastAsia" w:cs="Times New Roman"/>
                <w:b/>
                <w:bCs/>
                <w:color w:val="000000" w:themeColor="text1"/>
                <w:szCs w:val="21"/>
                <w:highlight w:val="none"/>
                <w:lang w:val="en-US" w:eastAsia="zh-CN"/>
                <w14:textFill>
                  <w14:solidFill>
                    <w14:schemeClr w14:val="tx1"/>
                  </w14:solidFill>
                </w14:textFill>
              </w:rPr>
              <w:t>18</w:t>
            </w:r>
            <w:r>
              <w:rPr>
                <w:rFonts w:hint="default" w:ascii="Times New Roman" w:hAnsi="Times New Roman" w:cs="Times New Roman"/>
                <w:b/>
                <w:bCs/>
                <w:color w:val="000000" w:themeColor="text1"/>
                <w:szCs w:val="21"/>
                <w:highlight w:val="none"/>
                <w14:textFill>
                  <w14:solidFill>
                    <w14:schemeClr w14:val="tx1"/>
                  </w14:solidFill>
                </w14:textFill>
              </w:rPr>
              <w:t xml:space="preserve"> </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 xml:space="preserve"> </w:t>
            </w:r>
            <w:r>
              <w:rPr>
                <w:rFonts w:hint="eastAsia" w:cs="Times New Roman"/>
                <w:b/>
                <w:bCs/>
                <w:color w:val="000000" w:themeColor="text1"/>
                <w:szCs w:val="21"/>
                <w:highlight w:val="none"/>
                <w:lang w:val="en-US" w:eastAsia="zh-CN"/>
                <w14:textFill>
                  <w14:solidFill>
                    <w14:schemeClr w14:val="tx1"/>
                  </w14:solidFill>
                </w14:textFill>
              </w:rPr>
              <w:t>粘土</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砂</w:t>
            </w:r>
            <w:r>
              <w:rPr>
                <w:rFonts w:hint="eastAsia" w:cs="Times New Roman"/>
                <w:b/>
                <w:bCs/>
                <w:color w:val="000000" w:themeColor="text1"/>
                <w:szCs w:val="21"/>
                <w:highlight w:val="none"/>
                <w:lang w:val="en-US" w:eastAsia="zh-CN"/>
                <w14:textFill>
                  <w14:solidFill>
                    <w14:schemeClr w14:val="tx1"/>
                  </w14:solidFill>
                </w14:textFill>
              </w:rPr>
              <w:t>再生线</w:t>
            </w:r>
            <w:r>
              <w:rPr>
                <w:rFonts w:hint="default" w:ascii="Times New Roman" w:hAnsi="Times New Roman" w:cs="Times New Roman"/>
                <w:b/>
                <w:bCs/>
                <w:color w:val="000000" w:themeColor="text1"/>
                <w:szCs w:val="21"/>
                <w:highlight w:val="none"/>
                <w:lang w:val="en-US" w:eastAsia="zh-CN"/>
                <w14:textFill>
                  <w14:solidFill>
                    <w14:schemeClr w14:val="tx1"/>
                  </w14:solidFill>
                </w14:textFill>
              </w:rPr>
              <w:t>平衡</w:t>
            </w:r>
            <w:r>
              <w:rPr>
                <w:rFonts w:hint="eastAsia" w:ascii="Times New Roman" w:hAnsi="Times New Roman" w:cs="Times New Roman"/>
                <w:b/>
                <w:bCs/>
                <w:color w:val="000000" w:themeColor="text1"/>
                <w:szCs w:val="21"/>
                <w:highlight w:val="none"/>
                <w:lang w:val="en-US" w:eastAsia="zh-CN"/>
                <w14:textFill>
                  <w14:solidFill>
                    <w14:schemeClr w14:val="tx1"/>
                  </w14:solidFill>
                </w14:textFill>
              </w:rPr>
              <w:t xml:space="preserve">   单位：t/a</w:t>
            </w:r>
          </w:p>
          <w:tbl>
            <w:tblPr>
              <w:tblStyle w:val="32"/>
              <w:tblW w:w="5000"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shd w:val="clear" w:color="auto" w:fill="auto"/>
              <w:tblLayout w:type="fixed"/>
              <w:tblCellMar>
                <w:top w:w="0" w:type="dxa"/>
                <w:left w:w="108" w:type="dxa"/>
                <w:bottom w:w="0" w:type="dxa"/>
                <w:right w:w="108" w:type="dxa"/>
              </w:tblCellMar>
            </w:tblPr>
            <w:tblGrid>
              <w:gridCol w:w="2087"/>
              <w:gridCol w:w="1133"/>
              <w:gridCol w:w="1750"/>
              <w:gridCol w:w="1817"/>
              <w:gridCol w:w="1130"/>
            </w:tblGrid>
            <w:tr w14:paraId="7D4E7BD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shd w:val="clear" w:color="auto" w:fill="auto"/>
                <w:tblCellMar>
                  <w:top w:w="0" w:type="dxa"/>
                  <w:left w:w="108" w:type="dxa"/>
                  <w:bottom w:w="0" w:type="dxa"/>
                  <w:right w:w="108" w:type="dxa"/>
                </w:tblCellMar>
              </w:tblPrEx>
              <w:trPr>
                <w:trHeight w:val="283" w:hRule="atLeast"/>
                <w:jc w:val="center"/>
              </w:trPr>
              <w:tc>
                <w:tcPr>
                  <w:tcW w:w="3220" w:type="dxa"/>
                  <w:gridSpan w:val="2"/>
                  <w:tcBorders>
                    <w:tl2br w:val="nil"/>
                    <w:tr2bl w:val="nil"/>
                  </w:tcBorders>
                  <w:shd w:val="clear" w:color="auto" w:fill="auto"/>
                  <w:vAlign w:val="center"/>
                </w:tcPr>
                <w:p w14:paraId="1E2F96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投入量</w:t>
                  </w:r>
                </w:p>
              </w:tc>
              <w:tc>
                <w:tcPr>
                  <w:tcW w:w="4697" w:type="dxa"/>
                  <w:gridSpan w:val="3"/>
                  <w:tcBorders>
                    <w:tl2br w:val="nil"/>
                    <w:tr2bl w:val="nil"/>
                  </w:tcBorders>
                  <w:shd w:val="clear" w:color="auto" w:fill="auto"/>
                  <w:vAlign w:val="center"/>
                </w:tcPr>
                <w:p w14:paraId="587339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产出量</w:t>
                  </w:r>
                </w:p>
              </w:tc>
            </w:tr>
            <w:tr w14:paraId="6123DBED">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83" w:hRule="atLeast"/>
                <w:jc w:val="center"/>
              </w:trPr>
              <w:tc>
                <w:tcPr>
                  <w:tcW w:w="2087" w:type="dxa"/>
                  <w:tcBorders>
                    <w:tl2br w:val="nil"/>
                    <w:tr2bl w:val="nil"/>
                  </w:tcBorders>
                  <w:shd w:val="clear" w:color="auto" w:fill="auto"/>
                  <w:vAlign w:val="center"/>
                </w:tcPr>
                <w:p w14:paraId="630791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废粘土砂</w:t>
                  </w:r>
                  <w:r>
                    <w:rPr>
                      <w:rFonts w:hint="eastAsia" w:cs="Times New Roman"/>
                      <w:i w:val="0"/>
                      <w:iCs w:val="0"/>
                      <w:color w:val="000000" w:themeColor="text1"/>
                      <w:kern w:val="0"/>
                      <w:sz w:val="21"/>
                      <w:szCs w:val="21"/>
                      <w:u w:val="none"/>
                      <w:lang w:val="en-US" w:eastAsia="zh-CN" w:bidi="ar"/>
                      <w14:textFill>
                        <w14:solidFill>
                          <w14:schemeClr w14:val="tx1"/>
                        </w14:solidFill>
                      </w14:textFill>
                    </w:rPr>
                    <w:t>（循环量）</w:t>
                  </w:r>
                </w:p>
              </w:tc>
              <w:tc>
                <w:tcPr>
                  <w:tcW w:w="1133" w:type="dxa"/>
                  <w:tcBorders>
                    <w:tl2br w:val="nil"/>
                    <w:tr2bl w:val="nil"/>
                  </w:tcBorders>
                  <w:shd w:val="clear" w:color="auto" w:fill="auto"/>
                  <w:vAlign w:val="center"/>
                </w:tcPr>
                <w:p w14:paraId="0B5209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4085</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p>
              </w:tc>
              <w:tc>
                <w:tcPr>
                  <w:tcW w:w="3567" w:type="dxa"/>
                  <w:gridSpan w:val="2"/>
                  <w:tcBorders>
                    <w:tl2br w:val="nil"/>
                    <w:tr2bl w:val="nil"/>
                  </w:tcBorders>
                  <w:shd w:val="clear" w:color="auto" w:fill="auto"/>
                  <w:vAlign w:val="center"/>
                </w:tcPr>
                <w:p w14:paraId="3F48CE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再生粘土砂</w:t>
                  </w:r>
                </w:p>
              </w:tc>
              <w:tc>
                <w:tcPr>
                  <w:tcW w:w="1130" w:type="dxa"/>
                  <w:tcBorders>
                    <w:tl2br w:val="nil"/>
                    <w:tr2bl w:val="nil"/>
                  </w:tcBorders>
                  <w:shd w:val="clear" w:color="auto" w:fill="auto"/>
                  <w:vAlign w:val="center"/>
                </w:tcPr>
                <w:p w14:paraId="4FE35D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421</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35</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.012</w:t>
                  </w:r>
                </w:p>
              </w:tc>
            </w:tr>
            <w:tr w14:paraId="10103E8D">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02" w:hRule="atLeast"/>
                <w:jc w:val="center"/>
              </w:trPr>
              <w:tc>
                <w:tcPr>
                  <w:tcW w:w="2087" w:type="dxa"/>
                  <w:vMerge w:val="restart"/>
                  <w:tcBorders>
                    <w:tl2br w:val="nil"/>
                    <w:tr2bl w:val="nil"/>
                  </w:tcBorders>
                  <w:shd w:val="clear" w:color="auto" w:fill="auto"/>
                  <w:vAlign w:val="center"/>
                </w:tcPr>
                <w:p w14:paraId="6DFEA9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天然</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硅砂</w:t>
                  </w:r>
                </w:p>
              </w:tc>
              <w:tc>
                <w:tcPr>
                  <w:tcW w:w="1133" w:type="dxa"/>
                  <w:vMerge w:val="restart"/>
                  <w:tcBorders>
                    <w:tl2br w:val="nil"/>
                    <w:tr2bl w:val="nil"/>
                  </w:tcBorders>
                  <w:shd w:val="clear" w:color="auto" w:fill="auto"/>
                  <w:vAlign w:val="center"/>
                </w:tcPr>
                <w:p w14:paraId="0CEB09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13.692</w:t>
                  </w:r>
                </w:p>
              </w:tc>
              <w:tc>
                <w:tcPr>
                  <w:tcW w:w="1750" w:type="dxa"/>
                  <w:vMerge w:val="restart"/>
                  <w:tcBorders>
                    <w:tl2br w:val="nil"/>
                    <w:tr2bl w:val="nil"/>
                  </w:tcBorders>
                  <w:shd w:val="clear" w:color="auto" w:fill="auto"/>
                  <w:vAlign w:val="center"/>
                </w:tcPr>
                <w:p w14:paraId="714218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粘土砂再生颗粒物（</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G3-1</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G3-2</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G3-3</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G3-4</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w:t>
                  </w:r>
                </w:p>
              </w:tc>
              <w:tc>
                <w:tcPr>
                  <w:tcW w:w="1817" w:type="dxa"/>
                  <w:tcBorders>
                    <w:tl2br w:val="nil"/>
                    <w:tr2bl w:val="nil"/>
                  </w:tcBorders>
                  <w:shd w:val="clear" w:color="auto" w:fill="auto"/>
                  <w:vAlign w:val="center"/>
                </w:tcPr>
                <w:p w14:paraId="4834AD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有组织排放量</w:t>
                  </w:r>
                </w:p>
              </w:tc>
              <w:tc>
                <w:tcPr>
                  <w:tcW w:w="1130" w:type="dxa"/>
                  <w:tcBorders>
                    <w:tl2br w:val="nil"/>
                    <w:tr2bl w:val="nil"/>
                  </w:tcBorders>
                  <w:shd w:val="clear" w:color="auto" w:fill="auto"/>
                  <w:vAlign w:val="center"/>
                </w:tcPr>
                <w:p w14:paraId="687510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lang w:val="en-US"/>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0.587</w:t>
                  </w:r>
                </w:p>
              </w:tc>
            </w:tr>
            <w:tr w14:paraId="136B3CDD">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02" w:hRule="atLeast"/>
                <w:jc w:val="center"/>
              </w:trPr>
              <w:tc>
                <w:tcPr>
                  <w:tcW w:w="2087" w:type="dxa"/>
                  <w:vMerge w:val="continue"/>
                  <w:tcBorders>
                    <w:tl2br w:val="nil"/>
                    <w:tr2bl w:val="nil"/>
                  </w:tcBorders>
                  <w:shd w:val="clear" w:color="auto" w:fill="auto"/>
                  <w:vAlign w:val="center"/>
                </w:tcPr>
                <w:p w14:paraId="21F522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133" w:type="dxa"/>
                  <w:vMerge w:val="continue"/>
                  <w:tcBorders>
                    <w:tl2br w:val="nil"/>
                    <w:tr2bl w:val="nil"/>
                  </w:tcBorders>
                  <w:shd w:val="clear" w:color="auto" w:fill="auto"/>
                  <w:vAlign w:val="center"/>
                </w:tcPr>
                <w:p w14:paraId="7DB749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750" w:type="dxa"/>
                  <w:vMerge w:val="continue"/>
                  <w:tcBorders>
                    <w:tl2br w:val="nil"/>
                    <w:tr2bl w:val="nil"/>
                  </w:tcBorders>
                  <w:shd w:val="clear" w:color="auto" w:fill="auto"/>
                  <w:vAlign w:val="center"/>
                </w:tcPr>
                <w:p w14:paraId="130550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color w:val="000000" w:themeColor="text1"/>
                      <w14:textFill>
                        <w14:solidFill>
                          <w14:schemeClr w14:val="tx1"/>
                        </w14:solidFill>
                      </w14:textFill>
                    </w:rPr>
                  </w:pPr>
                </w:p>
              </w:tc>
              <w:tc>
                <w:tcPr>
                  <w:tcW w:w="1817" w:type="dxa"/>
                  <w:tcBorders>
                    <w:tl2br w:val="nil"/>
                    <w:tr2bl w:val="nil"/>
                  </w:tcBorders>
                  <w:shd w:val="clear" w:color="auto" w:fill="auto"/>
                  <w:vAlign w:val="center"/>
                </w:tcPr>
                <w:p w14:paraId="42CB49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布袋除尘收集量</w:t>
                  </w:r>
                </w:p>
              </w:tc>
              <w:tc>
                <w:tcPr>
                  <w:tcW w:w="1130" w:type="dxa"/>
                  <w:tcBorders>
                    <w:tl2br w:val="nil"/>
                    <w:tr2bl w:val="nil"/>
                  </w:tcBorders>
                  <w:shd w:val="clear" w:color="auto" w:fill="auto"/>
                  <w:vAlign w:val="center"/>
                </w:tcPr>
                <w:p w14:paraId="129349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116.906</w:t>
                  </w:r>
                </w:p>
              </w:tc>
            </w:tr>
            <w:tr w14:paraId="1A89A3D5">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102" w:hRule="atLeast"/>
                <w:jc w:val="center"/>
              </w:trPr>
              <w:tc>
                <w:tcPr>
                  <w:tcW w:w="2087" w:type="dxa"/>
                  <w:vMerge w:val="continue"/>
                  <w:tcBorders>
                    <w:tl2br w:val="nil"/>
                    <w:tr2bl w:val="nil"/>
                  </w:tcBorders>
                  <w:shd w:val="clear" w:color="auto" w:fill="auto"/>
                  <w:vAlign w:val="center"/>
                </w:tcPr>
                <w:p w14:paraId="5D85ED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133" w:type="dxa"/>
                  <w:vMerge w:val="continue"/>
                  <w:tcBorders>
                    <w:tl2br w:val="nil"/>
                    <w:tr2bl w:val="nil"/>
                  </w:tcBorders>
                  <w:shd w:val="clear" w:color="auto" w:fill="auto"/>
                  <w:vAlign w:val="center"/>
                </w:tcPr>
                <w:p w14:paraId="0A6C96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750" w:type="dxa"/>
                  <w:vMerge w:val="continue"/>
                  <w:tcBorders>
                    <w:tl2br w:val="nil"/>
                    <w:tr2bl w:val="nil"/>
                  </w:tcBorders>
                  <w:shd w:val="clear" w:color="auto" w:fill="auto"/>
                  <w:vAlign w:val="center"/>
                </w:tcPr>
                <w:p w14:paraId="13F62E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p>
              </w:tc>
              <w:tc>
                <w:tcPr>
                  <w:tcW w:w="1817" w:type="dxa"/>
                  <w:tcBorders>
                    <w:tl2br w:val="nil"/>
                    <w:tr2bl w:val="nil"/>
                  </w:tcBorders>
                  <w:shd w:val="clear" w:color="auto" w:fill="auto"/>
                  <w:vAlign w:val="center"/>
                </w:tcPr>
                <w:p w14:paraId="66027D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无组织产生量</w:t>
                  </w:r>
                </w:p>
              </w:tc>
              <w:tc>
                <w:tcPr>
                  <w:tcW w:w="1130" w:type="dxa"/>
                  <w:tcBorders>
                    <w:tl2br w:val="nil"/>
                    <w:tr2bl w:val="nil"/>
                  </w:tcBorders>
                  <w:shd w:val="clear" w:color="auto" w:fill="auto"/>
                  <w:vAlign w:val="center"/>
                </w:tcPr>
                <w:p w14:paraId="7A28E9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1.187</w:t>
                  </w:r>
                </w:p>
              </w:tc>
            </w:tr>
            <w:tr w14:paraId="15626B38">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83" w:hRule="atLeast"/>
                <w:jc w:val="center"/>
              </w:trPr>
              <w:tc>
                <w:tcPr>
                  <w:tcW w:w="2087" w:type="dxa"/>
                  <w:tcBorders>
                    <w:tl2br w:val="nil"/>
                    <w:tr2bl w:val="nil"/>
                  </w:tcBorders>
                  <w:shd w:val="clear" w:color="auto" w:fill="auto"/>
                  <w:vAlign w:val="center"/>
                </w:tcPr>
                <w:p w14:paraId="62AAFA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膨润土</w:t>
                  </w:r>
                </w:p>
              </w:tc>
              <w:tc>
                <w:tcPr>
                  <w:tcW w:w="1133" w:type="dxa"/>
                  <w:tcBorders>
                    <w:tl2br w:val="nil"/>
                    <w:tr2bl w:val="nil"/>
                  </w:tcBorders>
                  <w:shd w:val="clear" w:color="auto" w:fill="auto"/>
                  <w:vAlign w:val="center"/>
                </w:tcPr>
                <w:p w14:paraId="1079B3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w:t>
                  </w:r>
                </w:p>
              </w:tc>
              <w:tc>
                <w:tcPr>
                  <w:tcW w:w="3567" w:type="dxa"/>
                  <w:gridSpan w:val="2"/>
                  <w:tcBorders>
                    <w:tl2br w:val="nil"/>
                    <w:tr2bl w:val="nil"/>
                  </w:tcBorders>
                  <w:shd w:val="clear" w:color="auto" w:fill="auto"/>
                  <w:vAlign w:val="center"/>
                </w:tcPr>
                <w:p w14:paraId="336A80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磁选金属</w:t>
                  </w:r>
                </w:p>
              </w:tc>
              <w:tc>
                <w:tcPr>
                  <w:tcW w:w="1130" w:type="dxa"/>
                  <w:tcBorders>
                    <w:tl2br w:val="nil"/>
                    <w:tr2bl w:val="nil"/>
                  </w:tcBorders>
                  <w:shd w:val="clear" w:color="auto" w:fill="auto"/>
                  <w:vAlign w:val="center"/>
                </w:tcPr>
                <w:p w14:paraId="58C20C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lang w:val="en-US"/>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w:t>
                  </w:r>
                </w:p>
              </w:tc>
            </w:tr>
            <w:tr w14:paraId="4DF4310B">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83" w:hRule="atLeast"/>
                <w:jc w:val="center"/>
              </w:trPr>
              <w:tc>
                <w:tcPr>
                  <w:tcW w:w="2087" w:type="dxa"/>
                  <w:tcBorders>
                    <w:tl2br w:val="nil"/>
                    <w:tr2bl w:val="nil"/>
                  </w:tcBorders>
                  <w:shd w:val="clear" w:color="auto" w:fill="auto"/>
                  <w:vAlign w:val="center"/>
                </w:tcPr>
                <w:p w14:paraId="21B1D8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红煤粉</w:t>
                  </w:r>
                </w:p>
              </w:tc>
              <w:tc>
                <w:tcPr>
                  <w:tcW w:w="1133" w:type="dxa"/>
                  <w:tcBorders>
                    <w:tl2br w:val="nil"/>
                    <w:tr2bl w:val="nil"/>
                  </w:tcBorders>
                  <w:shd w:val="clear" w:color="auto" w:fill="auto"/>
                  <w:vAlign w:val="center"/>
                </w:tcPr>
                <w:p w14:paraId="479890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27</w:t>
                  </w:r>
                </w:p>
              </w:tc>
              <w:tc>
                <w:tcPr>
                  <w:tcW w:w="3567" w:type="dxa"/>
                  <w:gridSpan w:val="2"/>
                  <w:tcBorders>
                    <w:tl2br w:val="nil"/>
                    <w:tr2bl w:val="nil"/>
                  </w:tcBorders>
                  <w:shd w:val="clear" w:color="auto" w:fill="auto"/>
                  <w:vAlign w:val="center"/>
                </w:tcPr>
                <w:p w14:paraId="2A5658F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1130" w:type="dxa"/>
                  <w:tcBorders>
                    <w:tl2br w:val="nil"/>
                    <w:tr2bl w:val="nil"/>
                  </w:tcBorders>
                  <w:shd w:val="clear" w:color="auto" w:fill="auto"/>
                  <w:vAlign w:val="center"/>
                </w:tcPr>
                <w:p w14:paraId="784E7EB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r>
            <w:tr w14:paraId="37C79973">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83" w:hRule="atLeast"/>
                <w:jc w:val="center"/>
              </w:trPr>
              <w:tc>
                <w:tcPr>
                  <w:tcW w:w="2087" w:type="dxa"/>
                  <w:tcBorders>
                    <w:tl2br w:val="nil"/>
                    <w:tr2bl w:val="nil"/>
                  </w:tcBorders>
                  <w:shd w:val="clear" w:color="auto" w:fill="auto"/>
                  <w:vAlign w:val="center"/>
                </w:tcPr>
                <w:p w14:paraId="55D3C4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水</w:t>
                  </w:r>
                </w:p>
              </w:tc>
              <w:tc>
                <w:tcPr>
                  <w:tcW w:w="1133" w:type="dxa"/>
                  <w:tcBorders>
                    <w:tl2br w:val="nil"/>
                    <w:tr2bl w:val="nil"/>
                  </w:tcBorders>
                  <w:shd w:val="clear" w:color="auto" w:fill="auto"/>
                  <w:vAlign w:val="center"/>
                </w:tcPr>
                <w:p w14:paraId="0DC6DA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1267</w:t>
                  </w:r>
                </w:p>
              </w:tc>
              <w:tc>
                <w:tcPr>
                  <w:tcW w:w="3567" w:type="dxa"/>
                  <w:gridSpan w:val="2"/>
                  <w:tcBorders>
                    <w:tl2br w:val="nil"/>
                    <w:tr2bl w:val="nil"/>
                  </w:tcBorders>
                  <w:shd w:val="clear" w:color="auto" w:fill="auto"/>
                  <w:vAlign w:val="center"/>
                </w:tcPr>
                <w:p w14:paraId="479991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1130" w:type="dxa"/>
                  <w:tcBorders>
                    <w:tl2br w:val="nil"/>
                    <w:tr2bl w:val="nil"/>
                  </w:tcBorders>
                  <w:shd w:val="clear" w:color="auto" w:fill="auto"/>
                  <w:vAlign w:val="center"/>
                </w:tcPr>
                <w:p w14:paraId="41FD97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r>
            <w:tr w14:paraId="13015CE6">
              <w:tblPrEx>
                <w:tblBorders>
                  <w:top w:val="single" w:color="000000" w:sz="12" w:space="0"/>
                  <w:left w:val="none" w:color="auto" w:sz="0" w:space="0"/>
                  <w:bottom w:val="single" w:color="000000" w:sz="12" w:space="0"/>
                  <w:right w:val="none" w:color="auto" w:sz="0" w:space="0"/>
                  <w:insideH w:val="single" w:color="000000" w:sz="2" w:space="0"/>
                  <w:insideV w:val="single" w:color="000000" w:sz="4" w:space="0"/>
                </w:tblBorders>
                <w:tblCellMar>
                  <w:top w:w="0" w:type="dxa"/>
                  <w:left w:w="108" w:type="dxa"/>
                  <w:bottom w:w="0" w:type="dxa"/>
                  <w:right w:w="108" w:type="dxa"/>
                </w:tblCellMar>
              </w:tblPrEx>
              <w:trPr>
                <w:trHeight w:val="283" w:hRule="atLeast"/>
                <w:jc w:val="center"/>
              </w:trPr>
              <w:tc>
                <w:tcPr>
                  <w:tcW w:w="2087" w:type="dxa"/>
                  <w:tcBorders>
                    <w:tl2br w:val="nil"/>
                    <w:tr2bl w:val="nil"/>
                  </w:tcBorders>
                  <w:shd w:val="clear" w:color="auto" w:fill="auto"/>
                  <w:noWrap/>
                  <w:vAlign w:val="center"/>
                </w:tcPr>
                <w:p w14:paraId="02BD6F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合计</w:t>
                  </w:r>
                </w:p>
              </w:tc>
              <w:tc>
                <w:tcPr>
                  <w:tcW w:w="1133" w:type="dxa"/>
                  <w:tcBorders>
                    <w:tl2br w:val="nil"/>
                    <w:tr2bl w:val="nil"/>
                  </w:tcBorders>
                  <w:shd w:val="clear" w:color="auto" w:fill="auto"/>
                  <w:noWrap/>
                  <w:vAlign w:val="center"/>
                </w:tcPr>
                <w:p w14:paraId="07FED8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42263.692</w:t>
                  </w:r>
                </w:p>
              </w:tc>
              <w:tc>
                <w:tcPr>
                  <w:tcW w:w="3567" w:type="dxa"/>
                  <w:gridSpan w:val="2"/>
                  <w:tcBorders>
                    <w:tl2br w:val="nil"/>
                    <w:tr2bl w:val="nil"/>
                  </w:tcBorders>
                  <w:shd w:val="clear" w:color="auto" w:fill="auto"/>
                  <w:noWrap/>
                  <w:vAlign w:val="center"/>
                </w:tcPr>
                <w:p w14:paraId="60AF63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合计</w:t>
                  </w:r>
                </w:p>
              </w:tc>
              <w:tc>
                <w:tcPr>
                  <w:tcW w:w="1130" w:type="dxa"/>
                  <w:tcBorders>
                    <w:tl2br w:val="nil"/>
                    <w:tr2bl w:val="nil"/>
                  </w:tcBorders>
                  <w:shd w:val="clear" w:color="auto" w:fill="auto"/>
                  <w:noWrap/>
                  <w:vAlign w:val="center"/>
                </w:tcPr>
                <w:p w14:paraId="29E633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i w:val="0"/>
                      <w:iCs w:val="0"/>
                      <w:color w:val="000000" w:themeColor="text1"/>
                      <w:sz w:val="21"/>
                      <w:szCs w:val="21"/>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42263.692</w:t>
                  </w:r>
                </w:p>
              </w:tc>
            </w:tr>
          </w:tbl>
          <w:p w14:paraId="63BEB15D">
            <w:pPr>
              <w:shd w:val="clear" w:color="auto" w:fill="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eastAsia="zh-CN"/>
                <w14:textFill>
                  <w14:solidFill>
                    <w14:schemeClr w14:val="tx1"/>
                  </w14:solidFill>
                </w14:textFill>
              </w:rPr>
              <w:t>③</w:t>
            </w:r>
            <w:r>
              <w:rPr>
                <w:rFonts w:hint="eastAsia" w:ascii="宋体" w:hAnsi="宋体" w:eastAsia="宋体" w:cs="宋体"/>
                <w:color w:val="000000" w:themeColor="text1"/>
                <w:highlight w:val="none"/>
                <w:lang w:val="en-US" w:eastAsia="zh-CN"/>
                <w14:textFill>
                  <w14:solidFill>
                    <w14:schemeClr w14:val="tx1"/>
                  </w14:solidFill>
                </w14:textFill>
              </w:rPr>
              <w:t>漆料平衡</w:t>
            </w:r>
          </w:p>
          <w:p w14:paraId="3D42776E">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19</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漆料</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平衡一览表</w:t>
            </w:r>
          </w:p>
          <w:tbl>
            <w:tblPr>
              <w:tblStyle w:val="32"/>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76"/>
              <w:gridCol w:w="1401"/>
              <w:gridCol w:w="1135"/>
              <w:gridCol w:w="1959"/>
              <w:gridCol w:w="1014"/>
              <w:gridCol w:w="926"/>
            </w:tblGrid>
            <w:tr w14:paraId="153081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18" w:type="pct"/>
                  <w:gridSpan w:val="2"/>
                  <w:tcBorders>
                    <w:tl2br w:val="nil"/>
                    <w:tr2bl w:val="nil"/>
                  </w:tcBorders>
                  <w:noWrap w:val="0"/>
                  <w:vAlign w:val="center"/>
                </w:tcPr>
                <w:p w14:paraId="59477D03">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投入</w:t>
                  </w:r>
                </w:p>
              </w:tc>
              <w:tc>
                <w:tcPr>
                  <w:tcW w:w="3181" w:type="pct"/>
                  <w:gridSpan w:val="4"/>
                  <w:tcBorders>
                    <w:tl2br w:val="nil"/>
                    <w:tr2bl w:val="nil"/>
                  </w:tcBorders>
                  <w:noWrap w:val="0"/>
                  <w:vAlign w:val="center"/>
                </w:tcPr>
                <w:p w14:paraId="3A5E2C83">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产出</w:t>
                  </w:r>
                </w:p>
              </w:tc>
            </w:tr>
            <w:tr w14:paraId="29B17D2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22A52765">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物料名称</w:t>
                  </w:r>
                </w:p>
              </w:tc>
              <w:tc>
                <w:tcPr>
                  <w:tcW w:w="885" w:type="pct"/>
                  <w:tcBorders>
                    <w:tl2br w:val="nil"/>
                    <w:tr2bl w:val="nil"/>
                  </w:tcBorders>
                  <w:noWrap w:val="0"/>
                  <w:vAlign w:val="center"/>
                </w:tcPr>
                <w:p w14:paraId="6ADCEB14">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投入量（t/a）</w:t>
                  </w:r>
                </w:p>
              </w:tc>
              <w:tc>
                <w:tcPr>
                  <w:tcW w:w="1955" w:type="pct"/>
                  <w:gridSpan w:val="2"/>
                  <w:tcBorders>
                    <w:tl2br w:val="nil"/>
                    <w:tr2bl w:val="nil"/>
                  </w:tcBorders>
                  <w:noWrap w:val="0"/>
                  <w:vAlign w:val="center"/>
                </w:tcPr>
                <w:p w14:paraId="441BAB07">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1226" w:type="pct"/>
                  <w:gridSpan w:val="2"/>
                  <w:tcBorders>
                    <w:tl2br w:val="nil"/>
                    <w:tr2bl w:val="nil"/>
                  </w:tcBorders>
                  <w:noWrap w:val="0"/>
                  <w:vAlign w:val="center"/>
                </w:tcPr>
                <w:p w14:paraId="4487C8A0">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产出量（t/a）</w:t>
                  </w:r>
                </w:p>
              </w:tc>
            </w:tr>
            <w:tr w14:paraId="17A255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4EAD17A9">
                  <w:pPr>
                    <w:keepNext w:val="0"/>
                    <w:keepLines w:val="0"/>
                    <w:pageBreakBefore w:val="0"/>
                    <w:kinsoku/>
                    <w:wordWrap/>
                    <w:autoSpaceDN/>
                    <w:bidi w:val="0"/>
                    <w:adjustRightInd w:val="0"/>
                    <w:snapToGrid/>
                    <w:spacing w:line="240" w:lineRule="auto"/>
                    <w:ind w:firstLine="0" w:firstLineChars="0"/>
                    <w:jc w:val="center"/>
                    <w:rPr>
                      <w:rFonts w:hint="default" w:ascii="Times New Roman" w:hAnsi="Times New Roman" w:eastAsia="宋体" w:cs="Times New Roman"/>
                      <w:color w:val="000000" w:themeColor="text1"/>
                      <w:kern w:val="21"/>
                      <w:sz w:val="21"/>
                      <w:szCs w:val="21"/>
                      <w:highlight w:val="none"/>
                      <w:lang w:val="en-US" w:eastAsia="zh-CN" w:bidi="ar-SA"/>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水性丙烯酸聚氨酯面漆</w:t>
                  </w:r>
                </w:p>
              </w:tc>
              <w:tc>
                <w:tcPr>
                  <w:tcW w:w="885" w:type="pct"/>
                  <w:tcBorders>
                    <w:tl2br w:val="nil"/>
                    <w:tr2bl w:val="nil"/>
                  </w:tcBorders>
                  <w:noWrap w:val="0"/>
                  <w:vAlign w:val="center"/>
                </w:tcPr>
                <w:p w14:paraId="6FBBF100">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t>13.9</w:t>
                  </w:r>
                  <w:r>
                    <w:rPr>
                      <w:rFonts w:hint="eastAsia" w:cs="Times New Roman"/>
                      <w:b w:val="0"/>
                      <w:bCs w:val="0"/>
                      <w:color w:val="000000" w:themeColor="text1"/>
                      <w:kern w:val="2"/>
                      <w:sz w:val="21"/>
                      <w:szCs w:val="21"/>
                      <w:highlight w:val="none"/>
                      <w:vertAlign w:val="baseline"/>
                      <w:lang w:val="en-US" w:eastAsia="zh-CN" w:bidi="ar-SA"/>
                      <w14:textFill>
                        <w14:solidFill>
                          <w14:schemeClr w14:val="tx1"/>
                        </w14:solidFill>
                      </w14:textFill>
                    </w:rPr>
                    <w:t>6</w:t>
                  </w:r>
                </w:p>
              </w:tc>
              <w:tc>
                <w:tcPr>
                  <w:tcW w:w="1955" w:type="pct"/>
                  <w:gridSpan w:val="2"/>
                  <w:tcBorders>
                    <w:tl2br w:val="nil"/>
                    <w:tr2bl w:val="nil"/>
                  </w:tcBorders>
                  <w:noWrap w:val="0"/>
                  <w:vAlign w:val="center"/>
                </w:tcPr>
                <w:p w14:paraId="5E74CB86">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固化在产品表面</w:t>
                  </w:r>
                </w:p>
              </w:tc>
              <w:tc>
                <w:tcPr>
                  <w:tcW w:w="1226" w:type="pct"/>
                  <w:gridSpan w:val="2"/>
                  <w:tcBorders>
                    <w:tl2br w:val="nil"/>
                    <w:tr2bl w:val="nil"/>
                  </w:tcBorders>
                  <w:noWrap w:val="0"/>
                  <w:vAlign w:val="center"/>
                </w:tcPr>
                <w:p w14:paraId="392D1FEC">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4.06</w:t>
                  </w:r>
                </w:p>
              </w:tc>
            </w:tr>
            <w:tr w14:paraId="7669E1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5B12380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1"/>
                      <w:sz w:val="21"/>
                      <w:szCs w:val="21"/>
                      <w:highlight w:val="no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53C067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restart"/>
                  <w:tcBorders>
                    <w:tl2br w:val="nil"/>
                    <w:tr2bl w:val="nil"/>
                  </w:tcBorders>
                  <w:noWrap w:val="0"/>
                  <w:vAlign w:val="center"/>
                </w:tcPr>
                <w:p w14:paraId="50EE62A9">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TVOC</w:t>
                  </w:r>
                </w:p>
              </w:tc>
              <w:tc>
                <w:tcPr>
                  <w:tcW w:w="1238" w:type="pct"/>
                  <w:tcBorders>
                    <w:tl2br w:val="nil"/>
                    <w:tr2bl w:val="nil"/>
                  </w:tcBorders>
                  <w:noWrap w:val="0"/>
                  <w:vAlign w:val="center"/>
                </w:tcPr>
                <w:p w14:paraId="2F4E1C04">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有组织排放量</w:t>
                  </w:r>
                </w:p>
              </w:tc>
              <w:tc>
                <w:tcPr>
                  <w:tcW w:w="640" w:type="pct"/>
                  <w:vMerge w:val="restart"/>
                  <w:tcBorders>
                    <w:tl2br w:val="nil"/>
                    <w:tr2bl w:val="nil"/>
                  </w:tcBorders>
                  <w:noWrap w:val="0"/>
                  <w:vAlign w:val="center"/>
                </w:tcPr>
                <w:p w14:paraId="23319261">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0.179</w:t>
                  </w:r>
                </w:p>
              </w:tc>
              <w:tc>
                <w:tcPr>
                  <w:tcW w:w="585" w:type="pct"/>
                  <w:tcBorders>
                    <w:tl2br w:val="nil"/>
                    <w:tr2bl w:val="nil"/>
                  </w:tcBorders>
                  <w:noWrap w:val="0"/>
                  <w:vAlign w:val="center"/>
                </w:tcPr>
                <w:p w14:paraId="4EEA2B26">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0.07</w:t>
                  </w:r>
                </w:p>
              </w:tc>
            </w:tr>
            <w:tr w14:paraId="37762B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67990CB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791C8D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continue"/>
                  <w:tcBorders>
                    <w:tl2br w:val="nil"/>
                    <w:tr2bl w:val="nil"/>
                  </w:tcBorders>
                  <w:noWrap w:val="0"/>
                  <w:vAlign w:val="center"/>
                </w:tcPr>
                <w:p w14:paraId="08790795">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238" w:type="pct"/>
                  <w:tcBorders>
                    <w:tl2br w:val="nil"/>
                    <w:tr2bl w:val="nil"/>
                  </w:tcBorders>
                  <w:noWrap w:val="0"/>
                  <w:vAlign w:val="center"/>
                </w:tcPr>
                <w:p w14:paraId="20C50190">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无组织排放量</w:t>
                  </w:r>
                </w:p>
              </w:tc>
              <w:tc>
                <w:tcPr>
                  <w:tcW w:w="640" w:type="pct"/>
                  <w:vMerge w:val="continue"/>
                  <w:tcBorders>
                    <w:tl2br w:val="nil"/>
                    <w:tr2bl w:val="nil"/>
                  </w:tcBorders>
                  <w:noWrap w:val="0"/>
                  <w:vAlign w:val="center"/>
                </w:tcPr>
                <w:p w14:paraId="1B78362C">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585" w:type="pct"/>
                  <w:tcBorders>
                    <w:tl2br w:val="nil"/>
                    <w:tr2bl w:val="nil"/>
                  </w:tcBorders>
                  <w:noWrap w:val="0"/>
                  <w:vAlign w:val="center"/>
                </w:tcPr>
                <w:p w14:paraId="4DB0844E">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0.0</w:t>
                  </w:r>
                  <w:r>
                    <w:rPr>
                      <w:rFonts w:hint="eastAsia" w:cs="Times New Roman"/>
                      <w:i w:val="0"/>
                      <w:iCs w:val="0"/>
                      <w:color w:val="000000"/>
                      <w:kern w:val="0"/>
                      <w:sz w:val="21"/>
                      <w:szCs w:val="21"/>
                      <w:u w:val="none"/>
                      <w:lang w:val="en-US" w:eastAsia="zh-CN" w:bidi="ar"/>
                    </w:rPr>
                    <w:t>39</w:t>
                  </w:r>
                </w:p>
              </w:tc>
            </w:tr>
            <w:tr w14:paraId="39EBE48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1AB34C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i w:val="0"/>
                      <w:i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25A962A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continue"/>
                  <w:tcBorders>
                    <w:tl2br w:val="nil"/>
                    <w:tr2bl w:val="nil"/>
                  </w:tcBorders>
                  <w:noWrap w:val="0"/>
                  <w:vAlign w:val="center"/>
                </w:tcPr>
                <w:p w14:paraId="03DF3E90">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238" w:type="pct"/>
                  <w:tcBorders>
                    <w:tl2br w:val="nil"/>
                    <w:tr2bl w:val="nil"/>
                  </w:tcBorders>
                  <w:noWrap w:val="0"/>
                  <w:vAlign w:val="center"/>
                </w:tcPr>
                <w:p w14:paraId="1454E09D">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活性炭吸附量</w:t>
                  </w:r>
                </w:p>
              </w:tc>
              <w:tc>
                <w:tcPr>
                  <w:tcW w:w="640" w:type="pct"/>
                  <w:vMerge w:val="continue"/>
                  <w:tcBorders>
                    <w:tl2br w:val="nil"/>
                    <w:tr2bl w:val="nil"/>
                  </w:tcBorders>
                  <w:noWrap w:val="0"/>
                  <w:vAlign w:val="center"/>
                </w:tcPr>
                <w:p w14:paraId="340FA133">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585" w:type="pct"/>
                  <w:tcBorders>
                    <w:tl2br w:val="nil"/>
                    <w:tr2bl w:val="nil"/>
                  </w:tcBorders>
                  <w:noWrap w:val="0"/>
                  <w:vAlign w:val="center"/>
                </w:tcPr>
                <w:p w14:paraId="4CE3B722">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0.07</w:t>
                  </w:r>
                </w:p>
              </w:tc>
            </w:tr>
            <w:tr w14:paraId="18E654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22CACC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696C27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restart"/>
                  <w:tcBorders>
                    <w:tl2br w:val="nil"/>
                    <w:tr2bl w:val="nil"/>
                  </w:tcBorders>
                  <w:noWrap w:val="0"/>
                  <w:vAlign w:val="center"/>
                </w:tcPr>
                <w:p w14:paraId="706FEA58">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漆雾</w:t>
                  </w:r>
                </w:p>
              </w:tc>
              <w:tc>
                <w:tcPr>
                  <w:tcW w:w="1238" w:type="pct"/>
                  <w:tcBorders>
                    <w:tl2br w:val="nil"/>
                    <w:tr2bl w:val="nil"/>
                  </w:tcBorders>
                  <w:noWrap w:val="0"/>
                  <w:vAlign w:val="center"/>
                </w:tcPr>
                <w:p w14:paraId="1BFB6E77">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有组织排放量</w:t>
                  </w:r>
                </w:p>
              </w:tc>
              <w:tc>
                <w:tcPr>
                  <w:tcW w:w="640" w:type="pct"/>
                  <w:vMerge w:val="restart"/>
                  <w:tcBorders>
                    <w:tl2br w:val="nil"/>
                    <w:tr2bl w:val="nil"/>
                  </w:tcBorders>
                  <w:noWrap w:val="0"/>
                  <w:vAlign w:val="center"/>
                </w:tcPr>
                <w:p w14:paraId="19AFE489">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6.09</w:t>
                  </w:r>
                </w:p>
              </w:tc>
              <w:tc>
                <w:tcPr>
                  <w:tcW w:w="585" w:type="pct"/>
                  <w:tcBorders>
                    <w:tl2br w:val="nil"/>
                    <w:tr2bl w:val="nil"/>
                  </w:tcBorders>
                  <w:noWrap w:val="0"/>
                  <w:vAlign w:val="center"/>
                </w:tcPr>
                <w:p w14:paraId="52A735F5">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0.179</w:t>
                  </w:r>
                </w:p>
              </w:tc>
            </w:tr>
            <w:tr w14:paraId="17BF76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2BC5CF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46580C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continue"/>
                  <w:tcBorders>
                    <w:tl2br w:val="nil"/>
                    <w:tr2bl w:val="nil"/>
                  </w:tcBorders>
                  <w:noWrap w:val="0"/>
                  <w:vAlign w:val="center"/>
                </w:tcPr>
                <w:p w14:paraId="43EA537D">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1238" w:type="pct"/>
                  <w:tcBorders>
                    <w:tl2br w:val="nil"/>
                    <w:tr2bl w:val="nil"/>
                  </w:tcBorders>
                  <w:noWrap w:val="0"/>
                  <w:vAlign w:val="center"/>
                </w:tcPr>
                <w:p w14:paraId="764EF84B">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无组织排放量</w:t>
                  </w:r>
                </w:p>
              </w:tc>
              <w:tc>
                <w:tcPr>
                  <w:tcW w:w="640" w:type="pct"/>
                  <w:vMerge w:val="continue"/>
                  <w:tcBorders>
                    <w:tl2br w:val="nil"/>
                    <w:tr2bl w:val="nil"/>
                  </w:tcBorders>
                  <w:noWrap w:val="0"/>
                  <w:vAlign w:val="center"/>
                </w:tcPr>
                <w:p w14:paraId="476D5D8E">
                  <w:pPr>
                    <w:keepNext w:val="0"/>
                    <w:keepLines w:val="0"/>
                    <w:pageBreakBefore w:val="0"/>
                    <w:kinsoku/>
                    <w:wordWrap/>
                    <w:autoSpaceDN/>
                    <w:bidi w:val="0"/>
                    <w:snapToGrid/>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585" w:type="pct"/>
                  <w:tcBorders>
                    <w:tl2br w:val="nil"/>
                    <w:tr2bl w:val="nil"/>
                  </w:tcBorders>
                  <w:noWrap w:val="0"/>
                  <w:vAlign w:val="center"/>
                </w:tcPr>
                <w:p w14:paraId="634833DE">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kern w:val="0"/>
                      <w:sz w:val="21"/>
                      <w:szCs w:val="21"/>
                      <w:u w:val="none"/>
                      <w:lang w:val="en-US" w:eastAsia="zh-CN" w:bidi="ar"/>
                    </w:rPr>
                    <w:t>0.122</w:t>
                  </w:r>
                </w:p>
              </w:tc>
            </w:tr>
            <w:tr w14:paraId="7F532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1E345FC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731C826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Times New Roman" w:hAnsi="Times New Roman" w:cs="Times New Roman"/>
                      <w:i w:val="0"/>
                      <w:iCs w:val="0"/>
                      <w:color w:val="000000" w:themeColor="text1"/>
                      <w:sz w:val="21"/>
                      <w:szCs w:val="21"/>
                      <w:u w:val="none"/>
                      <w:lang w:val="en-US" w:eastAsia="zh-CN"/>
                      <w14:textFill>
                        <w14:solidFill>
                          <w14:schemeClr w14:val="tx1"/>
                        </w14:solidFill>
                      </w14:textFill>
                    </w:rPr>
                    <w:t>/</w:t>
                  </w:r>
                </w:p>
              </w:tc>
              <w:tc>
                <w:tcPr>
                  <w:tcW w:w="717" w:type="pct"/>
                  <w:vMerge w:val="continue"/>
                  <w:tcBorders>
                    <w:tl2br w:val="nil"/>
                    <w:tr2bl w:val="nil"/>
                  </w:tcBorders>
                  <w:noWrap w:val="0"/>
                  <w:vAlign w:val="center"/>
                </w:tcPr>
                <w:p w14:paraId="0AEACB6B">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1238" w:type="pct"/>
                  <w:tcBorders>
                    <w:tl2br w:val="nil"/>
                    <w:tr2bl w:val="nil"/>
                  </w:tcBorders>
                  <w:noWrap w:val="0"/>
                  <w:vAlign w:val="center"/>
                </w:tcPr>
                <w:p w14:paraId="217671E2">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漆渣</w:t>
                  </w:r>
                </w:p>
              </w:tc>
              <w:tc>
                <w:tcPr>
                  <w:tcW w:w="640" w:type="pct"/>
                  <w:vMerge w:val="continue"/>
                  <w:tcBorders>
                    <w:tl2br w:val="nil"/>
                    <w:tr2bl w:val="nil"/>
                  </w:tcBorders>
                  <w:noWrap w:val="0"/>
                  <w:vAlign w:val="center"/>
                </w:tcPr>
                <w:p w14:paraId="3107BF94">
                  <w:pPr>
                    <w:keepNext w:val="0"/>
                    <w:keepLines w:val="0"/>
                    <w:pageBreakBefore w:val="0"/>
                    <w:kinsoku/>
                    <w:wordWrap/>
                    <w:autoSpaceDN/>
                    <w:bidi w:val="0"/>
                    <w:snapToGrid/>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585" w:type="pct"/>
                  <w:tcBorders>
                    <w:tl2br w:val="nil"/>
                    <w:tr2bl w:val="nil"/>
                  </w:tcBorders>
                  <w:noWrap w:val="0"/>
                  <w:vAlign w:val="center"/>
                </w:tcPr>
                <w:p w14:paraId="25240DF2">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5.789</w:t>
                  </w:r>
                </w:p>
              </w:tc>
            </w:tr>
            <w:tr w14:paraId="00F018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5E0B34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lang w:val="en-US" w:eastAsia="zh-CN"/>
                      <w14:textFill>
                        <w14:solidFill>
                          <w14:schemeClr w14:val="tx1"/>
                        </w14:solidFill>
                      </w14:textFill>
                    </w:rPr>
                  </w:pPr>
                  <w:r>
                    <w:rPr>
                      <w:rFonts w:hint="eastAsia" w:cs="Times New Roman"/>
                      <w:i w:val="0"/>
                      <w:iCs w:val="0"/>
                      <w:color w:val="000000" w:themeColor="text1"/>
                      <w:sz w:val="21"/>
                      <w:szCs w:val="21"/>
                      <w:u w:val="none"/>
                      <w:lang w:val="en-US" w:eastAsia="zh-CN"/>
                      <w14:textFill>
                        <w14:solidFill>
                          <w14:schemeClr w14:val="tx1"/>
                        </w14:solidFill>
                      </w14:textFill>
                    </w:rPr>
                    <w:t>/</w:t>
                  </w:r>
                </w:p>
              </w:tc>
              <w:tc>
                <w:tcPr>
                  <w:tcW w:w="885" w:type="pct"/>
                  <w:tcBorders>
                    <w:tl2br w:val="nil"/>
                    <w:tr2bl w:val="nil"/>
                  </w:tcBorders>
                  <w:noWrap w:val="0"/>
                  <w:vAlign w:val="center"/>
                </w:tcPr>
                <w:p w14:paraId="32741A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i w:val="0"/>
                      <w:iCs w:val="0"/>
                      <w:color w:val="000000" w:themeColor="text1"/>
                      <w:sz w:val="21"/>
                      <w:szCs w:val="21"/>
                      <w:u w:val="none"/>
                      <w:lang w:val="en-US" w:eastAsia="zh-CN"/>
                      <w14:textFill>
                        <w14:solidFill>
                          <w14:schemeClr w14:val="tx1"/>
                        </w14:solidFill>
                      </w14:textFill>
                    </w:rPr>
                  </w:pPr>
                  <w:r>
                    <w:rPr>
                      <w:rFonts w:hint="eastAsia" w:cs="Times New Roman"/>
                      <w:i w:val="0"/>
                      <w:iCs w:val="0"/>
                      <w:color w:val="000000" w:themeColor="text1"/>
                      <w:sz w:val="21"/>
                      <w:szCs w:val="21"/>
                      <w:u w:val="none"/>
                      <w:lang w:val="en-US" w:eastAsia="zh-CN"/>
                      <w14:textFill>
                        <w14:solidFill>
                          <w14:schemeClr w14:val="tx1"/>
                        </w14:solidFill>
                      </w14:textFill>
                    </w:rPr>
                    <w:t>/</w:t>
                  </w:r>
                </w:p>
              </w:tc>
              <w:tc>
                <w:tcPr>
                  <w:tcW w:w="717" w:type="pct"/>
                  <w:tcBorders>
                    <w:tl2br w:val="nil"/>
                    <w:tr2bl w:val="nil"/>
                  </w:tcBorders>
                  <w:noWrap w:val="0"/>
                  <w:vAlign w:val="center"/>
                </w:tcPr>
                <w:p w14:paraId="3BD92201">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w:t>
                  </w:r>
                </w:p>
              </w:tc>
              <w:tc>
                <w:tcPr>
                  <w:tcW w:w="1238" w:type="pct"/>
                  <w:tcBorders>
                    <w:tl2br w:val="nil"/>
                    <w:tr2bl w:val="nil"/>
                  </w:tcBorders>
                  <w:noWrap w:val="0"/>
                  <w:vAlign w:val="center"/>
                </w:tcPr>
                <w:p w14:paraId="2F459F29">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蒸发</w:t>
                  </w:r>
                </w:p>
              </w:tc>
              <w:tc>
                <w:tcPr>
                  <w:tcW w:w="1226" w:type="pct"/>
                  <w:gridSpan w:val="2"/>
                  <w:tcBorders>
                    <w:tl2br w:val="nil"/>
                    <w:tr2bl w:val="nil"/>
                  </w:tcBorders>
                  <w:noWrap w:val="0"/>
                  <w:vAlign w:val="center"/>
                </w:tcPr>
                <w:p w14:paraId="02A212C2">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3.631</w:t>
                  </w:r>
                </w:p>
              </w:tc>
            </w:tr>
            <w:tr w14:paraId="75CF55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2" w:type="pct"/>
                  <w:tcBorders>
                    <w:tl2br w:val="nil"/>
                    <w:tr2bl w:val="nil"/>
                  </w:tcBorders>
                  <w:noWrap w:val="0"/>
                  <w:vAlign w:val="center"/>
                </w:tcPr>
                <w:p w14:paraId="59D969DF">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总计</w:t>
                  </w:r>
                </w:p>
              </w:tc>
              <w:tc>
                <w:tcPr>
                  <w:tcW w:w="885" w:type="pct"/>
                  <w:tcBorders>
                    <w:tl2br w:val="nil"/>
                    <w:tr2bl w:val="nil"/>
                  </w:tcBorders>
                  <w:noWrap w:val="0"/>
                  <w:vAlign w:val="center"/>
                </w:tcPr>
                <w:p w14:paraId="034C965C">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t>13.9</w:t>
                  </w:r>
                  <w:r>
                    <w:rPr>
                      <w:rFonts w:hint="eastAsia" w:cs="Times New Roman"/>
                      <w:b w:val="0"/>
                      <w:bCs w:val="0"/>
                      <w:color w:val="000000" w:themeColor="text1"/>
                      <w:kern w:val="2"/>
                      <w:sz w:val="21"/>
                      <w:szCs w:val="21"/>
                      <w:highlight w:val="none"/>
                      <w:vertAlign w:val="baseline"/>
                      <w:lang w:val="en-US" w:eastAsia="zh-CN" w:bidi="ar-SA"/>
                      <w14:textFill>
                        <w14:solidFill>
                          <w14:schemeClr w14:val="tx1"/>
                        </w14:solidFill>
                      </w14:textFill>
                    </w:rPr>
                    <w:t>6</w:t>
                  </w:r>
                </w:p>
              </w:tc>
              <w:tc>
                <w:tcPr>
                  <w:tcW w:w="1955" w:type="pct"/>
                  <w:gridSpan w:val="2"/>
                  <w:tcBorders>
                    <w:tl2br w:val="nil"/>
                    <w:tr2bl w:val="nil"/>
                  </w:tcBorders>
                  <w:noWrap w:val="0"/>
                  <w:vAlign w:val="center"/>
                </w:tcPr>
                <w:p w14:paraId="04403288">
                  <w:pPr>
                    <w:pStyle w:val="168"/>
                    <w:keepNext w:val="0"/>
                    <w:keepLines w:val="0"/>
                    <w:pageBreakBefore w:val="0"/>
                    <w:widowControl w:val="0"/>
                    <w:kinsoku/>
                    <w:wordWrap/>
                    <w:overflowPunct/>
                    <w:topLinePunct/>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总计</w:t>
                  </w:r>
                </w:p>
              </w:tc>
              <w:tc>
                <w:tcPr>
                  <w:tcW w:w="1226" w:type="pct"/>
                  <w:gridSpan w:val="2"/>
                  <w:tcBorders>
                    <w:tl2br w:val="nil"/>
                    <w:tr2bl w:val="nil"/>
                  </w:tcBorders>
                  <w:noWrap w:val="0"/>
                  <w:vAlign w:val="center"/>
                </w:tcPr>
                <w:p w14:paraId="37FFD59B">
                  <w:pPr>
                    <w:keepNext w:val="0"/>
                    <w:keepLines w:val="0"/>
                    <w:pageBreakBefore w:val="0"/>
                    <w:widowControl/>
                    <w:suppressLineNumbers w:val="0"/>
                    <w:kinsoku/>
                    <w:wordWrap/>
                    <w:autoSpaceDN/>
                    <w:bidi w:val="0"/>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1"/>
                      <w:highlight w:val="none"/>
                      <w:vertAlign w:val="baseline"/>
                      <w:lang w:val="en-US" w:eastAsia="zh-CN" w:bidi="ar-SA"/>
                      <w14:textFill>
                        <w14:solidFill>
                          <w14:schemeClr w14:val="tx1"/>
                        </w14:solidFill>
                      </w14:textFill>
                    </w:rPr>
                    <w:t>13.9</w:t>
                  </w:r>
                  <w:r>
                    <w:rPr>
                      <w:rFonts w:hint="eastAsia" w:cs="Times New Roman"/>
                      <w:b w:val="0"/>
                      <w:bCs w:val="0"/>
                      <w:color w:val="000000" w:themeColor="text1"/>
                      <w:kern w:val="2"/>
                      <w:sz w:val="21"/>
                      <w:szCs w:val="21"/>
                      <w:highlight w:val="none"/>
                      <w:vertAlign w:val="baseline"/>
                      <w:lang w:val="en-US" w:eastAsia="zh-CN" w:bidi="ar-SA"/>
                      <w14:textFill>
                        <w14:solidFill>
                          <w14:schemeClr w14:val="tx1"/>
                        </w14:solidFill>
                      </w14:textFill>
                    </w:rPr>
                    <w:t>6</w:t>
                  </w:r>
                </w:p>
              </w:tc>
            </w:tr>
          </w:tbl>
          <w:p w14:paraId="750B6F08">
            <w:pPr>
              <w:pStyle w:val="169"/>
              <w:spacing w:line="360" w:lineRule="auto"/>
              <w:jc w:val="center"/>
              <w:rPr>
                <w:rFonts w:hint="default" w:ascii="Times New Roman" w:hAnsi="Times New Roman" w:cs="Times New Roman"/>
                <w:b w:val="0"/>
                <w:bCs/>
                <w:color w:val="000000" w:themeColor="text1"/>
                <w:highlight w:val="none"/>
                <w14:textFill>
                  <w14:solidFill>
                    <w14:schemeClr w14:val="tx1"/>
                  </w14:solidFill>
                </w14:textFill>
              </w:rPr>
            </w:pPr>
            <w:r>
              <w:rPr>
                <w:rFonts w:hint="default" w:ascii="Times New Roman" w:hAnsi="Times New Roman" w:cs="Times New Roman"/>
                <w:b w:val="0"/>
                <w:bCs/>
                <w:color w:val="000000" w:themeColor="text1"/>
                <w:highlight w:val="none"/>
                <w14:textFill>
                  <w14:solidFill>
                    <w14:schemeClr w14:val="tx1"/>
                  </w14:solidFill>
                </w14:textFill>
              </w:rPr>
              <w:object>
                <v:shape id="_x0000_i1032" o:spt="75" type="#_x0000_t75" style="height:182.25pt;width:357.75pt;" o:ole="t" filled="f" o:preferrelative="t" stroked="f" coordsize="21600,21600">
                  <v:path/>
                  <v:fill on="f" focussize="0,0"/>
                  <v:stroke on="f"/>
                  <v:imagedata r:id="rId13" o:title=""/>
                  <o:lock v:ext="edit" aspectratio="f"/>
                  <w10:wrap type="none"/>
                  <w10:anchorlock/>
                </v:shape>
                <o:OLEObject Type="Embed" ProgID="Visio.Drawing.15" ShapeID="_x0000_i1032" DrawAspect="Content" ObjectID="_1468075725" r:id="rId12">
                  <o:LockedField>false</o:LockedField>
                </o:OLEObject>
              </w:object>
            </w:r>
          </w:p>
          <w:p w14:paraId="36D979B7">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图2-1</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 xml:space="preserve"> </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漆料</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平衡图 单位t/a</w:t>
            </w:r>
          </w:p>
          <w:p w14:paraId="3D63156F">
            <w:pPr>
              <w:pStyle w:val="11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④</w:t>
            </w:r>
            <w:r>
              <w:rPr>
                <w:rFonts w:hint="default" w:ascii="Times New Roman" w:hAnsi="Times New Roman" w:cs="Times New Roman"/>
                <w:color w:val="000000" w:themeColor="text1"/>
                <w:highlight w:val="none"/>
                <w14:textFill>
                  <w14:solidFill>
                    <w14:schemeClr w14:val="tx1"/>
                  </w14:solidFill>
                </w14:textFill>
              </w:rPr>
              <w:t>元素平衡</w:t>
            </w:r>
          </w:p>
          <w:p w14:paraId="25FB7A92">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p>
          <w:p w14:paraId="291422ED">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20</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硫</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元素平衡一览表</w:t>
            </w:r>
          </w:p>
          <w:tbl>
            <w:tblPr>
              <w:tblStyle w:val="32"/>
              <w:tblW w:w="4996"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403"/>
              <w:gridCol w:w="1065"/>
              <w:gridCol w:w="900"/>
              <w:gridCol w:w="885"/>
              <w:gridCol w:w="1545"/>
              <w:gridCol w:w="1140"/>
              <w:gridCol w:w="973"/>
            </w:tblGrid>
            <w:tr w14:paraId="03B5229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88" w:type="pct"/>
                  <w:gridSpan w:val="4"/>
                  <w:tcBorders>
                    <w:tl2br w:val="nil"/>
                    <w:tr2bl w:val="nil"/>
                  </w:tcBorders>
                  <w:noWrap w:val="0"/>
                  <w:vAlign w:val="center"/>
                </w:tcPr>
                <w:p w14:paraId="7B9B41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2311" w:type="pct"/>
                  <w:gridSpan w:val="3"/>
                  <w:tcBorders>
                    <w:tl2br w:val="nil"/>
                    <w:tr2bl w:val="nil"/>
                  </w:tcBorders>
                  <w:noWrap w:val="0"/>
                  <w:vAlign w:val="center"/>
                </w:tcPr>
                <w:p w14:paraId="3AC9E75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5EC6F27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noWrap w:val="0"/>
                  <w:vAlign w:val="center"/>
                </w:tcPr>
                <w:p w14:paraId="4878456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73" w:type="pct"/>
                  <w:tcBorders>
                    <w:tl2br w:val="nil"/>
                    <w:tr2bl w:val="nil"/>
                  </w:tcBorders>
                  <w:noWrap w:val="0"/>
                  <w:vAlign w:val="center"/>
                </w:tcPr>
                <w:p w14:paraId="3DF070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568" w:type="pct"/>
                  <w:tcBorders>
                    <w:tl2br w:val="nil"/>
                    <w:tr2bl w:val="nil"/>
                  </w:tcBorders>
                  <w:noWrap w:val="0"/>
                  <w:vAlign w:val="center"/>
                </w:tcPr>
                <w:p w14:paraId="521A487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559" w:type="pct"/>
                  <w:tcBorders>
                    <w:tl2br w:val="nil"/>
                    <w:tr2bl w:val="nil"/>
                  </w:tcBorders>
                  <w:noWrap w:val="0"/>
                  <w:vAlign w:val="center"/>
                </w:tcPr>
                <w:p w14:paraId="467A4B4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硫</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1697" w:type="pct"/>
                  <w:gridSpan w:val="2"/>
                  <w:tcBorders>
                    <w:tl2br w:val="nil"/>
                    <w:tr2bl w:val="nil"/>
                  </w:tcBorders>
                  <w:noWrap w:val="0"/>
                  <w:vAlign w:val="center"/>
                </w:tcPr>
                <w:p w14:paraId="66C80DC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14" w:type="pct"/>
                  <w:tcBorders>
                    <w:tl2br w:val="nil"/>
                    <w:tr2bl w:val="nil"/>
                  </w:tcBorders>
                  <w:noWrap w:val="0"/>
                  <w:vAlign w:val="center"/>
                </w:tcPr>
                <w:p w14:paraId="62760BA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硫</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7EFD95E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17921B6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生铁（新料）</w:t>
                  </w:r>
                </w:p>
              </w:tc>
              <w:tc>
                <w:tcPr>
                  <w:tcW w:w="673" w:type="pct"/>
                  <w:tcBorders>
                    <w:tl2br w:val="nil"/>
                    <w:tr2bl w:val="nil"/>
                  </w:tcBorders>
                  <w:shd w:val="clear" w:color="auto" w:fill="auto"/>
                  <w:noWrap w:val="0"/>
                  <w:vAlign w:val="center"/>
                </w:tcPr>
                <w:p w14:paraId="4127AF3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7115</w:t>
                  </w:r>
                </w:p>
              </w:tc>
              <w:tc>
                <w:tcPr>
                  <w:tcW w:w="900" w:type="dxa"/>
                  <w:tcBorders>
                    <w:tl2br w:val="nil"/>
                    <w:tr2bl w:val="nil"/>
                  </w:tcBorders>
                  <w:noWrap w:val="0"/>
                  <w:vAlign w:val="center"/>
                </w:tcPr>
                <w:p w14:paraId="726A70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0.02</w:t>
                  </w:r>
                </w:p>
              </w:tc>
              <w:tc>
                <w:tcPr>
                  <w:tcW w:w="885" w:type="dxa"/>
                  <w:tcBorders>
                    <w:tl2br w:val="nil"/>
                    <w:tr2bl w:val="nil"/>
                  </w:tcBorders>
                  <w:noWrap w:val="0"/>
                  <w:vAlign w:val="center"/>
                </w:tcPr>
                <w:p w14:paraId="7894F9D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1.423</w:t>
                  </w:r>
                </w:p>
              </w:tc>
              <w:tc>
                <w:tcPr>
                  <w:tcW w:w="976" w:type="pct"/>
                  <w:vMerge w:val="restart"/>
                  <w:tcBorders>
                    <w:tl2br w:val="nil"/>
                    <w:tr2bl w:val="nil"/>
                  </w:tcBorders>
                  <w:shd w:val="clear" w:color="auto" w:fill="auto"/>
                  <w:noWrap w:val="0"/>
                  <w:vAlign w:val="center"/>
                </w:tcPr>
                <w:p w14:paraId="130367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产品</w:t>
                  </w:r>
                </w:p>
              </w:tc>
              <w:tc>
                <w:tcPr>
                  <w:tcW w:w="720" w:type="pct"/>
                  <w:tcBorders>
                    <w:tl2br w:val="nil"/>
                    <w:tr2bl w:val="nil"/>
                  </w:tcBorders>
                  <w:shd w:val="clear" w:color="auto" w:fill="auto"/>
                  <w:noWrap w:val="0"/>
                  <w:vAlign w:val="center"/>
                </w:tcPr>
                <w:p w14:paraId="357FE4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HT200</w:t>
                  </w:r>
                </w:p>
              </w:tc>
              <w:tc>
                <w:tcPr>
                  <w:tcW w:w="973" w:type="dxa"/>
                  <w:tcBorders>
                    <w:tl2br w:val="nil"/>
                    <w:tr2bl w:val="nil"/>
                  </w:tcBorders>
                  <w:noWrap w:val="0"/>
                  <w:vAlign w:val="center"/>
                </w:tcPr>
                <w:p w14:paraId="3E48FA7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0.6532</w:t>
                  </w:r>
                </w:p>
              </w:tc>
            </w:tr>
            <w:tr w14:paraId="43D60C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248820D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碳钢（新料）</w:t>
                  </w:r>
                </w:p>
              </w:tc>
              <w:tc>
                <w:tcPr>
                  <w:tcW w:w="673" w:type="pct"/>
                  <w:tcBorders>
                    <w:tl2br w:val="nil"/>
                    <w:tr2bl w:val="nil"/>
                  </w:tcBorders>
                  <w:shd w:val="clear" w:color="auto" w:fill="auto"/>
                  <w:noWrap w:val="0"/>
                  <w:vAlign w:val="center"/>
                </w:tcPr>
                <w:p w14:paraId="4C72967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2930</w:t>
                  </w:r>
                </w:p>
              </w:tc>
              <w:tc>
                <w:tcPr>
                  <w:tcW w:w="900" w:type="dxa"/>
                  <w:tcBorders>
                    <w:tl2br w:val="nil"/>
                    <w:tr2bl w:val="nil"/>
                  </w:tcBorders>
                  <w:noWrap w:val="0"/>
                  <w:vAlign w:val="center"/>
                </w:tcPr>
                <w:p w14:paraId="291A2D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0.03</w:t>
                  </w:r>
                </w:p>
              </w:tc>
              <w:tc>
                <w:tcPr>
                  <w:tcW w:w="885" w:type="dxa"/>
                  <w:tcBorders>
                    <w:tl2br w:val="nil"/>
                    <w:tr2bl w:val="nil"/>
                  </w:tcBorders>
                  <w:noWrap w:val="0"/>
                  <w:vAlign w:val="center"/>
                </w:tcPr>
                <w:p w14:paraId="40C668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0.879</w:t>
                  </w:r>
                </w:p>
              </w:tc>
              <w:tc>
                <w:tcPr>
                  <w:tcW w:w="976" w:type="pct"/>
                  <w:vMerge w:val="continue"/>
                  <w:tcBorders>
                    <w:tl2br w:val="nil"/>
                    <w:tr2bl w:val="nil"/>
                  </w:tcBorders>
                  <w:noWrap w:val="0"/>
                  <w:vAlign w:val="center"/>
                </w:tcPr>
                <w:p w14:paraId="5875A14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720" w:type="pct"/>
                  <w:tcBorders>
                    <w:tl2br w:val="nil"/>
                    <w:tr2bl w:val="nil"/>
                  </w:tcBorders>
                  <w:shd w:val="clear" w:color="auto" w:fill="auto"/>
                  <w:noWrap w:val="0"/>
                  <w:vAlign w:val="center"/>
                </w:tcPr>
                <w:p w14:paraId="2E0C49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QT400-15</w:t>
                  </w:r>
                </w:p>
              </w:tc>
              <w:tc>
                <w:tcPr>
                  <w:tcW w:w="973" w:type="dxa"/>
                  <w:tcBorders>
                    <w:tl2br w:val="nil"/>
                    <w:tr2bl w:val="nil"/>
                  </w:tcBorders>
                  <w:noWrap w:val="0"/>
                  <w:vAlign w:val="center"/>
                </w:tcPr>
                <w:p w14:paraId="1829CE4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1.664</w:t>
                  </w:r>
                </w:p>
              </w:tc>
            </w:tr>
            <w:tr w14:paraId="599D2C2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3F4B44E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硅铁（新料）</w:t>
                  </w:r>
                </w:p>
              </w:tc>
              <w:tc>
                <w:tcPr>
                  <w:tcW w:w="673" w:type="pct"/>
                  <w:tcBorders>
                    <w:tl2br w:val="nil"/>
                    <w:tr2bl w:val="nil"/>
                  </w:tcBorders>
                  <w:shd w:val="clear" w:color="auto" w:fill="auto"/>
                  <w:noWrap w:val="0"/>
                  <w:vAlign w:val="center"/>
                </w:tcPr>
                <w:p w14:paraId="1DC16B4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900" w:type="dxa"/>
                  <w:tcBorders>
                    <w:tl2br w:val="nil"/>
                    <w:tr2bl w:val="nil"/>
                  </w:tcBorders>
                  <w:noWrap w:val="0"/>
                  <w:vAlign w:val="center"/>
                </w:tcPr>
                <w:p w14:paraId="313B28D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0.02</w:t>
                  </w:r>
                </w:p>
              </w:tc>
              <w:tc>
                <w:tcPr>
                  <w:tcW w:w="885" w:type="dxa"/>
                  <w:tcBorders>
                    <w:tl2br w:val="nil"/>
                    <w:tr2bl w:val="nil"/>
                  </w:tcBorders>
                  <w:noWrap w:val="0"/>
                  <w:vAlign w:val="center"/>
                </w:tcPr>
                <w:p w14:paraId="30094A3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0.021</w:t>
                  </w:r>
                </w:p>
              </w:tc>
              <w:tc>
                <w:tcPr>
                  <w:tcW w:w="976" w:type="pct"/>
                  <w:tcBorders>
                    <w:tl2br w:val="nil"/>
                    <w:tr2bl w:val="nil"/>
                  </w:tcBorders>
                  <w:shd w:val="clear" w:color="auto" w:fill="auto"/>
                  <w:noWrap w:val="0"/>
                  <w:vAlign w:val="center"/>
                </w:tcPr>
                <w:p w14:paraId="2FE2153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金属熔化废气（G1-1）</w:t>
                  </w:r>
                </w:p>
              </w:tc>
              <w:tc>
                <w:tcPr>
                  <w:tcW w:w="720" w:type="pct"/>
                  <w:tcBorders>
                    <w:tl2br w:val="nil"/>
                    <w:tr2bl w:val="nil"/>
                  </w:tcBorders>
                  <w:shd w:val="clear" w:color="auto" w:fill="auto"/>
                  <w:noWrap w:val="0"/>
                  <w:vAlign w:val="center"/>
                </w:tcPr>
                <w:p w14:paraId="041635F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颗粒物</w:t>
                  </w:r>
                </w:p>
              </w:tc>
              <w:tc>
                <w:tcPr>
                  <w:tcW w:w="973" w:type="dxa"/>
                  <w:tcBorders>
                    <w:tl2br w:val="nil"/>
                    <w:tr2bl w:val="nil"/>
                  </w:tcBorders>
                  <w:noWrap w:val="0"/>
                  <w:vAlign w:val="center"/>
                </w:tcPr>
                <w:p w14:paraId="6FDB6E2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0.0015</w:t>
                  </w:r>
                </w:p>
              </w:tc>
            </w:tr>
            <w:tr w14:paraId="762E08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3D2D66C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锰铁（新料）</w:t>
                  </w:r>
                </w:p>
              </w:tc>
              <w:tc>
                <w:tcPr>
                  <w:tcW w:w="673" w:type="pct"/>
                  <w:tcBorders>
                    <w:tl2br w:val="nil"/>
                    <w:tr2bl w:val="nil"/>
                  </w:tcBorders>
                  <w:shd w:val="clear" w:color="auto" w:fill="auto"/>
                  <w:noWrap w:val="0"/>
                  <w:vAlign w:val="center"/>
                </w:tcPr>
                <w:p w14:paraId="178B1E8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900" w:type="dxa"/>
                  <w:tcBorders>
                    <w:tl2br w:val="nil"/>
                    <w:tr2bl w:val="nil"/>
                  </w:tcBorders>
                  <w:noWrap w:val="0"/>
                  <w:vAlign w:val="center"/>
                </w:tcPr>
                <w:p w14:paraId="7631882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0.03</w:t>
                  </w:r>
                </w:p>
              </w:tc>
              <w:tc>
                <w:tcPr>
                  <w:tcW w:w="885" w:type="dxa"/>
                  <w:tcBorders>
                    <w:tl2br w:val="nil"/>
                    <w:tr2bl w:val="nil"/>
                  </w:tcBorders>
                  <w:noWrap w:val="0"/>
                  <w:vAlign w:val="center"/>
                </w:tcPr>
                <w:p w14:paraId="4D8014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0.0315</w:t>
                  </w:r>
                </w:p>
              </w:tc>
              <w:tc>
                <w:tcPr>
                  <w:tcW w:w="976" w:type="pct"/>
                  <w:tcBorders>
                    <w:tl2br w:val="nil"/>
                    <w:tr2bl w:val="nil"/>
                  </w:tcBorders>
                  <w:shd w:val="clear" w:color="auto" w:fill="auto"/>
                  <w:noWrap w:val="0"/>
                  <w:vAlign w:val="center"/>
                </w:tcPr>
                <w:p w14:paraId="74AADD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打磨废气（G1-6）、抛丸废气（G1-7）</w:t>
                  </w:r>
                </w:p>
              </w:tc>
              <w:tc>
                <w:tcPr>
                  <w:tcW w:w="720" w:type="pct"/>
                  <w:tcBorders>
                    <w:tl2br w:val="nil"/>
                    <w:tr2bl w:val="nil"/>
                  </w:tcBorders>
                  <w:shd w:val="clear" w:color="auto" w:fill="auto"/>
                  <w:noWrap w:val="0"/>
                  <w:vAlign w:val="center"/>
                </w:tcPr>
                <w:p w14:paraId="303E157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颗粒物</w:t>
                  </w:r>
                </w:p>
              </w:tc>
              <w:tc>
                <w:tcPr>
                  <w:tcW w:w="973" w:type="dxa"/>
                  <w:tcBorders>
                    <w:tl2br w:val="nil"/>
                    <w:tr2bl w:val="nil"/>
                  </w:tcBorders>
                  <w:noWrap w:val="0"/>
                  <w:vAlign w:val="center"/>
                </w:tcPr>
                <w:p w14:paraId="4A18C8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0.0075</w:t>
                  </w:r>
                </w:p>
              </w:tc>
            </w:tr>
            <w:tr w14:paraId="6CC97F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2C278725">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673" w:type="pct"/>
                  <w:tcBorders>
                    <w:tl2br w:val="nil"/>
                    <w:tr2bl w:val="nil"/>
                  </w:tcBorders>
                  <w:shd w:val="clear" w:color="auto" w:fill="auto"/>
                  <w:noWrap w:val="0"/>
                  <w:vAlign w:val="center"/>
                </w:tcPr>
                <w:p w14:paraId="6E3E0C5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t>2604</w:t>
                  </w:r>
                </w:p>
              </w:tc>
              <w:tc>
                <w:tcPr>
                  <w:tcW w:w="900" w:type="dxa"/>
                  <w:tcBorders>
                    <w:tl2br w:val="nil"/>
                    <w:tr2bl w:val="nil"/>
                  </w:tcBorders>
                  <w:noWrap w:val="0"/>
                  <w:vAlign w:val="center"/>
                </w:tcPr>
                <w:p w14:paraId="71F8624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0.02</w:t>
                  </w:r>
                </w:p>
              </w:tc>
              <w:tc>
                <w:tcPr>
                  <w:tcW w:w="885" w:type="dxa"/>
                  <w:tcBorders>
                    <w:tl2br w:val="nil"/>
                    <w:tr2bl w:val="nil"/>
                  </w:tcBorders>
                  <w:noWrap w:val="0"/>
                  <w:vAlign w:val="center"/>
                </w:tcPr>
                <w:p w14:paraId="4260A22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0.5979</w:t>
                  </w:r>
                </w:p>
              </w:tc>
              <w:tc>
                <w:tcPr>
                  <w:tcW w:w="976" w:type="pct"/>
                  <w:tcBorders>
                    <w:tl2br w:val="nil"/>
                    <w:tr2bl w:val="nil"/>
                  </w:tcBorders>
                  <w:shd w:val="clear" w:color="auto" w:fill="auto"/>
                  <w:noWrap w:val="0"/>
                  <w:vAlign w:val="center"/>
                </w:tcPr>
                <w:p w14:paraId="728CA5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S1-1炉渣</w:t>
                  </w:r>
                </w:p>
              </w:tc>
              <w:tc>
                <w:tcPr>
                  <w:tcW w:w="720" w:type="pct"/>
                  <w:tcBorders>
                    <w:tl2br w:val="nil"/>
                    <w:tr2bl w:val="nil"/>
                  </w:tcBorders>
                  <w:shd w:val="clear" w:color="auto" w:fill="auto"/>
                  <w:noWrap w:val="0"/>
                  <w:vAlign w:val="center"/>
                </w:tcPr>
                <w:p w14:paraId="3C62D7C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炉渣</w:t>
                  </w:r>
                </w:p>
              </w:tc>
              <w:tc>
                <w:tcPr>
                  <w:tcW w:w="973" w:type="dxa"/>
                  <w:tcBorders>
                    <w:tl2br w:val="nil"/>
                    <w:tr2bl w:val="nil"/>
                  </w:tcBorders>
                  <w:noWrap w:val="0"/>
                  <w:vAlign w:val="center"/>
                </w:tcPr>
                <w:p w14:paraId="6147476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0.0277</w:t>
                  </w:r>
                </w:p>
              </w:tc>
            </w:tr>
            <w:tr w14:paraId="0D3E6E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shd w:val="clear" w:color="auto" w:fill="auto"/>
                  <w:noWrap w:val="0"/>
                  <w:vAlign w:val="center"/>
                </w:tcPr>
                <w:p w14:paraId="3B57C6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红煤粉</w:t>
                  </w:r>
                </w:p>
              </w:tc>
              <w:tc>
                <w:tcPr>
                  <w:tcW w:w="673" w:type="pct"/>
                  <w:tcBorders>
                    <w:tl2br w:val="nil"/>
                    <w:tr2bl w:val="nil"/>
                  </w:tcBorders>
                  <w:shd w:val="clear" w:color="auto" w:fill="auto"/>
                  <w:noWrap w:val="0"/>
                  <w:vAlign w:val="center"/>
                </w:tcPr>
                <w:p w14:paraId="7DD1925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27</w:t>
                  </w:r>
                </w:p>
              </w:tc>
              <w:tc>
                <w:tcPr>
                  <w:tcW w:w="900" w:type="dxa"/>
                  <w:tcBorders>
                    <w:tl2br w:val="nil"/>
                    <w:tr2bl w:val="nil"/>
                  </w:tcBorders>
                  <w:shd w:val="clear" w:color="auto" w:fill="auto"/>
                  <w:noWrap w:val="0"/>
                  <w:vAlign w:val="center"/>
                </w:tcPr>
                <w:p w14:paraId="0F00BB0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0.6</w:t>
                  </w:r>
                </w:p>
              </w:tc>
              <w:tc>
                <w:tcPr>
                  <w:tcW w:w="885" w:type="dxa"/>
                  <w:tcBorders>
                    <w:tl2br w:val="nil"/>
                    <w:tr2bl w:val="nil"/>
                  </w:tcBorders>
                  <w:shd w:val="clear" w:color="auto" w:fill="auto"/>
                  <w:noWrap w:val="0"/>
                  <w:vAlign w:val="center"/>
                </w:tcPr>
                <w:p w14:paraId="4668B0B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0.162</w:t>
                  </w:r>
                </w:p>
              </w:tc>
              <w:tc>
                <w:tcPr>
                  <w:tcW w:w="976" w:type="pct"/>
                  <w:tcBorders>
                    <w:tl2br w:val="nil"/>
                    <w:tr2bl w:val="nil"/>
                  </w:tcBorders>
                  <w:shd w:val="clear" w:color="auto" w:fill="auto"/>
                  <w:noWrap w:val="0"/>
                  <w:vAlign w:val="center"/>
                </w:tcPr>
                <w:p w14:paraId="55BAD2D9">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720" w:type="pct"/>
                  <w:tcBorders>
                    <w:tl2br w:val="nil"/>
                    <w:tr2bl w:val="nil"/>
                  </w:tcBorders>
                  <w:shd w:val="clear" w:color="auto" w:fill="auto"/>
                  <w:noWrap w:val="0"/>
                  <w:vAlign w:val="center"/>
                </w:tcPr>
                <w:p w14:paraId="2A40BC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不合格品和金属边料</w:t>
                  </w:r>
                </w:p>
              </w:tc>
              <w:tc>
                <w:tcPr>
                  <w:tcW w:w="973" w:type="dxa"/>
                  <w:tcBorders>
                    <w:tl2br w:val="nil"/>
                    <w:tr2bl w:val="nil"/>
                  </w:tcBorders>
                  <w:noWrap w:val="0"/>
                  <w:vAlign w:val="center"/>
                </w:tcPr>
                <w:p w14:paraId="3E39EE9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0.5979</w:t>
                  </w:r>
                </w:p>
              </w:tc>
            </w:tr>
            <w:tr w14:paraId="0E0BDC5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noWrap w:val="0"/>
                  <w:vAlign w:val="center"/>
                </w:tcPr>
                <w:p w14:paraId="7D9292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73" w:type="pct"/>
                  <w:tcBorders>
                    <w:tl2br w:val="nil"/>
                    <w:tr2bl w:val="nil"/>
                  </w:tcBorders>
                  <w:noWrap w:val="0"/>
                  <w:vAlign w:val="center"/>
                </w:tcPr>
                <w:p w14:paraId="0365B2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00" w:type="dxa"/>
                  <w:tcBorders>
                    <w:tl2br w:val="nil"/>
                    <w:tr2bl w:val="nil"/>
                  </w:tcBorders>
                  <w:noWrap w:val="0"/>
                  <w:vAlign w:val="center"/>
                </w:tcPr>
                <w:p w14:paraId="58F4F5F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85" w:type="dxa"/>
                  <w:tcBorders>
                    <w:tl2br w:val="nil"/>
                    <w:tr2bl w:val="nil"/>
                  </w:tcBorders>
                  <w:noWrap w:val="0"/>
                  <w:vAlign w:val="center"/>
                </w:tcPr>
                <w:p w14:paraId="53E409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76" w:type="pct"/>
                  <w:tcBorders>
                    <w:tl2br w:val="nil"/>
                    <w:tr2bl w:val="nil"/>
                  </w:tcBorders>
                  <w:shd w:val="clear" w:color="auto" w:fill="auto"/>
                  <w:noWrap w:val="0"/>
                  <w:vAlign w:val="center"/>
                </w:tcPr>
                <w:p w14:paraId="39C22C8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S1-7沾染废乳化液刨花屑</w:t>
                  </w:r>
                </w:p>
              </w:tc>
              <w:tc>
                <w:tcPr>
                  <w:tcW w:w="720" w:type="pct"/>
                  <w:tcBorders>
                    <w:tl2br w:val="nil"/>
                    <w:tr2bl w:val="nil"/>
                  </w:tcBorders>
                  <w:shd w:val="clear" w:color="auto" w:fill="auto"/>
                  <w:noWrap w:val="0"/>
                  <w:vAlign w:val="center"/>
                </w:tcPr>
                <w:p w14:paraId="620556E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沾染废乳化液刨花屑</w:t>
                  </w:r>
                </w:p>
              </w:tc>
              <w:tc>
                <w:tcPr>
                  <w:tcW w:w="973" w:type="dxa"/>
                  <w:tcBorders>
                    <w:tl2br w:val="nil"/>
                    <w:tr2bl w:val="nil"/>
                  </w:tcBorders>
                  <w:noWrap w:val="0"/>
                  <w:vAlign w:val="center"/>
                </w:tcPr>
                <w:p w14:paraId="18702FA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0.0006</w:t>
                  </w:r>
                </w:p>
              </w:tc>
            </w:tr>
            <w:tr w14:paraId="013ABF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noWrap w:val="0"/>
                  <w:vAlign w:val="center"/>
                </w:tcPr>
                <w:p w14:paraId="7EF8980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73" w:type="pct"/>
                  <w:tcBorders>
                    <w:tl2br w:val="nil"/>
                    <w:tr2bl w:val="nil"/>
                  </w:tcBorders>
                  <w:noWrap w:val="0"/>
                  <w:vAlign w:val="center"/>
                </w:tcPr>
                <w:p w14:paraId="5BA5B5F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00" w:type="dxa"/>
                  <w:tcBorders>
                    <w:tl2br w:val="nil"/>
                    <w:tr2bl w:val="nil"/>
                  </w:tcBorders>
                  <w:noWrap w:val="0"/>
                  <w:vAlign w:val="center"/>
                </w:tcPr>
                <w:p w14:paraId="3AD16E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85" w:type="dxa"/>
                  <w:tcBorders>
                    <w:tl2br w:val="nil"/>
                    <w:tr2bl w:val="nil"/>
                  </w:tcBorders>
                  <w:noWrap w:val="0"/>
                  <w:vAlign w:val="center"/>
                </w:tcPr>
                <w:p w14:paraId="5BEAA2C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697" w:type="pct"/>
                  <w:gridSpan w:val="2"/>
                  <w:tcBorders>
                    <w:tl2br w:val="nil"/>
                    <w:tr2bl w:val="nil"/>
                  </w:tcBorders>
                  <w:noWrap w:val="0"/>
                  <w:vAlign w:val="center"/>
                </w:tcPr>
                <w:p w14:paraId="57A16D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有组织排放</w:t>
                  </w:r>
                </w:p>
              </w:tc>
              <w:tc>
                <w:tcPr>
                  <w:tcW w:w="973" w:type="dxa"/>
                  <w:tcBorders>
                    <w:tl2br w:val="nil"/>
                    <w:tr2bl w:val="nil"/>
                  </w:tcBorders>
                  <w:noWrap w:val="0"/>
                  <w:vAlign w:val="center"/>
                </w:tcPr>
                <w:p w14:paraId="2F76E26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0.146</w:t>
                  </w:r>
                </w:p>
              </w:tc>
            </w:tr>
            <w:tr w14:paraId="4FB715A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noWrap w:val="0"/>
                  <w:vAlign w:val="center"/>
                </w:tcPr>
                <w:p w14:paraId="7EA2D5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73" w:type="pct"/>
                  <w:tcBorders>
                    <w:tl2br w:val="nil"/>
                    <w:tr2bl w:val="nil"/>
                  </w:tcBorders>
                  <w:noWrap w:val="0"/>
                  <w:vAlign w:val="center"/>
                </w:tcPr>
                <w:p w14:paraId="366234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00" w:type="dxa"/>
                  <w:tcBorders>
                    <w:tl2br w:val="nil"/>
                    <w:tr2bl w:val="nil"/>
                  </w:tcBorders>
                  <w:noWrap w:val="0"/>
                  <w:vAlign w:val="center"/>
                </w:tcPr>
                <w:p w14:paraId="28D8B24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85" w:type="dxa"/>
                  <w:tcBorders>
                    <w:tl2br w:val="nil"/>
                    <w:tr2bl w:val="nil"/>
                  </w:tcBorders>
                  <w:noWrap w:val="0"/>
                  <w:vAlign w:val="center"/>
                </w:tcPr>
                <w:p w14:paraId="25714D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697" w:type="pct"/>
                  <w:gridSpan w:val="2"/>
                  <w:tcBorders>
                    <w:tl2br w:val="nil"/>
                    <w:tr2bl w:val="nil"/>
                  </w:tcBorders>
                  <w:noWrap w:val="0"/>
                  <w:vAlign w:val="center"/>
                </w:tcPr>
                <w:p w14:paraId="028D5DD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无组织排放</w:t>
                  </w:r>
                </w:p>
              </w:tc>
              <w:tc>
                <w:tcPr>
                  <w:tcW w:w="973" w:type="dxa"/>
                  <w:tcBorders>
                    <w:tl2br w:val="nil"/>
                    <w:tr2bl w:val="nil"/>
                  </w:tcBorders>
                  <w:noWrap w:val="0"/>
                  <w:vAlign w:val="center"/>
                </w:tcPr>
                <w:p w14:paraId="220849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0.016</w:t>
                  </w:r>
                </w:p>
              </w:tc>
            </w:tr>
            <w:tr w14:paraId="66FF375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86" w:type="pct"/>
                  <w:tcBorders>
                    <w:tl2br w:val="nil"/>
                    <w:tr2bl w:val="nil"/>
                  </w:tcBorders>
                  <w:noWrap w:val="0"/>
                  <w:vAlign w:val="center"/>
                </w:tcPr>
                <w:p w14:paraId="1174DC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73" w:type="pct"/>
                  <w:tcBorders>
                    <w:tl2br w:val="nil"/>
                    <w:tr2bl w:val="nil"/>
                  </w:tcBorders>
                  <w:noWrap w:val="0"/>
                  <w:vAlign w:val="center"/>
                </w:tcPr>
                <w:p w14:paraId="287E73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00" w:type="dxa"/>
                  <w:tcBorders>
                    <w:tl2br w:val="nil"/>
                    <w:tr2bl w:val="nil"/>
                  </w:tcBorders>
                  <w:noWrap w:val="0"/>
                  <w:vAlign w:val="center"/>
                </w:tcPr>
                <w:p w14:paraId="2819F07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85" w:type="dxa"/>
                  <w:tcBorders>
                    <w:tl2br w:val="nil"/>
                    <w:tr2bl w:val="nil"/>
                  </w:tcBorders>
                  <w:noWrap w:val="0"/>
                  <w:vAlign w:val="center"/>
                </w:tcPr>
                <w:p w14:paraId="59AD584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3.1144</w:t>
                  </w:r>
                </w:p>
              </w:tc>
              <w:tc>
                <w:tcPr>
                  <w:tcW w:w="1697" w:type="pct"/>
                  <w:gridSpan w:val="2"/>
                  <w:tcBorders>
                    <w:tl2br w:val="nil"/>
                    <w:tr2bl w:val="nil"/>
                  </w:tcBorders>
                  <w:noWrap w:val="0"/>
                  <w:vAlign w:val="center"/>
                </w:tcPr>
                <w:p w14:paraId="660770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973" w:type="dxa"/>
                  <w:tcBorders>
                    <w:tl2br w:val="nil"/>
                    <w:tr2bl w:val="nil"/>
                  </w:tcBorders>
                  <w:noWrap w:val="0"/>
                  <w:vAlign w:val="center"/>
                </w:tcPr>
                <w:p w14:paraId="103D129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3.1144</w:t>
                  </w:r>
                </w:p>
              </w:tc>
            </w:tr>
          </w:tbl>
          <w:p w14:paraId="199FDFEB">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21</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锰</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元素平衡一览表</w:t>
            </w:r>
          </w:p>
          <w:tbl>
            <w:tblPr>
              <w:tblStyle w:val="32"/>
              <w:tblW w:w="801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373"/>
              <w:gridCol w:w="1065"/>
              <w:gridCol w:w="870"/>
              <w:gridCol w:w="1005"/>
              <w:gridCol w:w="1530"/>
              <w:gridCol w:w="1140"/>
              <w:gridCol w:w="1035"/>
            </w:tblGrid>
            <w:tr w14:paraId="152FD78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89" w:type="pct"/>
                  <w:gridSpan w:val="4"/>
                  <w:tcBorders>
                    <w:tl2br w:val="nil"/>
                    <w:tr2bl w:val="nil"/>
                  </w:tcBorders>
                  <w:noWrap w:val="0"/>
                  <w:vAlign w:val="center"/>
                </w:tcPr>
                <w:p w14:paraId="46EF0B4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2310" w:type="pct"/>
                  <w:gridSpan w:val="3"/>
                  <w:tcBorders>
                    <w:tl2br w:val="nil"/>
                    <w:tr2bl w:val="nil"/>
                  </w:tcBorders>
                  <w:noWrap w:val="0"/>
                  <w:vAlign w:val="center"/>
                </w:tcPr>
                <w:p w14:paraId="4B6D26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51F7DBF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38ED951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64" w:type="pct"/>
                  <w:tcBorders>
                    <w:tl2br w:val="nil"/>
                    <w:tr2bl w:val="nil"/>
                  </w:tcBorders>
                  <w:noWrap w:val="0"/>
                  <w:vAlign w:val="center"/>
                </w:tcPr>
                <w:p w14:paraId="5A1FF53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542" w:type="pct"/>
                  <w:tcBorders>
                    <w:tl2br w:val="nil"/>
                    <w:tr2bl w:val="nil"/>
                  </w:tcBorders>
                  <w:noWrap w:val="0"/>
                  <w:vAlign w:val="center"/>
                </w:tcPr>
                <w:p w14:paraId="19117FB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626" w:type="pct"/>
                  <w:tcBorders>
                    <w:tl2br w:val="nil"/>
                    <w:tr2bl w:val="nil"/>
                  </w:tcBorders>
                  <w:noWrap w:val="0"/>
                  <w:vAlign w:val="center"/>
                </w:tcPr>
                <w:p w14:paraId="2EB1161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锰</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1665" w:type="pct"/>
                  <w:gridSpan w:val="2"/>
                  <w:tcBorders>
                    <w:tl2br w:val="nil"/>
                    <w:tr2bl w:val="nil"/>
                  </w:tcBorders>
                  <w:noWrap w:val="0"/>
                  <w:vAlign w:val="center"/>
                </w:tcPr>
                <w:p w14:paraId="28959D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45" w:type="pct"/>
                  <w:tcBorders>
                    <w:tl2br w:val="nil"/>
                    <w:tr2bl w:val="nil"/>
                  </w:tcBorders>
                  <w:noWrap w:val="0"/>
                  <w:vAlign w:val="center"/>
                </w:tcPr>
                <w:p w14:paraId="2CFB307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锰</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091BA85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37C51A0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生铁（新料）</w:t>
                  </w:r>
                </w:p>
              </w:tc>
              <w:tc>
                <w:tcPr>
                  <w:tcW w:w="664" w:type="pct"/>
                  <w:tcBorders>
                    <w:tl2br w:val="nil"/>
                    <w:tr2bl w:val="nil"/>
                  </w:tcBorders>
                  <w:noWrap w:val="0"/>
                  <w:vAlign w:val="center"/>
                </w:tcPr>
                <w:p w14:paraId="6E88D85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7115</w:t>
                  </w:r>
                </w:p>
              </w:tc>
              <w:tc>
                <w:tcPr>
                  <w:tcW w:w="542" w:type="pct"/>
                  <w:tcBorders>
                    <w:tl2br w:val="nil"/>
                    <w:tr2bl w:val="nil"/>
                  </w:tcBorders>
                  <w:noWrap w:val="0"/>
                  <w:vAlign w:val="center"/>
                </w:tcPr>
                <w:p w14:paraId="5ECE11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0.5</w:t>
                  </w:r>
                </w:p>
              </w:tc>
              <w:tc>
                <w:tcPr>
                  <w:tcW w:w="626" w:type="pct"/>
                  <w:tcBorders>
                    <w:tl2br w:val="nil"/>
                    <w:tr2bl w:val="nil"/>
                  </w:tcBorders>
                  <w:noWrap w:val="0"/>
                  <w:vAlign w:val="center"/>
                </w:tcPr>
                <w:p w14:paraId="16DB79F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35.575</w:t>
                  </w:r>
                </w:p>
              </w:tc>
              <w:tc>
                <w:tcPr>
                  <w:tcW w:w="954" w:type="pct"/>
                  <w:vMerge w:val="restart"/>
                  <w:tcBorders>
                    <w:tl2br w:val="nil"/>
                    <w:tr2bl w:val="nil"/>
                  </w:tcBorders>
                  <w:noWrap w:val="0"/>
                  <w:vAlign w:val="center"/>
                </w:tcPr>
                <w:p w14:paraId="73E6760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产品</w:t>
                  </w:r>
                </w:p>
              </w:tc>
              <w:tc>
                <w:tcPr>
                  <w:tcW w:w="710" w:type="pct"/>
                  <w:tcBorders>
                    <w:tl2br w:val="nil"/>
                    <w:tr2bl w:val="nil"/>
                  </w:tcBorders>
                  <w:noWrap w:val="0"/>
                  <w:vAlign w:val="center"/>
                </w:tcPr>
                <w:p w14:paraId="0F32156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HT200</w:t>
                  </w:r>
                </w:p>
              </w:tc>
              <w:tc>
                <w:tcPr>
                  <w:tcW w:w="1035" w:type="dxa"/>
                  <w:tcBorders>
                    <w:tl2br w:val="nil"/>
                    <w:tr2bl w:val="nil"/>
                  </w:tcBorders>
                  <w:noWrap w:val="0"/>
                  <w:vAlign w:val="center"/>
                </w:tcPr>
                <w:p w14:paraId="357D841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17.68</w:t>
                  </w:r>
                </w:p>
              </w:tc>
            </w:tr>
            <w:tr w14:paraId="55FA10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01DB570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碳钢（新料）</w:t>
                  </w:r>
                </w:p>
              </w:tc>
              <w:tc>
                <w:tcPr>
                  <w:tcW w:w="664" w:type="pct"/>
                  <w:tcBorders>
                    <w:tl2br w:val="nil"/>
                    <w:tr2bl w:val="nil"/>
                  </w:tcBorders>
                  <w:noWrap w:val="0"/>
                  <w:vAlign w:val="center"/>
                </w:tcPr>
                <w:p w14:paraId="09E7236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2930</w:t>
                  </w:r>
                </w:p>
              </w:tc>
              <w:tc>
                <w:tcPr>
                  <w:tcW w:w="542" w:type="pct"/>
                  <w:tcBorders>
                    <w:tl2br w:val="nil"/>
                    <w:tr2bl w:val="nil"/>
                  </w:tcBorders>
                  <w:noWrap w:val="0"/>
                  <w:vAlign w:val="center"/>
                </w:tcPr>
                <w:p w14:paraId="04D7A1E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0.5</w:t>
                  </w:r>
                </w:p>
              </w:tc>
              <w:tc>
                <w:tcPr>
                  <w:tcW w:w="626" w:type="pct"/>
                  <w:tcBorders>
                    <w:tl2br w:val="nil"/>
                    <w:tr2bl w:val="nil"/>
                  </w:tcBorders>
                  <w:noWrap w:val="0"/>
                  <w:vAlign w:val="center"/>
                </w:tcPr>
                <w:p w14:paraId="209026E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14.65</w:t>
                  </w:r>
                </w:p>
              </w:tc>
              <w:tc>
                <w:tcPr>
                  <w:tcW w:w="954" w:type="pct"/>
                  <w:vMerge w:val="continue"/>
                  <w:tcBorders>
                    <w:tl2br w:val="nil"/>
                    <w:tr2bl w:val="nil"/>
                  </w:tcBorders>
                  <w:noWrap w:val="0"/>
                  <w:vAlign w:val="center"/>
                </w:tcPr>
                <w:p w14:paraId="282D21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710" w:type="pct"/>
                  <w:tcBorders>
                    <w:tl2br w:val="nil"/>
                    <w:tr2bl w:val="nil"/>
                  </w:tcBorders>
                  <w:noWrap w:val="0"/>
                  <w:vAlign w:val="center"/>
                </w:tcPr>
                <w:p w14:paraId="7FB045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QT400-15</w:t>
                  </w:r>
                </w:p>
              </w:tc>
              <w:tc>
                <w:tcPr>
                  <w:tcW w:w="1035" w:type="dxa"/>
                  <w:tcBorders>
                    <w:tl2br w:val="nil"/>
                    <w:tr2bl w:val="nil"/>
                  </w:tcBorders>
                  <w:noWrap w:val="0"/>
                  <w:vAlign w:val="center"/>
                </w:tcPr>
                <w:p w14:paraId="2A0988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33.28</w:t>
                  </w:r>
                </w:p>
              </w:tc>
            </w:tr>
            <w:tr w14:paraId="3A368CA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45F079D5">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硅铁（新料）</w:t>
                  </w:r>
                </w:p>
              </w:tc>
              <w:tc>
                <w:tcPr>
                  <w:tcW w:w="664" w:type="pct"/>
                  <w:tcBorders>
                    <w:tl2br w:val="nil"/>
                    <w:tr2bl w:val="nil"/>
                  </w:tcBorders>
                  <w:noWrap w:val="0"/>
                  <w:vAlign w:val="center"/>
                </w:tcPr>
                <w:p w14:paraId="64C33CE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542" w:type="pct"/>
                  <w:tcBorders>
                    <w:tl2br w:val="nil"/>
                    <w:tr2bl w:val="nil"/>
                  </w:tcBorders>
                  <w:noWrap w:val="0"/>
                  <w:vAlign w:val="center"/>
                </w:tcPr>
                <w:p w14:paraId="2BC4B6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0.4</w:t>
                  </w:r>
                </w:p>
              </w:tc>
              <w:tc>
                <w:tcPr>
                  <w:tcW w:w="626" w:type="pct"/>
                  <w:tcBorders>
                    <w:tl2br w:val="nil"/>
                    <w:tr2bl w:val="nil"/>
                  </w:tcBorders>
                  <w:noWrap w:val="0"/>
                  <w:vAlign w:val="center"/>
                </w:tcPr>
                <w:p w14:paraId="1FE2E5F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0.42</w:t>
                  </w:r>
                </w:p>
              </w:tc>
              <w:tc>
                <w:tcPr>
                  <w:tcW w:w="954" w:type="pct"/>
                  <w:tcBorders>
                    <w:tl2br w:val="nil"/>
                    <w:tr2bl w:val="nil"/>
                  </w:tcBorders>
                  <w:noWrap w:val="0"/>
                  <w:vAlign w:val="center"/>
                </w:tcPr>
                <w:p w14:paraId="27FBE3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金属熔化废气（G1-1）</w:t>
                  </w:r>
                </w:p>
              </w:tc>
              <w:tc>
                <w:tcPr>
                  <w:tcW w:w="710" w:type="pct"/>
                  <w:tcBorders>
                    <w:tl2br w:val="nil"/>
                    <w:tr2bl w:val="nil"/>
                  </w:tcBorders>
                  <w:noWrap w:val="0"/>
                  <w:vAlign w:val="center"/>
                </w:tcPr>
                <w:p w14:paraId="6B9EB9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颗粒物</w:t>
                  </w:r>
                </w:p>
              </w:tc>
              <w:tc>
                <w:tcPr>
                  <w:tcW w:w="1035" w:type="dxa"/>
                  <w:tcBorders>
                    <w:tl2br w:val="nil"/>
                    <w:tr2bl w:val="nil"/>
                  </w:tcBorders>
                  <w:noWrap w:val="0"/>
                  <w:vAlign w:val="center"/>
                </w:tcPr>
                <w:p w14:paraId="100870D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0.0500</w:t>
                  </w:r>
                </w:p>
              </w:tc>
            </w:tr>
            <w:tr w14:paraId="5A8B54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2A63266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锰铁（新料）</w:t>
                  </w:r>
                </w:p>
              </w:tc>
              <w:tc>
                <w:tcPr>
                  <w:tcW w:w="664" w:type="pct"/>
                  <w:tcBorders>
                    <w:tl2br w:val="nil"/>
                    <w:tr2bl w:val="nil"/>
                  </w:tcBorders>
                  <w:shd w:val="clear" w:color="auto" w:fill="auto"/>
                  <w:noWrap w:val="0"/>
                  <w:vAlign w:val="center"/>
                </w:tcPr>
                <w:p w14:paraId="4C2ACB5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542" w:type="pct"/>
                  <w:tcBorders>
                    <w:tl2br w:val="nil"/>
                    <w:tr2bl w:val="nil"/>
                  </w:tcBorders>
                  <w:shd w:val="clear" w:color="auto" w:fill="auto"/>
                  <w:noWrap w:val="0"/>
                  <w:vAlign w:val="center"/>
                </w:tcPr>
                <w:p w14:paraId="4A297F2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62.5</w:t>
                  </w:r>
                </w:p>
              </w:tc>
              <w:tc>
                <w:tcPr>
                  <w:tcW w:w="626" w:type="pct"/>
                  <w:tcBorders>
                    <w:tl2br w:val="nil"/>
                    <w:tr2bl w:val="nil"/>
                  </w:tcBorders>
                  <w:shd w:val="clear" w:color="auto" w:fill="auto"/>
                  <w:noWrap w:val="0"/>
                  <w:vAlign w:val="center"/>
                </w:tcPr>
                <w:p w14:paraId="797CAFF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65.625</w:t>
                  </w:r>
                </w:p>
              </w:tc>
              <w:tc>
                <w:tcPr>
                  <w:tcW w:w="954" w:type="pct"/>
                  <w:tcBorders>
                    <w:tl2br w:val="nil"/>
                    <w:tr2bl w:val="nil"/>
                  </w:tcBorders>
                  <w:shd w:val="clear" w:color="auto" w:fill="auto"/>
                  <w:noWrap w:val="0"/>
                  <w:vAlign w:val="center"/>
                </w:tcPr>
                <w:p w14:paraId="4D0CFE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打磨废气（G1-6）、抛丸废气（G1-7）</w:t>
                  </w:r>
                </w:p>
              </w:tc>
              <w:tc>
                <w:tcPr>
                  <w:tcW w:w="710" w:type="pct"/>
                  <w:tcBorders>
                    <w:tl2br w:val="nil"/>
                    <w:tr2bl w:val="nil"/>
                  </w:tcBorders>
                  <w:shd w:val="clear" w:color="auto" w:fill="auto"/>
                  <w:noWrap w:val="0"/>
                  <w:vAlign w:val="center"/>
                </w:tcPr>
                <w:p w14:paraId="2C8E5E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颗粒物</w:t>
                  </w:r>
                </w:p>
              </w:tc>
              <w:tc>
                <w:tcPr>
                  <w:tcW w:w="1035" w:type="dxa"/>
                  <w:tcBorders>
                    <w:tl2br w:val="nil"/>
                    <w:tr2bl w:val="nil"/>
                  </w:tcBorders>
                  <w:noWrap w:val="0"/>
                  <w:vAlign w:val="center"/>
                </w:tcPr>
                <w:p w14:paraId="440C98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0.1228</w:t>
                  </w:r>
                </w:p>
              </w:tc>
            </w:tr>
            <w:tr w14:paraId="3288DB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639A644F">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664" w:type="pct"/>
                  <w:tcBorders>
                    <w:tl2br w:val="nil"/>
                    <w:tr2bl w:val="nil"/>
                  </w:tcBorders>
                  <w:shd w:val="clear" w:color="auto" w:fill="auto"/>
                  <w:noWrap w:val="0"/>
                  <w:vAlign w:val="center"/>
                </w:tcPr>
                <w:p w14:paraId="089CF534">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t>2604</w:t>
                  </w:r>
                </w:p>
              </w:tc>
              <w:tc>
                <w:tcPr>
                  <w:tcW w:w="542" w:type="pct"/>
                  <w:tcBorders>
                    <w:tl2br w:val="nil"/>
                    <w:tr2bl w:val="nil"/>
                  </w:tcBorders>
                  <w:shd w:val="clear" w:color="auto" w:fill="auto"/>
                  <w:noWrap w:val="0"/>
                  <w:vAlign w:val="center"/>
                </w:tcPr>
                <w:p w14:paraId="04652DF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t>0.0049</w:t>
                  </w:r>
                </w:p>
              </w:tc>
              <w:tc>
                <w:tcPr>
                  <w:tcW w:w="626" w:type="pct"/>
                  <w:tcBorders>
                    <w:tl2br w:val="nil"/>
                    <w:tr2bl w:val="nil"/>
                  </w:tcBorders>
                  <w:noWrap w:val="0"/>
                  <w:vAlign w:val="center"/>
                </w:tcPr>
                <w:p w14:paraId="1A7D4F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12.7596</w:t>
                  </w:r>
                </w:p>
              </w:tc>
              <w:tc>
                <w:tcPr>
                  <w:tcW w:w="954" w:type="pct"/>
                  <w:tcBorders>
                    <w:tl2br w:val="nil"/>
                    <w:tr2bl w:val="nil"/>
                  </w:tcBorders>
                  <w:shd w:val="clear" w:color="auto" w:fill="auto"/>
                  <w:noWrap w:val="0"/>
                  <w:vAlign w:val="center"/>
                </w:tcPr>
                <w:p w14:paraId="186CB40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S1-1炉渣</w:t>
                  </w:r>
                </w:p>
              </w:tc>
              <w:tc>
                <w:tcPr>
                  <w:tcW w:w="710" w:type="pct"/>
                  <w:tcBorders>
                    <w:tl2br w:val="nil"/>
                    <w:tr2bl w:val="nil"/>
                  </w:tcBorders>
                  <w:shd w:val="clear" w:color="auto" w:fill="auto"/>
                  <w:noWrap w:val="0"/>
                  <w:vAlign w:val="center"/>
                </w:tcPr>
                <w:p w14:paraId="28469B4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炉渣</w:t>
                  </w:r>
                </w:p>
              </w:tc>
              <w:tc>
                <w:tcPr>
                  <w:tcW w:w="1035" w:type="dxa"/>
                  <w:tcBorders>
                    <w:tl2br w:val="nil"/>
                    <w:tr2bl w:val="nil"/>
                  </w:tcBorders>
                  <w:noWrap w:val="0"/>
                  <w:vAlign w:val="center"/>
                </w:tcPr>
                <w:p w14:paraId="05CC57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65.1274</w:t>
                  </w:r>
                </w:p>
              </w:tc>
            </w:tr>
            <w:tr w14:paraId="0C1DC2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4D15EAE8">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p>
              </w:tc>
              <w:tc>
                <w:tcPr>
                  <w:tcW w:w="664" w:type="pct"/>
                  <w:tcBorders>
                    <w:tl2br w:val="nil"/>
                    <w:tr2bl w:val="nil"/>
                  </w:tcBorders>
                  <w:noWrap w:val="0"/>
                  <w:vAlign w:val="center"/>
                </w:tcPr>
                <w:p w14:paraId="0BB1EE4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542" w:type="pct"/>
                  <w:tcBorders>
                    <w:tl2br w:val="nil"/>
                    <w:tr2bl w:val="nil"/>
                  </w:tcBorders>
                  <w:noWrap w:val="0"/>
                  <w:vAlign w:val="center"/>
                </w:tcPr>
                <w:p w14:paraId="78EB77A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26" w:type="pct"/>
                  <w:tcBorders>
                    <w:tl2br w:val="nil"/>
                    <w:tr2bl w:val="nil"/>
                  </w:tcBorders>
                  <w:noWrap w:val="0"/>
                  <w:vAlign w:val="center"/>
                </w:tcPr>
                <w:p w14:paraId="127576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54" w:type="pct"/>
                  <w:tcBorders>
                    <w:tl2br w:val="nil"/>
                    <w:tr2bl w:val="nil"/>
                  </w:tcBorders>
                  <w:shd w:val="clear" w:color="auto" w:fill="auto"/>
                  <w:noWrap w:val="0"/>
                  <w:vAlign w:val="center"/>
                </w:tcPr>
                <w:p w14:paraId="67D64DB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710" w:type="pct"/>
                  <w:tcBorders>
                    <w:tl2br w:val="nil"/>
                    <w:tr2bl w:val="nil"/>
                  </w:tcBorders>
                  <w:shd w:val="clear" w:color="auto" w:fill="auto"/>
                  <w:noWrap w:val="0"/>
                  <w:vAlign w:val="center"/>
                </w:tcPr>
                <w:p w14:paraId="163CD29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不合格品和金属边料</w:t>
                  </w:r>
                </w:p>
              </w:tc>
              <w:tc>
                <w:tcPr>
                  <w:tcW w:w="1035" w:type="dxa"/>
                  <w:tcBorders>
                    <w:tl2br w:val="nil"/>
                    <w:tr2bl w:val="nil"/>
                  </w:tcBorders>
                  <w:noWrap w:val="0"/>
                  <w:vAlign w:val="center"/>
                </w:tcPr>
                <w:p w14:paraId="693DDF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12.7596</w:t>
                  </w:r>
                </w:p>
              </w:tc>
            </w:tr>
            <w:tr w14:paraId="50C4A28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4690CE0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p>
              </w:tc>
              <w:tc>
                <w:tcPr>
                  <w:tcW w:w="664" w:type="pct"/>
                  <w:tcBorders>
                    <w:tl2br w:val="nil"/>
                    <w:tr2bl w:val="nil"/>
                  </w:tcBorders>
                  <w:noWrap w:val="0"/>
                  <w:vAlign w:val="center"/>
                </w:tcPr>
                <w:p w14:paraId="49F027C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542" w:type="pct"/>
                  <w:tcBorders>
                    <w:tl2br w:val="nil"/>
                    <w:tr2bl w:val="nil"/>
                  </w:tcBorders>
                  <w:noWrap w:val="0"/>
                  <w:vAlign w:val="center"/>
                </w:tcPr>
                <w:p w14:paraId="31D4C39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26" w:type="pct"/>
                  <w:tcBorders>
                    <w:tl2br w:val="nil"/>
                    <w:tr2bl w:val="nil"/>
                  </w:tcBorders>
                  <w:noWrap w:val="0"/>
                  <w:vAlign w:val="center"/>
                </w:tcPr>
                <w:p w14:paraId="2089AA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954" w:type="pct"/>
                  <w:tcBorders>
                    <w:tl2br w:val="nil"/>
                    <w:tr2bl w:val="nil"/>
                  </w:tcBorders>
                  <w:shd w:val="clear" w:color="auto" w:fill="auto"/>
                  <w:noWrap w:val="0"/>
                  <w:vAlign w:val="center"/>
                </w:tcPr>
                <w:p w14:paraId="079CA7B0">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S1-7沾染废乳化液刨花屑</w:t>
                  </w:r>
                </w:p>
              </w:tc>
              <w:tc>
                <w:tcPr>
                  <w:tcW w:w="710" w:type="pct"/>
                  <w:tcBorders>
                    <w:tl2br w:val="nil"/>
                    <w:tr2bl w:val="nil"/>
                  </w:tcBorders>
                  <w:shd w:val="clear" w:color="auto" w:fill="auto"/>
                  <w:noWrap w:val="0"/>
                  <w:vAlign w:val="center"/>
                </w:tcPr>
                <w:p w14:paraId="7335B0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沾染废乳化液刨花屑</w:t>
                  </w:r>
                </w:p>
              </w:tc>
              <w:tc>
                <w:tcPr>
                  <w:tcW w:w="1035" w:type="dxa"/>
                  <w:tcBorders>
                    <w:tl2br w:val="nil"/>
                    <w:tr2bl w:val="nil"/>
                  </w:tcBorders>
                  <w:noWrap w:val="0"/>
                  <w:vAlign w:val="center"/>
                </w:tcPr>
                <w:p w14:paraId="0FD07FC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0.0098</w:t>
                  </w:r>
                </w:p>
              </w:tc>
            </w:tr>
            <w:tr w14:paraId="3426327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5F90964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64" w:type="pct"/>
                  <w:tcBorders>
                    <w:tl2br w:val="nil"/>
                    <w:tr2bl w:val="nil"/>
                  </w:tcBorders>
                  <w:noWrap w:val="0"/>
                  <w:vAlign w:val="center"/>
                </w:tcPr>
                <w:p w14:paraId="1B3994F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542" w:type="pct"/>
                  <w:tcBorders>
                    <w:tl2br w:val="nil"/>
                    <w:tr2bl w:val="nil"/>
                  </w:tcBorders>
                  <w:noWrap w:val="0"/>
                  <w:vAlign w:val="center"/>
                </w:tcPr>
                <w:p w14:paraId="41D0F99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26" w:type="pct"/>
                  <w:tcBorders>
                    <w:tl2br w:val="nil"/>
                    <w:tr2bl w:val="nil"/>
                  </w:tcBorders>
                  <w:noWrap w:val="0"/>
                  <w:vAlign w:val="center"/>
                </w:tcPr>
                <w:p w14:paraId="2E01C5C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129.0296</w:t>
                  </w:r>
                </w:p>
              </w:tc>
              <w:tc>
                <w:tcPr>
                  <w:tcW w:w="1665" w:type="pct"/>
                  <w:gridSpan w:val="2"/>
                  <w:tcBorders>
                    <w:tl2br w:val="nil"/>
                    <w:tr2bl w:val="nil"/>
                  </w:tcBorders>
                  <w:noWrap w:val="0"/>
                  <w:vAlign w:val="center"/>
                </w:tcPr>
                <w:p w14:paraId="44999D9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45" w:type="pct"/>
                  <w:tcBorders>
                    <w:tl2br w:val="nil"/>
                    <w:tr2bl w:val="nil"/>
                  </w:tcBorders>
                  <w:noWrap w:val="0"/>
                  <w:vAlign w:val="center"/>
                </w:tcPr>
                <w:p w14:paraId="13837A7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129.0296</w:t>
                  </w:r>
                </w:p>
              </w:tc>
            </w:tr>
          </w:tbl>
          <w:p w14:paraId="7889BBAB">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22</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铬</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元素平衡一览表</w:t>
            </w:r>
          </w:p>
          <w:tbl>
            <w:tblPr>
              <w:tblStyle w:val="32"/>
              <w:tblW w:w="5063"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373"/>
              <w:gridCol w:w="1065"/>
              <w:gridCol w:w="870"/>
              <w:gridCol w:w="1005"/>
              <w:gridCol w:w="1530"/>
              <w:gridCol w:w="1140"/>
              <w:gridCol w:w="1035"/>
            </w:tblGrid>
            <w:tr w14:paraId="0CECDB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89" w:type="pct"/>
                  <w:gridSpan w:val="4"/>
                  <w:tcBorders>
                    <w:tl2br w:val="nil"/>
                    <w:tr2bl w:val="nil"/>
                  </w:tcBorders>
                  <w:noWrap w:val="0"/>
                  <w:vAlign w:val="center"/>
                </w:tcPr>
                <w:p w14:paraId="3077184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2310" w:type="pct"/>
                  <w:gridSpan w:val="3"/>
                  <w:tcBorders>
                    <w:tl2br w:val="nil"/>
                    <w:tr2bl w:val="nil"/>
                  </w:tcBorders>
                  <w:noWrap w:val="0"/>
                  <w:vAlign w:val="center"/>
                </w:tcPr>
                <w:p w14:paraId="07292E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2A979DD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03C1ED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64" w:type="pct"/>
                  <w:tcBorders>
                    <w:tl2br w:val="nil"/>
                    <w:tr2bl w:val="nil"/>
                  </w:tcBorders>
                  <w:noWrap w:val="0"/>
                  <w:vAlign w:val="center"/>
                </w:tcPr>
                <w:p w14:paraId="24C50B1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542" w:type="pct"/>
                  <w:tcBorders>
                    <w:tl2br w:val="nil"/>
                    <w:tr2bl w:val="nil"/>
                  </w:tcBorders>
                  <w:noWrap w:val="0"/>
                  <w:vAlign w:val="center"/>
                </w:tcPr>
                <w:p w14:paraId="23658B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626" w:type="pct"/>
                  <w:tcBorders>
                    <w:tl2br w:val="nil"/>
                    <w:tr2bl w:val="nil"/>
                  </w:tcBorders>
                  <w:noWrap w:val="0"/>
                  <w:vAlign w:val="center"/>
                </w:tcPr>
                <w:p w14:paraId="6B1A447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铬</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1665" w:type="pct"/>
                  <w:gridSpan w:val="2"/>
                  <w:tcBorders>
                    <w:tl2br w:val="nil"/>
                    <w:tr2bl w:val="nil"/>
                  </w:tcBorders>
                  <w:noWrap w:val="0"/>
                  <w:vAlign w:val="center"/>
                </w:tcPr>
                <w:p w14:paraId="112BBA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45" w:type="pct"/>
                  <w:tcBorders>
                    <w:tl2br w:val="nil"/>
                    <w:tr2bl w:val="nil"/>
                  </w:tcBorders>
                  <w:noWrap w:val="0"/>
                  <w:vAlign w:val="center"/>
                </w:tcPr>
                <w:p w14:paraId="4150B9E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铬</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0E8377A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641D10C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碳钢（新料）</w:t>
                  </w:r>
                </w:p>
              </w:tc>
              <w:tc>
                <w:tcPr>
                  <w:tcW w:w="664" w:type="pct"/>
                  <w:tcBorders>
                    <w:tl2br w:val="nil"/>
                    <w:tr2bl w:val="nil"/>
                  </w:tcBorders>
                  <w:shd w:val="clear" w:color="auto" w:fill="auto"/>
                  <w:noWrap w:val="0"/>
                  <w:vAlign w:val="center"/>
                </w:tcPr>
                <w:p w14:paraId="0445B40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2930</w:t>
                  </w:r>
                </w:p>
              </w:tc>
              <w:tc>
                <w:tcPr>
                  <w:tcW w:w="542" w:type="pct"/>
                  <w:tcBorders>
                    <w:tl2br w:val="nil"/>
                    <w:tr2bl w:val="nil"/>
                  </w:tcBorders>
                  <w:shd w:val="clear" w:color="auto" w:fill="auto"/>
                  <w:noWrap w:val="0"/>
                  <w:vAlign w:val="center"/>
                </w:tcPr>
                <w:p w14:paraId="4871D8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0.2</w:t>
                  </w:r>
                </w:p>
              </w:tc>
              <w:tc>
                <w:tcPr>
                  <w:tcW w:w="1005" w:type="dxa"/>
                  <w:tcBorders>
                    <w:tl2br w:val="nil"/>
                    <w:tr2bl w:val="nil"/>
                  </w:tcBorders>
                  <w:shd w:val="clear" w:color="auto" w:fill="auto"/>
                  <w:noWrap w:val="0"/>
                  <w:vAlign w:val="center"/>
                </w:tcPr>
                <w:p w14:paraId="53F72F7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5.86</w:t>
                  </w:r>
                </w:p>
              </w:tc>
              <w:tc>
                <w:tcPr>
                  <w:tcW w:w="954" w:type="pct"/>
                  <w:tcBorders>
                    <w:tl2br w:val="nil"/>
                    <w:tr2bl w:val="nil"/>
                  </w:tcBorders>
                  <w:shd w:val="clear" w:color="auto" w:fill="auto"/>
                  <w:noWrap w:val="0"/>
                  <w:vAlign w:val="center"/>
                </w:tcPr>
                <w:p w14:paraId="43A67F8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S1-1炉渣</w:t>
                  </w:r>
                </w:p>
              </w:tc>
              <w:tc>
                <w:tcPr>
                  <w:tcW w:w="710" w:type="pct"/>
                  <w:tcBorders>
                    <w:tl2br w:val="nil"/>
                    <w:tr2bl w:val="nil"/>
                  </w:tcBorders>
                  <w:shd w:val="clear" w:color="auto" w:fill="auto"/>
                  <w:noWrap w:val="0"/>
                  <w:vAlign w:val="center"/>
                </w:tcPr>
                <w:p w14:paraId="7E56E53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炉渣</w:t>
                  </w:r>
                </w:p>
              </w:tc>
              <w:tc>
                <w:tcPr>
                  <w:tcW w:w="645" w:type="pct"/>
                  <w:tcBorders>
                    <w:tl2br w:val="nil"/>
                    <w:tr2bl w:val="nil"/>
                  </w:tcBorders>
                  <w:shd w:val="clear" w:color="auto" w:fill="auto"/>
                  <w:noWrap w:val="0"/>
                  <w:vAlign w:val="center"/>
                </w:tcPr>
                <w:p w14:paraId="44F8220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6.175</w:t>
                  </w:r>
                </w:p>
              </w:tc>
            </w:tr>
            <w:tr w14:paraId="4B66826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2A68C8A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硅铁（新料）</w:t>
                  </w:r>
                </w:p>
              </w:tc>
              <w:tc>
                <w:tcPr>
                  <w:tcW w:w="664" w:type="pct"/>
                  <w:tcBorders>
                    <w:tl2br w:val="nil"/>
                    <w:tr2bl w:val="nil"/>
                  </w:tcBorders>
                  <w:shd w:val="clear" w:color="auto" w:fill="auto"/>
                  <w:noWrap w:val="0"/>
                  <w:vAlign w:val="center"/>
                </w:tcPr>
                <w:p w14:paraId="33A4486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542" w:type="pct"/>
                  <w:tcBorders>
                    <w:tl2br w:val="nil"/>
                    <w:tr2bl w:val="nil"/>
                  </w:tcBorders>
                  <w:shd w:val="clear" w:color="auto" w:fill="auto"/>
                  <w:noWrap w:val="0"/>
                  <w:vAlign w:val="center"/>
                </w:tcPr>
                <w:p w14:paraId="4FAAC37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0.3</w:t>
                  </w:r>
                </w:p>
              </w:tc>
              <w:tc>
                <w:tcPr>
                  <w:tcW w:w="1005" w:type="dxa"/>
                  <w:tcBorders>
                    <w:tl2br w:val="nil"/>
                    <w:tr2bl w:val="nil"/>
                  </w:tcBorders>
                  <w:shd w:val="clear" w:color="auto" w:fill="auto"/>
                  <w:noWrap w:val="0"/>
                  <w:vAlign w:val="center"/>
                </w:tcPr>
                <w:p w14:paraId="3E4ED9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0.315</w:t>
                  </w:r>
                </w:p>
              </w:tc>
              <w:tc>
                <w:tcPr>
                  <w:tcW w:w="954" w:type="pct"/>
                  <w:tcBorders>
                    <w:tl2br w:val="nil"/>
                    <w:tr2bl w:val="nil"/>
                  </w:tcBorders>
                  <w:shd w:val="clear" w:color="auto" w:fill="auto"/>
                  <w:noWrap w:val="0"/>
                  <w:vAlign w:val="center"/>
                </w:tcPr>
                <w:p w14:paraId="48A0C7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710" w:type="pct"/>
                  <w:tcBorders>
                    <w:tl2br w:val="nil"/>
                    <w:tr2bl w:val="nil"/>
                  </w:tcBorders>
                  <w:shd w:val="clear" w:color="auto" w:fill="auto"/>
                  <w:noWrap w:val="0"/>
                  <w:vAlign w:val="center"/>
                </w:tcPr>
                <w:p w14:paraId="6AF45F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645" w:type="pct"/>
                  <w:tcBorders>
                    <w:tl2br w:val="nil"/>
                    <w:tr2bl w:val="nil"/>
                  </w:tcBorders>
                  <w:noWrap w:val="0"/>
                  <w:vAlign w:val="center"/>
                </w:tcPr>
                <w:p w14:paraId="738AEE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r>
            <w:tr w14:paraId="010379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54A24F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64" w:type="pct"/>
                  <w:tcBorders>
                    <w:tl2br w:val="nil"/>
                    <w:tr2bl w:val="nil"/>
                  </w:tcBorders>
                  <w:noWrap w:val="0"/>
                  <w:vAlign w:val="center"/>
                </w:tcPr>
                <w:p w14:paraId="7D64C6B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542" w:type="pct"/>
                  <w:tcBorders>
                    <w:tl2br w:val="nil"/>
                    <w:tr2bl w:val="nil"/>
                  </w:tcBorders>
                  <w:noWrap w:val="0"/>
                  <w:vAlign w:val="center"/>
                </w:tcPr>
                <w:p w14:paraId="08191DE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005" w:type="dxa"/>
                  <w:tcBorders>
                    <w:tl2br w:val="nil"/>
                    <w:tr2bl w:val="nil"/>
                  </w:tcBorders>
                  <w:noWrap w:val="0"/>
                  <w:vAlign w:val="center"/>
                </w:tcPr>
                <w:p w14:paraId="6C5788F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6.175</w:t>
                  </w:r>
                </w:p>
              </w:tc>
              <w:tc>
                <w:tcPr>
                  <w:tcW w:w="1665" w:type="pct"/>
                  <w:gridSpan w:val="2"/>
                  <w:tcBorders>
                    <w:tl2br w:val="nil"/>
                    <w:tr2bl w:val="nil"/>
                  </w:tcBorders>
                  <w:noWrap w:val="0"/>
                  <w:vAlign w:val="center"/>
                </w:tcPr>
                <w:p w14:paraId="62DC74C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45" w:type="pct"/>
                  <w:tcBorders>
                    <w:tl2br w:val="nil"/>
                    <w:tr2bl w:val="nil"/>
                  </w:tcBorders>
                  <w:noWrap w:val="0"/>
                  <w:vAlign w:val="center"/>
                </w:tcPr>
                <w:p w14:paraId="1B8638D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6.175</w:t>
                  </w:r>
                </w:p>
              </w:tc>
            </w:tr>
          </w:tbl>
          <w:p w14:paraId="7EB034E7">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23</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磷</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元素平衡一览表</w:t>
            </w:r>
          </w:p>
          <w:tbl>
            <w:tblPr>
              <w:tblStyle w:val="32"/>
              <w:tblW w:w="801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373"/>
              <w:gridCol w:w="1065"/>
              <w:gridCol w:w="870"/>
              <w:gridCol w:w="1005"/>
              <w:gridCol w:w="1530"/>
              <w:gridCol w:w="1140"/>
              <w:gridCol w:w="1035"/>
            </w:tblGrid>
            <w:tr w14:paraId="031AE55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89" w:type="pct"/>
                  <w:gridSpan w:val="4"/>
                  <w:tcBorders>
                    <w:tl2br w:val="nil"/>
                    <w:tr2bl w:val="nil"/>
                  </w:tcBorders>
                  <w:noWrap w:val="0"/>
                  <w:vAlign w:val="center"/>
                </w:tcPr>
                <w:p w14:paraId="091C5BF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2310" w:type="pct"/>
                  <w:gridSpan w:val="3"/>
                  <w:tcBorders>
                    <w:tl2br w:val="nil"/>
                    <w:tr2bl w:val="nil"/>
                  </w:tcBorders>
                  <w:noWrap w:val="0"/>
                  <w:vAlign w:val="center"/>
                </w:tcPr>
                <w:p w14:paraId="5870D54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644B93D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38C5CB0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64" w:type="pct"/>
                  <w:tcBorders>
                    <w:tl2br w:val="nil"/>
                    <w:tr2bl w:val="nil"/>
                  </w:tcBorders>
                  <w:noWrap w:val="0"/>
                  <w:vAlign w:val="center"/>
                </w:tcPr>
                <w:p w14:paraId="1CF507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542" w:type="pct"/>
                  <w:tcBorders>
                    <w:tl2br w:val="nil"/>
                    <w:tr2bl w:val="nil"/>
                  </w:tcBorders>
                  <w:noWrap w:val="0"/>
                  <w:vAlign w:val="center"/>
                </w:tcPr>
                <w:p w14:paraId="112190C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626" w:type="pct"/>
                  <w:tcBorders>
                    <w:tl2br w:val="nil"/>
                    <w:tr2bl w:val="nil"/>
                  </w:tcBorders>
                  <w:noWrap w:val="0"/>
                  <w:vAlign w:val="center"/>
                </w:tcPr>
                <w:p w14:paraId="68BD3A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磷</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1665" w:type="pct"/>
                  <w:gridSpan w:val="2"/>
                  <w:tcBorders>
                    <w:tl2br w:val="nil"/>
                    <w:tr2bl w:val="nil"/>
                  </w:tcBorders>
                  <w:noWrap w:val="0"/>
                  <w:vAlign w:val="center"/>
                </w:tcPr>
                <w:p w14:paraId="26FF9E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45" w:type="pct"/>
                  <w:tcBorders>
                    <w:tl2br w:val="nil"/>
                    <w:tr2bl w:val="nil"/>
                  </w:tcBorders>
                  <w:noWrap w:val="0"/>
                  <w:vAlign w:val="center"/>
                </w:tcPr>
                <w:p w14:paraId="786F5F1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磷</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0298EED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589CF6A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生铁（新料）</w:t>
                  </w:r>
                </w:p>
              </w:tc>
              <w:tc>
                <w:tcPr>
                  <w:tcW w:w="664" w:type="pct"/>
                  <w:tcBorders>
                    <w:tl2br w:val="nil"/>
                    <w:tr2bl w:val="nil"/>
                  </w:tcBorders>
                  <w:noWrap w:val="0"/>
                  <w:vAlign w:val="center"/>
                </w:tcPr>
                <w:p w14:paraId="3B20170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7115</w:t>
                  </w:r>
                </w:p>
              </w:tc>
              <w:tc>
                <w:tcPr>
                  <w:tcW w:w="870" w:type="dxa"/>
                  <w:tcBorders>
                    <w:tl2br w:val="nil"/>
                    <w:tr2bl w:val="nil"/>
                  </w:tcBorders>
                  <w:noWrap w:val="0"/>
                  <w:vAlign w:val="center"/>
                </w:tcPr>
                <w:p w14:paraId="398BF79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0.055</w:t>
                  </w:r>
                </w:p>
              </w:tc>
              <w:tc>
                <w:tcPr>
                  <w:tcW w:w="1005" w:type="dxa"/>
                  <w:tcBorders>
                    <w:tl2br w:val="nil"/>
                    <w:tr2bl w:val="nil"/>
                  </w:tcBorders>
                  <w:noWrap w:val="0"/>
                  <w:vAlign w:val="center"/>
                </w:tcPr>
                <w:p w14:paraId="55742CD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3.91325</w:t>
                  </w:r>
                </w:p>
              </w:tc>
              <w:tc>
                <w:tcPr>
                  <w:tcW w:w="954" w:type="pct"/>
                  <w:vMerge w:val="restart"/>
                  <w:tcBorders>
                    <w:tl2br w:val="nil"/>
                    <w:tr2bl w:val="nil"/>
                  </w:tcBorders>
                  <w:noWrap w:val="0"/>
                  <w:vAlign w:val="center"/>
                </w:tcPr>
                <w:p w14:paraId="3533E6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产品</w:t>
                  </w:r>
                </w:p>
              </w:tc>
              <w:tc>
                <w:tcPr>
                  <w:tcW w:w="710" w:type="pct"/>
                  <w:tcBorders>
                    <w:tl2br w:val="nil"/>
                    <w:tr2bl w:val="nil"/>
                  </w:tcBorders>
                  <w:noWrap w:val="0"/>
                  <w:vAlign w:val="center"/>
                </w:tcPr>
                <w:p w14:paraId="2DDB632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HT200</w:t>
                  </w:r>
                </w:p>
              </w:tc>
              <w:tc>
                <w:tcPr>
                  <w:tcW w:w="1035" w:type="dxa"/>
                  <w:tcBorders>
                    <w:tl2br w:val="nil"/>
                    <w:tr2bl w:val="nil"/>
                  </w:tcBorders>
                  <w:noWrap w:val="0"/>
                  <w:vAlign w:val="center"/>
                </w:tcPr>
                <w:p w14:paraId="1D80D5E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1.0735</w:t>
                  </w:r>
                </w:p>
              </w:tc>
            </w:tr>
            <w:tr w14:paraId="02F236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4FD6648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碳钢（新料）</w:t>
                  </w:r>
                </w:p>
              </w:tc>
              <w:tc>
                <w:tcPr>
                  <w:tcW w:w="664" w:type="pct"/>
                  <w:tcBorders>
                    <w:tl2br w:val="nil"/>
                    <w:tr2bl w:val="nil"/>
                  </w:tcBorders>
                  <w:noWrap w:val="0"/>
                  <w:vAlign w:val="center"/>
                </w:tcPr>
                <w:p w14:paraId="51281D4E">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2930</w:t>
                  </w:r>
                </w:p>
              </w:tc>
              <w:tc>
                <w:tcPr>
                  <w:tcW w:w="870" w:type="dxa"/>
                  <w:tcBorders>
                    <w:tl2br w:val="nil"/>
                    <w:tr2bl w:val="nil"/>
                  </w:tcBorders>
                  <w:noWrap w:val="0"/>
                  <w:vAlign w:val="center"/>
                </w:tcPr>
                <w:p w14:paraId="38BB78F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0.035</w:t>
                  </w:r>
                </w:p>
              </w:tc>
              <w:tc>
                <w:tcPr>
                  <w:tcW w:w="1005" w:type="dxa"/>
                  <w:tcBorders>
                    <w:tl2br w:val="nil"/>
                    <w:tr2bl w:val="nil"/>
                  </w:tcBorders>
                  <w:noWrap w:val="0"/>
                  <w:vAlign w:val="center"/>
                </w:tcPr>
                <w:p w14:paraId="268832C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1.0255</w:t>
                  </w:r>
                </w:p>
              </w:tc>
              <w:tc>
                <w:tcPr>
                  <w:tcW w:w="954" w:type="pct"/>
                  <w:vMerge w:val="continue"/>
                  <w:tcBorders>
                    <w:tl2br w:val="nil"/>
                    <w:tr2bl w:val="nil"/>
                  </w:tcBorders>
                  <w:noWrap w:val="0"/>
                  <w:vAlign w:val="center"/>
                </w:tcPr>
                <w:p w14:paraId="36CB6EC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710" w:type="pct"/>
                  <w:tcBorders>
                    <w:tl2br w:val="nil"/>
                    <w:tr2bl w:val="nil"/>
                  </w:tcBorders>
                  <w:noWrap w:val="0"/>
                  <w:vAlign w:val="center"/>
                </w:tcPr>
                <w:p w14:paraId="2763239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QT400-15</w:t>
                  </w:r>
                </w:p>
              </w:tc>
              <w:tc>
                <w:tcPr>
                  <w:tcW w:w="1035" w:type="dxa"/>
                  <w:tcBorders>
                    <w:tl2br w:val="nil"/>
                    <w:tr2bl w:val="nil"/>
                  </w:tcBorders>
                  <w:noWrap w:val="0"/>
                  <w:vAlign w:val="center"/>
                </w:tcPr>
                <w:p w14:paraId="6F9DD11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4.16</w:t>
                  </w:r>
                </w:p>
              </w:tc>
            </w:tr>
            <w:tr w14:paraId="044768B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275FC2C7">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硅铁（新料）</w:t>
                  </w:r>
                </w:p>
              </w:tc>
              <w:tc>
                <w:tcPr>
                  <w:tcW w:w="664" w:type="pct"/>
                  <w:tcBorders>
                    <w:tl2br w:val="nil"/>
                    <w:tr2bl w:val="nil"/>
                  </w:tcBorders>
                  <w:noWrap w:val="0"/>
                  <w:vAlign w:val="center"/>
                </w:tcPr>
                <w:p w14:paraId="4EF62B2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870" w:type="dxa"/>
                  <w:tcBorders>
                    <w:tl2br w:val="nil"/>
                    <w:tr2bl w:val="nil"/>
                  </w:tcBorders>
                  <w:noWrap w:val="0"/>
                  <w:vAlign w:val="center"/>
                </w:tcPr>
                <w:p w14:paraId="02D7304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0.04</w:t>
                  </w:r>
                </w:p>
              </w:tc>
              <w:tc>
                <w:tcPr>
                  <w:tcW w:w="1005" w:type="dxa"/>
                  <w:tcBorders>
                    <w:tl2br w:val="nil"/>
                    <w:tr2bl w:val="nil"/>
                  </w:tcBorders>
                  <w:noWrap w:val="0"/>
                  <w:vAlign w:val="center"/>
                </w:tcPr>
                <w:p w14:paraId="64E0971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0.042</w:t>
                  </w:r>
                </w:p>
              </w:tc>
              <w:tc>
                <w:tcPr>
                  <w:tcW w:w="954" w:type="pct"/>
                  <w:tcBorders>
                    <w:tl2br w:val="nil"/>
                    <w:tr2bl w:val="nil"/>
                  </w:tcBorders>
                  <w:noWrap w:val="0"/>
                  <w:vAlign w:val="center"/>
                </w:tcPr>
                <w:p w14:paraId="2A45A57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金属熔化废气（G1-1）</w:t>
                  </w:r>
                </w:p>
              </w:tc>
              <w:tc>
                <w:tcPr>
                  <w:tcW w:w="710" w:type="pct"/>
                  <w:tcBorders>
                    <w:tl2br w:val="nil"/>
                    <w:tr2bl w:val="nil"/>
                  </w:tcBorders>
                  <w:noWrap w:val="0"/>
                  <w:vAlign w:val="center"/>
                </w:tcPr>
                <w:p w14:paraId="1116755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颗粒物</w:t>
                  </w:r>
                </w:p>
              </w:tc>
              <w:tc>
                <w:tcPr>
                  <w:tcW w:w="1035" w:type="dxa"/>
                  <w:tcBorders>
                    <w:tl2br w:val="nil"/>
                    <w:tr2bl w:val="nil"/>
                  </w:tcBorders>
                  <w:noWrap w:val="0"/>
                  <w:vAlign w:val="center"/>
                </w:tcPr>
                <w:p w14:paraId="6DE4C78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0.0025</w:t>
                  </w:r>
                </w:p>
              </w:tc>
            </w:tr>
            <w:tr w14:paraId="4AF968C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2A2421F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锰铁（新料）</w:t>
                  </w:r>
                </w:p>
              </w:tc>
              <w:tc>
                <w:tcPr>
                  <w:tcW w:w="664" w:type="pct"/>
                  <w:tcBorders>
                    <w:tl2br w:val="nil"/>
                    <w:tr2bl w:val="nil"/>
                  </w:tcBorders>
                  <w:shd w:val="clear" w:color="auto" w:fill="auto"/>
                  <w:noWrap w:val="0"/>
                  <w:vAlign w:val="center"/>
                </w:tcPr>
                <w:p w14:paraId="43C380A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105</w:t>
                  </w:r>
                </w:p>
              </w:tc>
              <w:tc>
                <w:tcPr>
                  <w:tcW w:w="870" w:type="dxa"/>
                  <w:tcBorders>
                    <w:tl2br w:val="nil"/>
                    <w:tr2bl w:val="nil"/>
                  </w:tcBorders>
                  <w:shd w:val="clear" w:color="auto" w:fill="auto"/>
                  <w:noWrap w:val="0"/>
                  <w:vAlign w:val="center"/>
                </w:tcPr>
                <w:p w14:paraId="2D11BB4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0.3</w:t>
                  </w:r>
                </w:p>
              </w:tc>
              <w:tc>
                <w:tcPr>
                  <w:tcW w:w="1005" w:type="dxa"/>
                  <w:tcBorders>
                    <w:tl2br w:val="nil"/>
                    <w:tr2bl w:val="nil"/>
                  </w:tcBorders>
                  <w:shd w:val="clear" w:color="auto" w:fill="auto"/>
                  <w:noWrap w:val="0"/>
                  <w:vAlign w:val="center"/>
                </w:tcPr>
                <w:p w14:paraId="2E16DA2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0.315</w:t>
                  </w:r>
                </w:p>
              </w:tc>
              <w:tc>
                <w:tcPr>
                  <w:tcW w:w="954" w:type="pct"/>
                  <w:tcBorders>
                    <w:tl2br w:val="nil"/>
                    <w:tr2bl w:val="nil"/>
                  </w:tcBorders>
                  <w:shd w:val="clear" w:color="auto" w:fill="auto"/>
                  <w:noWrap w:val="0"/>
                  <w:vAlign w:val="center"/>
                </w:tcPr>
                <w:p w14:paraId="5D8CF8F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打磨废气（G1-6）、抛丸废气（G1-7）</w:t>
                  </w:r>
                </w:p>
              </w:tc>
              <w:tc>
                <w:tcPr>
                  <w:tcW w:w="710" w:type="pct"/>
                  <w:tcBorders>
                    <w:tl2br w:val="nil"/>
                    <w:tr2bl w:val="nil"/>
                  </w:tcBorders>
                  <w:shd w:val="clear" w:color="auto" w:fill="auto"/>
                  <w:noWrap w:val="0"/>
                  <w:vAlign w:val="center"/>
                </w:tcPr>
                <w:p w14:paraId="1635AFD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颗粒物</w:t>
                  </w:r>
                </w:p>
              </w:tc>
              <w:tc>
                <w:tcPr>
                  <w:tcW w:w="1035" w:type="dxa"/>
                  <w:tcBorders>
                    <w:tl2br w:val="nil"/>
                    <w:tr2bl w:val="nil"/>
                  </w:tcBorders>
                  <w:noWrap w:val="0"/>
                  <w:vAlign w:val="center"/>
                </w:tcPr>
                <w:p w14:paraId="1B6CF6A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0.0125</w:t>
                  </w:r>
                </w:p>
              </w:tc>
            </w:tr>
            <w:tr w14:paraId="572EC28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shd w:val="clear" w:color="auto" w:fill="auto"/>
                  <w:noWrap w:val="0"/>
                  <w:vAlign w:val="center"/>
                </w:tcPr>
                <w:p w14:paraId="731E9523">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664" w:type="pct"/>
                  <w:tcBorders>
                    <w:tl2br w:val="nil"/>
                    <w:tr2bl w:val="nil"/>
                  </w:tcBorders>
                  <w:shd w:val="clear" w:color="auto" w:fill="auto"/>
                  <w:noWrap w:val="0"/>
                  <w:vAlign w:val="center"/>
                </w:tcPr>
                <w:p w14:paraId="2B0E8966">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t>2604</w:t>
                  </w:r>
                </w:p>
              </w:tc>
              <w:tc>
                <w:tcPr>
                  <w:tcW w:w="870" w:type="dxa"/>
                  <w:tcBorders>
                    <w:tl2br w:val="nil"/>
                    <w:tr2bl w:val="nil"/>
                  </w:tcBorders>
                  <w:shd w:val="clear" w:color="auto" w:fill="auto"/>
                  <w:noWrap w:val="0"/>
                  <w:vAlign w:val="center"/>
                </w:tcPr>
                <w:p w14:paraId="00EB31F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0.05</w:t>
                  </w:r>
                </w:p>
              </w:tc>
              <w:tc>
                <w:tcPr>
                  <w:tcW w:w="1005" w:type="dxa"/>
                  <w:tcBorders>
                    <w:tl2br w:val="nil"/>
                    <w:tr2bl w:val="nil"/>
                  </w:tcBorders>
                  <w:noWrap w:val="0"/>
                  <w:vAlign w:val="center"/>
                </w:tcPr>
                <w:p w14:paraId="0959E4F1">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1.3447</w:t>
                  </w:r>
                </w:p>
              </w:tc>
              <w:tc>
                <w:tcPr>
                  <w:tcW w:w="954" w:type="pct"/>
                  <w:tcBorders>
                    <w:tl2br w:val="nil"/>
                    <w:tr2bl w:val="nil"/>
                  </w:tcBorders>
                  <w:shd w:val="clear" w:color="auto" w:fill="auto"/>
                  <w:noWrap w:val="0"/>
                  <w:vAlign w:val="center"/>
                </w:tcPr>
                <w:p w14:paraId="658116D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S1-1炉渣</w:t>
                  </w:r>
                </w:p>
              </w:tc>
              <w:tc>
                <w:tcPr>
                  <w:tcW w:w="710" w:type="pct"/>
                  <w:tcBorders>
                    <w:tl2br w:val="nil"/>
                    <w:tr2bl w:val="nil"/>
                  </w:tcBorders>
                  <w:shd w:val="clear" w:color="auto" w:fill="auto"/>
                  <w:noWrap w:val="0"/>
                  <w:vAlign w:val="center"/>
                </w:tcPr>
                <w:p w14:paraId="3413282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炉渣</w:t>
                  </w:r>
                </w:p>
              </w:tc>
              <w:tc>
                <w:tcPr>
                  <w:tcW w:w="1035" w:type="dxa"/>
                  <w:tcBorders>
                    <w:tl2br w:val="nil"/>
                    <w:tr2bl w:val="nil"/>
                  </w:tcBorders>
                  <w:noWrap w:val="0"/>
                  <w:vAlign w:val="center"/>
                </w:tcPr>
                <w:p w14:paraId="07D5B72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0.0462</w:t>
                  </w:r>
                </w:p>
              </w:tc>
            </w:tr>
            <w:tr w14:paraId="0DD46D5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46C7178A">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p>
              </w:tc>
              <w:tc>
                <w:tcPr>
                  <w:tcW w:w="664" w:type="pct"/>
                  <w:tcBorders>
                    <w:tl2br w:val="nil"/>
                    <w:tr2bl w:val="nil"/>
                  </w:tcBorders>
                  <w:noWrap w:val="0"/>
                  <w:vAlign w:val="center"/>
                </w:tcPr>
                <w:p w14:paraId="664028B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70" w:type="dxa"/>
                  <w:tcBorders>
                    <w:tl2br w:val="nil"/>
                    <w:tr2bl w:val="nil"/>
                  </w:tcBorders>
                  <w:noWrap w:val="0"/>
                  <w:vAlign w:val="center"/>
                </w:tcPr>
                <w:p w14:paraId="6E16337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1005" w:type="dxa"/>
                  <w:tcBorders>
                    <w:tl2br w:val="nil"/>
                    <w:tr2bl w:val="nil"/>
                  </w:tcBorders>
                  <w:noWrap w:val="0"/>
                  <w:vAlign w:val="center"/>
                </w:tcPr>
                <w:p w14:paraId="1F75BB3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954" w:type="pct"/>
                  <w:tcBorders>
                    <w:tl2br w:val="nil"/>
                    <w:tr2bl w:val="nil"/>
                  </w:tcBorders>
                  <w:shd w:val="clear" w:color="auto" w:fill="auto"/>
                  <w:noWrap w:val="0"/>
                  <w:vAlign w:val="center"/>
                </w:tcPr>
                <w:p w14:paraId="69952121">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S1-2不合格品、S1-3不合格品、S1-5金属边角料</w:t>
                  </w:r>
                </w:p>
              </w:tc>
              <w:tc>
                <w:tcPr>
                  <w:tcW w:w="710" w:type="pct"/>
                  <w:tcBorders>
                    <w:tl2br w:val="nil"/>
                    <w:tr2bl w:val="nil"/>
                  </w:tcBorders>
                  <w:shd w:val="clear" w:color="auto" w:fill="auto"/>
                  <w:noWrap w:val="0"/>
                  <w:vAlign w:val="center"/>
                </w:tcPr>
                <w:p w14:paraId="7E49B3E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不合格品和金属边料</w:t>
                  </w:r>
                </w:p>
              </w:tc>
              <w:tc>
                <w:tcPr>
                  <w:tcW w:w="1035" w:type="dxa"/>
                  <w:tcBorders>
                    <w:tl2br w:val="nil"/>
                    <w:tr2bl w:val="nil"/>
                  </w:tcBorders>
                  <w:noWrap w:val="0"/>
                  <w:vAlign w:val="center"/>
                </w:tcPr>
                <w:p w14:paraId="427287C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1.3447</w:t>
                  </w:r>
                </w:p>
              </w:tc>
            </w:tr>
            <w:tr w14:paraId="66949A6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0937C4D9">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p>
              </w:tc>
              <w:tc>
                <w:tcPr>
                  <w:tcW w:w="664" w:type="pct"/>
                  <w:tcBorders>
                    <w:tl2br w:val="nil"/>
                    <w:tr2bl w:val="nil"/>
                  </w:tcBorders>
                  <w:noWrap w:val="0"/>
                  <w:vAlign w:val="center"/>
                </w:tcPr>
                <w:p w14:paraId="79D971A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70" w:type="dxa"/>
                  <w:tcBorders>
                    <w:tl2br w:val="nil"/>
                    <w:tr2bl w:val="nil"/>
                  </w:tcBorders>
                  <w:noWrap w:val="0"/>
                  <w:vAlign w:val="center"/>
                </w:tcPr>
                <w:p w14:paraId="091A69B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1005" w:type="dxa"/>
                  <w:tcBorders>
                    <w:tl2br w:val="nil"/>
                    <w:tr2bl w:val="nil"/>
                  </w:tcBorders>
                  <w:noWrap w:val="0"/>
                  <w:vAlign w:val="center"/>
                </w:tcPr>
                <w:p w14:paraId="44E97DC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954" w:type="pct"/>
                  <w:tcBorders>
                    <w:tl2br w:val="nil"/>
                    <w:tr2bl w:val="nil"/>
                  </w:tcBorders>
                  <w:shd w:val="clear" w:color="auto" w:fill="auto"/>
                  <w:noWrap w:val="0"/>
                  <w:vAlign w:val="center"/>
                </w:tcPr>
                <w:p w14:paraId="7EDEC1B8">
                  <w:pPr>
                    <w:keepNext w:val="0"/>
                    <w:keepLines w:val="0"/>
                    <w:pageBreakBefore w:val="0"/>
                    <w:widowControl/>
                    <w:suppressLineNumbers w:val="0"/>
                    <w:shd w:val="clear"/>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S1-7沾染废乳化液刨花屑</w:t>
                  </w:r>
                </w:p>
              </w:tc>
              <w:tc>
                <w:tcPr>
                  <w:tcW w:w="710" w:type="pct"/>
                  <w:tcBorders>
                    <w:tl2br w:val="nil"/>
                    <w:tr2bl w:val="nil"/>
                  </w:tcBorders>
                  <w:shd w:val="clear" w:color="auto" w:fill="auto"/>
                  <w:noWrap w:val="0"/>
                  <w:vAlign w:val="center"/>
                </w:tcPr>
                <w:p w14:paraId="076CCF8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沾染废乳化液刨花屑</w:t>
                  </w:r>
                </w:p>
              </w:tc>
              <w:tc>
                <w:tcPr>
                  <w:tcW w:w="1035" w:type="dxa"/>
                  <w:tcBorders>
                    <w:tl2br w:val="nil"/>
                    <w:tr2bl w:val="nil"/>
                  </w:tcBorders>
                  <w:noWrap w:val="0"/>
                  <w:vAlign w:val="center"/>
                </w:tcPr>
                <w:p w14:paraId="3956CF1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0.001</w:t>
                  </w:r>
                </w:p>
              </w:tc>
            </w:tr>
            <w:tr w14:paraId="0775E7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856" w:type="pct"/>
                  <w:tcBorders>
                    <w:tl2br w:val="nil"/>
                    <w:tr2bl w:val="nil"/>
                  </w:tcBorders>
                  <w:noWrap w:val="0"/>
                  <w:vAlign w:val="center"/>
                </w:tcPr>
                <w:p w14:paraId="0C0E47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664" w:type="pct"/>
                  <w:tcBorders>
                    <w:tl2br w:val="nil"/>
                    <w:tr2bl w:val="nil"/>
                  </w:tcBorders>
                  <w:noWrap w:val="0"/>
                  <w:vAlign w:val="center"/>
                </w:tcPr>
                <w:p w14:paraId="093A377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70" w:type="dxa"/>
                  <w:tcBorders>
                    <w:tl2br w:val="nil"/>
                    <w:tr2bl w:val="nil"/>
                  </w:tcBorders>
                  <w:noWrap w:val="0"/>
                  <w:vAlign w:val="center"/>
                </w:tcPr>
                <w:p w14:paraId="643AE57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1005" w:type="dxa"/>
                  <w:tcBorders>
                    <w:tl2br w:val="nil"/>
                    <w:tr2bl w:val="nil"/>
                  </w:tcBorders>
                  <w:noWrap w:val="0"/>
                  <w:vAlign w:val="center"/>
                </w:tcPr>
                <w:p w14:paraId="097C502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6.6405</w:t>
                  </w:r>
                </w:p>
              </w:tc>
              <w:tc>
                <w:tcPr>
                  <w:tcW w:w="1665" w:type="pct"/>
                  <w:gridSpan w:val="2"/>
                  <w:tcBorders>
                    <w:tl2br w:val="nil"/>
                    <w:tr2bl w:val="nil"/>
                  </w:tcBorders>
                  <w:noWrap w:val="0"/>
                  <w:vAlign w:val="center"/>
                </w:tcPr>
                <w:p w14:paraId="27C2FF1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合计</w:t>
                  </w:r>
                </w:p>
              </w:tc>
              <w:tc>
                <w:tcPr>
                  <w:tcW w:w="1035" w:type="dxa"/>
                  <w:tcBorders>
                    <w:tl2br w:val="nil"/>
                    <w:tr2bl w:val="nil"/>
                  </w:tcBorders>
                  <w:noWrap w:val="0"/>
                  <w:vAlign w:val="center"/>
                </w:tcPr>
                <w:p w14:paraId="6178A21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6.6405</w:t>
                  </w:r>
                </w:p>
              </w:tc>
            </w:tr>
          </w:tbl>
          <w:p w14:paraId="6DA3EA2C">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24</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甲醛</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平衡一览表</w:t>
            </w:r>
          </w:p>
          <w:tbl>
            <w:tblPr>
              <w:tblStyle w:val="32"/>
              <w:tblW w:w="801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217"/>
              <w:gridCol w:w="1785"/>
              <w:gridCol w:w="1380"/>
              <w:gridCol w:w="1170"/>
              <w:gridCol w:w="1365"/>
              <w:gridCol w:w="1101"/>
            </w:tblGrid>
            <w:tr w14:paraId="2C316F1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462" w:type="pct"/>
                  <w:gridSpan w:val="4"/>
                  <w:tcBorders>
                    <w:tl2br w:val="nil"/>
                    <w:tr2bl w:val="nil"/>
                  </w:tcBorders>
                  <w:noWrap w:val="0"/>
                  <w:vAlign w:val="center"/>
                </w:tcPr>
                <w:p w14:paraId="7EF41C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1537" w:type="pct"/>
                  <w:gridSpan w:val="2"/>
                  <w:tcBorders>
                    <w:tl2br w:val="nil"/>
                    <w:tr2bl w:val="nil"/>
                  </w:tcBorders>
                  <w:noWrap w:val="0"/>
                  <w:vAlign w:val="center"/>
                </w:tcPr>
                <w:p w14:paraId="5E6532E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00F569D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0F50E3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1113" w:type="pct"/>
                  <w:tcBorders>
                    <w:tl2br w:val="nil"/>
                    <w:tr2bl w:val="nil"/>
                  </w:tcBorders>
                  <w:noWrap w:val="0"/>
                  <w:vAlign w:val="center"/>
                </w:tcPr>
                <w:p w14:paraId="586A540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860" w:type="pct"/>
                  <w:tcBorders>
                    <w:tl2br w:val="nil"/>
                    <w:tr2bl w:val="nil"/>
                  </w:tcBorders>
                  <w:noWrap w:val="0"/>
                  <w:vAlign w:val="center"/>
                </w:tcPr>
                <w:p w14:paraId="77EBB50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729" w:type="pct"/>
                  <w:tcBorders>
                    <w:tl2br w:val="nil"/>
                    <w:tr2bl w:val="nil"/>
                  </w:tcBorders>
                  <w:noWrap w:val="0"/>
                  <w:vAlign w:val="center"/>
                </w:tcPr>
                <w:p w14:paraId="45B7F7D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甲醛</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851" w:type="pct"/>
                  <w:tcBorders>
                    <w:tl2br w:val="nil"/>
                    <w:tr2bl w:val="nil"/>
                  </w:tcBorders>
                  <w:noWrap w:val="0"/>
                  <w:vAlign w:val="center"/>
                </w:tcPr>
                <w:p w14:paraId="688DEF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86" w:type="pct"/>
                  <w:tcBorders>
                    <w:tl2br w:val="nil"/>
                    <w:tr2bl w:val="nil"/>
                  </w:tcBorders>
                  <w:noWrap w:val="0"/>
                  <w:vAlign w:val="center"/>
                </w:tcPr>
                <w:p w14:paraId="143354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甲醛</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2466EF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0B9A573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自硬呋喃树脂</w:t>
                  </w:r>
                </w:p>
              </w:tc>
              <w:tc>
                <w:tcPr>
                  <w:tcW w:w="1113" w:type="pct"/>
                  <w:tcBorders>
                    <w:tl2br w:val="nil"/>
                    <w:tr2bl w:val="nil"/>
                  </w:tcBorders>
                  <w:noWrap w:val="0"/>
                  <w:vAlign w:val="center"/>
                </w:tcPr>
                <w:p w14:paraId="4843272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80</w:t>
                  </w:r>
                </w:p>
              </w:tc>
              <w:tc>
                <w:tcPr>
                  <w:tcW w:w="860" w:type="pct"/>
                  <w:tcBorders>
                    <w:tl2br w:val="nil"/>
                    <w:tr2bl w:val="nil"/>
                  </w:tcBorders>
                  <w:noWrap w:val="0"/>
                  <w:vAlign w:val="center"/>
                </w:tcPr>
                <w:p w14:paraId="6008038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0.1</w:t>
                  </w:r>
                </w:p>
              </w:tc>
              <w:tc>
                <w:tcPr>
                  <w:tcW w:w="729" w:type="pct"/>
                  <w:tcBorders>
                    <w:tl2br w:val="nil"/>
                    <w:tr2bl w:val="nil"/>
                  </w:tcBorders>
                  <w:noWrap w:val="0"/>
                  <w:vAlign w:val="center"/>
                </w:tcPr>
                <w:p w14:paraId="0A85693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0.08</w:t>
                  </w:r>
                </w:p>
              </w:tc>
              <w:tc>
                <w:tcPr>
                  <w:tcW w:w="851" w:type="pct"/>
                  <w:tcBorders>
                    <w:tl2br w:val="nil"/>
                    <w:tr2bl w:val="nil"/>
                  </w:tcBorders>
                  <w:shd w:val="clear" w:color="auto" w:fill="auto"/>
                  <w:noWrap w:val="0"/>
                  <w:vAlign w:val="center"/>
                </w:tcPr>
                <w:p w14:paraId="5DC255D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有组织排放</w:t>
                  </w:r>
                </w:p>
              </w:tc>
              <w:tc>
                <w:tcPr>
                  <w:tcW w:w="686" w:type="pct"/>
                  <w:tcBorders>
                    <w:tl2br w:val="nil"/>
                    <w:tr2bl w:val="nil"/>
                  </w:tcBorders>
                  <w:noWrap w:val="0"/>
                  <w:vAlign w:val="center"/>
                </w:tcPr>
                <w:p w14:paraId="48CC973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0.033</w:t>
                  </w:r>
                </w:p>
              </w:tc>
            </w:tr>
            <w:tr w14:paraId="0F94E5D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28AE778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113" w:type="pct"/>
                  <w:tcBorders>
                    <w:tl2br w:val="nil"/>
                    <w:tr2bl w:val="nil"/>
                  </w:tcBorders>
                  <w:noWrap w:val="0"/>
                  <w:vAlign w:val="center"/>
                </w:tcPr>
                <w:p w14:paraId="5567557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0B51CA4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2627C8F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51" w:type="pct"/>
                  <w:tcBorders>
                    <w:tl2br w:val="nil"/>
                    <w:tr2bl w:val="nil"/>
                  </w:tcBorders>
                  <w:shd w:val="clear" w:color="auto" w:fill="auto"/>
                  <w:noWrap w:val="0"/>
                  <w:vAlign w:val="center"/>
                </w:tcPr>
                <w:p w14:paraId="4C0591A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无组织排放</w:t>
                  </w:r>
                </w:p>
              </w:tc>
              <w:tc>
                <w:tcPr>
                  <w:tcW w:w="686" w:type="pct"/>
                  <w:tcBorders>
                    <w:tl2br w:val="nil"/>
                    <w:tr2bl w:val="nil"/>
                  </w:tcBorders>
                  <w:noWrap w:val="0"/>
                  <w:vAlign w:val="center"/>
                </w:tcPr>
                <w:p w14:paraId="21E45D5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0.005</w:t>
                  </w:r>
                </w:p>
              </w:tc>
            </w:tr>
            <w:tr w14:paraId="32FE40F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150F6E01">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113" w:type="pct"/>
                  <w:tcBorders>
                    <w:tl2br w:val="nil"/>
                    <w:tr2bl w:val="nil"/>
                  </w:tcBorders>
                  <w:noWrap w:val="0"/>
                  <w:vAlign w:val="center"/>
                </w:tcPr>
                <w:p w14:paraId="3890FD0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5452DAFB">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00E0894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51" w:type="pct"/>
                  <w:tcBorders>
                    <w:tl2br w:val="nil"/>
                    <w:tr2bl w:val="nil"/>
                  </w:tcBorders>
                  <w:shd w:val="clear" w:color="auto" w:fill="auto"/>
                  <w:noWrap w:val="0"/>
                  <w:vAlign w:val="center"/>
                </w:tcPr>
                <w:p w14:paraId="7D0FA90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废活性炭</w:t>
                  </w:r>
                </w:p>
              </w:tc>
              <w:tc>
                <w:tcPr>
                  <w:tcW w:w="686" w:type="pct"/>
                  <w:tcBorders>
                    <w:tl2br w:val="nil"/>
                    <w:tr2bl w:val="nil"/>
                  </w:tcBorders>
                  <w:noWrap w:val="0"/>
                  <w:vAlign w:val="center"/>
                </w:tcPr>
                <w:p w14:paraId="0B890B33">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0.042</w:t>
                  </w:r>
                </w:p>
              </w:tc>
            </w:tr>
            <w:tr w14:paraId="5B1B804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752754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1113" w:type="pct"/>
                  <w:tcBorders>
                    <w:tl2br w:val="nil"/>
                    <w:tr2bl w:val="nil"/>
                  </w:tcBorders>
                  <w:noWrap w:val="0"/>
                  <w:vAlign w:val="center"/>
                </w:tcPr>
                <w:p w14:paraId="19658D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79EE2D4A">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1BFBA7A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0.08</w:t>
                  </w:r>
                </w:p>
              </w:tc>
              <w:tc>
                <w:tcPr>
                  <w:tcW w:w="851" w:type="pct"/>
                  <w:tcBorders>
                    <w:tl2br w:val="nil"/>
                    <w:tr2bl w:val="nil"/>
                  </w:tcBorders>
                  <w:noWrap w:val="0"/>
                  <w:vAlign w:val="center"/>
                </w:tcPr>
                <w:p w14:paraId="5EA9C7A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合计</w:t>
                  </w:r>
                </w:p>
              </w:tc>
              <w:tc>
                <w:tcPr>
                  <w:tcW w:w="686" w:type="pct"/>
                  <w:tcBorders>
                    <w:tl2br w:val="nil"/>
                    <w:tr2bl w:val="nil"/>
                  </w:tcBorders>
                  <w:noWrap w:val="0"/>
                  <w:vAlign w:val="center"/>
                </w:tcPr>
                <w:p w14:paraId="5F61DD4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0.08</w:t>
                  </w:r>
                </w:p>
              </w:tc>
            </w:tr>
          </w:tbl>
          <w:p w14:paraId="75425EAB">
            <w:pPr>
              <w:widowControl/>
              <w:spacing w:line="360" w:lineRule="auto"/>
              <w:ind w:left="0" w:leftChars="0" w:firstLine="0" w:firstLineChars="0"/>
              <w:jc w:val="cente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pP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表2-</w:t>
            </w:r>
            <w:r>
              <w:rPr>
                <w:rFonts w:hint="eastAsia" w:cs="Times New Roman"/>
                <w:b/>
                <w:color w:val="000000" w:themeColor="text1"/>
                <w:spacing w:val="7"/>
                <w:kern w:val="0"/>
                <w:szCs w:val="21"/>
                <w:highlight w:val="none"/>
                <w:lang w:val="en-US" w:eastAsia="zh-CN"/>
                <w14:textFill>
                  <w14:solidFill>
                    <w14:schemeClr w14:val="tx1"/>
                  </w14:solidFill>
                </w14:textFill>
              </w:rPr>
              <w:t>25</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 xml:space="preserve"> </w:t>
            </w:r>
            <w:r>
              <w:rPr>
                <w:rFonts w:hint="eastAsia" w:ascii="Times New Roman" w:hAnsi="Times New Roman" w:eastAsia="宋体" w:cs="Times New Roman"/>
                <w:b/>
                <w:color w:val="000000" w:themeColor="text1"/>
                <w:spacing w:val="7"/>
                <w:kern w:val="0"/>
                <w:szCs w:val="21"/>
                <w:highlight w:val="none"/>
                <w:lang w:val="en-US" w:eastAsia="zh-CN"/>
                <w14:textFill>
                  <w14:solidFill>
                    <w14:schemeClr w14:val="tx1"/>
                  </w14:solidFill>
                </w14:textFill>
              </w:rPr>
              <w:t>酚类</w:t>
            </w:r>
            <w:r>
              <w:rPr>
                <w:rFonts w:hint="default" w:ascii="Times New Roman" w:hAnsi="Times New Roman" w:eastAsia="宋体" w:cs="Times New Roman"/>
                <w:b/>
                <w:color w:val="000000" w:themeColor="text1"/>
                <w:spacing w:val="7"/>
                <w:kern w:val="0"/>
                <w:szCs w:val="21"/>
                <w:highlight w:val="none"/>
                <w14:textFill>
                  <w14:solidFill>
                    <w14:schemeClr w14:val="tx1"/>
                  </w14:solidFill>
                </w14:textFill>
              </w:rPr>
              <w:t>平衡一览表</w:t>
            </w:r>
          </w:p>
          <w:tbl>
            <w:tblPr>
              <w:tblStyle w:val="32"/>
              <w:tblW w:w="8018"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217"/>
              <w:gridCol w:w="1785"/>
              <w:gridCol w:w="1380"/>
              <w:gridCol w:w="1170"/>
              <w:gridCol w:w="1365"/>
              <w:gridCol w:w="1101"/>
            </w:tblGrid>
            <w:tr w14:paraId="49BB24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462" w:type="pct"/>
                  <w:gridSpan w:val="4"/>
                  <w:tcBorders>
                    <w:tl2br w:val="nil"/>
                    <w:tr2bl w:val="nil"/>
                  </w:tcBorders>
                  <w:noWrap w:val="0"/>
                  <w:vAlign w:val="center"/>
                </w:tcPr>
                <w:p w14:paraId="6183910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投入</w:t>
                  </w:r>
                </w:p>
              </w:tc>
              <w:tc>
                <w:tcPr>
                  <w:tcW w:w="1537" w:type="pct"/>
                  <w:gridSpan w:val="2"/>
                  <w:tcBorders>
                    <w:tl2br w:val="nil"/>
                    <w:tr2bl w:val="nil"/>
                  </w:tcBorders>
                  <w:noWrap w:val="0"/>
                  <w:vAlign w:val="center"/>
                </w:tcPr>
                <w:p w14:paraId="1E7DB2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产出</w:t>
                  </w:r>
                </w:p>
              </w:tc>
            </w:tr>
            <w:tr w14:paraId="763415D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2B95C6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1113" w:type="pct"/>
                  <w:tcBorders>
                    <w:tl2br w:val="nil"/>
                    <w:tr2bl w:val="nil"/>
                  </w:tcBorders>
                  <w:noWrap w:val="0"/>
                  <w:vAlign w:val="center"/>
                </w:tcPr>
                <w:p w14:paraId="3131458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原料消耗量（t/a）</w:t>
                  </w:r>
                </w:p>
              </w:tc>
              <w:tc>
                <w:tcPr>
                  <w:tcW w:w="860" w:type="pct"/>
                  <w:tcBorders>
                    <w:tl2br w:val="nil"/>
                    <w:tr2bl w:val="nil"/>
                  </w:tcBorders>
                  <w:noWrap w:val="0"/>
                  <w:vAlign w:val="center"/>
                </w:tcPr>
                <w:p w14:paraId="6267840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元素占比/%</w:t>
                  </w:r>
                </w:p>
              </w:tc>
              <w:tc>
                <w:tcPr>
                  <w:tcW w:w="729" w:type="pct"/>
                  <w:tcBorders>
                    <w:tl2br w:val="nil"/>
                    <w:tr2bl w:val="nil"/>
                  </w:tcBorders>
                  <w:noWrap w:val="0"/>
                  <w:vAlign w:val="center"/>
                </w:tcPr>
                <w:p w14:paraId="2F2157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酚类</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c>
                <w:tcPr>
                  <w:tcW w:w="851" w:type="pct"/>
                  <w:tcBorders>
                    <w:tl2br w:val="nil"/>
                    <w:tr2bl w:val="nil"/>
                  </w:tcBorders>
                  <w:noWrap w:val="0"/>
                  <w:vAlign w:val="center"/>
                </w:tcPr>
                <w:p w14:paraId="7CA6727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名称</w:t>
                  </w:r>
                </w:p>
              </w:tc>
              <w:tc>
                <w:tcPr>
                  <w:tcW w:w="686" w:type="pct"/>
                  <w:tcBorders>
                    <w:tl2br w:val="nil"/>
                    <w:tr2bl w:val="nil"/>
                  </w:tcBorders>
                  <w:noWrap w:val="0"/>
                  <w:vAlign w:val="center"/>
                </w:tcPr>
                <w:p w14:paraId="4FCF81D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酚类</w:t>
                  </w: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（t/a）</w:t>
                  </w:r>
                </w:p>
              </w:tc>
            </w:tr>
            <w:tr w14:paraId="692395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2C8E4FE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自硬呋喃树脂</w:t>
                  </w:r>
                </w:p>
              </w:tc>
              <w:tc>
                <w:tcPr>
                  <w:tcW w:w="1113" w:type="pct"/>
                  <w:tcBorders>
                    <w:tl2br w:val="nil"/>
                    <w:tr2bl w:val="nil"/>
                  </w:tcBorders>
                  <w:noWrap w:val="0"/>
                  <w:vAlign w:val="center"/>
                </w:tcPr>
                <w:p w14:paraId="0F4630C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80</w:t>
                  </w:r>
                </w:p>
              </w:tc>
              <w:tc>
                <w:tcPr>
                  <w:tcW w:w="860" w:type="pct"/>
                  <w:tcBorders>
                    <w:tl2br w:val="nil"/>
                    <w:tr2bl w:val="nil"/>
                  </w:tcBorders>
                  <w:noWrap w:val="0"/>
                  <w:vAlign w:val="center"/>
                </w:tcPr>
                <w:p w14:paraId="2A06907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0.3</w:t>
                  </w:r>
                </w:p>
              </w:tc>
              <w:tc>
                <w:tcPr>
                  <w:tcW w:w="729" w:type="pct"/>
                  <w:tcBorders>
                    <w:tl2br w:val="nil"/>
                    <w:tr2bl w:val="nil"/>
                  </w:tcBorders>
                  <w:noWrap w:val="0"/>
                  <w:vAlign w:val="center"/>
                </w:tcPr>
                <w:p w14:paraId="18F849B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0.24</w:t>
                  </w:r>
                </w:p>
              </w:tc>
              <w:tc>
                <w:tcPr>
                  <w:tcW w:w="851" w:type="pct"/>
                  <w:tcBorders>
                    <w:tl2br w:val="nil"/>
                    <w:tr2bl w:val="nil"/>
                  </w:tcBorders>
                  <w:shd w:val="clear" w:color="auto" w:fill="auto"/>
                  <w:noWrap w:val="0"/>
                  <w:vAlign w:val="center"/>
                </w:tcPr>
                <w:p w14:paraId="431F27F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eastAsia"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有组织排放</w:t>
                  </w:r>
                </w:p>
              </w:tc>
              <w:tc>
                <w:tcPr>
                  <w:tcW w:w="686" w:type="pct"/>
                  <w:tcBorders>
                    <w:tl2br w:val="nil"/>
                    <w:tr2bl w:val="nil"/>
                  </w:tcBorders>
                  <w:noWrap w:val="0"/>
                  <w:vAlign w:val="center"/>
                </w:tcPr>
                <w:p w14:paraId="68B2777C">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0.094</w:t>
                  </w:r>
                </w:p>
              </w:tc>
            </w:tr>
            <w:tr w14:paraId="4CF1D21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5C403DD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113" w:type="pct"/>
                  <w:tcBorders>
                    <w:tl2br w:val="nil"/>
                    <w:tr2bl w:val="nil"/>
                  </w:tcBorders>
                  <w:noWrap w:val="0"/>
                  <w:vAlign w:val="center"/>
                </w:tcPr>
                <w:p w14:paraId="1DDCF582">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75945FE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4880B204">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51" w:type="pct"/>
                  <w:tcBorders>
                    <w:tl2br w:val="nil"/>
                    <w:tr2bl w:val="nil"/>
                  </w:tcBorders>
                  <w:shd w:val="clear" w:color="auto" w:fill="auto"/>
                  <w:noWrap w:val="0"/>
                  <w:vAlign w:val="center"/>
                </w:tcPr>
                <w:p w14:paraId="4E48287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无组织排放</w:t>
                  </w:r>
                </w:p>
              </w:tc>
              <w:tc>
                <w:tcPr>
                  <w:tcW w:w="686" w:type="pct"/>
                  <w:tcBorders>
                    <w:tl2br w:val="nil"/>
                    <w:tr2bl w:val="nil"/>
                  </w:tcBorders>
                  <w:noWrap w:val="0"/>
                  <w:vAlign w:val="center"/>
                </w:tcPr>
                <w:p w14:paraId="60DBB62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0.015</w:t>
                  </w:r>
                </w:p>
              </w:tc>
            </w:tr>
            <w:tr w14:paraId="533E44B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6FC8B78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1113" w:type="pct"/>
                  <w:tcBorders>
                    <w:tl2br w:val="nil"/>
                    <w:tr2bl w:val="nil"/>
                  </w:tcBorders>
                  <w:noWrap w:val="0"/>
                  <w:vAlign w:val="center"/>
                </w:tcPr>
                <w:p w14:paraId="65C0A060">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7B3E0CEF">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7745C63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851" w:type="pct"/>
                  <w:tcBorders>
                    <w:tl2br w:val="nil"/>
                    <w:tr2bl w:val="nil"/>
                  </w:tcBorders>
                  <w:shd w:val="clear" w:color="auto" w:fill="auto"/>
                  <w:noWrap w:val="0"/>
                  <w:vAlign w:val="center"/>
                </w:tcPr>
                <w:p w14:paraId="14D0F788">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i w:val="0"/>
                      <w:iCs w:val="0"/>
                      <w:color w:val="000000" w:themeColor="text1"/>
                      <w:sz w:val="21"/>
                      <w:szCs w:val="21"/>
                      <w:u w:val="none"/>
                      <w:lang w:val="en-US" w:eastAsia="zh-CN"/>
                      <w14:textFill>
                        <w14:solidFill>
                          <w14:schemeClr w14:val="tx1"/>
                        </w14:solidFill>
                      </w14:textFill>
                    </w:rPr>
                    <w:t>废活性炭</w:t>
                  </w:r>
                </w:p>
              </w:tc>
              <w:tc>
                <w:tcPr>
                  <w:tcW w:w="686" w:type="pct"/>
                  <w:tcBorders>
                    <w:tl2br w:val="nil"/>
                    <w:tr2bl w:val="nil"/>
                  </w:tcBorders>
                  <w:noWrap w:val="0"/>
                  <w:vAlign w:val="center"/>
                </w:tcPr>
                <w:p w14:paraId="7EFF6C0D">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0.131</w:t>
                  </w:r>
                </w:p>
              </w:tc>
            </w:tr>
            <w:tr w14:paraId="6B02A9F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758" w:type="pct"/>
                  <w:tcBorders>
                    <w:tl2br w:val="nil"/>
                    <w:tr2bl w:val="nil"/>
                  </w:tcBorders>
                  <w:noWrap w:val="0"/>
                  <w:vAlign w:val="center"/>
                </w:tcPr>
                <w:p w14:paraId="28A511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t>合计</w:t>
                  </w:r>
                </w:p>
              </w:tc>
              <w:tc>
                <w:tcPr>
                  <w:tcW w:w="1113" w:type="pct"/>
                  <w:tcBorders>
                    <w:tl2br w:val="nil"/>
                    <w:tr2bl w:val="nil"/>
                  </w:tcBorders>
                  <w:noWrap w:val="0"/>
                  <w:vAlign w:val="center"/>
                </w:tcPr>
                <w:p w14:paraId="5399DF8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u w:val="none"/>
                      <w:lang w:val="en-US" w:eastAsia="zh-CN"/>
                      <w14:textFill>
                        <w14:solidFill>
                          <w14:schemeClr w14:val="tx1"/>
                        </w14:solidFill>
                      </w14:textFill>
                    </w:rPr>
                  </w:pPr>
                </w:p>
              </w:tc>
              <w:tc>
                <w:tcPr>
                  <w:tcW w:w="860" w:type="pct"/>
                  <w:tcBorders>
                    <w:tl2br w:val="nil"/>
                    <w:tr2bl w:val="nil"/>
                  </w:tcBorders>
                  <w:noWrap w:val="0"/>
                  <w:vAlign w:val="center"/>
                </w:tcPr>
                <w:p w14:paraId="6A40CE55">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29" w:type="pct"/>
                  <w:tcBorders>
                    <w:tl2br w:val="nil"/>
                    <w:tr2bl w:val="nil"/>
                  </w:tcBorders>
                  <w:noWrap w:val="0"/>
                  <w:vAlign w:val="center"/>
                </w:tcPr>
                <w:p w14:paraId="27DBA929">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0.24</w:t>
                  </w:r>
                </w:p>
              </w:tc>
              <w:tc>
                <w:tcPr>
                  <w:tcW w:w="851" w:type="pct"/>
                  <w:tcBorders>
                    <w:tl2br w:val="nil"/>
                    <w:tr2bl w:val="nil"/>
                  </w:tcBorders>
                  <w:noWrap w:val="0"/>
                  <w:vAlign w:val="center"/>
                </w:tcPr>
                <w:p w14:paraId="4105AFB6">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合计</w:t>
                  </w:r>
                </w:p>
              </w:tc>
              <w:tc>
                <w:tcPr>
                  <w:tcW w:w="686" w:type="pct"/>
                  <w:tcBorders>
                    <w:tl2br w:val="nil"/>
                    <w:tr2bl w:val="nil"/>
                  </w:tcBorders>
                  <w:noWrap w:val="0"/>
                  <w:vAlign w:val="center"/>
                </w:tcPr>
                <w:p w14:paraId="78EADF87">
                  <w:pPr>
                    <w:pStyle w:val="72"/>
                    <w:keepNext w:val="0"/>
                    <w:keepLines w:val="0"/>
                    <w:pageBreakBefore w:val="0"/>
                    <w:numPr>
                      <w:ilvl w:val="0"/>
                      <w:numId w:val="0"/>
                    </w:numPr>
                    <w:shd w:val="clear" w:color="auto" w:fill="auto"/>
                    <w:kinsoku/>
                    <w:wordWrap/>
                    <w:overflowPunct/>
                    <w:topLinePunct w:val="0"/>
                    <w:autoSpaceDE/>
                    <w:autoSpaceDN/>
                    <w:bidi w:val="0"/>
                    <w:spacing w:line="240" w:lineRule="auto"/>
                    <w:ind w:left="0" w:leftChars="0"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0.24</w:t>
                  </w:r>
                </w:p>
              </w:tc>
            </w:tr>
          </w:tbl>
          <w:p w14:paraId="630C3CBA">
            <w:pPr>
              <w:shd w:val="clear" w:color="auto" w:fill="auto"/>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2）水平衡</w:t>
            </w:r>
          </w:p>
          <w:p w14:paraId="353C833D">
            <w:pPr>
              <w:shd w:val="clear" w:color="auto" w:fill="auto"/>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本项目用水主要为生活用水、中频炉冷却水、</w:t>
            </w:r>
            <w:r>
              <w:rPr>
                <w:rFonts w:hint="default" w:ascii="Times New Roman" w:hAnsi="Times New Roman" w:cs="Times New Roman"/>
                <w:color w:val="000000" w:themeColor="text1"/>
                <w:highlight w:val="none"/>
                <w:lang w:val="en-US" w:eastAsia="zh-CN"/>
                <w14:textFill>
                  <w14:solidFill>
                    <w14:schemeClr w14:val="tx1"/>
                  </w14:solidFill>
                </w14:textFill>
              </w:rPr>
              <w:t>粘土砂</w:t>
            </w:r>
            <w:r>
              <w:rPr>
                <w:rFonts w:hint="default" w:ascii="Times New Roman" w:hAnsi="Times New Roman" w:cs="Times New Roman"/>
                <w:color w:val="000000" w:themeColor="text1"/>
                <w:highlight w:val="none"/>
                <w14:textFill>
                  <w14:solidFill>
                    <w14:schemeClr w14:val="tx1"/>
                  </w14:solidFill>
                </w14:textFill>
              </w:rPr>
              <w:t>配置用水</w:t>
            </w:r>
            <w:r>
              <w:rPr>
                <w:rFonts w:hint="eastAsia" w:cs="Times New Roman"/>
                <w:color w:val="000000" w:themeColor="text1"/>
                <w:highlight w:val="none"/>
                <w:lang w:eastAsia="zh-CN"/>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乳化</w:t>
            </w:r>
            <w:r>
              <w:rPr>
                <w:rFonts w:hint="default" w:ascii="Times New Roman" w:hAnsi="Times New Roman" w:cs="Times New Roman"/>
                <w:color w:val="000000" w:themeColor="text1"/>
                <w:highlight w:val="none"/>
                <w:lang w:val="en-US" w:eastAsia="zh-CN"/>
                <w14:textFill>
                  <w14:solidFill>
                    <w14:schemeClr w14:val="tx1"/>
                  </w14:solidFill>
                </w14:textFill>
              </w:rPr>
              <w:t>液配水</w:t>
            </w:r>
            <w:r>
              <w:rPr>
                <w:rFonts w:hint="eastAsia" w:ascii="Times New Roman" w:hAnsi="Times New Roman"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水性丙烯酸聚氨酯面漆调配水、</w:t>
            </w:r>
            <w:r>
              <w:rPr>
                <w:rFonts w:hint="eastAsia" w:ascii="Times New Roman" w:hAnsi="Times New Roman" w:cs="Times New Roman"/>
                <w:color w:val="000000" w:themeColor="text1"/>
                <w:highlight w:val="none"/>
                <w:lang w:val="en-US" w:eastAsia="zh-CN"/>
                <w14:textFill>
                  <w14:solidFill>
                    <w14:schemeClr w14:val="tx1"/>
                  </w14:solidFill>
                </w14:textFill>
              </w:rPr>
              <w:t>水帘柜用水</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外购脱模剂无需配水，项目无需设备清洗和地面清洗</w:t>
            </w:r>
            <w:r>
              <w:rPr>
                <w:rFonts w:hint="default" w:ascii="Times New Roman" w:hAnsi="Times New Roman" w:cs="Times New Roman"/>
                <w:color w:val="000000" w:themeColor="text1"/>
                <w:highlight w:val="none"/>
                <w14:textFill>
                  <w14:solidFill>
                    <w14:schemeClr w14:val="tx1"/>
                  </w14:solidFill>
                </w14:textFill>
              </w:rPr>
              <w:t>。</w:t>
            </w:r>
          </w:p>
          <w:p w14:paraId="55BE2305">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①生活用水</w:t>
            </w:r>
          </w:p>
          <w:p w14:paraId="06C7BA14">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根据企业提供的资料，本项目员工</w:t>
            </w:r>
            <w:r>
              <w:rPr>
                <w:rFonts w:hint="default" w:ascii="Times New Roman" w:hAnsi="Times New Roman" w:cs="Times New Roman"/>
                <w:color w:val="000000" w:themeColor="text1"/>
                <w:highlight w:val="none"/>
                <w:lang w:val="en-US" w:eastAsia="zh-CN"/>
                <w14:textFill>
                  <w14:solidFill>
                    <w14:schemeClr w14:val="tx1"/>
                  </w14:solidFill>
                </w14:textFill>
              </w:rPr>
              <w:t>60</w:t>
            </w:r>
            <w:r>
              <w:rPr>
                <w:rFonts w:hint="default" w:ascii="Times New Roman" w:hAnsi="Times New Roman" w:cs="Times New Roman"/>
                <w:color w:val="000000" w:themeColor="text1"/>
                <w:highlight w:val="none"/>
                <w14:textFill>
                  <w14:solidFill>
                    <w14:schemeClr w14:val="tx1"/>
                  </w14:solidFill>
                </w14:textFill>
              </w:rPr>
              <w:t>人，员工食堂就餐，无住宿，根据《江西省城市生活用水定额》（DB36/T 419-2017），员工生活用水量按照100L/（人•d）计，年工作330天，则员工生活用水量为</w:t>
            </w:r>
            <w:r>
              <w:rPr>
                <w:rFonts w:hint="eastAsia"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/d，</w:t>
            </w:r>
            <w:r>
              <w:rPr>
                <w:rFonts w:hint="eastAsia" w:cs="Times New Roman"/>
                <w:color w:val="000000" w:themeColor="text1"/>
                <w:highlight w:val="none"/>
                <w:lang w:val="en-US" w:eastAsia="zh-CN"/>
                <w14:textFill>
                  <w14:solidFill>
                    <w14:schemeClr w14:val="tx1"/>
                  </w14:solidFill>
                </w14:textFill>
              </w:rPr>
              <w:t>1980</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/a，产污系数以80%计，生活污水量</w:t>
            </w:r>
            <w:r>
              <w:rPr>
                <w:rFonts w:hint="eastAsia" w:cs="Times New Roman"/>
                <w:color w:val="000000" w:themeColor="text1"/>
                <w:highlight w:val="none"/>
                <w:lang w:val="en-US" w:eastAsia="zh-CN"/>
                <w14:textFill>
                  <w14:solidFill>
                    <w14:schemeClr w14:val="tx1"/>
                  </w14:solidFill>
                </w14:textFill>
              </w:rPr>
              <w:t>4.8</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/d，</w:t>
            </w:r>
            <w:r>
              <w:rPr>
                <w:rFonts w:hint="eastAsia" w:cs="Times New Roman"/>
                <w:color w:val="000000" w:themeColor="text1"/>
                <w:highlight w:val="none"/>
                <w:lang w:val="en-US" w:eastAsia="zh-CN"/>
                <w14:textFill>
                  <w14:solidFill>
                    <w14:schemeClr w14:val="tx1"/>
                  </w14:solidFill>
                </w14:textFill>
              </w:rPr>
              <w:t>1584</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/a。</w:t>
            </w:r>
          </w:p>
          <w:p w14:paraId="0F1D79BE">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②中频炉冷却水</w:t>
            </w:r>
          </w:p>
          <w:p w14:paraId="0C612E0B">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项目中频炉在工作过程中，需采用间接冷却的方式，利用冷却水进行控制温度，中频炉循环水量为</w:t>
            </w:r>
            <w:r>
              <w:rPr>
                <w:rFonts w:hint="default" w:ascii="Times New Roman" w:hAnsi="Times New Roman"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/h，年工作时间为</w:t>
            </w:r>
            <w:r>
              <w:rPr>
                <w:rFonts w:hint="eastAsia" w:cs="Times New Roman"/>
                <w:color w:val="000000" w:themeColor="text1"/>
                <w:highlight w:val="none"/>
                <w:lang w:val="en-US" w:eastAsia="zh-CN"/>
                <w14:textFill>
                  <w14:solidFill>
                    <w14:schemeClr w14:val="tx1"/>
                  </w14:solidFill>
                </w14:textFill>
              </w:rPr>
              <w:t>2640</w:t>
            </w:r>
            <w:r>
              <w:rPr>
                <w:rFonts w:hint="default" w:ascii="Times New Roman" w:hAnsi="Times New Roman" w:cs="Times New Roman"/>
                <w:color w:val="000000" w:themeColor="text1"/>
                <w:highlight w:val="none"/>
                <w14:textFill>
                  <w14:solidFill>
                    <w14:schemeClr w14:val="tx1"/>
                  </w14:solidFill>
                </w14:textFill>
              </w:rPr>
              <w:t>h/a，则年循环水量为</w:t>
            </w:r>
            <w:r>
              <w:rPr>
                <w:rFonts w:hint="eastAsia" w:cs="Times New Roman"/>
                <w:color w:val="000000" w:themeColor="text1"/>
                <w:highlight w:val="none"/>
                <w:lang w:val="en-US" w:eastAsia="zh-CN"/>
                <w14:textFill>
                  <w14:solidFill>
                    <w14:schemeClr w14:val="tx1"/>
                  </w14:solidFill>
                </w14:textFill>
              </w:rPr>
              <w:t>15840</w:t>
            </w:r>
            <w:r>
              <w:rPr>
                <w:rFonts w:hint="default" w:ascii="Times New Roman" w:hAnsi="Times New Roman" w:cs="Times New Roman"/>
                <w:color w:val="000000" w:themeColor="text1"/>
                <w:highlight w:val="none"/>
                <w14:textFill>
                  <w14:solidFill>
                    <w14:schemeClr w14:val="tx1"/>
                  </w14:solidFill>
                </w14:textFill>
              </w:rPr>
              <w:t>t/a。中频炉冷却水循环使用不外排，中频炉冷却水在使用过程中因损耗约2%，需定期补充，补充水量约</w:t>
            </w:r>
            <w:r>
              <w:rPr>
                <w:rFonts w:hint="eastAsia" w:cs="Times New Roman"/>
                <w:color w:val="000000" w:themeColor="text1"/>
                <w:highlight w:val="none"/>
                <w:lang w:val="en-US" w:eastAsia="zh-CN"/>
                <w14:textFill>
                  <w14:solidFill>
                    <w14:schemeClr w14:val="tx1"/>
                  </w14:solidFill>
                </w14:textFill>
              </w:rPr>
              <w:t>316.8</w:t>
            </w:r>
            <w:r>
              <w:rPr>
                <w:rFonts w:hint="default" w:ascii="Times New Roman" w:hAnsi="Times New Roman" w:cs="Times New Roman"/>
                <w:color w:val="000000" w:themeColor="text1"/>
                <w:highlight w:val="none"/>
                <w14:textFill>
                  <w14:solidFill>
                    <w14:schemeClr w14:val="tx1"/>
                  </w14:solidFill>
                </w14:textFill>
              </w:rPr>
              <w:t>t/a。</w:t>
            </w:r>
          </w:p>
          <w:p w14:paraId="7949BDAE">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③</w:t>
            </w:r>
            <w:r>
              <w:rPr>
                <w:rFonts w:hint="default" w:ascii="Times New Roman" w:hAnsi="Times New Roman" w:cs="Times New Roman"/>
                <w:color w:val="000000" w:themeColor="text1"/>
                <w:highlight w:val="none"/>
                <w:lang w:val="en-US" w:eastAsia="zh-CN"/>
                <w14:textFill>
                  <w14:solidFill>
                    <w14:schemeClr w14:val="tx1"/>
                  </w14:solidFill>
                </w14:textFill>
              </w:rPr>
              <w:t>粘土砂</w:t>
            </w:r>
            <w:r>
              <w:rPr>
                <w:rFonts w:hint="default" w:ascii="Times New Roman" w:hAnsi="Times New Roman" w:cs="Times New Roman"/>
                <w:color w:val="000000" w:themeColor="text1"/>
                <w:highlight w:val="none"/>
                <w14:textFill>
                  <w14:solidFill>
                    <w14:schemeClr w14:val="tx1"/>
                  </w14:solidFill>
                </w14:textFill>
              </w:rPr>
              <w:t>配置用水</w:t>
            </w:r>
          </w:p>
          <w:p w14:paraId="2DC5E409">
            <w:pPr>
              <w:pStyle w:val="39"/>
              <w:shd w:val="clear" w:color="auto" w:fill="auto"/>
              <w:adjustRightInd/>
              <w:spacing w:line="360" w:lineRule="auto"/>
              <w:ind w:firstLine="480" w:firstLineChars="20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highlight w:val="none"/>
                <w14:textFill>
                  <w14:solidFill>
                    <w14:schemeClr w14:val="tx1"/>
                  </w14:solidFill>
                </w14:textFill>
              </w:rPr>
              <w:t>本项目</w:t>
            </w:r>
            <w:r>
              <w:rPr>
                <w:rFonts w:hint="eastAsia" w:ascii="Times New Roman" w:hAnsi="Times New Roman" w:eastAsia="宋体" w:cs="Times New Roman"/>
                <w:color w:val="000000" w:themeColor="text1"/>
                <w:highlight w:val="none"/>
                <w:lang w:val="en-US" w:eastAsia="zh-CN"/>
                <w14:textFill>
                  <w14:solidFill>
                    <w14:schemeClr w14:val="tx1"/>
                  </w14:solidFill>
                </w14:textFill>
              </w:rPr>
              <w:t>粘土砂配料过程中需要加</w:t>
            </w:r>
            <w:r>
              <w:rPr>
                <w:rFonts w:hint="default" w:ascii="Times New Roman" w:hAnsi="Times New Roman" w:eastAsia="宋体" w:cs="Times New Roman"/>
                <w:color w:val="000000" w:themeColor="text1"/>
                <w:highlight w:val="none"/>
                <w14:textFill>
                  <w14:solidFill>
                    <w14:schemeClr w14:val="tx1"/>
                  </w14:solidFill>
                </w14:textFill>
              </w:rPr>
              <w:t>水配比</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具体比例为</w:t>
            </w:r>
            <w:r>
              <w:rPr>
                <w:rFonts w:hint="default" w:ascii="Times New Roman" w:hAnsi="Times New Roman" w:eastAsia="宋体" w:cs="Times New Roman"/>
                <w:color w:val="000000" w:themeColor="text1"/>
                <w:highlight w:val="none"/>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膨润土：红煤粉：水：硅砂</w:t>
            </w:r>
            <w:r>
              <w:rPr>
                <w:rFonts w:hint="default" w:ascii="Times New Roman" w:hAnsi="Times New Roman" w:eastAsia="宋体" w:cs="Times New Roman"/>
                <w:color w:val="000000" w:themeColor="text1"/>
                <w:highlight w:val="none"/>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1:0.3:3:95.7</w:t>
            </w:r>
            <w:r>
              <w:rPr>
                <w:rFonts w:hint="default" w:ascii="Times New Roman" w:hAnsi="Times New Roman" w:eastAsia="宋体" w:cs="Times New Roman"/>
                <w:color w:val="000000" w:themeColor="text1"/>
                <w:highlight w:val="none"/>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粘土砂再生线的再生规模16t/h，年工作2640h，可知</w:t>
            </w:r>
            <w:r>
              <w:rPr>
                <w:rFonts w:hint="default" w:ascii="Times New Roman" w:hAnsi="Times New Roman" w:eastAsia="宋体" w:cs="Times New Roman"/>
                <w:color w:val="000000" w:themeColor="text1"/>
                <w:highlight w:val="none"/>
                <w14:textFill>
                  <w14:solidFill>
                    <w14:schemeClr w14:val="tx1"/>
                  </w14:solidFill>
                </w14:textFill>
              </w:rPr>
              <w:t>，粘土砂</w:t>
            </w:r>
            <w:r>
              <w:rPr>
                <w:rFonts w:hint="eastAsia" w:ascii="Times New Roman" w:hAnsi="Times New Roman" w:eastAsia="宋体" w:cs="Times New Roman"/>
                <w:color w:val="000000" w:themeColor="text1"/>
                <w:highlight w:val="none"/>
                <w:lang w:val="en-US" w:eastAsia="zh-CN"/>
                <w14:textFill>
                  <w14:solidFill>
                    <w14:schemeClr w14:val="tx1"/>
                  </w14:solidFill>
                </w14:textFill>
              </w:rPr>
              <w:t>配水</w:t>
            </w:r>
            <w:r>
              <w:rPr>
                <w:rFonts w:hint="default" w:ascii="Times New Roman" w:hAnsi="Times New Roman" w:eastAsia="宋体" w:cs="Times New Roman"/>
                <w:color w:val="000000" w:themeColor="text1"/>
                <w:highlight w:val="none"/>
                <w14:textFill>
                  <w14:solidFill>
                    <w14:schemeClr w14:val="tx1"/>
                  </w14:solidFill>
                </w14:textFill>
              </w:rPr>
              <w:t>用水量为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1267m</w:t>
            </w:r>
            <w:r>
              <w:rPr>
                <w:rFonts w:hint="eastAsia" w:ascii="Times New Roman" w:hAnsi="Times New Roman" w:eastAsia="宋体" w:cs="Times New Roman"/>
                <w:color w:val="000000" w:themeColor="text1"/>
                <w:highlight w:val="none"/>
                <w:vertAlign w:val="superscript"/>
                <w:lang w:val="en-US" w:eastAsia="zh-CN"/>
                <w14:textFill>
                  <w14:solidFill>
                    <w14:schemeClr w14:val="tx1"/>
                  </w14:solidFill>
                </w14:textFill>
              </w:rPr>
              <w:t>3</w:t>
            </w:r>
            <w:r>
              <w:rPr>
                <w:rFonts w:hint="default" w:ascii="Times New Roman" w:hAnsi="Times New Roman" w:eastAsia="宋体" w:cs="Times New Roman"/>
                <w:color w:val="000000" w:themeColor="text1"/>
                <w:highlight w:val="none"/>
                <w14:textFill>
                  <w14:solidFill>
                    <w14:schemeClr w14:val="tx1"/>
                  </w14:solidFill>
                </w14:textFill>
              </w:rPr>
              <w:t>/a</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3.84m</w:t>
            </w:r>
            <w:r>
              <w:rPr>
                <w:rFonts w:hint="eastAsia" w:ascii="Times New Roman" w:hAnsi="Times New Roman" w:eastAsia="宋体" w:cs="Times New Roman"/>
                <w:color w:val="000000" w:themeColor="text1"/>
                <w:highlight w:val="none"/>
                <w:vertAlign w:val="superscript"/>
                <w:lang w:val="en-US" w:eastAsia="zh-CN"/>
                <w14:textFill>
                  <w14:solidFill>
                    <w14:schemeClr w14:val="tx1"/>
                  </w14:solidFill>
                </w14:textFill>
              </w:rPr>
              <w:t>3</w:t>
            </w:r>
            <w:r>
              <w:rPr>
                <w:rFonts w:hint="eastAsia" w:ascii="Times New Roman" w:hAnsi="Times New Roman" w:eastAsia="宋体" w:cs="Times New Roman"/>
                <w:color w:val="000000" w:themeColor="text1"/>
                <w:highlight w:val="none"/>
                <w:lang w:val="en-US" w:eastAsia="zh-CN"/>
                <w14:textFill>
                  <w14:solidFill>
                    <w14:schemeClr w14:val="tx1"/>
                  </w14:solidFill>
                </w14:textFill>
              </w:rPr>
              <w:t>/d</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14:textFill>
                  <w14:solidFill>
                    <w14:schemeClr w14:val="tx1"/>
                  </w14:solidFill>
                </w14:textFill>
              </w:rPr>
              <w:t>，该部分水均</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在粘土砂浇注工序</w:t>
            </w:r>
            <w:r>
              <w:rPr>
                <w:rFonts w:hint="default" w:ascii="Times New Roman" w:hAnsi="Times New Roman" w:eastAsia="宋体" w:cs="Times New Roman"/>
                <w:color w:val="000000" w:themeColor="text1"/>
                <w:highlight w:val="none"/>
                <w14:textFill>
                  <w14:solidFill>
                    <w14:schemeClr w14:val="tx1"/>
                  </w14:solidFill>
                </w14:textFill>
              </w:rPr>
              <w:t>蒸发。</w:t>
            </w:r>
          </w:p>
          <w:p w14:paraId="5630025E">
            <w:pPr>
              <w:adjustRightInd w:val="0"/>
              <w:snapToGrid w:val="0"/>
              <w:spacing w:line="360" w:lineRule="auto"/>
              <w:ind w:firstLine="480" w:firstLineChars="200"/>
              <w:rPr>
                <w:rFonts w:hint="default" w:ascii="Times New Roman" w:hAnsi="Times New Roman" w:eastAsia="宋体" w:cs="Times New Roman"/>
                <w:color w:val="000000" w:themeColor="text1"/>
                <w:sz w:val="24"/>
                <w:highlight w:val="none"/>
                <w:lang w:eastAsia="zh-CN"/>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④</w:t>
            </w:r>
            <w:r>
              <w:rPr>
                <w:rFonts w:hint="eastAsia" w:ascii="Times New Roman" w:hAnsi="Times New Roman" w:cs="Times New Roman"/>
                <w:color w:val="000000" w:themeColor="text1"/>
                <w:sz w:val="24"/>
                <w:highlight w:val="none"/>
                <w:lang w:val="en-US" w:eastAsia="zh-CN"/>
                <w14:textFill>
                  <w14:solidFill>
                    <w14:schemeClr w14:val="tx1"/>
                  </w14:solidFill>
                </w14:textFill>
              </w:rPr>
              <w:t>乳化</w:t>
            </w:r>
            <w:r>
              <w:rPr>
                <w:rFonts w:hint="default" w:ascii="Times New Roman" w:hAnsi="Times New Roman" w:cs="Times New Roman"/>
                <w:color w:val="000000" w:themeColor="text1"/>
                <w:sz w:val="24"/>
                <w:highlight w:val="none"/>
                <w:lang w:val="en-US" w:eastAsia="zh-CN"/>
                <w14:textFill>
                  <w14:solidFill>
                    <w14:schemeClr w14:val="tx1"/>
                  </w14:solidFill>
                </w14:textFill>
              </w:rPr>
              <w:t>液配水</w:t>
            </w:r>
          </w:p>
          <w:p w14:paraId="540A43C0">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本项目按照</w:t>
            </w:r>
            <w:r>
              <w:rPr>
                <w:rFonts w:hint="eastAsia" w:ascii="Times New Roman" w:hAnsi="Times New Roman" w:cs="Times New Roman"/>
                <w:color w:val="000000" w:themeColor="text1"/>
                <w:sz w:val="24"/>
                <w:highlight w:val="none"/>
                <w:lang w:val="en-US" w:eastAsia="zh-CN"/>
                <w14:textFill>
                  <w14:solidFill>
                    <w14:schemeClr w14:val="tx1"/>
                  </w14:solidFill>
                </w14:textFill>
              </w:rPr>
              <w:t>乳化</w:t>
            </w:r>
            <w:r>
              <w:rPr>
                <w:rFonts w:hint="default" w:ascii="Times New Roman" w:hAnsi="Times New Roman" w:cs="Times New Roman"/>
                <w:color w:val="000000" w:themeColor="text1"/>
                <w:sz w:val="24"/>
                <w:highlight w:val="none"/>
                <w:lang w:val="en-US" w:eastAsia="zh-CN"/>
                <w14:textFill>
                  <w14:solidFill>
                    <w14:schemeClr w14:val="tx1"/>
                  </w14:solidFill>
                </w14:textFill>
              </w:rPr>
              <w:t>液</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与水按照1:9的比例进行配比，配比后的</w:t>
            </w:r>
            <w:r>
              <w:rPr>
                <w:rFonts w:hint="eastAsia" w:ascii="Times New Roman" w:hAnsi="Times New Roman" w:cs="Times New Roman"/>
                <w:color w:val="000000" w:themeColor="text1"/>
                <w:sz w:val="24"/>
                <w:highlight w:val="none"/>
                <w:lang w:val="en-US" w:eastAsia="zh-CN"/>
                <w14:textFill>
                  <w14:solidFill>
                    <w14:schemeClr w14:val="tx1"/>
                  </w14:solidFill>
                </w14:textFill>
              </w:rPr>
              <w:t>乳化</w:t>
            </w:r>
            <w:r>
              <w:rPr>
                <w:rFonts w:hint="default" w:ascii="Times New Roman" w:hAnsi="Times New Roman" w:cs="Times New Roman"/>
                <w:color w:val="000000" w:themeColor="text1"/>
                <w:sz w:val="24"/>
                <w:highlight w:val="none"/>
                <w:lang w:val="en-US" w:eastAsia="zh-CN"/>
                <w14:textFill>
                  <w14:solidFill>
                    <w14:schemeClr w14:val="tx1"/>
                  </w14:solidFill>
                </w14:textFill>
              </w:rPr>
              <w:t>液</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用于生产工段使用，项目</w:t>
            </w:r>
            <w:r>
              <w:rPr>
                <w:rFonts w:hint="eastAsia" w:ascii="Times New Roman" w:hAnsi="Times New Roman" w:cs="Times New Roman"/>
                <w:color w:val="000000" w:themeColor="text1"/>
                <w:sz w:val="24"/>
                <w:highlight w:val="none"/>
                <w:lang w:val="en-US" w:eastAsia="zh-CN"/>
                <w14:textFill>
                  <w14:solidFill>
                    <w14:schemeClr w14:val="tx1"/>
                  </w14:solidFill>
                </w14:textFill>
              </w:rPr>
              <w:t>乳化</w:t>
            </w:r>
            <w:r>
              <w:rPr>
                <w:rFonts w:hint="default" w:ascii="Times New Roman" w:hAnsi="Times New Roman" w:cs="Times New Roman"/>
                <w:color w:val="000000" w:themeColor="text1"/>
                <w:sz w:val="24"/>
                <w:highlight w:val="none"/>
                <w:lang w:val="en-US" w:eastAsia="zh-CN"/>
                <w14:textFill>
                  <w14:solidFill>
                    <w14:schemeClr w14:val="tx1"/>
                  </w14:solidFill>
                </w14:textFill>
              </w:rPr>
              <w:t>液</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使用量为1t/a，用水量为9t/a</w:t>
            </w:r>
            <w:r>
              <w:rPr>
                <w:rFonts w:hint="eastAsia" w:cs="Times New Roman"/>
                <w:color w:val="000000" w:themeColor="text1"/>
                <w:sz w:val="24"/>
                <w:highlight w:val="none"/>
                <w:lang w:val="en-US" w:eastAsia="zh-CN"/>
                <w14:textFill>
                  <w14:solidFill>
                    <w14:schemeClr w14:val="tx1"/>
                  </w14:solidFill>
                </w14:textFill>
              </w:rPr>
              <w:t>（0.0273m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/d）</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ascii="Times New Roman" w:hAnsi="Times New Roman" w:cs="Times New Roman"/>
                <w:color w:val="000000" w:themeColor="text1"/>
                <w:sz w:val="24"/>
                <w:highlight w:val="none"/>
                <w:lang w:val="en-US" w:eastAsia="zh-CN"/>
                <w14:textFill>
                  <w14:solidFill>
                    <w14:schemeClr w14:val="tx1"/>
                  </w14:solidFill>
                </w14:textFill>
              </w:rPr>
              <w:t>乳化</w:t>
            </w:r>
            <w:r>
              <w:rPr>
                <w:rFonts w:hint="default" w:ascii="Times New Roman" w:hAnsi="Times New Roman" w:cs="Times New Roman"/>
                <w:color w:val="000000" w:themeColor="text1"/>
                <w:sz w:val="24"/>
                <w:highlight w:val="none"/>
                <w:lang w:val="en-US" w:eastAsia="zh-CN"/>
                <w14:textFill>
                  <w14:solidFill>
                    <w14:schemeClr w14:val="tx1"/>
                  </w14:solidFill>
                </w14:textFill>
              </w:rPr>
              <w:t>液循环</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使用</w:t>
            </w:r>
            <w:r>
              <w:rPr>
                <w:rFonts w:ascii="Times New Roman" w:hAnsi="Times New Roman" w:eastAsia="宋体" w:cs="Times New Roman"/>
                <w:color w:val="000000" w:themeColor="text1"/>
                <w:sz w:val="24"/>
                <w:szCs w:val="24"/>
                <w:highlight w:val="none"/>
                <w14:textFill>
                  <w14:solidFill>
                    <w14:schemeClr w14:val="tx1"/>
                  </w14:solidFill>
                </w14:textFill>
              </w:rPr>
              <w:t>，循环量为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0.6</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ascii="Times New Roman" w:hAnsi="Times New Roman" w:eastAsia="宋体" w:cs="Times New Roman"/>
                <w:color w:val="000000" w:themeColor="text1"/>
                <w:sz w:val="24"/>
                <w:szCs w:val="24"/>
                <w:highlight w:val="none"/>
                <w14:textFill>
                  <w14:solidFill>
                    <w14:schemeClr w14:val="tx1"/>
                  </w14:solidFill>
                </w14:textFill>
              </w:rPr>
              <w:t>/h</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1584</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ascii="Times New Roman" w:hAnsi="Times New Roman" w:eastAsia="宋体" w:cs="Times New Roman"/>
                <w:color w:val="000000" w:themeColor="text1"/>
                <w:sz w:val="24"/>
                <w:szCs w:val="24"/>
                <w:highlight w:val="none"/>
                <w14:textFill>
                  <w14:solidFill>
                    <w14:schemeClr w14:val="tx1"/>
                  </w14:solidFill>
                </w14:textFill>
              </w:rPr>
              <w:t>/</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a</w:t>
            </w: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，定期更换。</w:t>
            </w:r>
          </w:p>
          <w:p w14:paraId="0BFEF9FF">
            <w:pPr>
              <w:shd w:val="clear" w:color="auto" w:fill="auto"/>
              <w:ind w:firstLine="480"/>
              <w:jc w:val="both"/>
              <w:rPr>
                <w:rFonts w:hint="eastAsia"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⑤</w:t>
            </w:r>
            <w:r>
              <w:rPr>
                <w:rFonts w:hint="eastAsia" w:cs="Times New Roman"/>
                <w:color w:val="000000" w:themeColor="text1"/>
                <w:highlight w:val="none"/>
                <w:lang w:val="en-US" w:eastAsia="zh-CN"/>
                <w14:textFill>
                  <w14:solidFill>
                    <w14:schemeClr w14:val="tx1"/>
                  </w14:solidFill>
                </w14:textFill>
              </w:rPr>
              <w:t>水性丙烯酸聚氨酯面漆调配水</w:t>
            </w:r>
          </w:p>
          <w:p w14:paraId="5E54F545">
            <w:pPr>
              <w:shd w:val="clear" w:color="auto" w:fill="auto"/>
              <w:ind w:firstLine="480"/>
              <w:jc w:val="both"/>
              <w:rPr>
                <w:rFonts w:hint="default"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根据喷涂工艺要求，水性丙烯酸聚氨酯面漆需要使用水稀释调配，稀释比例约为1:1，本项目水性丙烯酸聚氨酯面漆年使用量约为13.96t，则需要使用调配水约为13.96m</w:t>
            </w:r>
            <w:r>
              <w:rPr>
                <w:rFonts w:hint="eastAsia" w:cs="Times New Roman"/>
                <w:color w:val="000000" w:themeColor="text1"/>
                <w:highlight w:val="none"/>
                <w:vertAlign w:val="superscript"/>
                <w:lang w:val="en-US" w:eastAsia="zh-CN"/>
                <w14:textFill>
                  <w14:solidFill>
                    <w14:schemeClr w14:val="tx1"/>
                  </w14:solidFill>
                </w14:textFill>
              </w:rPr>
              <w:t>3</w:t>
            </w:r>
            <w:r>
              <w:rPr>
                <w:rFonts w:hint="eastAsia" w:cs="Times New Roman"/>
                <w:color w:val="000000" w:themeColor="text1"/>
                <w:highlight w:val="none"/>
                <w:lang w:val="en-US" w:eastAsia="zh-CN"/>
                <w14:textFill>
                  <w14:solidFill>
                    <w14:schemeClr w14:val="tx1"/>
                  </w14:solidFill>
                </w14:textFill>
              </w:rPr>
              <w:t>/a（0.0423m</w:t>
            </w:r>
            <w:r>
              <w:rPr>
                <w:rFonts w:hint="eastAsia" w:cs="Times New Roman"/>
                <w:color w:val="000000" w:themeColor="text1"/>
                <w:highlight w:val="none"/>
                <w:vertAlign w:val="superscript"/>
                <w:lang w:val="en-US" w:eastAsia="zh-CN"/>
                <w14:textFill>
                  <w14:solidFill>
                    <w14:schemeClr w14:val="tx1"/>
                  </w14:solidFill>
                </w14:textFill>
              </w:rPr>
              <w:t>3</w:t>
            </w:r>
            <w:r>
              <w:rPr>
                <w:rFonts w:hint="eastAsia" w:cs="Times New Roman"/>
                <w:color w:val="000000" w:themeColor="text1"/>
                <w:highlight w:val="none"/>
                <w:lang w:val="en-US" w:eastAsia="zh-CN"/>
                <w14:textFill>
                  <w14:solidFill>
                    <w14:schemeClr w14:val="tx1"/>
                  </w14:solidFill>
                </w14:textFill>
              </w:rPr>
              <w:t>/d），调配水均蒸发损耗。</w:t>
            </w:r>
          </w:p>
          <w:p w14:paraId="78E2BD03">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⑥</w:t>
            </w:r>
            <w:r>
              <w:rPr>
                <w:rFonts w:hint="eastAsia" w:cs="Times New Roman"/>
                <w:color w:val="000000" w:themeColor="text1"/>
                <w:highlight w:val="none"/>
                <w:lang w:val="en-US" w:eastAsia="zh-CN"/>
                <w14:textFill>
                  <w14:solidFill>
                    <w14:schemeClr w14:val="tx1"/>
                  </w14:solidFill>
                </w14:textFill>
              </w:rPr>
              <w:t>水帘柜用水</w:t>
            </w:r>
          </w:p>
          <w:p w14:paraId="6030B6EC">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ascii="Times New Roman" w:hAnsi="Times New Roman" w:eastAsia="宋体" w:cs="Times New Roman"/>
                <w:color w:val="000000" w:themeColor="text1"/>
                <w:sz w:val="24"/>
                <w:szCs w:val="24"/>
                <w:highlight w:val="none"/>
                <w14:textFill>
                  <w14:solidFill>
                    <w14:schemeClr w14:val="tx1"/>
                  </w14:solidFill>
                </w14:textFill>
              </w:rPr>
              <w:t>本项目喷漆房设有水帘柜吸收处理漆雾废气，水帘用水经水帘板背后水泵提升后循环使用，定期补充损耗。喷漆房的水帘柜循环水池容量为</w:t>
            </w:r>
            <w:r>
              <w:rPr>
                <w:rFonts w:hint="eastAsia" w:ascii="Times New Roman" w:hAnsi="Times New Roman" w:eastAsia="宋体" w:cs="Times New Roman"/>
                <w:color w:val="000000" w:themeColor="text1"/>
                <w:sz w:val="24"/>
                <w:szCs w:val="24"/>
                <w:highlight w:val="none"/>
                <w14:textFill>
                  <w14:solidFill>
                    <w14:schemeClr w14:val="tx1"/>
                  </w14:solidFill>
                </w14:textFill>
              </w:rPr>
              <w:t>4.2m×</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0.4</w:t>
            </w:r>
            <w:r>
              <w:rPr>
                <w:rFonts w:hint="eastAsia" w:ascii="Times New Roman" w:hAnsi="Times New Roman" w:eastAsia="宋体" w:cs="Times New Roman"/>
                <w:color w:val="000000" w:themeColor="text1"/>
                <w:sz w:val="24"/>
                <w:szCs w:val="24"/>
                <w:highlight w:val="none"/>
                <w14:textFill>
                  <w14:solidFill>
                    <w14:schemeClr w14:val="tx1"/>
                  </w14:solidFill>
                </w14:textFill>
              </w:rPr>
              <w:t>m×1.1m</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=1.848</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ascii="Times New Roman" w:hAnsi="Times New Roman" w:eastAsia="宋体" w:cs="Times New Roman"/>
                <w:color w:val="000000" w:themeColor="text1"/>
                <w:sz w:val="24"/>
                <w:szCs w:val="24"/>
                <w:highlight w:val="none"/>
                <w14:textFill>
                  <w14:solidFill>
                    <w14:schemeClr w14:val="tx1"/>
                  </w14:solidFill>
                </w14:textFill>
              </w:rPr>
              <w:t>，存水量约80%，循环水量为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1.2</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ascii="Times New Roman" w:hAnsi="Times New Roman" w:eastAsia="宋体" w:cs="Times New Roman"/>
                <w:color w:val="000000" w:themeColor="text1"/>
                <w:sz w:val="24"/>
                <w:szCs w:val="24"/>
                <w:highlight w:val="none"/>
                <w14:textFill>
                  <w14:solidFill>
                    <w14:schemeClr w14:val="tx1"/>
                  </w14:solidFill>
                </w14:textFill>
              </w:rPr>
              <w:t>/h。本项目喷漆房喷漆时间共为</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1</w:t>
            </w:r>
            <w:r>
              <w:rPr>
                <w:rFonts w:hint="eastAsia" w:cs="Times New Roman"/>
                <w:color w:val="000000" w:themeColor="text1"/>
                <w:sz w:val="24"/>
                <w:szCs w:val="24"/>
                <w:highlight w:val="none"/>
                <w:lang w:val="en-US" w:eastAsia="zh-CN"/>
                <w14:textFill>
                  <w14:solidFill>
                    <w14:schemeClr w14:val="tx1"/>
                  </w14:solidFill>
                </w14:textFill>
              </w:rPr>
              <w:t>32</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w:t>
            </w:r>
            <w:r>
              <w:rPr>
                <w:rFonts w:ascii="Times New Roman" w:hAnsi="Times New Roman" w:eastAsia="宋体" w:cs="Times New Roman"/>
                <w:color w:val="000000" w:themeColor="text1"/>
                <w:sz w:val="24"/>
                <w:szCs w:val="24"/>
                <w:highlight w:val="none"/>
                <w14:textFill>
                  <w14:solidFill>
                    <w14:schemeClr w14:val="tx1"/>
                  </w14:solidFill>
                </w14:textFill>
              </w:rPr>
              <w:t>h，水帘柜总循环水量为</w:t>
            </w:r>
            <w:r>
              <w:rPr>
                <w:rFonts w:hint="eastAsia" w:cs="Times New Roman"/>
                <w:color w:val="000000" w:themeColor="text1"/>
                <w:sz w:val="24"/>
                <w:szCs w:val="24"/>
                <w:highlight w:val="none"/>
                <w:lang w:val="en-US" w:eastAsia="zh-CN"/>
                <w14:textFill>
                  <w14:solidFill>
                    <w14:schemeClr w14:val="tx1"/>
                  </w14:solidFill>
                </w14:textFill>
              </w:rPr>
              <w:t>1584</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ascii="Times New Roman" w:hAnsi="Times New Roman" w:eastAsia="宋体" w:cs="Times New Roman"/>
                <w:color w:val="000000" w:themeColor="text1"/>
                <w:sz w:val="24"/>
                <w:szCs w:val="24"/>
                <w:highlight w:val="none"/>
                <w14:textFill>
                  <w14:solidFill>
                    <w14:schemeClr w14:val="tx1"/>
                  </w14:solidFill>
                </w14:textFill>
              </w:rPr>
              <w:t>/a。</w:t>
            </w:r>
          </w:p>
          <w:p w14:paraId="078F2888">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jc w:val="both"/>
              <w:textAlignment w:val="baseline"/>
              <w:rPr>
                <w:rFonts w:hint="default"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参考《工业循环水冷却设计规范》（GB/T 50102-2014）水帘柜损耗水量包括蒸发损耗和风吹损耗，根据水帘柜的设计大小、类型等因素估算，确定水帘柜蒸发损耗为1.3%、风吹损耗为1.2%，合计挥发损耗量为循环水量的2.5%，故本项目喷漆房水帘柜的损耗量为</w:t>
            </w:r>
            <w:r>
              <w:rPr>
                <w:rFonts w:hint="eastAsia" w:cs="Times New Roman"/>
                <w:color w:val="000000" w:themeColor="text1"/>
                <w:kern w:val="0"/>
                <w:sz w:val="24"/>
                <w:szCs w:val="24"/>
                <w:highlight w:val="none"/>
                <w:lang w:val="en-US" w:eastAsia="zh-CN" w:bidi="ar-SA"/>
                <w14:textFill>
                  <w14:solidFill>
                    <w14:schemeClr w14:val="tx1"/>
                  </w14:solidFill>
                </w14:textFill>
              </w:rPr>
              <w:t>39.6</w:t>
            </w:r>
            <w:r>
              <w:rPr>
                <w:rFonts w:ascii="Times New Roman" w:hAnsi="Times New Roman" w:eastAsia="宋体" w:cs="Times New Roman"/>
                <w:color w:val="000000" w:themeColor="text1"/>
                <w:sz w:val="24"/>
                <w:szCs w:val="24"/>
                <w:highlight w:val="none"/>
                <w14:textFill>
                  <w14:solidFill>
                    <w14:schemeClr w14:val="tx1"/>
                  </w14:solidFill>
                </w14:textFill>
              </w:rPr>
              <w:t>m</w:t>
            </w:r>
            <w:r>
              <w:rPr>
                <w:rFonts w:ascii="Times New Roman" w:hAnsi="Times New Roman" w:eastAsia="宋体" w:cs="Times New Roman"/>
                <w:color w:val="000000" w:themeColor="text1"/>
                <w:sz w:val="24"/>
                <w:szCs w:val="24"/>
                <w:highlight w:val="none"/>
                <w:vertAlign w:val="superscript"/>
                <w14:textFill>
                  <w14:solidFill>
                    <w14:schemeClr w14:val="tx1"/>
                  </w14:solidFill>
                </w14:textFill>
              </w:rPr>
              <w:t>3</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/a，运行过程中定期补水。</w:t>
            </w:r>
          </w:p>
          <w:p w14:paraId="1F20BC9B">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ind w:firstLine="480" w:firstLineChars="200"/>
              <w:jc w:val="both"/>
              <w:textAlignment w:val="baseline"/>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根据建设单位提供资料，项目喷漆循环水每年更换二次，因此水帘柜废水产生量约为2.96m</w:t>
            </w:r>
            <w:r>
              <w:rPr>
                <w:rFonts w:hint="eastAsia" w:ascii="Times New Roman" w:hAnsi="Times New Roman" w:eastAsia="宋体" w:cs="Times New Roman"/>
                <w:color w:val="000000" w:themeColor="text1"/>
                <w:kern w:val="0"/>
                <w:sz w:val="24"/>
                <w:szCs w:val="24"/>
                <w:highlight w:val="none"/>
                <w:vertAlign w:val="superscript"/>
                <w:lang w:val="en-US" w:eastAsia="zh-CN" w:bidi="ar-SA"/>
                <w14:textFill>
                  <w14:solidFill>
                    <w14:schemeClr w14:val="tx1"/>
                  </w14:solidFill>
                </w14:textFill>
              </w:rPr>
              <w:t>3</w:t>
            </w:r>
            <w:r>
              <w:rPr>
                <w:rFonts w:hint="eastAsia" w:ascii="Times New Roman" w:hAnsi="Times New Roman" w:eastAsia="宋体" w:cs="Times New Roman"/>
                <w:color w:val="000000" w:themeColor="text1"/>
                <w:kern w:val="0"/>
                <w:sz w:val="24"/>
                <w:szCs w:val="24"/>
                <w:highlight w:val="none"/>
                <w:lang w:val="en-US" w:eastAsia="zh-CN" w:bidi="ar-SA"/>
                <w14:textFill>
                  <w14:solidFill>
                    <w14:schemeClr w14:val="tx1"/>
                  </w14:solidFill>
                </w14:textFill>
              </w:rPr>
              <w:t>/a，作为危险废物处理，不作为废水外排。</w:t>
            </w:r>
          </w:p>
          <w:p w14:paraId="54181F0B">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建设项目水平衡见表2-</w:t>
            </w:r>
            <w:r>
              <w:rPr>
                <w:rFonts w:hint="eastAsia" w:cs="Times New Roman"/>
                <w:color w:val="000000" w:themeColor="text1"/>
                <w:highlight w:val="none"/>
                <w:lang w:val="en-US" w:eastAsia="zh-CN"/>
                <w14:textFill>
                  <w14:solidFill>
                    <w14:schemeClr w14:val="tx1"/>
                  </w14:solidFill>
                </w14:textFill>
              </w:rPr>
              <w:t>28</w:t>
            </w:r>
            <w:r>
              <w:rPr>
                <w:rFonts w:hint="default" w:ascii="Times New Roman" w:hAnsi="Times New Roman" w:cs="Times New Roman"/>
                <w:color w:val="000000" w:themeColor="text1"/>
                <w:highlight w:val="none"/>
                <w14:textFill>
                  <w14:solidFill>
                    <w14:schemeClr w14:val="tx1"/>
                  </w14:solidFill>
                </w14:textFill>
              </w:rPr>
              <w:t>、图2-</w:t>
            </w:r>
            <w:r>
              <w:rPr>
                <w:rFonts w:hint="eastAsia"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w:t>
            </w:r>
          </w:p>
          <w:p w14:paraId="3BEC0934">
            <w:pPr>
              <w:pStyle w:val="115"/>
              <w:shd w:val="clear" w:color="auto" w:fill="auto"/>
              <w:snapToGrid w:val="0"/>
              <w:spacing w:before="0" w:after="0"/>
              <w:ind w:firstLine="0" w:firstLineChars="0"/>
              <w:rPr>
                <w:rFonts w:hint="eastAsia" w:ascii="Times New Roman" w:hAnsi="Times New Roman" w:eastAsia="宋体" w:cs="Times New Roman"/>
                <w:color w:val="000000" w:themeColor="text1"/>
                <w:kern w:val="21"/>
                <w:highlight w:val="none"/>
                <w:lang w:eastAsia="zh-CN"/>
                <w14:textFill>
                  <w14:solidFill>
                    <w14:schemeClr w14:val="tx1"/>
                  </w14:solidFill>
                </w14:textFill>
              </w:rPr>
            </w:pPr>
            <w:r>
              <w:rPr>
                <w:rFonts w:hint="default" w:ascii="Times New Roman" w:hAnsi="Times New Roman" w:cs="Times New Roman"/>
                <w:color w:val="000000" w:themeColor="text1"/>
                <w:kern w:val="21"/>
                <w:highlight w:val="none"/>
                <w14:textFill>
                  <w14:solidFill>
                    <w14:schemeClr w14:val="tx1"/>
                  </w14:solidFill>
                </w14:textFill>
              </w:rPr>
              <w:t>表2-</w:t>
            </w:r>
            <w:r>
              <w:rPr>
                <w:rFonts w:hint="eastAsia" w:cs="Times New Roman"/>
                <w:color w:val="000000" w:themeColor="text1"/>
                <w:kern w:val="21"/>
                <w:highlight w:val="none"/>
                <w:lang w:val="en-US" w:eastAsia="zh-CN"/>
                <w14:textFill>
                  <w14:solidFill>
                    <w14:schemeClr w14:val="tx1"/>
                  </w14:solidFill>
                </w14:textFill>
              </w:rPr>
              <w:t>28</w:t>
            </w:r>
            <w:r>
              <w:rPr>
                <w:rFonts w:hint="default" w:ascii="Times New Roman" w:hAnsi="Times New Roman" w:cs="Times New Roman"/>
                <w:color w:val="000000" w:themeColor="text1"/>
                <w:kern w:val="21"/>
                <w:highlight w:val="none"/>
                <w14:textFill>
                  <w14:solidFill>
                    <w14:schemeClr w14:val="tx1"/>
                  </w14:solidFill>
                </w14:textFill>
              </w:rPr>
              <w:t xml:space="preserve"> 项目水平衡表 单位：m³/</w:t>
            </w:r>
            <w:r>
              <w:rPr>
                <w:rFonts w:hint="eastAsia" w:cs="Times New Roman"/>
                <w:color w:val="000000" w:themeColor="text1"/>
                <w:kern w:val="21"/>
                <w:highlight w:val="none"/>
                <w:lang w:val="en-US" w:eastAsia="zh-CN"/>
                <w14:textFill>
                  <w14:solidFill>
                    <w14:schemeClr w14:val="tx1"/>
                  </w14:solidFill>
                </w14:textFill>
              </w:rPr>
              <w:t>d</w:t>
            </w:r>
          </w:p>
          <w:tbl>
            <w:tblPr>
              <w:tblStyle w:val="32"/>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125"/>
              <w:gridCol w:w="960"/>
              <w:gridCol w:w="795"/>
              <w:gridCol w:w="795"/>
              <w:gridCol w:w="885"/>
              <w:gridCol w:w="750"/>
              <w:gridCol w:w="810"/>
              <w:gridCol w:w="945"/>
              <w:gridCol w:w="846"/>
            </w:tblGrid>
            <w:tr w14:paraId="3047DF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2" w:hRule="atLeast"/>
              </w:trPr>
              <w:tc>
                <w:tcPr>
                  <w:tcW w:w="711" w:type="pct"/>
                  <w:vMerge w:val="restart"/>
                  <w:noWrap w:val="0"/>
                  <w:tcMar>
                    <w:top w:w="15" w:type="dxa"/>
                    <w:left w:w="15" w:type="dxa"/>
                    <w:right w:w="15" w:type="dxa"/>
                  </w:tcMar>
                  <w:vAlign w:val="center"/>
                </w:tcPr>
                <w:p w14:paraId="477D699A">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用水部位</w:t>
                  </w:r>
                </w:p>
              </w:tc>
              <w:tc>
                <w:tcPr>
                  <w:tcW w:w="606" w:type="pct"/>
                  <w:vMerge w:val="restart"/>
                  <w:noWrap w:val="0"/>
                  <w:tcMar>
                    <w:top w:w="15" w:type="dxa"/>
                    <w:left w:w="15" w:type="dxa"/>
                    <w:right w:w="15" w:type="dxa"/>
                  </w:tcMar>
                  <w:vAlign w:val="center"/>
                </w:tcPr>
                <w:p w14:paraId="6207B987">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总用水量</w:t>
                  </w:r>
                </w:p>
              </w:tc>
              <w:tc>
                <w:tcPr>
                  <w:tcW w:w="1564" w:type="pct"/>
                  <w:gridSpan w:val="3"/>
                  <w:noWrap w:val="0"/>
                  <w:tcMar>
                    <w:top w:w="15" w:type="dxa"/>
                    <w:left w:w="15" w:type="dxa"/>
                    <w:right w:w="15" w:type="dxa"/>
                  </w:tcMar>
                  <w:vAlign w:val="center"/>
                </w:tcPr>
                <w:p w14:paraId="0A907543">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给水</w:t>
                  </w:r>
                </w:p>
              </w:tc>
              <w:tc>
                <w:tcPr>
                  <w:tcW w:w="2117" w:type="pct"/>
                  <w:gridSpan w:val="4"/>
                  <w:noWrap w:val="0"/>
                  <w:tcMar>
                    <w:top w:w="15" w:type="dxa"/>
                    <w:left w:w="15" w:type="dxa"/>
                    <w:right w:w="15" w:type="dxa"/>
                  </w:tcMar>
                  <w:vAlign w:val="center"/>
                </w:tcPr>
                <w:p w14:paraId="1175CC14">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排水</w:t>
                  </w:r>
                </w:p>
              </w:tc>
            </w:tr>
            <w:tr w14:paraId="0DA95E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vMerge w:val="continue"/>
                  <w:noWrap w:val="0"/>
                  <w:tcMar>
                    <w:top w:w="15" w:type="dxa"/>
                    <w:left w:w="15" w:type="dxa"/>
                    <w:right w:w="15" w:type="dxa"/>
                  </w:tcMar>
                  <w:vAlign w:val="center"/>
                </w:tcPr>
                <w:p w14:paraId="1386A684">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p>
              </w:tc>
              <w:tc>
                <w:tcPr>
                  <w:tcW w:w="606" w:type="pct"/>
                  <w:vMerge w:val="continue"/>
                  <w:noWrap w:val="0"/>
                  <w:tcMar>
                    <w:top w:w="15" w:type="dxa"/>
                    <w:left w:w="15" w:type="dxa"/>
                    <w:right w:w="15" w:type="dxa"/>
                  </w:tcMar>
                  <w:vAlign w:val="center"/>
                </w:tcPr>
                <w:p w14:paraId="43620C97">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p>
              </w:tc>
              <w:tc>
                <w:tcPr>
                  <w:tcW w:w="502" w:type="pct"/>
                  <w:noWrap w:val="0"/>
                  <w:tcMar>
                    <w:top w:w="15" w:type="dxa"/>
                    <w:left w:w="15" w:type="dxa"/>
                    <w:right w:w="15" w:type="dxa"/>
                  </w:tcMar>
                  <w:vAlign w:val="center"/>
                </w:tcPr>
                <w:p w14:paraId="3F71B206">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循环水</w:t>
                  </w:r>
                </w:p>
              </w:tc>
              <w:tc>
                <w:tcPr>
                  <w:tcW w:w="502" w:type="pct"/>
                  <w:noWrap w:val="0"/>
                  <w:tcMar>
                    <w:top w:w="15" w:type="dxa"/>
                    <w:left w:w="15" w:type="dxa"/>
                    <w:right w:w="15" w:type="dxa"/>
                  </w:tcMar>
                  <w:vAlign w:val="center"/>
                </w:tcPr>
                <w:p w14:paraId="7D45A585">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新鲜水</w:t>
                  </w:r>
                </w:p>
              </w:tc>
              <w:tc>
                <w:tcPr>
                  <w:tcW w:w="559" w:type="pct"/>
                  <w:noWrap w:val="0"/>
                  <w:tcMar>
                    <w:top w:w="15" w:type="dxa"/>
                    <w:left w:w="15" w:type="dxa"/>
                    <w:right w:w="15" w:type="dxa"/>
                  </w:tcMar>
                  <w:vAlign w:val="center"/>
                </w:tcPr>
                <w:p w14:paraId="35898D2A">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合计</w:t>
                  </w:r>
                </w:p>
              </w:tc>
              <w:tc>
                <w:tcPr>
                  <w:tcW w:w="474" w:type="pct"/>
                  <w:noWrap w:val="0"/>
                  <w:tcMar>
                    <w:top w:w="15" w:type="dxa"/>
                    <w:left w:w="15" w:type="dxa"/>
                    <w:right w:w="15" w:type="dxa"/>
                  </w:tcMar>
                  <w:vAlign w:val="center"/>
                </w:tcPr>
                <w:p w14:paraId="6F0C355D">
                  <w:pPr>
                    <w:widowControl/>
                    <w:shd w:val="clear" w:color="auto" w:fill="auto"/>
                    <w:snapToGrid w:val="0"/>
                    <w:spacing w:line="240" w:lineRule="auto"/>
                    <w:ind w:firstLine="0" w:firstLineChars="0"/>
                    <w:jc w:val="center"/>
                    <w:textAlignment w:val="center"/>
                    <w:rPr>
                      <w:rFonts w:hint="default"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循环</w:t>
                  </w:r>
                </w:p>
              </w:tc>
              <w:tc>
                <w:tcPr>
                  <w:tcW w:w="511" w:type="pct"/>
                  <w:noWrap w:val="0"/>
                  <w:tcMar>
                    <w:top w:w="15" w:type="dxa"/>
                    <w:left w:w="15" w:type="dxa"/>
                    <w:right w:w="15" w:type="dxa"/>
                  </w:tcMar>
                  <w:vAlign w:val="center"/>
                </w:tcPr>
                <w:p w14:paraId="709E127C">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损耗</w:t>
                  </w:r>
                </w:p>
              </w:tc>
              <w:tc>
                <w:tcPr>
                  <w:tcW w:w="597" w:type="pct"/>
                  <w:noWrap w:val="0"/>
                  <w:tcMar>
                    <w:top w:w="15" w:type="dxa"/>
                    <w:left w:w="15" w:type="dxa"/>
                    <w:right w:w="15" w:type="dxa"/>
                  </w:tcMar>
                  <w:vAlign w:val="center"/>
                </w:tcPr>
                <w:p w14:paraId="36CCCCE8">
                  <w:pPr>
                    <w:widowControl/>
                    <w:shd w:val="clear" w:color="auto" w:fill="auto"/>
                    <w:snapToGrid w:val="0"/>
                    <w:spacing w:line="240" w:lineRule="auto"/>
                    <w:ind w:firstLine="0" w:firstLineChars="0"/>
                    <w:jc w:val="center"/>
                    <w:textAlignment w:val="center"/>
                    <w:rPr>
                      <w:rFonts w:hint="eastAsia" w:ascii="Times New Roman" w:hAnsi="Times New Roman" w:eastAsia="宋体" w:cs="Times New Roman"/>
                      <w:b/>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外排</w:t>
                  </w:r>
                  <w:r>
                    <w:rPr>
                      <w:rFonts w:hint="eastAsia" w:cs="Times New Roman"/>
                      <w:b/>
                      <w:color w:val="000000" w:themeColor="text1"/>
                      <w:kern w:val="0"/>
                      <w:sz w:val="21"/>
                      <w:szCs w:val="21"/>
                      <w:highlight w:val="none"/>
                      <w:lang w:val="en-US" w:eastAsia="zh-CN" w:bidi="ar"/>
                      <w14:textFill>
                        <w14:solidFill>
                          <w14:schemeClr w14:val="tx1"/>
                        </w14:solidFill>
                      </w14:textFill>
                    </w:rPr>
                    <w:t>/更换</w:t>
                  </w:r>
                </w:p>
              </w:tc>
              <w:tc>
                <w:tcPr>
                  <w:tcW w:w="534" w:type="pct"/>
                  <w:noWrap w:val="0"/>
                  <w:tcMar>
                    <w:top w:w="15" w:type="dxa"/>
                    <w:left w:w="15" w:type="dxa"/>
                    <w:right w:w="15" w:type="dxa"/>
                  </w:tcMar>
                  <w:vAlign w:val="center"/>
                </w:tcPr>
                <w:p w14:paraId="03380A6D">
                  <w:pPr>
                    <w:widowControl/>
                    <w:shd w:val="clear" w:color="auto" w:fill="auto"/>
                    <w:snapToGrid w:val="0"/>
                    <w:spacing w:line="240" w:lineRule="auto"/>
                    <w:ind w:firstLine="0" w:firstLineChars="0"/>
                    <w:jc w:val="center"/>
                    <w:textAlignment w:val="center"/>
                    <w:rPr>
                      <w:rFonts w:hint="default" w:ascii="Times New Roman" w:hAnsi="Times New Roman" w:cs="Times New Roman"/>
                      <w:b/>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合计</w:t>
                  </w:r>
                </w:p>
              </w:tc>
            </w:tr>
            <w:tr w14:paraId="0CD510C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10530D74">
                  <w:pPr>
                    <w:widowControl/>
                    <w:shd w:val="clear" w:color="auto" w:fill="auto"/>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生活用水</w:t>
                  </w:r>
                </w:p>
              </w:tc>
              <w:tc>
                <w:tcPr>
                  <w:tcW w:w="960" w:type="dxa"/>
                  <w:noWrap w:val="0"/>
                  <w:tcMar>
                    <w:top w:w="15" w:type="dxa"/>
                    <w:left w:w="15" w:type="dxa"/>
                    <w:right w:w="15" w:type="dxa"/>
                  </w:tcMar>
                  <w:vAlign w:val="center"/>
                </w:tcPr>
                <w:p w14:paraId="64DD5C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w:t>
                  </w:r>
                </w:p>
              </w:tc>
              <w:tc>
                <w:tcPr>
                  <w:tcW w:w="795" w:type="dxa"/>
                  <w:noWrap w:val="0"/>
                  <w:tcMar>
                    <w:top w:w="15" w:type="dxa"/>
                    <w:left w:w="15" w:type="dxa"/>
                    <w:right w:w="15" w:type="dxa"/>
                  </w:tcMar>
                  <w:vAlign w:val="center"/>
                </w:tcPr>
                <w:p w14:paraId="489811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795" w:type="dxa"/>
                  <w:noWrap w:val="0"/>
                  <w:tcMar>
                    <w:top w:w="15" w:type="dxa"/>
                    <w:left w:w="15" w:type="dxa"/>
                    <w:right w:w="15" w:type="dxa"/>
                  </w:tcMar>
                  <w:vAlign w:val="center"/>
                </w:tcPr>
                <w:p w14:paraId="06DC1B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w:t>
                  </w:r>
                </w:p>
              </w:tc>
              <w:tc>
                <w:tcPr>
                  <w:tcW w:w="885" w:type="dxa"/>
                  <w:noWrap w:val="0"/>
                  <w:tcMar>
                    <w:top w:w="15" w:type="dxa"/>
                    <w:left w:w="15" w:type="dxa"/>
                    <w:right w:w="15" w:type="dxa"/>
                  </w:tcMar>
                  <w:vAlign w:val="center"/>
                </w:tcPr>
                <w:p w14:paraId="7CE4F9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w:t>
                  </w:r>
                </w:p>
              </w:tc>
              <w:tc>
                <w:tcPr>
                  <w:tcW w:w="750" w:type="dxa"/>
                  <w:noWrap w:val="0"/>
                  <w:tcMar>
                    <w:top w:w="15" w:type="dxa"/>
                    <w:left w:w="15" w:type="dxa"/>
                    <w:right w:w="15" w:type="dxa"/>
                  </w:tcMar>
                  <w:vAlign w:val="center"/>
                </w:tcPr>
                <w:p w14:paraId="17E85F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810" w:type="dxa"/>
                  <w:noWrap w:val="0"/>
                  <w:tcMar>
                    <w:top w:w="15" w:type="dxa"/>
                    <w:left w:w="15" w:type="dxa"/>
                    <w:right w:w="15" w:type="dxa"/>
                  </w:tcMar>
                  <w:vAlign w:val="center"/>
                </w:tcPr>
                <w:p w14:paraId="102A67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w:t>
                  </w:r>
                </w:p>
              </w:tc>
              <w:tc>
                <w:tcPr>
                  <w:tcW w:w="945" w:type="dxa"/>
                  <w:noWrap w:val="0"/>
                  <w:tcMar>
                    <w:top w:w="15" w:type="dxa"/>
                    <w:left w:w="15" w:type="dxa"/>
                    <w:right w:w="15" w:type="dxa"/>
                  </w:tcMar>
                  <w:vAlign w:val="center"/>
                </w:tcPr>
                <w:p w14:paraId="31359B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846" w:type="dxa"/>
                  <w:noWrap w:val="0"/>
                  <w:tcMar>
                    <w:top w:w="15" w:type="dxa"/>
                    <w:left w:w="15" w:type="dxa"/>
                    <w:right w:w="15" w:type="dxa"/>
                  </w:tcMar>
                  <w:vAlign w:val="center"/>
                </w:tcPr>
                <w:p w14:paraId="736ECE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w:t>
                  </w:r>
                </w:p>
              </w:tc>
            </w:tr>
            <w:tr w14:paraId="1A1863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749274C5">
                  <w:pPr>
                    <w:widowControl/>
                    <w:shd w:val="clear" w:color="auto" w:fill="auto"/>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中频炉冷却水</w:t>
                  </w:r>
                </w:p>
              </w:tc>
              <w:tc>
                <w:tcPr>
                  <w:tcW w:w="960" w:type="dxa"/>
                  <w:noWrap w:val="0"/>
                  <w:tcMar>
                    <w:top w:w="15" w:type="dxa"/>
                    <w:left w:w="15" w:type="dxa"/>
                    <w:right w:w="15" w:type="dxa"/>
                  </w:tcMar>
                  <w:vAlign w:val="center"/>
                </w:tcPr>
                <w:p w14:paraId="182F07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795" w:type="dxa"/>
                  <w:noWrap w:val="0"/>
                  <w:tcMar>
                    <w:top w:w="15" w:type="dxa"/>
                    <w:left w:w="15" w:type="dxa"/>
                    <w:right w:w="15" w:type="dxa"/>
                  </w:tcMar>
                  <w:vAlign w:val="center"/>
                </w:tcPr>
                <w:p w14:paraId="7CD041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47.04</w:t>
                  </w:r>
                </w:p>
              </w:tc>
              <w:tc>
                <w:tcPr>
                  <w:tcW w:w="795" w:type="dxa"/>
                  <w:noWrap w:val="0"/>
                  <w:tcMar>
                    <w:top w:w="15" w:type="dxa"/>
                    <w:left w:w="15" w:type="dxa"/>
                    <w:right w:w="15" w:type="dxa"/>
                  </w:tcMar>
                  <w:vAlign w:val="center"/>
                </w:tcPr>
                <w:p w14:paraId="5C35DE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0.96</w:t>
                  </w:r>
                </w:p>
              </w:tc>
              <w:tc>
                <w:tcPr>
                  <w:tcW w:w="885" w:type="dxa"/>
                  <w:noWrap w:val="0"/>
                  <w:tcMar>
                    <w:top w:w="15" w:type="dxa"/>
                    <w:left w:w="15" w:type="dxa"/>
                    <w:right w:w="15" w:type="dxa"/>
                  </w:tcMar>
                  <w:vAlign w:val="center"/>
                </w:tcPr>
                <w:p w14:paraId="750A57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750" w:type="dxa"/>
                  <w:noWrap w:val="0"/>
                  <w:tcMar>
                    <w:top w:w="15" w:type="dxa"/>
                    <w:left w:w="15" w:type="dxa"/>
                    <w:right w:w="15" w:type="dxa"/>
                  </w:tcMar>
                  <w:vAlign w:val="center"/>
                </w:tcPr>
                <w:p w14:paraId="3F5E32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47.04</w:t>
                  </w:r>
                </w:p>
              </w:tc>
              <w:tc>
                <w:tcPr>
                  <w:tcW w:w="810" w:type="dxa"/>
                  <w:noWrap w:val="0"/>
                  <w:tcMar>
                    <w:top w:w="15" w:type="dxa"/>
                    <w:left w:w="15" w:type="dxa"/>
                    <w:right w:w="15" w:type="dxa"/>
                  </w:tcMar>
                  <w:vAlign w:val="center"/>
                </w:tcPr>
                <w:p w14:paraId="2DE656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0.96</w:t>
                  </w:r>
                </w:p>
              </w:tc>
              <w:tc>
                <w:tcPr>
                  <w:tcW w:w="945" w:type="dxa"/>
                  <w:noWrap w:val="0"/>
                  <w:tcMar>
                    <w:top w:w="15" w:type="dxa"/>
                    <w:left w:w="15" w:type="dxa"/>
                    <w:right w:w="15" w:type="dxa"/>
                  </w:tcMar>
                  <w:vAlign w:val="center"/>
                </w:tcPr>
                <w:p w14:paraId="3EB406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w:t>
                  </w:r>
                </w:p>
              </w:tc>
              <w:tc>
                <w:tcPr>
                  <w:tcW w:w="846" w:type="dxa"/>
                  <w:noWrap w:val="0"/>
                  <w:tcMar>
                    <w:top w:w="15" w:type="dxa"/>
                    <w:left w:w="15" w:type="dxa"/>
                    <w:right w:w="15" w:type="dxa"/>
                  </w:tcMar>
                  <w:vAlign w:val="center"/>
                </w:tcPr>
                <w:p w14:paraId="2D02B8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r>
            <w:tr w14:paraId="48CF4A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4D91FDD5">
                  <w:pPr>
                    <w:widowControl/>
                    <w:shd w:val="clear" w:color="auto" w:fill="auto"/>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粘土砂</w:t>
                  </w:r>
                  <w:r>
                    <w:rPr>
                      <w:rFonts w:hint="default" w:ascii="Times New Roman" w:hAnsi="Times New Roman" w:cs="Times New Roman"/>
                      <w:color w:val="000000" w:themeColor="text1"/>
                      <w:sz w:val="21"/>
                      <w:szCs w:val="21"/>
                      <w:highlight w:val="none"/>
                      <w14:textFill>
                        <w14:solidFill>
                          <w14:schemeClr w14:val="tx1"/>
                        </w14:solidFill>
                      </w14:textFill>
                    </w:rPr>
                    <w:t>配置用水</w:t>
                  </w:r>
                </w:p>
              </w:tc>
              <w:tc>
                <w:tcPr>
                  <w:tcW w:w="960" w:type="dxa"/>
                  <w:noWrap w:val="0"/>
                  <w:tcMar>
                    <w:top w:w="15" w:type="dxa"/>
                    <w:left w:w="15" w:type="dxa"/>
                    <w:right w:w="15" w:type="dxa"/>
                  </w:tcMar>
                  <w:vAlign w:val="center"/>
                </w:tcPr>
                <w:p w14:paraId="6AA49C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3.84</w:t>
                  </w:r>
                </w:p>
              </w:tc>
              <w:tc>
                <w:tcPr>
                  <w:tcW w:w="795" w:type="dxa"/>
                  <w:noWrap w:val="0"/>
                  <w:tcMar>
                    <w:top w:w="15" w:type="dxa"/>
                    <w:left w:w="15" w:type="dxa"/>
                    <w:right w:w="15" w:type="dxa"/>
                  </w:tcMar>
                  <w:vAlign w:val="center"/>
                </w:tcPr>
                <w:p w14:paraId="479864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795" w:type="dxa"/>
                  <w:noWrap w:val="0"/>
                  <w:tcMar>
                    <w:top w:w="15" w:type="dxa"/>
                    <w:left w:w="15" w:type="dxa"/>
                    <w:right w:w="15" w:type="dxa"/>
                  </w:tcMar>
                  <w:vAlign w:val="center"/>
                </w:tcPr>
                <w:p w14:paraId="392BFB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3.84</w:t>
                  </w:r>
                </w:p>
              </w:tc>
              <w:tc>
                <w:tcPr>
                  <w:tcW w:w="885" w:type="dxa"/>
                  <w:noWrap w:val="0"/>
                  <w:tcMar>
                    <w:top w:w="15" w:type="dxa"/>
                    <w:left w:w="15" w:type="dxa"/>
                    <w:right w:w="15" w:type="dxa"/>
                  </w:tcMar>
                  <w:vAlign w:val="center"/>
                </w:tcPr>
                <w:p w14:paraId="5860FB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3.84</w:t>
                  </w:r>
                </w:p>
              </w:tc>
              <w:tc>
                <w:tcPr>
                  <w:tcW w:w="750" w:type="dxa"/>
                  <w:noWrap w:val="0"/>
                  <w:tcMar>
                    <w:top w:w="15" w:type="dxa"/>
                    <w:left w:w="15" w:type="dxa"/>
                    <w:right w:w="15" w:type="dxa"/>
                  </w:tcMar>
                  <w:vAlign w:val="center"/>
                </w:tcPr>
                <w:p w14:paraId="160AAA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810" w:type="dxa"/>
                  <w:noWrap w:val="0"/>
                  <w:tcMar>
                    <w:top w:w="15" w:type="dxa"/>
                    <w:left w:w="15" w:type="dxa"/>
                    <w:right w:w="15" w:type="dxa"/>
                  </w:tcMar>
                  <w:vAlign w:val="center"/>
                </w:tcPr>
                <w:p w14:paraId="75F232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3.84</w:t>
                  </w:r>
                </w:p>
              </w:tc>
              <w:tc>
                <w:tcPr>
                  <w:tcW w:w="945" w:type="dxa"/>
                  <w:noWrap w:val="0"/>
                  <w:tcMar>
                    <w:top w:w="15" w:type="dxa"/>
                    <w:left w:w="15" w:type="dxa"/>
                    <w:right w:w="15" w:type="dxa"/>
                  </w:tcMar>
                  <w:vAlign w:val="center"/>
                </w:tcPr>
                <w:p w14:paraId="22CDC5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846" w:type="dxa"/>
                  <w:noWrap w:val="0"/>
                  <w:tcMar>
                    <w:top w:w="15" w:type="dxa"/>
                    <w:left w:w="15" w:type="dxa"/>
                    <w:right w:w="15" w:type="dxa"/>
                  </w:tcMar>
                  <w:vAlign w:val="center"/>
                </w:tcPr>
                <w:p w14:paraId="7A5B7E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3.84</w:t>
                  </w:r>
                </w:p>
              </w:tc>
            </w:tr>
            <w:tr w14:paraId="379D31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33DD80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乳化液配水</w:t>
                  </w:r>
                </w:p>
              </w:tc>
              <w:tc>
                <w:tcPr>
                  <w:tcW w:w="960" w:type="dxa"/>
                  <w:noWrap w:val="0"/>
                  <w:tcMar>
                    <w:top w:w="15" w:type="dxa"/>
                    <w:left w:w="15" w:type="dxa"/>
                    <w:right w:w="15" w:type="dxa"/>
                  </w:tcMar>
                  <w:vAlign w:val="center"/>
                </w:tcPr>
                <w:p w14:paraId="02201C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4.8273</w:t>
                  </w:r>
                </w:p>
              </w:tc>
              <w:tc>
                <w:tcPr>
                  <w:tcW w:w="795" w:type="dxa"/>
                  <w:noWrap w:val="0"/>
                  <w:tcMar>
                    <w:top w:w="15" w:type="dxa"/>
                    <w:left w:w="15" w:type="dxa"/>
                    <w:right w:w="15" w:type="dxa"/>
                  </w:tcMar>
                  <w:vAlign w:val="center"/>
                </w:tcPr>
                <w:p w14:paraId="7C5FBE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795" w:type="dxa"/>
                  <w:noWrap w:val="0"/>
                  <w:tcMar>
                    <w:top w:w="15" w:type="dxa"/>
                    <w:left w:w="15" w:type="dxa"/>
                    <w:right w:w="15" w:type="dxa"/>
                  </w:tcMar>
                  <w:vAlign w:val="center"/>
                </w:tcPr>
                <w:p w14:paraId="0557EE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0.0273</w:t>
                  </w:r>
                </w:p>
              </w:tc>
              <w:tc>
                <w:tcPr>
                  <w:tcW w:w="885" w:type="dxa"/>
                  <w:noWrap w:val="0"/>
                  <w:tcMar>
                    <w:top w:w="15" w:type="dxa"/>
                    <w:left w:w="15" w:type="dxa"/>
                    <w:right w:w="15" w:type="dxa"/>
                  </w:tcMar>
                  <w:vAlign w:val="center"/>
                </w:tcPr>
                <w:p w14:paraId="6A0FD9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4.8273</w:t>
                  </w:r>
                </w:p>
              </w:tc>
              <w:tc>
                <w:tcPr>
                  <w:tcW w:w="750" w:type="dxa"/>
                  <w:noWrap w:val="0"/>
                  <w:tcMar>
                    <w:top w:w="15" w:type="dxa"/>
                    <w:left w:w="15" w:type="dxa"/>
                    <w:right w:w="15" w:type="dxa"/>
                  </w:tcMar>
                  <w:vAlign w:val="center"/>
                </w:tcPr>
                <w:p w14:paraId="657C9A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810" w:type="dxa"/>
                  <w:noWrap w:val="0"/>
                  <w:tcMar>
                    <w:top w:w="15" w:type="dxa"/>
                    <w:left w:w="15" w:type="dxa"/>
                    <w:right w:w="15" w:type="dxa"/>
                  </w:tcMar>
                  <w:vAlign w:val="center"/>
                </w:tcPr>
                <w:p w14:paraId="15CB05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0.0212</w:t>
                  </w:r>
                </w:p>
              </w:tc>
              <w:tc>
                <w:tcPr>
                  <w:tcW w:w="945" w:type="dxa"/>
                  <w:noWrap w:val="0"/>
                  <w:tcMar>
                    <w:top w:w="15" w:type="dxa"/>
                    <w:left w:w="15" w:type="dxa"/>
                    <w:right w:w="15" w:type="dxa"/>
                  </w:tcMar>
                  <w:vAlign w:val="center"/>
                </w:tcPr>
                <w:p w14:paraId="12110B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0.0061</w:t>
                  </w:r>
                </w:p>
              </w:tc>
              <w:tc>
                <w:tcPr>
                  <w:tcW w:w="846" w:type="dxa"/>
                  <w:noWrap w:val="0"/>
                  <w:tcMar>
                    <w:top w:w="15" w:type="dxa"/>
                    <w:left w:w="15" w:type="dxa"/>
                    <w:right w:w="15" w:type="dxa"/>
                  </w:tcMar>
                  <w:vAlign w:val="center"/>
                </w:tcPr>
                <w:p w14:paraId="4808B1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4.8273</w:t>
                  </w:r>
                </w:p>
              </w:tc>
            </w:tr>
            <w:tr w14:paraId="4195B6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2EC1EA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油漆调配水</w:t>
                  </w:r>
                </w:p>
              </w:tc>
              <w:tc>
                <w:tcPr>
                  <w:tcW w:w="960" w:type="dxa"/>
                  <w:noWrap w:val="0"/>
                  <w:tcMar>
                    <w:top w:w="15" w:type="dxa"/>
                    <w:left w:w="15" w:type="dxa"/>
                    <w:right w:w="15" w:type="dxa"/>
                  </w:tcMar>
                  <w:vAlign w:val="center"/>
                </w:tcPr>
                <w:p w14:paraId="766A7C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0.0423</w:t>
                  </w:r>
                </w:p>
              </w:tc>
              <w:tc>
                <w:tcPr>
                  <w:tcW w:w="795" w:type="dxa"/>
                  <w:noWrap w:val="0"/>
                  <w:tcMar>
                    <w:top w:w="15" w:type="dxa"/>
                    <w:left w:w="15" w:type="dxa"/>
                    <w:right w:w="15" w:type="dxa"/>
                  </w:tcMar>
                  <w:vAlign w:val="center"/>
                </w:tcPr>
                <w:p w14:paraId="1D8179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w:t>
                  </w:r>
                </w:p>
              </w:tc>
              <w:tc>
                <w:tcPr>
                  <w:tcW w:w="795" w:type="dxa"/>
                  <w:noWrap w:val="0"/>
                  <w:tcMar>
                    <w:top w:w="15" w:type="dxa"/>
                    <w:left w:w="15" w:type="dxa"/>
                    <w:right w:w="15" w:type="dxa"/>
                  </w:tcMar>
                  <w:vAlign w:val="center"/>
                </w:tcPr>
                <w:p w14:paraId="1DD897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0.0423</w:t>
                  </w:r>
                </w:p>
              </w:tc>
              <w:tc>
                <w:tcPr>
                  <w:tcW w:w="885" w:type="dxa"/>
                  <w:noWrap w:val="0"/>
                  <w:tcMar>
                    <w:top w:w="15" w:type="dxa"/>
                    <w:left w:w="15" w:type="dxa"/>
                    <w:right w:w="15" w:type="dxa"/>
                  </w:tcMar>
                  <w:vAlign w:val="center"/>
                </w:tcPr>
                <w:p w14:paraId="7CC9C7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0.0423</w:t>
                  </w:r>
                </w:p>
              </w:tc>
              <w:tc>
                <w:tcPr>
                  <w:tcW w:w="750" w:type="dxa"/>
                  <w:noWrap w:val="0"/>
                  <w:tcMar>
                    <w:top w:w="15" w:type="dxa"/>
                    <w:left w:w="15" w:type="dxa"/>
                    <w:right w:w="15" w:type="dxa"/>
                  </w:tcMar>
                  <w:vAlign w:val="center"/>
                </w:tcPr>
                <w:p w14:paraId="39B280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w:t>
                  </w:r>
                </w:p>
              </w:tc>
              <w:tc>
                <w:tcPr>
                  <w:tcW w:w="810" w:type="dxa"/>
                  <w:noWrap w:val="0"/>
                  <w:tcMar>
                    <w:top w:w="15" w:type="dxa"/>
                    <w:left w:w="15" w:type="dxa"/>
                    <w:right w:w="15" w:type="dxa"/>
                  </w:tcMar>
                  <w:vAlign w:val="center"/>
                </w:tcPr>
                <w:p w14:paraId="15D79C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0.0423</w:t>
                  </w:r>
                </w:p>
              </w:tc>
              <w:tc>
                <w:tcPr>
                  <w:tcW w:w="945" w:type="dxa"/>
                  <w:noWrap w:val="0"/>
                  <w:tcMar>
                    <w:top w:w="15" w:type="dxa"/>
                    <w:left w:w="15" w:type="dxa"/>
                    <w:right w:w="15" w:type="dxa"/>
                  </w:tcMar>
                  <w:vAlign w:val="center"/>
                </w:tcPr>
                <w:p w14:paraId="6BE4AA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w:t>
                  </w:r>
                </w:p>
              </w:tc>
              <w:tc>
                <w:tcPr>
                  <w:tcW w:w="846" w:type="dxa"/>
                  <w:noWrap w:val="0"/>
                  <w:tcMar>
                    <w:top w:w="15" w:type="dxa"/>
                    <w:left w:w="15" w:type="dxa"/>
                    <w:right w:w="15" w:type="dxa"/>
                  </w:tcMar>
                  <w:vAlign w:val="center"/>
                </w:tcPr>
                <w:p w14:paraId="788D1E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0.0423</w:t>
                  </w:r>
                </w:p>
              </w:tc>
            </w:tr>
            <w:tr w14:paraId="3D2088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38D2F9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水帘柜用水</w:t>
                  </w:r>
                </w:p>
              </w:tc>
              <w:tc>
                <w:tcPr>
                  <w:tcW w:w="960" w:type="dxa"/>
                  <w:noWrap w:val="0"/>
                  <w:tcMar>
                    <w:top w:w="15" w:type="dxa"/>
                    <w:left w:w="15" w:type="dxa"/>
                    <w:right w:w="15" w:type="dxa"/>
                  </w:tcMar>
                  <w:vAlign w:val="center"/>
                </w:tcPr>
                <w:p w14:paraId="68D7C8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4.929</w:t>
                  </w:r>
                </w:p>
              </w:tc>
              <w:tc>
                <w:tcPr>
                  <w:tcW w:w="795" w:type="dxa"/>
                  <w:noWrap w:val="0"/>
                  <w:tcMar>
                    <w:top w:w="15" w:type="dxa"/>
                    <w:left w:w="15" w:type="dxa"/>
                    <w:right w:w="15" w:type="dxa"/>
                  </w:tcMar>
                  <w:vAlign w:val="center"/>
                </w:tcPr>
                <w:p w14:paraId="233C33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795" w:type="dxa"/>
                  <w:noWrap w:val="0"/>
                  <w:tcMar>
                    <w:top w:w="15" w:type="dxa"/>
                    <w:left w:w="15" w:type="dxa"/>
                    <w:right w:w="15" w:type="dxa"/>
                  </w:tcMar>
                  <w:vAlign w:val="center"/>
                </w:tcPr>
                <w:p w14:paraId="673698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0.129</w:t>
                  </w:r>
                </w:p>
              </w:tc>
              <w:tc>
                <w:tcPr>
                  <w:tcW w:w="885" w:type="dxa"/>
                  <w:noWrap w:val="0"/>
                  <w:tcMar>
                    <w:top w:w="15" w:type="dxa"/>
                    <w:left w:w="15" w:type="dxa"/>
                    <w:right w:w="15" w:type="dxa"/>
                  </w:tcMar>
                  <w:vAlign w:val="center"/>
                </w:tcPr>
                <w:p w14:paraId="4642FD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4.929</w:t>
                  </w:r>
                </w:p>
              </w:tc>
              <w:tc>
                <w:tcPr>
                  <w:tcW w:w="750" w:type="dxa"/>
                  <w:noWrap w:val="0"/>
                  <w:tcMar>
                    <w:top w:w="15" w:type="dxa"/>
                    <w:left w:w="15" w:type="dxa"/>
                    <w:right w:w="15" w:type="dxa"/>
                  </w:tcMar>
                  <w:vAlign w:val="center"/>
                </w:tcPr>
                <w:p w14:paraId="2173CA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w:t>
                  </w:r>
                </w:p>
              </w:tc>
              <w:tc>
                <w:tcPr>
                  <w:tcW w:w="810" w:type="dxa"/>
                  <w:noWrap w:val="0"/>
                  <w:tcMar>
                    <w:top w:w="15" w:type="dxa"/>
                    <w:left w:w="15" w:type="dxa"/>
                    <w:right w:w="15" w:type="dxa"/>
                  </w:tcMar>
                  <w:vAlign w:val="center"/>
                </w:tcPr>
                <w:p w14:paraId="14ED99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0.12</w:t>
                  </w:r>
                </w:p>
              </w:tc>
              <w:tc>
                <w:tcPr>
                  <w:tcW w:w="945" w:type="dxa"/>
                  <w:noWrap w:val="0"/>
                  <w:tcMar>
                    <w:top w:w="15" w:type="dxa"/>
                    <w:left w:w="15" w:type="dxa"/>
                    <w:right w:w="15" w:type="dxa"/>
                  </w:tcMar>
                  <w:vAlign w:val="center"/>
                </w:tcPr>
                <w:p w14:paraId="1B5429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0.009</w:t>
                  </w:r>
                </w:p>
              </w:tc>
              <w:tc>
                <w:tcPr>
                  <w:tcW w:w="846" w:type="dxa"/>
                  <w:noWrap w:val="0"/>
                  <w:tcMar>
                    <w:top w:w="15" w:type="dxa"/>
                    <w:left w:w="15" w:type="dxa"/>
                    <w:right w:w="15" w:type="dxa"/>
                  </w:tcMar>
                  <w:vAlign w:val="center"/>
                </w:tcPr>
                <w:p w14:paraId="507BA6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4.929</w:t>
                  </w:r>
                </w:p>
              </w:tc>
            </w:tr>
            <w:tr w14:paraId="656832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c>
                <w:tcPr>
                  <w:tcW w:w="711" w:type="pct"/>
                  <w:noWrap w:val="0"/>
                  <w:tcMar>
                    <w:top w:w="15" w:type="dxa"/>
                    <w:left w:w="15" w:type="dxa"/>
                    <w:right w:w="15" w:type="dxa"/>
                  </w:tcMar>
                  <w:vAlign w:val="center"/>
                </w:tcPr>
                <w:p w14:paraId="59BCCB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合计</w:t>
                  </w:r>
                </w:p>
              </w:tc>
              <w:tc>
                <w:tcPr>
                  <w:tcW w:w="960" w:type="dxa"/>
                  <w:noWrap w:val="0"/>
                  <w:tcMar>
                    <w:top w:w="15" w:type="dxa"/>
                    <w:left w:w="15" w:type="dxa"/>
                    <w:right w:w="15" w:type="dxa"/>
                  </w:tcMar>
                  <w:vAlign w:val="center"/>
                </w:tcPr>
                <w:p w14:paraId="29ED90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67.6386</w:t>
                  </w:r>
                </w:p>
              </w:tc>
              <w:tc>
                <w:tcPr>
                  <w:tcW w:w="795" w:type="dxa"/>
                  <w:noWrap w:val="0"/>
                  <w:tcMar>
                    <w:top w:w="15" w:type="dxa"/>
                    <w:left w:w="15" w:type="dxa"/>
                    <w:right w:w="15" w:type="dxa"/>
                  </w:tcMar>
                  <w:vAlign w:val="center"/>
                </w:tcPr>
                <w:p w14:paraId="65675E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56.6400</w:t>
                  </w:r>
                </w:p>
              </w:tc>
              <w:tc>
                <w:tcPr>
                  <w:tcW w:w="795" w:type="dxa"/>
                  <w:noWrap w:val="0"/>
                  <w:tcMar>
                    <w:top w:w="15" w:type="dxa"/>
                    <w:left w:w="15" w:type="dxa"/>
                    <w:right w:w="15" w:type="dxa"/>
                  </w:tcMar>
                  <w:vAlign w:val="center"/>
                </w:tcPr>
                <w:p w14:paraId="1EB23F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10.9986</w:t>
                  </w:r>
                </w:p>
              </w:tc>
              <w:tc>
                <w:tcPr>
                  <w:tcW w:w="885" w:type="dxa"/>
                  <w:noWrap w:val="0"/>
                  <w:tcMar>
                    <w:top w:w="15" w:type="dxa"/>
                    <w:left w:w="15" w:type="dxa"/>
                    <w:right w:w="15" w:type="dxa"/>
                  </w:tcMar>
                  <w:vAlign w:val="center"/>
                </w:tcPr>
                <w:p w14:paraId="1308AE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67.6386</w:t>
                  </w:r>
                </w:p>
              </w:tc>
              <w:tc>
                <w:tcPr>
                  <w:tcW w:w="750" w:type="dxa"/>
                  <w:noWrap w:val="0"/>
                  <w:tcMar>
                    <w:top w:w="15" w:type="dxa"/>
                    <w:left w:w="15" w:type="dxa"/>
                    <w:right w:w="15" w:type="dxa"/>
                  </w:tcMar>
                  <w:vAlign w:val="center"/>
                </w:tcPr>
                <w:p w14:paraId="0C39FB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56.6400</w:t>
                  </w:r>
                </w:p>
              </w:tc>
              <w:tc>
                <w:tcPr>
                  <w:tcW w:w="810" w:type="dxa"/>
                  <w:noWrap w:val="0"/>
                  <w:tcMar>
                    <w:top w:w="15" w:type="dxa"/>
                    <w:left w:w="15" w:type="dxa"/>
                    <w:right w:w="15" w:type="dxa"/>
                  </w:tcMar>
                  <w:vAlign w:val="center"/>
                </w:tcPr>
                <w:p w14:paraId="46E6EC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6.1835</w:t>
                  </w:r>
                </w:p>
              </w:tc>
              <w:tc>
                <w:tcPr>
                  <w:tcW w:w="945" w:type="dxa"/>
                  <w:noWrap w:val="0"/>
                  <w:tcMar>
                    <w:top w:w="15" w:type="dxa"/>
                    <w:left w:w="15" w:type="dxa"/>
                    <w:right w:w="15" w:type="dxa"/>
                  </w:tcMar>
                  <w:vAlign w:val="center"/>
                </w:tcPr>
                <w:p w14:paraId="50D93D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4.8151</w:t>
                  </w:r>
                </w:p>
              </w:tc>
              <w:tc>
                <w:tcPr>
                  <w:tcW w:w="846" w:type="dxa"/>
                  <w:noWrap w:val="0"/>
                  <w:tcMar>
                    <w:top w:w="15" w:type="dxa"/>
                    <w:left w:w="15" w:type="dxa"/>
                    <w:right w:w="15" w:type="dxa"/>
                  </w:tcMar>
                  <w:vAlign w:val="center"/>
                </w:tcPr>
                <w:p w14:paraId="4B5B9B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67.6386</w:t>
                  </w:r>
                </w:p>
              </w:tc>
            </w:tr>
          </w:tbl>
          <w:p w14:paraId="65E7D4DC">
            <w:pPr>
              <w:pStyle w:val="108"/>
              <w:shd w:val="clear" w:color="auto" w:fill="auto"/>
              <w:ind w:firstLine="0" w:firstLineChars="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object>
                <v:shape id="_x0000_i1031" o:spt="75" type="#_x0000_t75" style="height:252.05pt;width:395pt;" o:ole="t" filled="f" o:preferrelative="t" stroked="f" coordsize="21600,21600">
                  <v:path/>
                  <v:fill on="f" focussize="0,0"/>
                  <v:stroke on="f"/>
                  <v:imagedata r:id="rId15" o:title=""/>
                  <o:lock v:ext="edit" aspectratio="f"/>
                  <w10:wrap type="none"/>
                  <w10:anchorlock/>
                </v:shape>
                <o:OLEObject Type="Embed" ProgID="Visio.Drawing.15" ShapeID="_x0000_i1031" DrawAspect="Content" ObjectID="_1468075726" r:id="rId14">
                  <o:LockedField>false</o:LockedField>
                </o:OLEObject>
              </w:object>
            </w:r>
            <w:r>
              <w:rPr>
                <w:rFonts w:hint="default" w:ascii="Times New Roman" w:hAnsi="Times New Roman" w:cs="Times New Roman"/>
                <w:b/>
                <w:bCs/>
                <w:color w:val="000000" w:themeColor="text1"/>
                <w:highlight w:val="none"/>
                <w14:textFill>
                  <w14:solidFill>
                    <w14:schemeClr w14:val="tx1"/>
                  </w14:solidFill>
                </w14:textFill>
              </w:rPr>
              <w:t>图2-</w:t>
            </w:r>
            <w:r>
              <w:rPr>
                <w:rFonts w:hint="eastAsia" w:cs="Times New Roman"/>
                <w:b/>
                <w:bCs/>
                <w:color w:val="000000" w:themeColor="text1"/>
                <w:highlight w:val="none"/>
                <w:lang w:val="en-US" w:eastAsia="zh-CN"/>
                <w14:textFill>
                  <w14:solidFill>
                    <w14:schemeClr w14:val="tx1"/>
                  </w14:solidFill>
                </w14:textFill>
              </w:rPr>
              <w:t>2</w:t>
            </w:r>
            <w:r>
              <w:rPr>
                <w:rFonts w:hint="default" w:ascii="Times New Roman" w:hAnsi="Times New Roman" w:cs="Times New Roman"/>
                <w:b/>
                <w:bCs/>
                <w:color w:val="000000" w:themeColor="text1"/>
                <w:highlight w:val="none"/>
                <w14:textFill>
                  <w14:solidFill>
                    <w14:schemeClr w14:val="tx1"/>
                  </w14:solidFill>
                </w14:textFill>
              </w:rPr>
              <w:t xml:space="preserve"> 本项目水平衡图（单位：m</w:t>
            </w:r>
            <w:r>
              <w:rPr>
                <w:rFonts w:hint="default" w:ascii="Times New Roman" w:hAnsi="Times New Roman" w:cs="Times New Roman"/>
                <w:b/>
                <w:bCs/>
                <w:color w:val="000000" w:themeColor="text1"/>
                <w:highlight w:val="none"/>
                <w:vertAlign w:val="superscript"/>
                <w14:textFill>
                  <w14:solidFill>
                    <w14:schemeClr w14:val="tx1"/>
                  </w14:solidFill>
                </w14:textFill>
              </w:rPr>
              <w:t>3</w:t>
            </w:r>
            <w:r>
              <w:rPr>
                <w:rFonts w:hint="default" w:ascii="Times New Roman" w:hAnsi="Times New Roman" w:cs="Times New Roman"/>
                <w:b/>
                <w:bCs/>
                <w:color w:val="000000" w:themeColor="text1"/>
                <w:highlight w:val="none"/>
                <w14:textFill>
                  <w14:solidFill>
                    <w14:schemeClr w14:val="tx1"/>
                  </w14:solidFill>
                </w14:textFill>
              </w:rPr>
              <w:t>/</w:t>
            </w:r>
            <w:r>
              <w:rPr>
                <w:rFonts w:hint="eastAsia" w:cs="Times New Roman"/>
                <w:b/>
                <w:bCs/>
                <w:color w:val="000000" w:themeColor="text1"/>
                <w:highlight w:val="none"/>
                <w:lang w:val="en-US" w:eastAsia="zh-CN"/>
                <w14:textFill>
                  <w14:solidFill>
                    <w14:schemeClr w14:val="tx1"/>
                  </w14:solidFill>
                </w14:textFill>
              </w:rPr>
              <w:t>d</w:t>
            </w:r>
            <w:r>
              <w:rPr>
                <w:rFonts w:hint="default" w:ascii="Times New Roman" w:hAnsi="Times New Roman" w:cs="Times New Roman"/>
                <w:b/>
                <w:bCs/>
                <w:color w:val="000000" w:themeColor="text1"/>
                <w:highlight w:val="none"/>
                <w14:textFill>
                  <w14:solidFill>
                    <w14:schemeClr w14:val="tx1"/>
                  </w14:solidFill>
                </w14:textFill>
              </w:rPr>
              <w:t>）</w:t>
            </w:r>
          </w:p>
          <w:p w14:paraId="0B0B6B31">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eastAsia" w:cs="Times New Roman"/>
                <w:b/>
                <w:bCs/>
                <w:color w:val="000000" w:themeColor="text1"/>
                <w:highlight w:val="none"/>
                <w:lang w:val="en-US" w:eastAsia="zh-CN"/>
                <w14:textFill>
                  <w14:solidFill>
                    <w14:schemeClr w14:val="tx1"/>
                  </w14:solidFill>
                </w14:textFill>
              </w:rPr>
              <w:t>10</w:t>
            </w:r>
            <w:r>
              <w:rPr>
                <w:rFonts w:hint="default" w:ascii="Times New Roman" w:hAnsi="Times New Roman" w:cs="Times New Roman"/>
                <w:b/>
                <w:bCs/>
                <w:color w:val="000000" w:themeColor="text1"/>
                <w:highlight w:val="none"/>
                <w14:textFill>
                  <w14:solidFill>
                    <w14:schemeClr w14:val="tx1"/>
                  </w14:solidFill>
                </w14:textFill>
              </w:rPr>
              <w:t>、平面布置图分析</w:t>
            </w:r>
          </w:p>
          <w:p w14:paraId="7BF891E4">
            <w:pPr>
              <w:widowControl/>
              <w:shd w:val="clear" w:color="auto" w:fill="auto"/>
              <w:ind w:firstLine="480"/>
              <w:jc w:val="both"/>
              <w:rPr>
                <w:rFonts w:hint="default" w:ascii="Times New Roman" w:hAnsi="Times New Roman" w:cs="Times New Roman"/>
                <w:color w:val="000000" w:themeColor="text1"/>
                <w:kern w:val="0"/>
                <w:highlight w:val="none"/>
                <w:lang w:bidi="ar"/>
                <w14:textFill>
                  <w14:solidFill>
                    <w14:schemeClr w14:val="tx1"/>
                  </w14:solidFill>
                </w14:textFill>
              </w:rPr>
            </w:pPr>
            <w:r>
              <w:rPr>
                <w:rFonts w:hint="default" w:ascii="Times New Roman" w:hAnsi="Times New Roman" w:cs="Times New Roman"/>
                <w:color w:val="000000" w:themeColor="text1"/>
                <w:kern w:val="0"/>
                <w:highlight w:val="none"/>
                <w:lang w:bidi="ar"/>
                <w14:textFill>
                  <w14:solidFill>
                    <w14:schemeClr w14:val="tx1"/>
                  </w14:solidFill>
                </w14:textFill>
              </w:rPr>
              <w:t>厂区地块呈长方形，整个厂区由办公区、生产区、原料仓库和成品仓库组成，其中办公区位于厂区东侧</w:t>
            </w:r>
            <w:r>
              <w:rPr>
                <w:rFonts w:hint="default" w:ascii="Times New Roman" w:hAnsi="Times New Roman" w:cs="Times New Roman"/>
                <w:color w:val="000000" w:themeColor="text1"/>
                <w:kern w:val="0"/>
                <w:highlight w:val="none"/>
                <w:lang w:val="en-US" w:eastAsia="zh-CN" w:bidi="ar"/>
                <w14:textFill>
                  <w14:solidFill>
                    <w14:schemeClr w14:val="tx1"/>
                  </w14:solidFill>
                </w14:textFill>
              </w:rPr>
              <w:t>二层</w:t>
            </w:r>
            <w:r>
              <w:rPr>
                <w:rFonts w:hint="default" w:ascii="Times New Roman" w:hAnsi="Times New Roman" w:cs="Times New Roman"/>
                <w:color w:val="000000" w:themeColor="text1"/>
                <w:kern w:val="0"/>
                <w:highlight w:val="none"/>
                <w:lang w:bidi="ar"/>
                <w14:textFill>
                  <w14:solidFill>
                    <w14:schemeClr w14:val="tx1"/>
                  </w14:solidFill>
                </w14:textFill>
              </w:rPr>
              <w:t>，厂区按地形和生产流程情况将出入口设置在西侧，便于原材料运输和成品运输。具体平面布置见附图</w:t>
            </w:r>
            <w:r>
              <w:rPr>
                <w:rFonts w:hint="eastAsia" w:cs="Times New Roman"/>
                <w:color w:val="000000" w:themeColor="text1"/>
                <w:kern w:val="0"/>
                <w:highlight w:val="none"/>
                <w:lang w:val="en-US" w:eastAsia="zh-CN" w:bidi="ar"/>
                <w14:textFill>
                  <w14:solidFill>
                    <w14:schemeClr w14:val="tx1"/>
                  </w14:solidFill>
                </w14:textFill>
              </w:rPr>
              <w:t>二</w:t>
            </w:r>
            <w:r>
              <w:rPr>
                <w:rFonts w:hint="default" w:ascii="Times New Roman" w:hAnsi="Times New Roman" w:cs="Times New Roman"/>
                <w:color w:val="000000" w:themeColor="text1"/>
                <w:kern w:val="0"/>
                <w:highlight w:val="none"/>
                <w:lang w:bidi="ar"/>
                <w14:textFill>
                  <w14:solidFill>
                    <w14:schemeClr w14:val="tx1"/>
                  </w14:solidFill>
                </w14:textFill>
              </w:rPr>
              <w:t>。</w:t>
            </w:r>
          </w:p>
          <w:p w14:paraId="2F054A9F">
            <w:pPr>
              <w:pStyle w:val="56"/>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kern w:val="0"/>
                <w:highlight w:val="none"/>
                <w:lang w:bidi="ar"/>
                <w14:textFill>
                  <w14:solidFill>
                    <w14:schemeClr w14:val="tx1"/>
                  </w14:solidFill>
                </w14:textFill>
              </w:rPr>
              <w:t>厂区内整体布局合理，各功能区域划分清晰，安排合理，符合节约土地原则，满足工艺生产线，做到了合理利用地形，功能分区明确。车间布置根据厂区用地的基本条件和工艺生产流程的要求，从现场实际情况出发，综合考虑各项辅助设施功能以及防火、环保、贮运等多种因素的要求，紧凑布置</w:t>
            </w:r>
            <w:r>
              <w:rPr>
                <w:rFonts w:hint="default" w:ascii="Times New Roman" w:hAnsi="Times New Roman" w:cs="Times New Roman"/>
                <w:color w:val="000000" w:themeColor="text1"/>
                <w:kern w:val="0"/>
                <w:highlight w:val="none"/>
                <w:lang w:eastAsia="zh-CN" w:bidi="ar"/>
                <w14:textFill>
                  <w14:solidFill>
                    <w14:schemeClr w14:val="tx1"/>
                  </w14:solidFill>
                </w14:textFill>
              </w:rPr>
              <w:t>。</w:t>
            </w:r>
          </w:p>
        </w:tc>
      </w:tr>
      <w:tr w14:paraId="5A9EAF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89" w:type="dxa"/>
            <w:noWrap w:val="0"/>
            <w:vAlign w:val="center"/>
          </w:tcPr>
          <w:p w14:paraId="1E006B8B">
            <w:pPr>
              <w:shd w:val="clear" w:color="auto" w:fill="auto"/>
              <w:spacing w:line="240" w:lineRule="auto"/>
              <w:ind w:firstLine="0" w:firstLineChars="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工艺流程和产排污环节</w:t>
            </w:r>
          </w:p>
        </w:tc>
        <w:tc>
          <w:tcPr>
            <w:tcW w:w="8133" w:type="dxa"/>
            <w:noWrap w:val="0"/>
            <w:vAlign w:val="top"/>
          </w:tcPr>
          <w:p w14:paraId="4FD1A21C">
            <w:pPr>
              <w:pStyle w:val="108"/>
              <w:shd w:val="clear" w:color="auto" w:fill="auto"/>
              <w:ind w:firstLine="0" w:firstLineChars="0"/>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工艺流程简述（图示）：</w:t>
            </w:r>
          </w:p>
          <w:p w14:paraId="65BE388C">
            <w:pPr>
              <w:pStyle w:val="108"/>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一、施工期</w:t>
            </w:r>
          </w:p>
          <w:p w14:paraId="4C5C00BB">
            <w:pPr>
              <w:shd w:val="clear" w:color="auto" w:fill="auto"/>
              <w:autoSpaceDE w:val="0"/>
              <w:autoSpaceDN w:val="0"/>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本项目厂房已由乐平永泰智能产业运营有限公司建设完成，仅进行简单的设备安装</w:t>
            </w:r>
            <w:r>
              <w:rPr>
                <w:rFonts w:hint="default" w:ascii="Times New Roman" w:hAnsi="Times New Roman" w:cs="Times New Roman"/>
                <w:color w:val="000000" w:themeColor="text1"/>
                <w:highlight w:val="none"/>
                <w14:textFill>
                  <w14:solidFill>
                    <w14:schemeClr w14:val="tx1"/>
                  </w14:solidFill>
                </w14:textFill>
              </w:rPr>
              <w:t>、布置，不涉及土建工程，施工期主要为对设备进行安装，施工工程主要产生少量粉尘及噪声，建筑内容较少，施工期较短，因此施工期对环境影响较小。</w:t>
            </w:r>
          </w:p>
          <w:p w14:paraId="2C04C168">
            <w:pPr>
              <w:pStyle w:val="108"/>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二、营运期</w:t>
            </w:r>
          </w:p>
          <w:p w14:paraId="4473DBF7">
            <w:pPr>
              <w:pStyle w:val="58"/>
              <w:shd w:val="clear" w:color="auto" w:fill="auto"/>
              <w:ind w:firstLine="482" w:firstLineChars="20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w:t>
            </w:r>
            <w:r>
              <w:rPr>
                <w:rFonts w:hint="default" w:ascii="Times New Roman" w:hAnsi="Times New Roman" w:cs="Times New Roman"/>
                <w:color w:val="000000" w:themeColor="text1"/>
                <w:highlight w:val="none"/>
                <w:lang w:val="en-US" w:eastAsia="zh-CN"/>
                <w14:textFill>
                  <w14:solidFill>
                    <w14:schemeClr w14:val="tx1"/>
                  </w14:solidFill>
                </w14:textFill>
              </w:rPr>
              <w:t>铸件</w:t>
            </w:r>
            <w:r>
              <w:rPr>
                <w:rFonts w:hint="default" w:ascii="Times New Roman" w:hAnsi="Times New Roman" w:cs="Times New Roman"/>
                <w:color w:val="000000" w:themeColor="text1"/>
                <w:highlight w:val="none"/>
                <w14:textFill>
                  <w14:solidFill>
                    <w14:schemeClr w14:val="tx1"/>
                  </w14:solidFill>
                </w14:textFill>
              </w:rPr>
              <w:t>工艺流程</w:t>
            </w:r>
          </w:p>
          <w:p w14:paraId="1F0581FF">
            <w:pPr>
              <w:pStyle w:val="58"/>
              <w:shd w:val="clear" w:color="auto" w:fill="auto"/>
              <w:ind w:firstLine="480" w:firstLineChars="200"/>
              <w:jc w:val="both"/>
              <w:rPr>
                <w:rFonts w:hint="default" w:ascii="Times New Roman" w:hAnsi="Times New Roman" w:eastAsia="宋体" w:cs="Times New Roman"/>
                <w:b w:val="0"/>
                <w:bCs/>
                <w:color w:val="000000" w:themeColor="text1"/>
                <w:highlight w:val="none"/>
                <w:lang w:val="en-US" w:eastAsia="zh-CN"/>
                <w14:textFill>
                  <w14:solidFill>
                    <w14:schemeClr w14:val="tx1"/>
                  </w14:solidFill>
                </w14:textFill>
              </w:rPr>
            </w:pPr>
            <w:r>
              <w:rPr>
                <w:rFonts w:hint="default" w:ascii="Times New Roman" w:hAnsi="Times New Roman" w:cs="Times New Roman"/>
                <w:b w:val="0"/>
                <w:bCs/>
                <w:color w:val="000000" w:themeColor="text1"/>
                <w:highlight w:val="none"/>
                <w:lang w:val="en-US" w:eastAsia="zh-CN"/>
                <w14:textFill>
                  <w14:solidFill>
                    <w14:schemeClr w14:val="tx1"/>
                  </w14:solidFill>
                </w14:textFill>
              </w:rPr>
              <w:t>本项目产品为汽车排气歧管和平衡块，建设两条铸造生产线，同时建设一条树脂砂再生生产线和一条粘土砂再生生产线，根据订单要求，如遇构件形状相对一般不太复杂的产品可以使用粘土砂型进行生产，如遇构件形状相对比较复杂的产品则使用树脂砂型进行生产，</w:t>
            </w:r>
            <w:r>
              <w:rPr>
                <w:rFonts w:hint="eastAsia" w:cs="Times New Roman"/>
                <w:b w:val="0"/>
                <w:bCs/>
                <w:color w:val="000000" w:themeColor="text1"/>
                <w:highlight w:val="none"/>
                <w:lang w:val="en-US" w:eastAsia="zh-CN"/>
                <w14:textFill>
                  <w14:solidFill>
                    <w14:schemeClr w14:val="tx1"/>
                  </w14:solidFill>
                </w14:textFill>
              </w:rPr>
              <w:t>本项目粘土砂只用于造型，</w:t>
            </w:r>
            <w:r>
              <w:rPr>
                <w:rFonts w:hint="default" w:ascii="Times New Roman" w:hAnsi="Times New Roman" w:cs="Times New Roman"/>
                <w:b w:val="0"/>
                <w:bCs/>
                <w:color w:val="000000" w:themeColor="text1"/>
                <w:highlight w:val="none"/>
                <w:lang w:val="en-US" w:eastAsia="zh-CN"/>
                <w14:textFill>
                  <w14:solidFill>
                    <w14:schemeClr w14:val="tx1"/>
                  </w14:solidFill>
                </w14:textFill>
              </w:rPr>
              <w:t>具体情况依据产品而定。</w:t>
            </w:r>
          </w:p>
          <w:p w14:paraId="7E378D9F">
            <w:pPr>
              <w:pStyle w:val="58"/>
              <w:shd w:val="clear" w:color="auto" w:fill="auto"/>
              <w:jc w:val="center"/>
              <w:rPr>
                <w:rFonts w:hint="default" w:ascii="Times New Roman" w:hAnsi="Times New Roman" w:cs="Times New Roman"/>
                <w:bCs/>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object>
                <v:shape id="_x0000_i1027" o:spt="75" type="#_x0000_t75" style="height:483.15pt;width:326.55pt;" o:ole="t" filled="f" o:preferrelative="t" stroked="f" coordsize="21600,21600">
                  <v:path/>
                  <v:fill on="f" focussize="0,0"/>
                  <v:stroke on="f"/>
                  <v:imagedata r:id="rId17" o:title=""/>
                  <o:lock v:ext="edit" aspectratio="f"/>
                  <w10:wrap type="none"/>
                  <w10:anchorlock/>
                </v:shape>
                <o:OLEObject Type="Embed" ProgID="Visio.Drawing.15" ShapeID="_x0000_i1027" DrawAspect="Content" ObjectID="_1468075727" r:id="rId16">
                  <o:LockedField>false</o:LockedField>
                </o:OLEObject>
              </w:object>
            </w:r>
          </w:p>
          <w:p w14:paraId="3C2853C7">
            <w:pPr>
              <w:pStyle w:val="58"/>
              <w:shd w:val="clear" w:color="auto" w:fill="auto"/>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图2-</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 xml:space="preserve"> 铸件生产工艺流程及产污环节图</w:t>
            </w:r>
          </w:p>
          <w:p w14:paraId="117D7C62">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铸件</w:t>
            </w:r>
            <w:r>
              <w:rPr>
                <w:rFonts w:hint="default" w:ascii="Times New Roman" w:hAnsi="Times New Roman" w:cs="Times New Roman"/>
                <w:color w:val="000000" w:themeColor="text1"/>
                <w:highlight w:val="none"/>
                <w14:textFill>
                  <w14:solidFill>
                    <w14:schemeClr w14:val="tx1"/>
                  </w14:solidFill>
                </w14:textFill>
              </w:rPr>
              <w:t>工艺流程简述：</w:t>
            </w:r>
          </w:p>
          <w:p w14:paraId="029C32D1">
            <w:pPr>
              <w:pStyle w:val="56"/>
              <w:shd w:val="clear" w:color="auto" w:fill="auto"/>
              <w:ind w:firstLine="48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汽车排气歧管</w:t>
            </w:r>
            <w:r>
              <w:rPr>
                <w:rFonts w:hint="eastAsia" w:cs="Times New Roman"/>
                <w:color w:val="000000" w:themeColor="text1"/>
                <w:highlight w:val="none"/>
                <w:lang w:eastAsia="zh-CN"/>
                <w14:textFill>
                  <w14:solidFill>
                    <w14:schemeClr w14:val="tx1"/>
                  </w14:solidFill>
                </w14:textFill>
              </w:rPr>
              <w:t>、平衡块（联轴器）</w:t>
            </w:r>
            <w:r>
              <w:rPr>
                <w:rFonts w:hint="eastAsia" w:cs="Times New Roman"/>
                <w:color w:val="000000" w:themeColor="text1"/>
                <w:highlight w:val="none"/>
                <w:lang w:val="en-US" w:eastAsia="zh-CN"/>
                <w14:textFill>
                  <w14:solidFill>
                    <w14:schemeClr w14:val="tx1"/>
                  </w14:solidFill>
                </w14:textFill>
              </w:rPr>
              <w:t>使用的原料工艺都一样，仅模具形状存在区别。</w:t>
            </w:r>
          </w:p>
          <w:p w14:paraId="4FBEA0B8">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default" w:ascii="Times New Roman" w:hAnsi="Times New Roman" w:cs="Times New Roman"/>
                <w:color w:val="000000" w:themeColor="text1"/>
                <w:highlight w:val="none"/>
                <w14:textFill>
                  <w14:solidFill>
                    <w14:schemeClr w14:val="tx1"/>
                  </w14:solidFill>
                </w14:textFill>
              </w:rPr>
              <w:t>）熔化</w:t>
            </w:r>
          </w:p>
          <w:p w14:paraId="7E170C62">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使用行车将</w:t>
            </w:r>
            <w:r>
              <w:rPr>
                <w:rFonts w:hint="default" w:ascii="Times New Roman" w:hAnsi="Times New Roman" w:cs="Times New Roman"/>
                <w:color w:val="000000" w:themeColor="text1"/>
                <w:highlight w:val="none"/>
                <w:lang w:val="en-US" w:eastAsia="zh-CN"/>
                <w14:textFill>
                  <w14:solidFill>
                    <w14:schemeClr w14:val="tx1"/>
                  </w14:solidFill>
                </w14:textFill>
              </w:rPr>
              <w:t>68%</w:t>
            </w:r>
            <w:r>
              <w:rPr>
                <w:rFonts w:hint="default" w:ascii="Times New Roman" w:hAnsi="Times New Roman" w:cs="Times New Roman"/>
                <w:color w:val="000000" w:themeColor="text1"/>
                <w:highlight w:val="none"/>
                <w14:textFill>
                  <w14:solidFill>
                    <w14:schemeClr w14:val="tx1"/>
                  </w14:solidFill>
                </w14:textFill>
              </w:rPr>
              <w:t>生铁</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28%</w:t>
            </w:r>
            <w:r>
              <w:rPr>
                <w:rFonts w:hint="default" w:ascii="Times New Roman" w:hAnsi="Times New Roman" w:cs="Times New Roman"/>
                <w:color w:val="000000" w:themeColor="text1"/>
                <w:highlight w:val="none"/>
                <w14:textFill>
                  <w14:solidFill>
                    <w14:schemeClr w14:val="tx1"/>
                  </w14:solidFill>
                </w14:textFill>
              </w:rPr>
              <w:t>碳钢</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石墨粉</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default" w:ascii="Times New Roman" w:hAnsi="Times New Roman" w:cs="Times New Roman"/>
                <w:color w:val="000000" w:themeColor="text1"/>
                <w:highlight w:val="none"/>
                <w14:textFill>
                  <w14:solidFill>
                    <w14:schemeClr w14:val="tx1"/>
                  </w14:solidFill>
                </w14:textFill>
              </w:rPr>
              <w:t>硅铁</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default" w:ascii="Times New Roman" w:hAnsi="Times New Roman" w:cs="Times New Roman"/>
                <w:color w:val="000000" w:themeColor="text1"/>
                <w:highlight w:val="none"/>
                <w14:textFill>
                  <w14:solidFill>
                    <w14:schemeClr w14:val="tx1"/>
                  </w14:solidFill>
                </w14:textFill>
              </w:rPr>
              <w:t>锰铁</w:t>
            </w:r>
            <w:r>
              <w:rPr>
                <w:rFonts w:hint="eastAsia" w:cs="Times New Roman"/>
                <w:color w:val="000000" w:themeColor="text1"/>
                <w:highlight w:val="none"/>
                <w:lang w:val="en-US" w:eastAsia="zh-CN"/>
                <w14:textFill>
                  <w14:solidFill>
                    <w14:schemeClr w14:val="tx1"/>
                  </w14:solidFill>
                </w14:textFill>
              </w:rPr>
              <w:t>一次</w:t>
            </w:r>
            <w:r>
              <w:rPr>
                <w:rFonts w:hint="default" w:ascii="Times New Roman" w:hAnsi="Times New Roman" w:cs="Times New Roman"/>
                <w:color w:val="000000" w:themeColor="text1"/>
                <w:highlight w:val="none"/>
                <w:lang w:eastAsia="zh-CN"/>
                <w14:textFill>
                  <w14:solidFill>
                    <w14:schemeClr w14:val="tx1"/>
                  </w14:solidFill>
                </w14:textFill>
              </w:rPr>
              <w:t>投入</w:t>
            </w:r>
            <w:r>
              <w:rPr>
                <w:rFonts w:hint="default" w:ascii="Times New Roman" w:hAnsi="Times New Roman" w:cs="Times New Roman"/>
                <w:color w:val="000000" w:themeColor="text1"/>
                <w:highlight w:val="none"/>
                <w14:textFill>
                  <w14:solidFill>
                    <w14:schemeClr w14:val="tx1"/>
                  </w14:solidFill>
                </w14:textFill>
              </w:rPr>
              <w:t>中频炉进行熔化</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该工段能源采用电能，熔化温度约为1</w:t>
            </w:r>
            <w:r>
              <w:rPr>
                <w:rFonts w:hint="eastAsia" w:ascii="Times New Roman" w:hAnsi="Times New Roman"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00~1600℃</w:t>
            </w:r>
            <w:r>
              <w:rPr>
                <w:rFonts w:hint="default" w:ascii="Times New Roman" w:hAnsi="Times New Roman" w:cs="Times New Roman"/>
                <w:color w:val="000000" w:themeColor="text1"/>
                <w:highlight w:val="none"/>
                <w:lang w:eastAsia="zh-CN"/>
                <w14:textFill>
                  <w14:solidFill>
                    <w14:schemeClr w14:val="tx1"/>
                  </w14:solidFill>
                </w14:textFill>
              </w:rPr>
              <w:t>，其中</w:t>
            </w:r>
            <w:r>
              <w:rPr>
                <w:rFonts w:hint="eastAsia" w:ascii="Times New Roman" w:hAnsi="Times New Roman" w:cs="Times New Roman"/>
                <w:color w:val="000000" w:themeColor="text1"/>
                <w:highlight w:val="none"/>
                <w:lang w:val="en-US" w:eastAsia="zh-CN"/>
                <w14:textFill>
                  <w14:solidFill>
                    <w14:schemeClr w14:val="tx1"/>
                  </w14:solidFill>
                </w14:textFill>
              </w:rPr>
              <w:t>1.25</w:t>
            </w:r>
            <w:r>
              <w:rPr>
                <w:rFonts w:hint="default" w:ascii="Times New Roman" w:hAnsi="Times New Roman" w:cs="Times New Roman"/>
                <w:color w:val="000000" w:themeColor="text1"/>
                <w:highlight w:val="none"/>
                <w:lang w:val="en-US" w:eastAsia="zh-CN"/>
                <w14:textFill>
                  <w14:solidFill>
                    <w14:schemeClr w14:val="tx1"/>
                  </w14:solidFill>
                </w14:textFill>
              </w:rPr>
              <w:t>T中频炉</w:t>
            </w:r>
            <w:r>
              <w:rPr>
                <w:rFonts w:hint="default" w:ascii="Times New Roman" w:hAnsi="Times New Roman" w:cs="Times New Roman"/>
                <w:color w:val="000000" w:themeColor="text1"/>
                <w:highlight w:val="none"/>
                <w:lang w:eastAsia="zh-CN"/>
                <w14:textFill>
                  <w14:solidFill>
                    <w14:schemeClr w14:val="tx1"/>
                  </w14:solidFill>
                </w14:textFill>
              </w:rPr>
              <w:t>熔化时间约</w:t>
            </w:r>
            <w:r>
              <w:rPr>
                <w:rFonts w:hint="eastAsia" w:ascii="Times New Roman" w:hAnsi="Times New Roman" w:cs="Times New Roman"/>
                <w:color w:val="000000" w:themeColor="text1"/>
                <w:highlight w:val="none"/>
                <w:lang w:val="en-US" w:eastAsia="zh-CN"/>
                <w14:textFill>
                  <w14:solidFill>
                    <w14:schemeClr w14:val="tx1"/>
                  </w14:solidFill>
                </w14:textFill>
              </w:rPr>
              <w:t>50min</w:t>
            </w:r>
            <w:r>
              <w:rPr>
                <w:rFonts w:hint="default" w:ascii="Times New Roman" w:hAnsi="Times New Roman" w:cs="Times New Roman"/>
                <w:color w:val="000000" w:themeColor="text1"/>
                <w:highlight w:val="none"/>
                <w:lang w:val="en-US" w:eastAsia="zh-CN"/>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lang w:val="en-US" w:eastAsia="zh-CN"/>
                <w14:textFill>
                  <w14:solidFill>
                    <w14:schemeClr w14:val="tx1"/>
                  </w14:solidFill>
                </w14:textFill>
              </w:rPr>
              <w:t>T中频炉</w:t>
            </w:r>
            <w:r>
              <w:rPr>
                <w:rFonts w:hint="default" w:ascii="Times New Roman" w:hAnsi="Times New Roman" w:cs="Times New Roman"/>
                <w:color w:val="000000" w:themeColor="text1"/>
                <w:highlight w:val="none"/>
                <w:lang w:eastAsia="zh-CN"/>
                <w14:textFill>
                  <w14:solidFill>
                    <w14:schemeClr w14:val="tx1"/>
                  </w14:solidFill>
                </w14:textFill>
              </w:rPr>
              <w:t>熔化时间约</w:t>
            </w:r>
            <w:r>
              <w:rPr>
                <w:rFonts w:hint="default" w:ascii="Times New Roman" w:hAnsi="Times New Roman" w:cs="Times New Roman"/>
                <w:color w:val="000000" w:themeColor="text1"/>
                <w:highlight w:val="none"/>
                <w:lang w:val="en-US" w:eastAsia="zh-CN"/>
                <w14:textFill>
                  <w14:solidFill>
                    <w14:schemeClr w14:val="tx1"/>
                  </w14:solidFill>
                </w14:textFill>
              </w:rPr>
              <w:t>1h</w:t>
            </w:r>
            <w:r>
              <w:rPr>
                <w:rFonts w:hint="default" w:ascii="Times New Roman" w:hAnsi="Times New Roman" w:cs="Times New Roman"/>
                <w:color w:val="000000" w:themeColor="text1"/>
                <w:highlight w:val="none"/>
                <w14:textFill>
                  <w14:solidFill>
                    <w14:schemeClr w14:val="tx1"/>
                  </w14:solidFill>
                </w14:textFill>
              </w:rPr>
              <w:t>。中频炉工作过程中，需用冷却水进行循环控制温度，在工作结束后也需要用冷却水冷却中频炉。</w:t>
            </w:r>
          </w:p>
          <w:p w14:paraId="6F3EAEDF">
            <w:pPr>
              <w:pStyle w:val="58"/>
              <w:shd w:val="clear" w:color="auto" w:fill="auto"/>
              <w:ind w:firstLine="480" w:firstLineChars="200"/>
              <w:rPr>
                <w:rFonts w:hint="eastAsia" w:cs="Times New Roman"/>
                <w:b w:val="0"/>
                <w:color w:val="000000" w:themeColor="text1"/>
                <w:highlight w:val="none"/>
                <w:lang w:val="en-US" w:eastAsia="zh-CN"/>
                <w14:textFill>
                  <w14:solidFill>
                    <w14:schemeClr w14:val="tx1"/>
                  </w14:solidFill>
                </w14:textFill>
              </w:rPr>
            </w:pPr>
            <w:r>
              <w:rPr>
                <w:rFonts w:hint="eastAsia" w:cs="Times New Roman"/>
                <w:b w:val="0"/>
                <w:color w:val="000000" w:themeColor="text1"/>
                <w:highlight w:val="none"/>
                <w:lang w:val="en-US" w:eastAsia="zh-CN"/>
                <w14:textFill>
                  <w14:solidFill>
                    <w14:schemeClr w14:val="tx1"/>
                  </w14:solidFill>
                </w14:textFill>
              </w:rPr>
              <w:t>除渣：除渣剂的加入时机是在熔液表面形成熔渣后加入。除渣剂的主要作用是去除铸铁件熔化过程中产生的熔渣，提高铸件的质量和减少废品率。使用除渣剂时，首先需要将除渣剂均匀撒布于熔液表面，然后稍加搅动，使除渣剂迅速集聚成与金属溶液易于分离的渣壳。</w:t>
            </w:r>
          </w:p>
          <w:p w14:paraId="18691E82">
            <w:pPr>
              <w:pStyle w:val="58"/>
              <w:shd w:val="clear" w:color="auto" w:fill="auto"/>
              <w:ind w:firstLine="480" w:firstLineChars="200"/>
              <w:rPr>
                <w:rFonts w:hint="eastAsia" w:cs="Times New Roman"/>
                <w:b w:val="0"/>
                <w:color w:val="000000" w:themeColor="text1"/>
                <w:highlight w:val="none"/>
                <w:lang w:val="en-US" w:eastAsia="zh-CN"/>
                <w14:textFill>
                  <w14:solidFill>
                    <w14:schemeClr w14:val="tx1"/>
                  </w14:solidFill>
                </w14:textFill>
              </w:rPr>
            </w:pPr>
            <w:r>
              <w:rPr>
                <w:rFonts w:hint="eastAsia" w:cs="Times New Roman"/>
                <w:b w:val="0"/>
                <w:color w:val="000000" w:themeColor="text1"/>
                <w:highlight w:val="none"/>
                <w:lang w:val="en-US" w:eastAsia="zh-CN"/>
                <w14:textFill>
                  <w14:solidFill>
                    <w14:schemeClr w14:val="tx1"/>
                  </w14:solidFill>
                </w14:textFill>
              </w:rPr>
              <w:t>扒渣：使用除渣器扒掉渣壳后，可以得到纯净的溶液，避免铸件夹渣，从而提高铸件的质量，产渣率约0.7%。</w:t>
            </w:r>
          </w:p>
          <w:p w14:paraId="286E873D">
            <w:pPr>
              <w:pStyle w:val="58"/>
              <w:shd w:val="clear" w:color="auto" w:fill="auto"/>
              <w:ind w:firstLine="480" w:firstLineChars="200"/>
              <w:rPr>
                <w:rFonts w:hint="default" w:cs="Times New Roman"/>
                <w:b w:val="0"/>
                <w:color w:val="000000" w:themeColor="text1"/>
                <w:highlight w:val="none"/>
                <w:lang w:val="en-US" w:eastAsia="zh-CN"/>
                <w14:textFill>
                  <w14:solidFill>
                    <w14:schemeClr w14:val="tx1"/>
                  </w14:solidFill>
                </w14:textFill>
              </w:rPr>
            </w:pPr>
            <w:r>
              <w:rPr>
                <w:rFonts w:hint="eastAsia" w:cs="Times New Roman"/>
                <w:b w:val="0"/>
                <w:color w:val="000000" w:themeColor="text1"/>
                <w:highlight w:val="none"/>
                <w:lang w:val="en-US" w:eastAsia="zh-CN"/>
                <w14:textFill>
                  <w14:solidFill>
                    <w14:schemeClr w14:val="tx1"/>
                  </w14:solidFill>
                </w14:textFill>
              </w:rPr>
              <w:t>除渣剂的原理：‌除渣剂的主要成分是SiO</w:t>
            </w:r>
            <w:r>
              <w:rPr>
                <w:rFonts w:hint="eastAsia" w:cs="Times New Roman"/>
                <w:b w:val="0"/>
                <w:color w:val="000000" w:themeColor="text1"/>
                <w:highlight w:val="none"/>
                <w:vertAlign w:val="subscript"/>
                <w:lang w:val="en-US" w:eastAsia="zh-CN"/>
                <w14:textFill>
                  <w14:solidFill>
                    <w14:schemeClr w14:val="tx1"/>
                  </w14:solidFill>
                </w14:textFill>
              </w:rPr>
              <w:t>2</w:t>
            </w:r>
            <w:r>
              <w:rPr>
                <w:rFonts w:hint="eastAsia" w:cs="Times New Roman"/>
                <w:b w:val="0"/>
                <w:color w:val="000000" w:themeColor="text1"/>
                <w:highlight w:val="none"/>
                <w:lang w:val="en-US" w:eastAsia="zh-CN"/>
                <w14:textFill>
                  <w14:solidFill>
                    <w14:schemeClr w14:val="tx1"/>
                  </w14:solidFill>
                </w14:textFill>
              </w:rPr>
              <w:t>和Al</w:t>
            </w:r>
            <w:r>
              <w:rPr>
                <w:rFonts w:hint="eastAsia" w:cs="Times New Roman"/>
                <w:b w:val="0"/>
                <w:color w:val="000000" w:themeColor="text1"/>
                <w:highlight w:val="none"/>
                <w:vertAlign w:val="subscript"/>
                <w:lang w:val="en-US" w:eastAsia="zh-CN"/>
                <w14:textFill>
                  <w14:solidFill>
                    <w14:schemeClr w14:val="tx1"/>
                  </w14:solidFill>
                </w14:textFill>
              </w:rPr>
              <w:t>2</w:t>
            </w:r>
            <w:r>
              <w:rPr>
                <w:rFonts w:hint="eastAsia" w:cs="Times New Roman"/>
                <w:b w:val="0"/>
                <w:color w:val="000000" w:themeColor="text1"/>
                <w:highlight w:val="none"/>
                <w:lang w:val="en-US" w:eastAsia="zh-CN"/>
                <w14:textFill>
                  <w14:solidFill>
                    <w14:schemeClr w14:val="tx1"/>
                  </w14:solidFill>
                </w14:textFill>
              </w:rPr>
              <w:t>O</w:t>
            </w:r>
            <w:r>
              <w:rPr>
                <w:rFonts w:hint="default" w:ascii="Times New Roman" w:hAnsi="Times New Roman" w:cs="Times New Roman"/>
                <w:b w:val="0"/>
                <w:color w:val="000000" w:themeColor="text1"/>
                <w:highlight w:val="none"/>
                <w:vertAlign w:val="subscript"/>
                <w:lang w:val="en-US" w:eastAsia="zh-CN"/>
                <w14:textFill>
                  <w14:solidFill>
                    <w14:schemeClr w14:val="tx1"/>
                  </w14:solidFill>
                </w14:textFill>
              </w:rPr>
              <w:t>3</w:t>
            </w:r>
            <w:r>
              <w:rPr>
                <w:rFonts w:hint="default" w:ascii="Times New Roman" w:hAnsi="Times New Roman" w:cs="Times New Roman"/>
                <w:b w:val="0"/>
                <w:color w:val="000000" w:themeColor="text1"/>
                <w:highlight w:val="none"/>
                <w:lang w:val="en-US" w:eastAsia="zh-CN"/>
                <w14:textFill>
                  <w14:solidFill>
                    <w14:schemeClr w14:val="tx1"/>
                  </w14:solidFill>
                </w14:textFill>
              </w:rPr>
              <w:t>，在1100℃以上的高温条件下，这些成分体积膨胀，形成黏稠的多孔结构的活</w:t>
            </w:r>
            <w:r>
              <w:rPr>
                <w:rFonts w:hint="eastAsia" w:cs="Times New Roman"/>
                <w:b w:val="0"/>
                <w:color w:val="000000" w:themeColor="text1"/>
                <w:highlight w:val="none"/>
                <w:lang w:val="en-US" w:eastAsia="zh-CN"/>
                <w14:textFill>
                  <w14:solidFill>
                    <w14:schemeClr w14:val="tx1"/>
                  </w14:solidFill>
                </w14:textFill>
              </w:rPr>
              <w:t>性材料。‌这种材料能够将铁水中的熔渣、各种不熔的杂质元素粘在一起，起到聚渣作用。同时，由于除渣剂的导热系数低，它还可以减少铁水（钢水）表面的热传导、热辐射，因此具有保温作用。</w:t>
            </w:r>
          </w:p>
          <w:p w14:paraId="5A0478B7">
            <w:pPr>
              <w:pStyle w:val="58"/>
              <w:shd w:val="clear" w:color="auto" w:fill="auto"/>
              <w:ind w:firstLine="480" w:firstLineChars="200"/>
              <w:rPr>
                <w:rFonts w:hint="default" w:ascii="Times New Roman" w:hAnsi="Times New Roman" w:eastAsia="宋体" w:cs="Times New Roman"/>
                <w:b w:val="0"/>
                <w:color w:val="000000" w:themeColor="text1"/>
                <w:highlight w:val="none"/>
                <w:lang w:val="en-US" w:eastAsia="zh-CN"/>
                <w14:textFill>
                  <w14:solidFill>
                    <w14:schemeClr w14:val="tx1"/>
                  </w14:solidFill>
                </w14:textFill>
              </w:rPr>
            </w:pPr>
            <w:r>
              <w:rPr>
                <w:rFonts w:hint="default" w:ascii="Times New Roman" w:hAnsi="Times New Roman" w:cs="Times New Roman"/>
                <w:b w:val="0"/>
                <w:color w:val="000000" w:themeColor="text1"/>
                <w:highlight w:val="none"/>
                <w14:textFill>
                  <w14:solidFill>
                    <w14:schemeClr w14:val="tx1"/>
                  </w14:solidFill>
                </w14:textFill>
              </w:rPr>
              <w:t>（</w:t>
            </w:r>
            <w:r>
              <w:rPr>
                <w:rFonts w:hint="eastAsia" w:cs="Times New Roman"/>
                <w:b w:val="0"/>
                <w:color w:val="000000" w:themeColor="text1"/>
                <w:highlight w:val="none"/>
                <w:lang w:val="en-US" w:eastAsia="zh-CN"/>
                <w14:textFill>
                  <w14:solidFill>
                    <w14:schemeClr w14:val="tx1"/>
                  </w14:solidFill>
                </w14:textFill>
              </w:rPr>
              <w:t>2</w:t>
            </w:r>
            <w:r>
              <w:rPr>
                <w:rFonts w:hint="default" w:ascii="Times New Roman" w:hAnsi="Times New Roman" w:cs="Times New Roman"/>
                <w:b w:val="0"/>
                <w:color w:val="000000" w:themeColor="text1"/>
                <w:highlight w:val="none"/>
                <w14:textFill>
                  <w14:solidFill>
                    <w14:schemeClr w14:val="tx1"/>
                  </w14:solidFill>
                </w14:textFill>
              </w:rPr>
              <w:t>）</w:t>
            </w:r>
            <w:r>
              <w:rPr>
                <w:rFonts w:hint="eastAsia" w:ascii="Times New Roman" w:hAnsi="Times New Roman" w:cs="Times New Roman"/>
                <w:b w:val="0"/>
                <w:color w:val="000000" w:themeColor="text1"/>
                <w:highlight w:val="none"/>
                <w:lang w:val="en-US" w:eastAsia="zh-CN"/>
                <w14:textFill>
                  <w14:solidFill>
                    <w14:schemeClr w14:val="tx1"/>
                  </w14:solidFill>
                </w14:textFill>
              </w:rPr>
              <w:t>造型/制芯</w:t>
            </w:r>
          </w:p>
          <w:p w14:paraId="311FECDD">
            <w:pPr>
              <w:pStyle w:val="56"/>
              <w:shd w:val="clear" w:color="auto" w:fill="auto"/>
              <w:ind w:firstLine="480"/>
              <w:rPr>
                <w:rFonts w:hint="default" w:ascii="宋体" w:hAnsi="宋体" w:eastAsia="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本项目粘土砂仅用于造型，不用于制芯。</w:t>
            </w:r>
          </w:p>
          <w:p w14:paraId="61A7F6DD">
            <w:pPr>
              <w:pStyle w:val="56"/>
              <w:shd w:val="clear" w:color="auto" w:fill="auto"/>
              <w:ind w:firstLine="480"/>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①</w:t>
            </w:r>
            <w:r>
              <w:rPr>
                <w:rFonts w:hint="eastAsia" w:cs="Times New Roman"/>
                <w:color w:val="000000" w:themeColor="text1"/>
                <w:highlight w:val="none"/>
                <w:lang w:val="en-US" w:eastAsia="zh-CN"/>
                <w14:textFill>
                  <w14:solidFill>
                    <w14:schemeClr w14:val="tx1"/>
                  </w14:solidFill>
                </w14:textFill>
              </w:rPr>
              <w:t>树脂砂</w:t>
            </w:r>
            <w:r>
              <w:rPr>
                <w:rFonts w:hint="eastAsia" w:ascii="Times New Roman" w:hAnsi="Times New Roman" w:cs="Times New Roman"/>
                <w:b w:val="0"/>
                <w:color w:val="000000" w:themeColor="text1"/>
                <w:highlight w:val="none"/>
                <w:lang w:val="en-US" w:eastAsia="zh-CN"/>
                <w14:textFill>
                  <w14:solidFill>
                    <w14:schemeClr w14:val="tx1"/>
                  </w14:solidFill>
                </w14:textFill>
              </w:rPr>
              <w:t>造型/制芯</w:t>
            </w:r>
          </w:p>
          <w:p w14:paraId="42716587">
            <w:pPr>
              <w:pStyle w:val="56"/>
              <w:shd w:val="clear" w:color="auto" w:fill="auto"/>
              <w:ind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将</w:t>
            </w:r>
            <w:r>
              <w:rPr>
                <w:rFonts w:hint="eastAsia" w:cs="Times New Roman"/>
                <w:color w:val="000000" w:themeColor="text1"/>
                <w:highlight w:val="none"/>
                <w:lang w:val="en-US" w:eastAsia="zh-CN"/>
                <w14:textFill>
                  <w14:solidFill>
                    <w14:schemeClr w14:val="tx1"/>
                  </w14:solidFill>
                </w14:textFill>
              </w:rPr>
              <w:t>树脂砂再生线</w:t>
            </w:r>
            <w:r>
              <w:rPr>
                <w:rFonts w:hint="default" w:ascii="Times New Roman" w:hAnsi="Times New Roman" w:cs="Times New Roman"/>
                <w:color w:val="000000" w:themeColor="text1"/>
                <w:highlight w:val="none"/>
                <w14:textFill>
                  <w14:solidFill>
                    <w14:schemeClr w14:val="tx1"/>
                  </w14:solidFill>
                </w14:textFill>
              </w:rPr>
              <w:t>混合好的树脂砂填充到</w:t>
            </w:r>
            <w:r>
              <w:rPr>
                <w:rFonts w:hint="eastAsia" w:cs="Times New Roman"/>
                <w:color w:val="000000" w:themeColor="text1"/>
                <w:highlight w:val="none"/>
                <w:lang w:val="en-US" w:eastAsia="zh-CN"/>
                <w14:textFill>
                  <w14:solidFill>
                    <w14:schemeClr w14:val="tx1"/>
                  </w14:solidFill>
                </w14:textFill>
              </w:rPr>
              <w:t>全自动造型机和全自动射芯机的</w:t>
            </w:r>
            <w:r>
              <w:rPr>
                <w:rFonts w:hint="default" w:ascii="Times New Roman" w:hAnsi="Times New Roman" w:cs="Times New Roman"/>
                <w:color w:val="000000" w:themeColor="text1"/>
                <w:highlight w:val="none"/>
                <w14:textFill>
                  <w14:solidFill>
                    <w14:schemeClr w14:val="tx1"/>
                  </w14:solidFill>
                </w14:textFill>
              </w:rPr>
              <w:t>砂箱（‌或芯盒）‌中，‌并通过轻微压实，‌确保型砂在硬化前的形状稳定</w:t>
            </w:r>
            <w:r>
              <w:rPr>
                <w:rFonts w:hint="default" w:ascii="Times New Roman" w:hAnsi="Times New Roman" w:eastAsia="宋体" w:cs="Times New Roman"/>
                <w:color w:val="000000" w:themeColor="text1"/>
                <w:highlight w:val="none"/>
                <w14:textFill>
                  <w14:solidFill>
                    <w14:schemeClr w14:val="tx1"/>
                  </w14:solidFill>
                </w14:textFill>
              </w:rPr>
              <w:t>。在室温下，‌树脂和</w:t>
            </w:r>
            <w:r>
              <w:rPr>
                <w:rFonts w:hint="eastAsia" w:cs="Times New Roman"/>
                <w:color w:val="000000" w:themeColor="text1"/>
                <w:highlight w:val="none"/>
                <w:lang w:val="en-US" w:eastAsia="zh-CN"/>
                <w14:textFill>
                  <w14:solidFill>
                    <w14:schemeClr w14:val="tx1"/>
                  </w14:solidFill>
                </w14:textFill>
              </w:rPr>
              <w:t>固化</w:t>
            </w:r>
            <w:r>
              <w:rPr>
                <w:rFonts w:hint="default" w:ascii="Times New Roman" w:hAnsi="Times New Roman" w:eastAsia="宋体" w:cs="Times New Roman"/>
                <w:color w:val="000000" w:themeColor="text1"/>
                <w:highlight w:val="none"/>
                <w14:textFill>
                  <w14:solidFill>
                    <w14:schemeClr w14:val="tx1"/>
                  </w14:solidFill>
                </w14:textFill>
              </w:rPr>
              <w:t>剂发生化学反应，‌使型砂逐渐硬化成形，</w:t>
            </w:r>
            <w:r>
              <w:rPr>
                <w:rFonts w:hint="eastAsia" w:cs="Times New Roman"/>
                <w:color w:val="000000" w:themeColor="text1"/>
                <w:highlight w:val="none"/>
                <w:lang w:val="en-US" w:eastAsia="zh-CN"/>
                <w14:textFill>
                  <w14:solidFill>
                    <w14:schemeClr w14:val="tx1"/>
                  </w14:solidFill>
                </w14:textFill>
              </w:rPr>
              <w:t>从树脂砂混料到树脂砂硬化</w:t>
            </w:r>
            <w:r>
              <w:rPr>
                <w:rFonts w:hint="eastAsia" w:cs="Times New Roman"/>
                <w:color w:val="000000" w:themeColor="text1"/>
                <w:kern w:val="1"/>
                <w:sz w:val="24"/>
                <w:szCs w:val="24"/>
                <w:highlight w:val="none"/>
                <w:lang w:val="en-US" w:eastAsia="zh-CN"/>
                <w14:textFill>
                  <w14:solidFill>
                    <w14:schemeClr w14:val="tx1"/>
                  </w14:solidFill>
                </w14:textFill>
              </w:rPr>
              <w:t>时间段约30min</w:t>
            </w:r>
            <w:r>
              <w:rPr>
                <w:rFonts w:hint="default" w:ascii="Times New Roman" w:hAnsi="Times New Roman" w:eastAsia="宋体" w:cs="Times New Roman"/>
                <w:color w:val="000000" w:themeColor="text1"/>
                <w:highlight w:val="none"/>
                <w14:textFill>
                  <w14:solidFill>
                    <w14:schemeClr w14:val="tx1"/>
                  </w14:solidFill>
                </w14:textFill>
              </w:rPr>
              <w:t>‌。</w:t>
            </w:r>
          </w:p>
          <w:p w14:paraId="63F34A14">
            <w:pPr>
              <w:pStyle w:val="56"/>
              <w:shd w:val="clear" w:color="auto" w:fill="auto"/>
              <w:spacing w:line="360" w:lineRule="auto"/>
              <w:ind w:firstLine="480"/>
              <w:rPr>
                <w:rFonts w:hint="default" w:ascii="Times New Roman" w:hAnsi="Times New Roman"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固化原理如下：</w:t>
            </w:r>
          </w:p>
          <w:p w14:paraId="0098710A">
            <w:pPr>
              <w:pStyle w:val="56"/>
              <w:shd w:val="clear" w:color="auto" w:fill="auto"/>
              <w:ind w:firstLine="480"/>
              <w:jc w:val="left"/>
              <w:rPr>
                <w:rFonts w:hint="default" w:ascii="Times New Roman" w:hAnsi="Times New Roman"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lang w:eastAsia="zh-CN"/>
                <w14:textFill>
                  <w14:solidFill>
                    <w14:schemeClr w14:val="tx1"/>
                  </w14:solidFill>
                </w14:textFill>
              </w:rPr>
              <w:t>呋喃树脂与对甲苯磺酸的反应化学方程式为：‌CH</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−C</w:t>
            </w:r>
            <w:r>
              <w:rPr>
                <w:rFonts w:hint="default" w:ascii="Times New Roman" w:hAnsi="Times New Roman" w:cs="Times New Roman"/>
                <w:color w:val="000000" w:themeColor="text1"/>
                <w:highlight w:val="none"/>
                <w:vertAlign w:val="subscript"/>
                <w:lang w:eastAsia="zh-CN"/>
                <w14:textFill>
                  <w14:solidFill>
                    <w14:schemeClr w14:val="tx1"/>
                  </w14:solidFill>
                </w14:textFill>
              </w:rPr>
              <w:t>6</w:t>
            </w:r>
            <w:r>
              <w:rPr>
                <w:rFonts w:hint="default" w:ascii="Times New Roman" w:hAnsi="Times New Roman" w:cs="Times New Roman"/>
                <w:color w:val="000000" w:themeColor="text1"/>
                <w:highlight w:val="none"/>
                <w:lang w:eastAsia="zh-CN"/>
                <w14:textFill>
                  <w14:solidFill>
                    <w14:schemeClr w14:val="tx1"/>
                  </w14:solidFill>
                </w14:textFill>
              </w:rPr>
              <w:t>H</w:t>
            </w:r>
            <w:r>
              <w:rPr>
                <w:rFonts w:hint="default" w:ascii="Times New Roman" w:hAnsi="Times New Roman" w:cs="Times New Roman"/>
                <w:color w:val="000000" w:themeColor="text1"/>
                <w:highlight w:val="none"/>
                <w:vertAlign w:val="subscript"/>
                <w:lang w:eastAsia="zh-CN"/>
                <w14:textFill>
                  <w14:solidFill>
                    <w14:schemeClr w14:val="tx1"/>
                  </w14:solidFill>
                </w14:textFill>
              </w:rPr>
              <w:t>4</w:t>
            </w:r>
            <w:r>
              <w:rPr>
                <w:rFonts w:hint="default" w:ascii="Times New Roman" w:hAnsi="Times New Roman" w:cs="Times New Roman"/>
                <w:color w:val="000000" w:themeColor="text1"/>
                <w:highlight w:val="none"/>
                <w:lang w:eastAsia="zh-CN"/>
                <w14:textFill>
                  <w14:solidFill>
                    <w14:schemeClr w14:val="tx1"/>
                  </w14:solidFill>
                </w14:textFill>
              </w:rPr>
              <w:t>−SO</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H+R−OH</w:t>
            </w:r>
            <w:r>
              <w:rPr>
                <w:rFonts w:hint="eastAsia" w:ascii="宋体" w:hAnsi="宋体" w:eastAsia="宋体" w:cs="宋体"/>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eastAsia="zh-CN"/>
                <w14:textFill>
                  <w14:solidFill>
                    <w14:schemeClr w14:val="tx1"/>
                  </w14:solidFill>
                </w14:textFill>
              </w:rPr>
              <w:t>CH</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−C</w:t>
            </w:r>
            <w:r>
              <w:rPr>
                <w:rFonts w:hint="default" w:ascii="Times New Roman" w:hAnsi="Times New Roman" w:cs="Times New Roman"/>
                <w:color w:val="000000" w:themeColor="text1"/>
                <w:highlight w:val="none"/>
                <w:vertAlign w:val="subscript"/>
                <w:lang w:eastAsia="zh-CN"/>
                <w14:textFill>
                  <w14:solidFill>
                    <w14:schemeClr w14:val="tx1"/>
                  </w14:solidFill>
                </w14:textFill>
              </w:rPr>
              <w:t>6</w:t>
            </w:r>
            <w:r>
              <w:rPr>
                <w:rFonts w:hint="default" w:ascii="Times New Roman" w:hAnsi="Times New Roman" w:cs="Times New Roman"/>
                <w:color w:val="000000" w:themeColor="text1"/>
                <w:highlight w:val="none"/>
                <w:lang w:eastAsia="zh-CN"/>
                <w14:textFill>
                  <w14:solidFill>
                    <w14:schemeClr w14:val="tx1"/>
                  </w14:solidFill>
                </w14:textFill>
              </w:rPr>
              <w:t>H</w:t>
            </w:r>
            <w:r>
              <w:rPr>
                <w:rFonts w:hint="default" w:ascii="Times New Roman" w:hAnsi="Times New Roman" w:cs="Times New Roman"/>
                <w:color w:val="000000" w:themeColor="text1"/>
                <w:highlight w:val="none"/>
                <w:vertAlign w:val="subscript"/>
                <w:lang w:eastAsia="zh-CN"/>
                <w14:textFill>
                  <w14:solidFill>
                    <w14:schemeClr w14:val="tx1"/>
                  </w14:solidFill>
                </w14:textFill>
              </w:rPr>
              <w:t>4</w:t>
            </w:r>
            <w:r>
              <w:rPr>
                <w:rFonts w:hint="default" w:ascii="Times New Roman" w:hAnsi="Times New Roman" w:cs="Times New Roman"/>
                <w:color w:val="000000" w:themeColor="text1"/>
                <w:highlight w:val="none"/>
                <w:lang w:eastAsia="zh-CN"/>
                <w14:textFill>
                  <w14:solidFill>
                    <w14:schemeClr w14:val="tx1"/>
                  </w14:solidFill>
                </w14:textFill>
              </w:rPr>
              <w:t>−SO</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R+H</w:t>
            </w:r>
            <w:r>
              <w:rPr>
                <w:rFonts w:hint="default" w:ascii="Times New Roman" w:hAnsi="Times New Roman" w:cs="Times New Roman"/>
                <w:color w:val="000000" w:themeColor="text1"/>
                <w:highlight w:val="none"/>
                <w:vertAlign w:val="subscript"/>
                <w:lang w:eastAsia="zh-CN"/>
                <w14:textFill>
                  <w14:solidFill>
                    <w14:schemeClr w14:val="tx1"/>
                  </w14:solidFill>
                </w14:textFill>
              </w:rPr>
              <w:t>2</w:t>
            </w:r>
            <w:r>
              <w:rPr>
                <w:rFonts w:hint="default" w:ascii="Times New Roman" w:hAnsi="Times New Roman" w:cs="Times New Roman"/>
                <w:color w:val="000000" w:themeColor="text1"/>
                <w:highlight w:val="none"/>
                <w:lang w:eastAsia="zh-CN"/>
                <w14:textFill>
                  <w14:solidFill>
                    <w14:schemeClr w14:val="tx1"/>
                  </w14:solidFill>
                </w14:textFill>
              </w:rPr>
              <w:t>O。这个反应展示了呋喃树脂中的羟基（‌R−OH）‌与对甲苯磺酸（‌CH</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−C</w:t>
            </w:r>
            <w:r>
              <w:rPr>
                <w:rFonts w:hint="default" w:ascii="Times New Roman" w:hAnsi="Times New Roman" w:cs="Times New Roman"/>
                <w:color w:val="000000" w:themeColor="text1"/>
                <w:highlight w:val="none"/>
                <w:vertAlign w:val="subscript"/>
                <w:lang w:eastAsia="zh-CN"/>
                <w14:textFill>
                  <w14:solidFill>
                    <w14:schemeClr w14:val="tx1"/>
                  </w14:solidFill>
                </w14:textFill>
              </w:rPr>
              <w:t>6</w:t>
            </w:r>
            <w:r>
              <w:rPr>
                <w:rFonts w:hint="default" w:ascii="Times New Roman" w:hAnsi="Times New Roman" w:cs="Times New Roman"/>
                <w:color w:val="000000" w:themeColor="text1"/>
                <w:highlight w:val="none"/>
                <w:lang w:eastAsia="zh-CN"/>
                <w14:textFill>
                  <w14:solidFill>
                    <w14:schemeClr w14:val="tx1"/>
                  </w14:solidFill>
                </w14:textFill>
              </w:rPr>
              <w:t>H</w:t>
            </w:r>
            <w:r>
              <w:rPr>
                <w:rFonts w:hint="default" w:ascii="Times New Roman" w:hAnsi="Times New Roman" w:cs="Times New Roman"/>
                <w:color w:val="000000" w:themeColor="text1"/>
                <w:highlight w:val="none"/>
                <w:vertAlign w:val="subscript"/>
                <w:lang w:eastAsia="zh-CN"/>
                <w14:textFill>
                  <w14:solidFill>
                    <w14:schemeClr w14:val="tx1"/>
                  </w14:solidFill>
                </w14:textFill>
              </w:rPr>
              <w:t>4</w:t>
            </w:r>
            <w:r>
              <w:rPr>
                <w:rFonts w:hint="default" w:ascii="Times New Roman" w:hAnsi="Times New Roman" w:cs="Times New Roman"/>
                <w:color w:val="000000" w:themeColor="text1"/>
                <w:highlight w:val="none"/>
                <w:lang w:eastAsia="zh-CN"/>
                <w14:textFill>
                  <w14:solidFill>
                    <w14:schemeClr w14:val="tx1"/>
                  </w14:solidFill>
                </w14:textFill>
              </w:rPr>
              <w:t>−SO</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H）‌发生中和反应，‌生成对甲苯磺酸酯（‌CH</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−C</w:t>
            </w:r>
            <w:r>
              <w:rPr>
                <w:rFonts w:hint="default" w:ascii="Times New Roman" w:hAnsi="Times New Roman" w:cs="Times New Roman"/>
                <w:color w:val="000000" w:themeColor="text1"/>
                <w:highlight w:val="none"/>
                <w:vertAlign w:val="subscript"/>
                <w:lang w:eastAsia="zh-CN"/>
                <w14:textFill>
                  <w14:solidFill>
                    <w14:schemeClr w14:val="tx1"/>
                  </w14:solidFill>
                </w14:textFill>
              </w:rPr>
              <w:t>6</w:t>
            </w:r>
            <w:r>
              <w:rPr>
                <w:rFonts w:hint="default" w:ascii="Times New Roman" w:hAnsi="Times New Roman" w:cs="Times New Roman"/>
                <w:color w:val="000000" w:themeColor="text1"/>
                <w:highlight w:val="none"/>
                <w:lang w:eastAsia="zh-CN"/>
                <w14:textFill>
                  <w14:solidFill>
                    <w14:schemeClr w14:val="tx1"/>
                  </w14:solidFill>
                </w14:textFill>
              </w:rPr>
              <w:t>H</w:t>
            </w:r>
            <w:r>
              <w:rPr>
                <w:rFonts w:hint="default" w:ascii="Times New Roman" w:hAnsi="Times New Roman" w:cs="Times New Roman"/>
                <w:color w:val="000000" w:themeColor="text1"/>
                <w:highlight w:val="none"/>
                <w:vertAlign w:val="subscript"/>
                <w:lang w:eastAsia="zh-CN"/>
                <w14:textFill>
                  <w14:solidFill>
                    <w14:schemeClr w14:val="tx1"/>
                  </w14:solidFill>
                </w14:textFill>
              </w:rPr>
              <w:t>4</w:t>
            </w:r>
            <w:r>
              <w:rPr>
                <w:rFonts w:hint="default" w:ascii="Times New Roman" w:hAnsi="Times New Roman" w:cs="Times New Roman"/>
                <w:color w:val="000000" w:themeColor="text1"/>
                <w:highlight w:val="none"/>
                <w:lang w:eastAsia="zh-CN"/>
                <w14:textFill>
                  <w14:solidFill>
                    <w14:schemeClr w14:val="tx1"/>
                  </w14:solidFill>
                </w14:textFill>
              </w:rPr>
              <w:t>−SO</w:t>
            </w:r>
            <w:r>
              <w:rPr>
                <w:rFonts w:hint="default" w:ascii="Times New Roman" w:hAnsi="Times New Roman" w:cs="Times New Roman"/>
                <w:color w:val="000000" w:themeColor="text1"/>
                <w:highlight w:val="none"/>
                <w:vertAlign w:val="subscript"/>
                <w:lang w:eastAsia="zh-CN"/>
                <w14:textFill>
                  <w14:solidFill>
                    <w14:schemeClr w14:val="tx1"/>
                  </w14:solidFill>
                </w14:textFill>
              </w:rPr>
              <w:t>3</w:t>
            </w:r>
            <w:r>
              <w:rPr>
                <w:rFonts w:hint="default" w:ascii="Times New Roman" w:hAnsi="Times New Roman" w:cs="Times New Roman"/>
                <w:color w:val="000000" w:themeColor="text1"/>
                <w:highlight w:val="none"/>
                <w:lang w:eastAsia="zh-CN"/>
                <w14:textFill>
                  <w14:solidFill>
                    <w14:schemeClr w14:val="tx1"/>
                  </w14:solidFill>
                </w14:textFill>
              </w:rPr>
              <w:t>R）‌和水（‌H</w:t>
            </w:r>
            <w:r>
              <w:rPr>
                <w:rFonts w:hint="default" w:ascii="Times New Roman" w:hAnsi="Times New Roman" w:cs="Times New Roman"/>
                <w:color w:val="000000" w:themeColor="text1"/>
                <w:highlight w:val="none"/>
                <w:vertAlign w:val="subscript"/>
                <w:lang w:eastAsia="zh-CN"/>
                <w14:textFill>
                  <w14:solidFill>
                    <w14:schemeClr w14:val="tx1"/>
                  </w14:solidFill>
                </w14:textFill>
              </w:rPr>
              <w:t>2</w:t>
            </w:r>
            <w:r>
              <w:rPr>
                <w:rFonts w:hint="default" w:ascii="Times New Roman" w:hAnsi="Times New Roman" w:cs="Times New Roman"/>
                <w:color w:val="000000" w:themeColor="text1"/>
                <w:highlight w:val="none"/>
                <w:lang w:eastAsia="zh-CN"/>
                <w14:textFill>
                  <w14:solidFill>
                    <w14:schemeClr w14:val="tx1"/>
                  </w14:solidFill>
                </w14:textFill>
              </w:rPr>
              <w:t>O）‌。‌</w:t>
            </w:r>
          </w:p>
          <w:p w14:paraId="6989A8ED">
            <w:pPr>
              <w:pStyle w:val="58"/>
              <w:shd w:val="clear" w:color="auto" w:fill="auto"/>
              <w:ind w:firstLine="480" w:firstLineChars="200"/>
              <w:rPr>
                <w:rFonts w:hint="default" w:ascii="Times New Roman" w:hAnsi="Times New Roman" w:eastAsia="宋体" w:cs="Times New Roman"/>
                <w:b w:val="0"/>
                <w:color w:val="000000" w:themeColor="text1"/>
                <w:highlight w:val="none"/>
                <w:lang w:val="en-US" w:eastAsia="zh-CN"/>
                <w14:textFill>
                  <w14:solidFill>
                    <w14:schemeClr w14:val="tx1"/>
                  </w14:solidFill>
                </w14:textFill>
              </w:rPr>
            </w:pPr>
            <w:r>
              <w:rPr>
                <w:rFonts w:hint="eastAsia" w:ascii="宋体" w:hAnsi="宋体" w:eastAsia="宋体" w:cs="宋体"/>
                <w:b w:val="0"/>
                <w:color w:val="000000" w:themeColor="text1"/>
                <w:highlight w:val="none"/>
                <w14:textFill>
                  <w14:solidFill>
                    <w14:schemeClr w14:val="tx1"/>
                  </w14:solidFill>
                </w14:textFill>
              </w:rPr>
              <w:t>②</w:t>
            </w:r>
            <w:r>
              <w:rPr>
                <w:rFonts w:hint="eastAsia" w:ascii="宋体" w:hAnsi="宋体" w:eastAsia="宋体" w:cs="宋体"/>
                <w:b w:val="0"/>
                <w:color w:val="000000" w:themeColor="text1"/>
                <w:highlight w:val="none"/>
                <w:lang w:val="en-US" w:eastAsia="zh-CN"/>
                <w14:textFill>
                  <w14:solidFill>
                    <w14:schemeClr w14:val="tx1"/>
                  </w14:solidFill>
                </w14:textFill>
              </w:rPr>
              <w:t>粘土砂</w:t>
            </w:r>
            <w:r>
              <w:rPr>
                <w:rFonts w:hint="eastAsia" w:ascii="宋体" w:hAnsi="宋体" w:cs="宋体"/>
                <w:b w:val="0"/>
                <w:color w:val="000000" w:themeColor="text1"/>
                <w:highlight w:val="none"/>
                <w:lang w:val="en-US" w:eastAsia="zh-CN"/>
                <w14:textFill>
                  <w14:solidFill>
                    <w14:schemeClr w14:val="tx1"/>
                  </w14:solidFill>
                </w14:textFill>
              </w:rPr>
              <w:t>造型</w:t>
            </w:r>
          </w:p>
          <w:p w14:paraId="2DED4338">
            <w:pPr>
              <w:pStyle w:val="56"/>
              <w:shd w:val="clear" w:color="auto" w:fill="auto"/>
              <w:ind w:firstLine="480"/>
              <w:rPr>
                <w:rFonts w:hint="default" w:ascii="Times New Roman" w:hAnsi="Times New Roman" w:eastAsia="宋体"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将混合好的</w:t>
            </w:r>
            <w:r>
              <w:rPr>
                <w:rFonts w:hint="default" w:ascii="Times New Roman" w:hAnsi="Times New Roman" w:cs="Times New Roman"/>
                <w:color w:val="000000" w:themeColor="text1"/>
                <w:szCs w:val="21"/>
                <w:lang w:val="en-US" w:eastAsia="zh-CN"/>
                <w14:textFill>
                  <w14:solidFill>
                    <w14:schemeClr w14:val="tx1"/>
                  </w14:solidFill>
                </w14:textFill>
              </w:rPr>
              <w:t>湿式</w:t>
            </w:r>
            <w:r>
              <w:rPr>
                <w:rFonts w:hint="eastAsia" w:cs="Times New Roman"/>
                <w:color w:val="000000" w:themeColor="text1"/>
                <w:highlight w:val="none"/>
                <w:lang w:val="en-US" w:eastAsia="zh-CN"/>
                <w14:textFill>
                  <w14:solidFill>
                    <w14:schemeClr w14:val="tx1"/>
                  </w14:solidFill>
                </w14:textFill>
              </w:rPr>
              <w:t>粘土</w:t>
            </w:r>
            <w:r>
              <w:rPr>
                <w:rFonts w:hint="default" w:ascii="Times New Roman" w:hAnsi="Times New Roman" w:cs="Times New Roman"/>
                <w:color w:val="000000" w:themeColor="text1"/>
                <w:highlight w:val="none"/>
                <w14:textFill>
                  <w14:solidFill>
                    <w14:schemeClr w14:val="tx1"/>
                  </w14:solidFill>
                </w14:textFill>
              </w:rPr>
              <w:t>砂填充到</w:t>
            </w:r>
            <w:r>
              <w:rPr>
                <w:rFonts w:hint="eastAsia" w:cs="Times New Roman"/>
                <w:color w:val="000000" w:themeColor="text1"/>
                <w:highlight w:val="none"/>
                <w:lang w:val="en-US" w:eastAsia="zh-CN"/>
                <w14:textFill>
                  <w14:solidFill>
                    <w14:schemeClr w14:val="tx1"/>
                  </w14:solidFill>
                </w14:textFill>
              </w:rPr>
              <w:t>全自动造型机的</w:t>
            </w:r>
            <w:r>
              <w:rPr>
                <w:rFonts w:hint="default" w:ascii="Times New Roman" w:hAnsi="Times New Roman" w:cs="Times New Roman"/>
                <w:color w:val="000000" w:themeColor="text1"/>
                <w:highlight w:val="none"/>
                <w14:textFill>
                  <w14:solidFill>
                    <w14:schemeClr w14:val="tx1"/>
                  </w14:solidFill>
                </w14:textFill>
              </w:rPr>
              <w:t>砂箱‌中，在外力作用下成形并达到一定的紧实度，‌从而形成砂型或砂芯。‌这种紧实后的型砂结构具有一定的强度和韧性，‌能够满足铸造过程中的各种需求</w:t>
            </w:r>
            <w:r>
              <w:rPr>
                <w:rFonts w:hint="default" w:ascii="Times New Roman" w:hAnsi="Times New Roman" w:eastAsia="宋体" w:cs="Times New Roman"/>
                <w:color w:val="000000" w:themeColor="text1"/>
                <w:highlight w:val="none"/>
                <w14:textFill>
                  <w14:solidFill>
                    <w14:schemeClr w14:val="tx1"/>
                  </w14:solidFill>
                </w14:textFill>
              </w:rPr>
              <w:t>‌。</w:t>
            </w:r>
          </w:p>
          <w:p w14:paraId="79611970">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）浇注、冷却</w:t>
            </w:r>
          </w:p>
          <w:p w14:paraId="0220F463">
            <w:pPr>
              <w:pStyle w:val="56"/>
              <w:shd w:val="clear" w:color="auto" w:fill="auto"/>
              <w:ind w:firstLine="480"/>
              <w:rPr>
                <w:rFonts w:hint="default" w:ascii="Times New Roman" w:hAnsi="Times New Roman" w:cs="Times New Roman"/>
                <w:bCs/>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转动感应炉将熔化的金属液由感应炉出口流入</w:t>
            </w:r>
            <w:r>
              <w:rPr>
                <w:rFonts w:hint="eastAsia" w:ascii="Times New Roman" w:hAnsi="Times New Roman" w:cs="Times New Roman"/>
                <w:color w:val="000000" w:themeColor="text1"/>
                <w:highlight w:val="none"/>
                <w:lang w:val="en-US" w:eastAsia="zh-CN"/>
                <w14:textFill>
                  <w14:solidFill>
                    <w14:schemeClr w14:val="tx1"/>
                  </w14:solidFill>
                </w14:textFill>
              </w:rPr>
              <w:t>铁</w:t>
            </w:r>
            <w:r>
              <w:rPr>
                <w:rFonts w:hint="default" w:ascii="Times New Roman" w:hAnsi="Times New Roman" w:cs="Times New Roman"/>
                <w:color w:val="000000" w:themeColor="text1"/>
                <w:highlight w:val="none"/>
                <w14:textFill>
                  <w14:solidFill>
                    <w14:schemeClr w14:val="tx1"/>
                  </w14:solidFill>
                </w14:textFill>
              </w:rPr>
              <w:t>水包，然后用行车将</w:t>
            </w:r>
            <w:r>
              <w:rPr>
                <w:rFonts w:hint="eastAsia" w:ascii="Times New Roman" w:hAnsi="Times New Roman" w:cs="Times New Roman"/>
                <w:color w:val="000000" w:themeColor="text1"/>
                <w:highlight w:val="none"/>
                <w:lang w:val="en-US" w:eastAsia="zh-CN"/>
                <w14:textFill>
                  <w14:solidFill>
                    <w14:schemeClr w14:val="tx1"/>
                  </w14:solidFill>
                </w14:textFill>
              </w:rPr>
              <w:t>铁</w:t>
            </w:r>
            <w:r>
              <w:rPr>
                <w:rFonts w:hint="default" w:ascii="Times New Roman" w:hAnsi="Times New Roman" w:cs="Times New Roman"/>
                <w:color w:val="000000" w:themeColor="text1"/>
                <w:highlight w:val="none"/>
                <w14:textFill>
                  <w14:solidFill>
                    <w14:schemeClr w14:val="tx1"/>
                  </w14:solidFill>
                </w14:textFill>
              </w:rPr>
              <w:t>水包移动至浇筑区将铁水浇入铸件模型。</w:t>
            </w:r>
            <w:r>
              <w:rPr>
                <w:rFonts w:hint="default" w:ascii="Times New Roman" w:hAnsi="Times New Roman" w:cs="Times New Roman"/>
                <w:bCs/>
                <w:color w:val="000000" w:themeColor="text1"/>
                <w:highlight w:val="none"/>
                <w14:textFill>
                  <w14:solidFill>
                    <w14:schemeClr w14:val="tx1"/>
                  </w14:solidFill>
                </w14:textFill>
              </w:rPr>
              <w:t>经浇注好的</w:t>
            </w:r>
            <w:r>
              <w:rPr>
                <w:rFonts w:hint="eastAsia" w:ascii="Times New Roman" w:hAnsi="Times New Roman" w:cs="Times New Roman"/>
                <w:bCs/>
                <w:color w:val="000000" w:themeColor="text1"/>
                <w:highlight w:val="none"/>
                <w:lang w:val="en-US" w:eastAsia="zh-CN"/>
                <w14:textFill>
                  <w14:solidFill>
                    <w14:schemeClr w14:val="tx1"/>
                  </w14:solidFill>
                </w14:textFill>
              </w:rPr>
              <w:t>铸铁</w:t>
            </w:r>
            <w:r>
              <w:rPr>
                <w:rFonts w:hint="default" w:ascii="Times New Roman" w:hAnsi="Times New Roman" w:cs="Times New Roman"/>
                <w:bCs/>
                <w:color w:val="000000" w:themeColor="text1"/>
                <w:highlight w:val="none"/>
                <w14:textFill>
                  <w14:solidFill>
                    <w14:schemeClr w14:val="tx1"/>
                  </w14:solidFill>
                </w14:textFill>
              </w:rPr>
              <w:t>件自然冷却，冷却时间约为20分钟。</w:t>
            </w:r>
          </w:p>
          <w:p w14:paraId="1D647724">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）落砂</w:t>
            </w:r>
          </w:p>
          <w:p w14:paraId="38552506">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工件冷却后，放入振动式落砂机，将砂模和铸件分离。落砂后的铸件从振动式落砂机取出，废砂经</w:t>
            </w:r>
            <w:r>
              <w:rPr>
                <w:rFonts w:hint="eastAsia" w:cs="Times New Roman"/>
                <w:color w:val="000000" w:themeColor="text1"/>
                <w:highlight w:val="none"/>
                <w:lang w:val="en-US" w:eastAsia="zh-CN"/>
                <w14:textFill>
                  <w14:solidFill>
                    <w14:schemeClr w14:val="tx1"/>
                  </w14:solidFill>
                </w14:textFill>
              </w:rPr>
              <w:t>提升机提升至</w:t>
            </w:r>
            <w:r>
              <w:rPr>
                <w:rFonts w:hint="default" w:ascii="Times New Roman" w:hAnsi="Times New Roman" w:cs="Times New Roman"/>
                <w:color w:val="000000" w:themeColor="text1"/>
                <w:highlight w:val="none"/>
                <w14:textFill>
                  <w14:solidFill>
                    <w14:schemeClr w14:val="tx1"/>
                  </w14:solidFill>
                </w14:textFill>
              </w:rPr>
              <w:t>连接的</w:t>
            </w:r>
            <w:r>
              <w:rPr>
                <w:rFonts w:hint="eastAsia" w:cs="Times New Roman"/>
                <w:color w:val="000000" w:themeColor="text1"/>
                <w:highlight w:val="none"/>
                <w:lang w:val="en-US" w:eastAsia="zh-CN"/>
                <w14:textFill>
                  <w14:solidFill>
                    <w14:schemeClr w14:val="tx1"/>
                  </w14:solidFill>
                </w14:textFill>
              </w:rPr>
              <w:t>输送机上</w:t>
            </w:r>
            <w:r>
              <w:rPr>
                <w:rFonts w:hint="default" w:ascii="Times New Roman" w:hAnsi="Times New Roman" w:cs="Times New Roman"/>
                <w:color w:val="000000" w:themeColor="text1"/>
                <w:highlight w:val="none"/>
                <w14:textFill>
                  <w14:solidFill>
                    <w14:schemeClr w14:val="tx1"/>
                  </w14:solidFill>
                </w14:textFill>
              </w:rPr>
              <w:t>进入砂再生系统</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整个提升、输送、砂再生线均处于密闭装置中</w:t>
            </w:r>
            <w:r>
              <w:rPr>
                <w:rFonts w:hint="default" w:ascii="Times New Roman" w:hAnsi="Times New Roman" w:cs="Times New Roman"/>
                <w:color w:val="000000" w:themeColor="text1"/>
                <w:highlight w:val="none"/>
                <w14:textFill>
                  <w14:solidFill>
                    <w14:schemeClr w14:val="tx1"/>
                  </w14:solidFill>
                </w14:textFill>
              </w:rPr>
              <w:t>。</w:t>
            </w:r>
          </w:p>
          <w:p w14:paraId="2A559D5A">
            <w:pPr>
              <w:pStyle w:val="56"/>
              <w:shd w:val="clear" w:color="auto" w:fill="auto"/>
              <w:ind w:firstLine="480"/>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4</w:t>
            </w: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剪切</w:t>
            </w:r>
          </w:p>
          <w:p w14:paraId="0F9F1646">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使用液压分离钳</w:t>
            </w:r>
            <w:r>
              <w:rPr>
                <w:rFonts w:hint="eastAsia" w:ascii="Times New Roman" w:hAnsi="Times New Roman" w:cs="Times New Roman"/>
                <w:color w:val="000000" w:themeColor="text1"/>
                <w:highlight w:val="none"/>
                <w:lang w:val="en-US" w:eastAsia="zh-CN"/>
                <w14:textFill>
                  <w14:solidFill>
                    <w14:schemeClr w14:val="tx1"/>
                  </w14:solidFill>
                </w14:textFill>
              </w:rPr>
              <w:t>剪切</w:t>
            </w:r>
            <w:r>
              <w:rPr>
                <w:rFonts w:hint="default" w:ascii="Times New Roman" w:hAnsi="Times New Roman" w:cs="Times New Roman"/>
                <w:color w:val="000000" w:themeColor="text1"/>
                <w:highlight w:val="none"/>
                <w14:textFill>
                  <w14:solidFill>
                    <w14:schemeClr w14:val="tx1"/>
                  </w14:solidFill>
                </w14:textFill>
              </w:rPr>
              <w:t>铸件浇冒口</w:t>
            </w:r>
            <w:r>
              <w:rPr>
                <w:rFonts w:hint="eastAsia" w:ascii="Times New Roman" w:hAnsi="Times New Roman" w:cs="Times New Roman"/>
                <w:color w:val="000000" w:themeColor="text1"/>
                <w:highlight w:val="none"/>
                <w:lang w:val="en-US" w:eastAsia="zh-CN"/>
                <w14:textFill>
                  <w14:solidFill>
                    <w14:schemeClr w14:val="tx1"/>
                  </w14:solidFill>
                </w14:textFill>
              </w:rPr>
              <w:t>以及分离铸件单体</w:t>
            </w:r>
            <w:r>
              <w:rPr>
                <w:rFonts w:hint="default" w:ascii="Times New Roman" w:hAnsi="Times New Roman" w:cs="Times New Roman"/>
                <w:color w:val="000000" w:themeColor="text1"/>
                <w:highlight w:val="none"/>
                <w14:textFill>
                  <w14:solidFill>
                    <w14:schemeClr w14:val="tx1"/>
                  </w14:solidFill>
                </w14:textFill>
              </w:rPr>
              <w:t>。</w:t>
            </w:r>
          </w:p>
          <w:p w14:paraId="0747563E">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）打磨</w:t>
            </w:r>
          </w:p>
          <w:p w14:paraId="38A6E86C">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使用立式砂轮机对铸件进行打磨，去除铸件表面毛刺。</w:t>
            </w:r>
          </w:p>
          <w:p w14:paraId="0DD5A0DC">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）抛丸</w:t>
            </w:r>
          </w:p>
          <w:p w14:paraId="43AF97FA">
            <w:pPr>
              <w:pStyle w:val="4"/>
              <w:keepNext w:val="0"/>
              <w:keepLines w:val="0"/>
              <w:shd w:val="clear" w:color="auto" w:fill="auto"/>
              <w:tabs>
                <w:tab w:val="left" w:pos="0"/>
              </w:tabs>
              <w:adjustRightInd w:val="0"/>
              <w:snapToGrid w:val="0"/>
              <w:spacing w:before="0" w:after="0" w:line="360" w:lineRule="auto"/>
              <w:ind w:firstLine="480"/>
              <w:rPr>
                <w:rFonts w:hint="default" w:ascii="Times New Roman" w:hAnsi="Times New Roman" w:cs="Times New Roman"/>
                <w:b w:val="0"/>
                <w:color w:val="000000" w:themeColor="text1"/>
                <w:sz w:val="24"/>
                <w:szCs w:val="24"/>
                <w:highlight w:val="none"/>
                <w14:textFill>
                  <w14:solidFill>
                    <w14:schemeClr w14:val="tx1"/>
                  </w14:solidFill>
                </w14:textFill>
              </w:rPr>
            </w:pPr>
            <w:r>
              <w:rPr>
                <w:rFonts w:hint="default" w:ascii="Times New Roman" w:hAnsi="Times New Roman" w:cs="Times New Roman"/>
                <w:b w:val="0"/>
                <w:color w:val="000000" w:themeColor="text1"/>
                <w:sz w:val="24"/>
                <w:szCs w:val="24"/>
                <w:highlight w:val="none"/>
                <w14:textFill>
                  <w14:solidFill>
                    <w14:schemeClr w14:val="tx1"/>
                  </w14:solidFill>
                </w14:textFill>
              </w:rPr>
              <w:t>抛丸机主要去除产品表面的氧化皮、粘砂等，因工件表面会有少许金属与空气接触而形成氧化层，需利用抛丸机对其进行处理，抛丸加工过程是利用抛丸机抛出的高速钢砂弹丸冲击在工件表面，使构件各表面上的氧化皮等迅速脱落，获得一定粗糙度的光洁表面。</w:t>
            </w:r>
          </w:p>
          <w:p w14:paraId="1B65D477">
            <w:pPr>
              <w:pStyle w:val="4"/>
              <w:keepNext w:val="0"/>
              <w:keepLines w:val="0"/>
              <w:shd w:val="clear" w:color="auto" w:fill="auto"/>
              <w:tabs>
                <w:tab w:val="left" w:pos="0"/>
              </w:tabs>
              <w:adjustRightInd w:val="0"/>
              <w:snapToGrid w:val="0"/>
              <w:spacing w:before="0" w:after="0" w:line="360" w:lineRule="auto"/>
              <w:ind w:firstLine="480"/>
              <w:rPr>
                <w:rFonts w:hint="default" w:ascii="Times New Roman" w:hAnsi="Times New Roman" w:cs="Times New Roman"/>
                <w:b w:val="0"/>
                <w:color w:val="000000" w:themeColor="text1"/>
                <w:sz w:val="24"/>
                <w:szCs w:val="24"/>
                <w:highlight w:val="none"/>
                <w14:textFill>
                  <w14:solidFill>
                    <w14:schemeClr w14:val="tx1"/>
                  </w14:solidFill>
                </w14:textFill>
              </w:rPr>
            </w:pPr>
            <w:r>
              <w:rPr>
                <w:rFonts w:hint="default" w:ascii="Times New Roman" w:hAnsi="Times New Roman" w:cs="Times New Roman"/>
                <w:b w:val="0"/>
                <w:color w:val="000000" w:themeColor="text1"/>
                <w:sz w:val="24"/>
                <w:szCs w:val="24"/>
                <w:highlight w:val="none"/>
                <w14:textFill>
                  <w14:solidFill>
                    <w14:schemeClr w14:val="tx1"/>
                  </w14:solidFill>
                </w14:textFill>
              </w:rPr>
              <w:t>（</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b w:val="0"/>
                <w:color w:val="000000" w:themeColor="text1"/>
                <w:sz w:val="24"/>
                <w:szCs w:val="24"/>
                <w:highlight w:val="none"/>
                <w14:textFill>
                  <w14:solidFill>
                    <w14:schemeClr w14:val="tx1"/>
                  </w14:solidFill>
                </w14:textFill>
              </w:rPr>
              <w:t>）机加工</w:t>
            </w:r>
          </w:p>
          <w:p w14:paraId="17930D31">
            <w:pPr>
              <w:pStyle w:val="4"/>
              <w:keepNext w:val="0"/>
              <w:keepLines w:val="0"/>
              <w:shd w:val="clear" w:color="auto" w:fill="auto"/>
              <w:tabs>
                <w:tab w:val="left" w:pos="0"/>
              </w:tabs>
              <w:adjustRightInd w:val="0"/>
              <w:snapToGrid w:val="0"/>
              <w:spacing w:before="0" w:after="0" w:line="360" w:lineRule="auto"/>
              <w:ind w:firstLine="480"/>
              <w:jc w:val="both"/>
              <w:rPr>
                <w:rFonts w:hint="default" w:ascii="Times New Roman" w:hAnsi="Times New Roman" w:eastAsia="宋体" w:cs="Times New Roman"/>
                <w:b w:val="0"/>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 w:val="0"/>
                <w:color w:val="000000" w:themeColor="text1"/>
                <w:sz w:val="24"/>
                <w:szCs w:val="24"/>
                <w:highlight w:val="none"/>
                <w14:textFill>
                  <w14:solidFill>
                    <w14:schemeClr w14:val="tx1"/>
                  </w14:solidFill>
                </w14:textFill>
              </w:rPr>
              <w:t>经抛丸处理过的铸件按照需要再使用机加工设备（数控车床/数控立车/立式加工中心等对铸件进行机加工</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处理，得到半成品</w:t>
            </w:r>
            <w:r>
              <w:rPr>
                <w:rFonts w:hint="default" w:ascii="Times New Roman" w:hAnsi="Times New Roman" w:cs="Times New Roman"/>
                <w:b w:val="0"/>
                <w:color w:val="000000" w:themeColor="text1"/>
                <w:sz w:val="24"/>
                <w:szCs w:val="24"/>
                <w:highlight w:val="none"/>
                <w14:textFill>
                  <w14:solidFill>
                    <w14:schemeClr w14:val="tx1"/>
                  </w14:solidFill>
                </w14:textFill>
              </w:rPr>
              <w:t>。</w:t>
            </w:r>
            <w:r>
              <w:rPr>
                <w:rFonts w:hint="eastAsia" w:cs="Times New Roman"/>
                <w:b w:val="0"/>
                <w:color w:val="000000" w:themeColor="text1"/>
                <w:sz w:val="24"/>
                <w:szCs w:val="24"/>
                <w:highlight w:val="none"/>
                <w:lang w:val="en-US" w:eastAsia="zh-CN"/>
                <w14:textFill>
                  <w14:solidFill>
                    <w14:schemeClr w14:val="tx1"/>
                  </w14:solidFill>
                </w14:textFill>
              </w:rPr>
              <w:t>机加工过程使用乳化液作为润滑剂，乳化液经设备自带的格栅网过滤后将刨花屑与乳化液分离，乳化液流入设备下方循环池内，再引至乳化液喷嘴加工铸件，如此循环使用，待乳化液失效后更换废乳化液委托有资质单位处置。</w:t>
            </w:r>
          </w:p>
          <w:p w14:paraId="171FF408">
            <w:pPr>
              <w:pStyle w:val="56"/>
              <w:shd w:val="clear" w:color="auto" w:fill="auto"/>
              <w:ind w:firstLine="480"/>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8</w:t>
            </w: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清灰</w:t>
            </w:r>
          </w:p>
          <w:p w14:paraId="60AD9758">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使用</w:t>
            </w:r>
            <w:r>
              <w:rPr>
                <w:rFonts w:hint="eastAsia" w:ascii="Times New Roman" w:hAnsi="Times New Roman" w:cs="Times New Roman"/>
                <w:color w:val="000000" w:themeColor="text1"/>
                <w:highlight w:val="none"/>
                <w:lang w:val="en-US" w:eastAsia="zh-CN"/>
                <w14:textFill>
                  <w14:solidFill>
                    <w14:schemeClr w14:val="tx1"/>
                  </w14:solidFill>
                </w14:textFill>
              </w:rPr>
              <w:t>空压机产生的压缩空气对铸件表面进行清灰处理，去除铸件表面微量灰层</w:t>
            </w:r>
            <w:r>
              <w:rPr>
                <w:rFonts w:hint="default" w:ascii="Times New Roman" w:hAnsi="Times New Roman" w:cs="Times New Roman"/>
                <w:color w:val="000000" w:themeColor="text1"/>
                <w:highlight w:val="none"/>
                <w14:textFill>
                  <w14:solidFill>
                    <w14:schemeClr w14:val="tx1"/>
                  </w14:solidFill>
                </w14:textFill>
              </w:rPr>
              <w:t>。</w:t>
            </w:r>
          </w:p>
          <w:p w14:paraId="7B7C4674">
            <w:pPr>
              <w:pStyle w:val="56"/>
              <w:shd w:val="clear" w:color="auto" w:fill="auto"/>
              <w:ind w:firstLine="480"/>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9</w:t>
            </w: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挂件</w:t>
            </w:r>
          </w:p>
          <w:p w14:paraId="10304930">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eastAsia" w:ascii="Times New Roman" w:hAnsi="Times New Roman" w:cs="Times New Roman"/>
                <w:color w:val="000000" w:themeColor="text1"/>
                <w:highlight w:val="none"/>
                <w:lang w:val="en-US" w:eastAsia="zh-CN"/>
                <w14:textFill>
                  <w14:solidFill>
                    <w14:schemeClr w14:val="tx1"/>
                  </w14:solidFill>
                </w14:textFill>
              </w:rPr>
              <w:t>将清灰后的铸件送至喷漆房通过手工挂件方式将铸件悬挂在悬挂式流水线上送至喷漆柜内</w:t>
            </w:r>
            <w:r>
              <w:rPr>
                <w:rFonts w:hint="default" w:ascii="Times New Roman" w:hAnsi="Times New Roman" w:cs="Times New Roman"/>
                <w:color w:val="000000" w:themeColor="text1"/>
                <w:highlight w:val="none"/>
                <w14:textFill>
                  <w14:solidFill>
                    <w14:schemeClr w14:val="tx1"/>
                  </w14:solidFill>
                </w14:textFill>
              </w:rPr>
              <w:t>。</w:t>
            </w:r>
          </w:p>
          <w:p w14:paraId="10BF82DF">
            <w:pPr>
              <w:pStyle w:val="56"/>
              <w:shd w:val="clear" w:color="auto" w:fill="auto"/>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10</w:t>
            </w:r>
            <w:r>
              <w:rPr>
                <w:rFonts w:hint="default" w:ascii="Times New Roman" w:hAnsi="Times New Roman" w:cs="Times New Roman"/>
                <w:color w:val="000000" w:themeColor="text1"/>
                <w:highlight w:val="none"/>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喷漆</w:t>
            </w:r>
          </w:p>
          <w:p w14:paraId="65DF06AE">
            <w:pPr>
              <w:pStyle w:val="56"/>
              <w:shd w:val="clear" w:color="auto" w:fill="auto"/>
              <w:ind w:firstLine="48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外购已经调配好的金属漆使用</w:t>
            </w:r>
            <w:r>
              <w:rPr>
                <w:rFonts w:hint="eastAsia" w:cs="Times New Roman"/>
                <w:color w:val="000000" w:themeColor="text1"/>
                <w:sz w:val="24"/>
                <w:szCs w:val="24"/>
                <w:highlight w:val="none"/>
                <w:lang w:val="en-US" w:eastAsia="zh-CN"/>
                <w14:textFill>
                  <w14:solidFill>
                    <w14:schemeClr w14:val="tx1"/>
                  </w14:solidFill>
                </w14:textFill>
              </w:rPr>
              <w:t>空气</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手工喷枪对悬挂式流水线上的铸铁件进行均匀的喷涂</w:t>
            </w:r>
            <w:r>
              <w:rPr>
                <w:rFonts w:hint="eastAsia" w:cs="Times New Roman"/>
                <w:color w:val="000000" w:themeColor="text1"/>
                <w:highlight w:val="none"/>
                <w:lang w:val="en-US" w:eastAsia="zh-CN"/>
                <w14:textFill>
                  <w14:solidFill>
                    <w14:schemeClr w14:val="tx1"/>
                  </w14:solidFill>
                </w14:textFill>
              </w:rPr>
              <w:t>，上漆率约40%</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，涂层</w:t>
            </w:r>
            <w:r>
              <w:rPr>
                <w:rFonts w:hint="default" w:ascii="Times New Roman" w:hAnsi="Times New Roman" w:eastAsia="宋体" w:cs="Times New Roman"/>
                <w:color w:val="000000" w:themeColor="text1"/>
                <w:highlight w:val="none"/>
                <w:lang w:val="en-US" w:eastAsia="zh-CN"/>
                <w14:textFill>
                  <w14:solidFill>
                    <w14:schemeClr w14:val="tx1"/>
                  </w14:solidFill>
                </w14:textFill>
              </w:rPr>
              <w:t>厚度约为20μ</w:t>
            </w:r>
            <w:r>
              <w:rPr>
                <w:rFonts w:hint="eastAsia" w:ascii="Times New Roman" w:hAnsi="Times New Roman" w:eastAsia="宋体" w:cs="Times New Roman"/>
                <w:color w:val="000000" w:themeColor="text1"/>
                <w:highlight w:val="none"/>
                <w:lang w:val="en-US" w:eastAsia="zh-CN"/>
                <w14:textFill>
                  <w14:solidFill>
                    <w14:schemeClr w14:val="tx1"/>
                  </w14:solidFill>
                </w14:textFill>
              </w:rPr>
              <w:t>m，本项目仅对平衡块进行防锈涂装，汽车排气歧管无需涂装</w:t>
            </w: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本项目采用密闭式喷漆房，喷漆房与晾干房相连，中间预留挂件通道，喷漆房具体平面布局如下。</w:t>
            </w:r>
          </w:p>
          <w:p w14:paraId="509F5136">
            <w:pPr>
              <w:pStyle w:val="56"/>
              <w:keepNext w:val="0"/>
              <w:keepLines w:val="0"/>
              <w:pageBreakBefore w:val="0"/>
              <w:widowControl w:val="0"/>
              <w:shd w:val="clear" w:color="auto" w:fill="auto"/>
              <w:kinsoku/>
              <w:wordWrap w:val="0"/>
              <w:overflowPunct/>
              <w:topLinePunct w:val="0"/>
              <w:autoSpaceDE/>
              <w:autoSpaceDN/>
              <w:bidi w:val="0"/>
              <w:adjustRightInd/>
              <w:snapToGrid/>
              <w:spacing w:line="240" w:lineRule="auto"/>
              <w:ind w:left="0" w:leftChars="0" w:firstLine="0" w:firstLineChars="0"/>
              <w:jc w:val="center"/>
              <w:textAlignment w:val="auto"/>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drawing>
                <wp:inline distT="0" distB="0" distL="114300" distR="114300">
                  <wp:extent cx="4339590" cy="2039620"/>
                  <wp:effectExtent l="0" t="0" r="3810" b="1778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8"/>
                          <a:stretch>
                            <a:fillRect/>
                          </a:stretch>
                        </pic:blipFill>
                        <pic:spPr>
                          <a:xfrm>
                            <a:off x="0" y="0"/>
                            <a:ext cx="4339590" cy="2039620"/>
                          </a:xfrm>
                          <a:prstGeom prst="rect">
                            <a:avLst/>
                          </a:prstGeom>
                          <a:noFill/>
                          <a:ln>
                            <a:noFill/>
                          </a:ln>
                        </pic:spPr>
                      </pic:pic>
                    </a:graphicData>
                  </a:graphic>
                </wp:inline>
              </w:drawing>
            </w:r>
          </w:p>
          <w:p w14:paraId="6E568BEA">
            <w:pPr>
              <w:pStyle w:val="56"/>
              <w:keepNext w:val="0"/>
              <w:keepLines w:val="0"/>
              <w:pageBreakBefore w:val="0"/>
              <w:widowControl w:val="0"/>
              <w:shd w:val="clear" w:color="auto" w:fill="auto"/>
              <w:kinsoku/>
              <w:wordWrap w:val="0"/>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000000" w:themeColor="text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highlight w:val="none"/>
                <w:lang w:val="en-US" w:eastAsia="zh-CN"/>
                <w14:textFill>
                  <w14:solidFill>
                    <w14:schemeClr w14:val="tx1"/>
                  </w14:solidFill>
                </w14:textFill>
              </w:rPr>
              <w:t>图2-</w:t>
            </w:r>
            <w:r>
              <w:rPr>
                <w:rFonts w:hint="eastAsia" w:cs="Times New Roman"/>
                <w:b/>
                <w:bCs/>
                <w:color w:val="000000" w:themeColor="text1"/>
                <w:highlight w:val="none"/>
                <w:lang w:val="en-US" w:eastAsia="zh-CN"/>
                <w14:textFill>
                  <w14:solidFill>
                    <w14:schemeClr w14:val="tx1"/>
                  </w14:solidFill>
                </w14:textFill>
              </w:rPr>
              <w:t>4</w:t>
            </w:r>
            <w:r>
              <w:rPr>
                <w:rFonts w:hint="eastAsia" w:ascii="Times New Roman" w:hAnsi="Times New Roman" w:eastAsia="宋体" w:cs="Times New Roman"/>
                <w:b/>
                <w:bCs/>
                <w:color w:val="000000" w:themeColor="text1"/>
                <w:highlight w:val="none"/>
                <w:lang w:val="en-US" w:eastAsia="zh-CN"/>
                <w14:textFill>
                  <w14:solidFill>
                    <w14:schemeClr w14:val="tx1"/>
                  </w14:solidFill>
                </w14:textFill>
              </w:rPr>
              <w:t xml:space="preserve"> 喷漆房与晾干房布局</w:t>
            </w:r>
          </w:p>
          <w:p w14:paraId="4A0B789F">
            <w:pPr>
              <w:pStyle w:val="4"/>
              <w:keepNext w:val="0"/>
              <w:keepLines w:val="0"/>
              <w:shd w:val="clear" w:color="auto" w:fill="auto"/>
              <w:tabs>
                <w:tab w:val="left" w:pos="0"/>
              </w:tabs>
              <w:adjustRightInd w:val="0"/>
              <w:snapToGrid w:val="0"/>
              <w:spacing w:before="0" w:after="0" w:line="360" w:lineRule="auto"/>
              <w:ind w:firstLine="480"/>
              <w:jc w:val="both"/>
              <w:rPr>
                <w:rFonts w:hint="eastAsia" w:ascii="Times New Roman" w:hAnsi="Times New Roman" w:eastAsia="宋体" w:cs="Times New Roman"/>
                <w:b w:val="0"/>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b w:val="0"/>
                <w:color w:val="000000" w:themeColor="text1"/>
                <w:sz w:val="24"/>
                <w:szCs w:val="24"/>
                <w:highlight w:val="none"/>
                <w14:textFill>
                  <w14:solidFill>
                    <w14:schemeClr w14:val="tx1"/>
                  </w14:solidFill>
                </w14:textFill>
              </w:rPr>
              <w:t>（</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11</w:t>
            </w:r>
            <w:r>
              <w:rPr>
                <w:rFonts w:hint="default" w:ascii="Times New Roman" w:hAnsi="Times New Roman" w:cs="Times New Roman"/>
                <w:b w:val="0"/>
                <w:color w:val="000000" w:themeColor="text1"/>
                <w:sz w:val="24"/>
                <w:szCs w:val="24"/>
                <w:highlight w:val="none"/>
                <w14:textFill>
                  <w14:solidFill>
                    <w14:schemeClr w14:val="tx1"/>
                  </w14:solidFill>
                </w14:textFill>
              </w:rPr>
              <w:t>）</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晾干</w:t>
            </w:r>
          </w:p>
          <w:p w14:paraId="23241E97">
            <w:pPr>
              <w:pStyle w:val="4"/>
              <w:keepNext w:val="0"/>
              <w:keepLines w:val="0"/>
              <w:shd w:val="clear" w:color="auto" w:fill="auto"/>
              <w:tabs>
                <w:tab w:val="left" w:pos="0"/>
              </w:tabs>
              <w:adjustRightInd w:val="0"/>
              <w:snapToGrid w:val="0"/>
              <w:spacing w:before="0" w:after="0" w:line="360" w:lineRule="auto"/>
              <w:ind w:firstLine="480"/>
              <w:jc w:val="both"/>
              <w:rPr>
                <w:rFonts w:hint="default" w:ascii="Times New Roman" w:hAnsi="Times New Roman" w:cs="Times New Roman"/>
                <w:b w:val="0"/>
                <w:color w:val="000000" w:themeColor="text1"/>
                <w:sz w:val="24"/>
                <w:szCs w:val="24"/>
                <w:highlight w:val="none"/>
                <w14:textFill>
                  <w14:solidFill>
                    <w14:schemeClr w14:val="tx1"/>
                  </w14:solidFill>
                </w14:textFill>
              </w:rPr>
            </w:pPr>
            <w:r>
              <w:rPr>
                <w:rFonts w:hint="default" w:ascii="Times New Roman" w:hAnsi="Times New Roman" w:cs="Times New Roman"/>
                <w:b w:val="0"/>
                <w:color w:val="000000" w:themeColor="text1"/>
                <w:sz w:val="24"/>
                <w:szCs w:val="24"/>
                <w:highlight w:val="none"/>
                <w14:textFill>
                  <w14:solidFill>
                    <w14:schemeClr w14:val="tx1"/>
                  </w14:solidFill>
                </w14:textFill>
              </w:rPr>
              <w:t>经</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喷漆</w:t>
            </w:r>
            <w:r>
              <w:rPr>
                <w:rFonts w:hint="default" w:ascii="Times New Roman" w:hAnsi="Times New Roman" w:cs="Times New Roman"/>
                <w:b w:val="0"/>
                <w:color w:val="000000" w:themeColor="text1"/>
                <w:sz w:val="24"/>
                <w:szCs w:val="24"/>
                <w:highlight w:val="none"/>
                <w14:textFill>
                  <w14:solidFill>
                    <w14:schemeClr w14:val="tx1"/>
                  </w14:solidFill>
                </w14:textFill>
              </w:rPr>
              <w:t>处理过的铸件</w:t>
            </w:r>
            <w:r>
              <w:rPr>
                <w:rFonts w:hint="eastAsia" w:ascii="Times New Roman" w:hAnsi="Times New Roman" w:cs="Times New Roman"/>
                <w:b w:val="0"/>
                <w:color w:val="000000" w:themeColor="text1"/>
                <w:sz w:val="24"/>
                <w:szCs w:val="24"/>
                <w:highlight w:val="none"/>
                <w:lang w:val="en-US" w:eastAsia="zh-CN"/>
                <w14:textFill>
                  <w14:solidFill>
                    <w14:schemeClr w14:val="tx1"/>
                  </w14:solidFill>
                </w14:textFill>
              </w:rPr>
              <w:t>放在晾干房内进行晾干，待表面涂层硬化后，得到成品</w:t>
            </w:r>
            <w:r>
              <w:rPr>
                <w:rFonts w:hint="default" w:ascii="Times New Roman" w:hAnsi="Times New Roman" w:cs="Times New Roman"/>
                <w:b w:val="0"/>
                <w:color w:val="000000" w:themeColor="text1"/>
                <w:sz w:val="24"/>
                <w:szCs w:val="24"/>
                <w:highlight w:val="none"/>
                <w14:textFill>
                  <w14:solidFill>
                    <w14:schemeClr w14:val="tx1"/>
                  </w14:solidFill>
                </w14:textFill>
              </w:rPr>
              <w:t>。</w:t>
            </w:r>
          </w:p>
          <w:p w14:paraId="1EB9EC83">
            <w:pPr>
              <w:shd w:val="clear" w:color="auto" w:fill="auto"/>
              <w:ind w:firstLine="480"/>
              <w:jc w:val="both"/>
              <w:rPr>
                <w:rFonts w:hint="default" w:ascii="Times New Roman" w:hAnsi="Times New Roman" w:cs="Times New Roman"/>
                <w:color w:val="000000" w:themeColor="text1"/>
                <w:highlight w:val="none"/>
                <w:lang w:bidi="zh-CN"/>
                <w14:textFill>
                  <w14:solidFill>
                    <w14:schemeClr w14:val="tx1"/>
                  </w14:solidFill>
                </w14:textFill>
              </w:rPr>
            </w:pPr>
            <w:r>
              <w:rPr>
                <w:rFonts w:hint="eastAsia" w:cs="Times New Roman"/>
                <w:color w:val="000000" w:themeColor="text1"/>
                <w:highlight w:val="none"/>
                <w:lang w:val="en-US" w:bidi="zh-CN"/>
                <w14:textFill>
                  <w14:solidFill>
                    <w14:schemeClr w14:val="tx1"/>
                  </w14:solidFill>
                </w14:textFill>
              </w:rPr>
              <w:t>铸造工艺</w:t>
            </w:r>
            <w:r>
              <w:rPr>
                <w:rFonts w:hint="default" w:ascii="Times New Roman" w:hAnsi="Times New Roman" w:cs="Times New Roman"/>
                <w:color w:val="000000" w:themeColor="text1"/>
                <w:highlight w:val="none"/>
                <w:lang w:val="zh-CN" w:bidi="zh-CN"/>
                <w14:textFill>
                  <w14:solidFill>
                    <w14:schemeClr w14:val="tx1"/>
                  </w14:solidFill>
                </w14:textFill>
              </w:rPr>
              <w:t>主要污染工序见表</w:t>
            </w:r>
            <w:r>
              <w:rPr>
                <w:rFonts w:hint="default" w:ascii="Times New Roman" w:hAnsi="Times New Roman" w:cs="Times New Roman"/>
                <w:color w:val="000000" w:themeColor="text1"/>
                <w:highlight w:val="none"/>
                <w:lang w:bidi="zh-CN"/>
                <w14:textFill>
                  <w14:solidFill>
                    <w14:schemeClr w14:val="tx1"/>
                  </w14:solidFill>
                </w14:textFill>
              </w:rPr>
              <w:t>2-</w:t>
            </w:r>
            <w:r>
              <w:rPr>
                <w:rFonts w:hint="eastAsia" w:cs="Times New Roman"/>
                <w:color w:val="000000" w:themeColor="text1"/>
                <w:highlight w:val="none"/>
                <w:lang w:val="en-US" w:bidi="zh-CN"/>
                <w14:textFill>
                  <w14:solidFill>
                    <w14:schemeClr w14:val="tx1"/>
                  </w14:solidFill>
                </w14:textFill>
              </w:rPr>
              <w:t>29</w:t>
            </w:r>
            <w:r>
              <w:rPr>
                <w:rFonts w:hint="default" w:ascii="Times New Roman" w:hAnsi="Times New Roman" w:cs="Times New Roman"/>
                <w:color w:val="000000" w:themeColor="text1"/>
                <w:highlight w:val="none"/>
                <w:lang w:val="zh-CN" w:bidi="zh-CN"/>
                <w14:textFill>
                  <w14:solidFill>
                    <w14:schemeClr w14:val="tx1"/>
                  </w14:solidFill>
                </w14:textFill>
              </w:rPr>
              <w:t>。</w:t>
            </w:r>
          </w:p>
          <w:p w14:paraId="6DFBDFC2">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eastAsia" w:cs="Times New Roman"/>
                <w:color w:val="000000" w:themeColor="text1"/>
                <w:sz w:val="24"/>
                <w:highlight w:val="none"/>
                <w:lang w:val="en-US" w:eastAsia="zh-CN"/>
                <w14:textFill>
                  <w14:solidFill>
                    <w14:schemeClr w14:val="tx1"/>
                  </w14:solidFill>
                </w14:textFill>
              </w:rPr>
              <w:t>29</w:t>
            </w:r>
            <w:r>
              <w:rPr>
                <w:rFonts w:hint="default" w:ascii="Times New Roman" w:hAnsi="Times New Roman" w:cs="Times New Roman"/>
                <w:color w:val="000000" w:themeColor="text1"/>
                <w:sz w:val="24"/>
                <w:highlight w:val="none"/>
                <w14:textFill>
                  <w14:solidFill>
                    <w14:schemeClr w14:val="tx1"/>
                  </w14:solidFill>
                </w14:textFill>
              </w:rPr>
              <w:t xml:space="preserve"> </w:t>
            </w:r>
            <w:r>
              <w:rPr>
                <w:rFonts w:hint="eastAsia" w:cs="Times New Roman"/>
                <w:color w:val="000000" w:themeColor="text1"/>
                <w:sz w:val="24"/>
                <w:highlight w:val="none"/>
                <w:lang w:val="en-US" w:eastAsia="zh-CN"/>
                <w14:textFill>
                  <w14:solidFill>
                    <w14:schemeClr w14:val="tx1"/>
                  </w14:solidFill>
                </w14:textFill>
              </w:rPr>
              <w:t>铸造工序</w:t>
            </w:r>
            <w:r>
              <w:rPr>
                <w:rFonts w:hint="default" w:ascii="Times New Roman" w:hAnsi="Times New Roman" w:cs="Times New Roman"/>
                <w:color w:val="000000" w:themeColor="text1"/>
                <w:sz w:val="24"/>
                <w:highlight w:val="none"/>
                <w14:textFill>
                  <w14:solidFill>
                    <w14:schemeClr w14:val="tx1"/>
                  </w14:solidFill>
                </w14:textFill>
              </w:rPr>
              <w:t>主要污染工序一览表</w:t>
            </w:r>
          </w:p>
          <w:tbl>
            <w:tblPr>
              <w:tblStyle w:val="32"/>
              <w:tblW w:w="801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5"/>
              <w:gridCol w:w="738"/>
              <w:gridCol w:w="1725"/>
              <w:gridCol w:w="4039"/>
              <w:gridCol w:w="1088"/>
            </w:tblGrid>
            <w:tr w14:paraId="6CB9FBA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noWrap w:val="0"/>
                  <w:vAlign w:val="center"/>
                </w:tcPr>
                <w:p w14:paraId="2C5C4116">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时段</w:t>
                  </w:r>
                </w:p>
              </w:tc>
              <w:tc>
                <w:tcPr>
                  <w:tcW w:w="460" w:type="pct"/>
                  <w:noWrap w:val="0"/>
                  <w:vAlign w:val="center"/>
                </w:tcPr>
                <w:p w14:paraId="4F397F9F">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污染因子</w:t>
                  </w:r>
                </w:p>
              </w:tc>
              <w:tc>
                <w:tcPr>
                  <w:tcW w:w="1076" w:type="pct"/>
                  <w:noWrap w:val="0"/>
                  <w:vAlign w:val="center"/>
                </w:tcPr>
                <w:p w14:paraId="66180565">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来源</w:t>
                  </w:r>
                </w:p>
              </w:tc>
              <w:tc>
                <w:tcPr>
                  <w:tcW w:w="2519" w:type="pct"/>
                  <w:noWrap w:val="0"/>
                  <w:vAlign w:val="center"/>
                </w:tcPr>
                <w:p w14:paraId="760A98FD">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污染物种类</w:t>
                  </w:r>
                </w:p>
              </w:tc>
              <w:tc>
                <w:tcPr>
                  <w:tcW w:w="678" w:type="pct"/>
                  <w:noWrap w:val="0"/>
                  <w:vAlign w:val="center"/>
                </w:tcPr>
                <w:p w14:paraId="42541B6A">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排放方式</w:t>
                  </w:r>
                </w:p>
              </w:tc>
            </w:tr>
            <w:tr w14:paraId="6621BF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restart"/>
                  <w:noWrap w:val="0"/>
                  <w:vAlign w:val="center"/>
                </w:tcPr>
                <w:p w14:paraId="22141F2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运营期</w:t>
                  </w:r>
                </w:p>
              </w:tc>
              <w:tc>
                <w:tcPr>
                  <w:tcW w:w="460" w:type="pct"/>
                  <w:noWrap w:val="0"/>
                  <w:vAlign w:val="center"/>
                </w:tcPr>
                <w:p w14:paraId="4FD9F88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废水</w:t>
                  </w:r>
                </w:p>
              </w:tc>
              <w:tc>
                <w:tcPr>
                  <w:tcW w:w="1076" w:type="pct"/>
                  <w:noWrap w:val="0"/>
                  <w:vAlign w:val="center"/>
                </w:tcPr>
                <w:p w14:paraId="17594B8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生活污水</w:t>
                  </w:r>
                </w:p>
              </w:tc>
              <w:tc>
                <w:tcPr>
                  <w:tcW w:w="2519" w:type="pct"/>
                  <w:noWrap w:val="0"/>
                  <w:vAlign w:val="center"/>
                </w:tcPr>
                <w:p w14:paraId="372F9D4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COD</w:t>
                  </w:r>
                  <w:r>
                    <w:rPr>
                      <w:rFonts w:hint="default" w:ascii="Times New Roman" w:hAnsi="Times New Roman" w:cs="Times New Roman"/>
                      <w:color w:val="000000" w:themeColor="text1"/>
                      <w:sz w:val="21"/>
                      <w:highlight w:val="none"/>
                      <w:vertAlign w:val="subscript"/>
                      <w14:textFill>
                        <w14:solidFill>
                          <w14:schemeClr w14:val="tx1"/>
                        </w14:solidFill>
                      </w14:textFill>
                    </w:rPr>
                    <w:t>Cr</w:t>
                  </w:r>
                  <w:r>
                    <w:rPr>
                      <w:rFonts w:hint="default" w:ascii="Times New Roman" w:hAnsi="Times New Roman" w:cs="Times New Roman"/>
                      <w:color w:val="000000" w:themeColor="text1"/>
                      <w:sz w:val="21"/>
                      <w:highlight w:val="none"/>
                      <w14:textFill>
                        <w14:solidFill>
                          <w14:schemeClr w14:val="tx1"/>
                        </w14:solidFill>
                      </w14:textFill>
                    </w:rPr>
                    <w:t>、BOD</w:t>
                  </w:r>
                  <w:r>
                    <w:rPr>
                      <w:rFonts w:hint="default" w:ascii="Times New Roman" w:hAnsi="Times New Roman" w:cs="Times New Roman"/>
                      <w:color w:val="000000" w:themeColor="text1"/>
                      <w:sz w:val="21"/>
                      <w:highlight w:val="none"/>
                      <w:vertAlign w:val="subscript"/>
                      <w14:textFill>
                        <w14:solidFill>
                          <w14:schemeClr w14:val="tx1"/>
                        </w14:solidFill>
                      </w14:textFill>
                    </w:rPr>
                    <w:t>5</w:t>
                  </w:r>
                  <w:r>
                    <w:rPr>
                      <w:rFonts w:hint="default" w:ascii="Times New Roman" w:hAnsi="Times New Roman" w:cs="Times New Roman"/>
                      <w:color w:val="000000" w:themeColor="text1"/>
                      <w:sz w:val="21"/>
                      <w:highlight w:val="none"/>
                      <w14:textFill>
                        <w14:solidFill>
                          <w14:schemeClr w14:val="tx1"/>
                        </w14:solidFill>
                      </w14:textFill>
                    </w:rPr>
                    <w:t>、SS、NH</w:t>
                  </w:r>
                  <w:r>
                    <w:rPr>
                      <w:rFonts w:hint="default" w:ascii="Times New Roman" w:hAnsi="Times New Roman" w:cs="Times New Roman"/>
                      <w:color w:val="000000" w:themeColor="text1"/>
                      <w:sz w:val="21"/>
                      <w:highlight w:val="none"/>
                      <w:vertAlign w:val="subscript"/>
                      <w14:textFill>
                        <w14:solidFill>
                          <w14:schemeClr w14:val="tx1"/>
                        </w14:solidFill>
                      </w14:textFill>
                    </w:rPr>
                    <w:t>3</w:t>
                  </w:r>
                  <w:r>
                    <w:rPr>
                      <w:rFonts w:hint="default" w:ascii="Times New Roman" w:hAnsi="Times New Roman" w:cs="Times New Roman"/>
                      <w:color w:val="000000" w:themeColor="text1"/>
                      <w:sz w:val="21"/>
                      <w:highlight w:val="none"/>
                      <w14:textFill>
                        <w14:solidFill>
                          <w14:schemeClr w14:val="tx1"/>
                        </w14:solidFill>
                      </w14:textFill>
                    </w:rPr>
                    <w:t>、TP、动植物油</w:t>
                  </w:r>
                </w:p>
              </w:tc>
              <w:tc>
                <w:tcPr>
                  <w:tcW w:w="678" w:type="pct"/>
                  <w:noWrap w:val="0"/>
                  <w:vAlign w:val="center"/>
                </w:tcPr>
                <w:p w14:paraId="04B37AD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6C3A9F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24D9D24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restart"/>
                  <w:noWrap w:val="0"/>
                  <w:vAlign w:val="center"/>
                </w:tcPr>
                <w:p w14:paraId="42A42D1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废气</w:t>
                  </w:r>
                </w:p>
              </w:tc>
              <w:tc>
                <w:tcPr>
                  <w:tcW w:w="1076" w:type="pct"/>
                  <w:noWrap w:val="0"/>
                  <w:vAlign w:val="center"/>
                </w:tcPr>
                <w:p w14:paraId="35C21A6E">
                  <w:pPr>
                    <w:pStyle w:val="8"/>
                    <w:shd w:val="clear" w:color="auto" w:fill="auto"/>
                    <w:rPr>
                      <w:rFonts w:hint="eastAsia"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G1-1</w:t>
                  </w:r>
                  <w:r>
                    <w:rPr>
                      <w:rFonts w:hint="default" w:ascii="Times New Roman" w:hAnsi="Times New Roman" w:cs="Times New Roman"/>
                      <w:bCs/>
                      <w:color w:val="000000" w:themeColor="text1"/>
                      <w:sz w:val="21"/>
                      <w:highlight w:val="none"/>
                      <w14:textFill>
                        <w14:solidFill>
                          <w14:schemeClr w14:val="tx1"/>
                        </w14:solidFill>
                      </w14:textFill>
                    </w:rPr>
                    <w:t>熔化</w:t>
                  </w:r>
                  <w:r>
                    <w:rPr>
                      <w:rFonts w:hint="eastAsia" w:cs="Times New Roman"/>
                      <w:bCs/>
                      <w:color w:val="000000" w:themeColor="text1"/>
                      <w:sz w:val="21"/>
                      <w:highlight w:val="none"/>
                      <w:lang w:val="en-US" w:eastAsia="zh-CN"/>
                      <w14:textFill>
                        <w14:solidFill>
                          <w14:schemeClr w14:val="tx1"/>
                        </w14:solidFill>
                      </w14:textFill>
                    </w:rPr>
                    <w:t>废气</w:t>
                  </w:r>
                </w:p>
              </w:tc>
              <w:tc>
                <w:tcPr>
                  <w:tcW w:w="2519" w:type="pct"/>
                  <w:noWrap w:val="0"/>
                  <w:vAlign w:val="center"/>
                </w:tcPr>
                <w:p w14:paraId="589D0D53">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颗粒物</w:t>
                  </w:r>
                </w:p>
              </w:tc>
              <w:tc>
                <w:tcPr>
                  <w:tcW w:w="678" w:type="pct"/>
                  <w:noWrap w:val="0"/>
                  <w:vAlign w:val="center"/>
                </w:tcPr>
                <w:p w14:paraId="32EA68F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04E7F8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65BA794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635C912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4D0FB125">
                  <w:pPr>
                    <w:pStyle w:val="8"/>
                    <w:shd w:val="clear" w:color="auto" w:fill="auto"/>
                    <w:rPr>
                      <w:rFonts w:hint="default" w:ascii="Times New Roman" w:hAnsi="Times New Roman" w:cs="Times New Roman"/>
                      <w:bCs/>
                      <w:color w:val="000000" w:themeColor="text1"/>
                      <w:sz w:val="21"/>
                      <w:highlight w:val="none"/>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G1-2</w:t>
                  </w:r>
                  <w:r>
                    <w:rPr>
                      <w:rFonts w:hint="default" w:ascii="Times New Roman" w:hAnsi="Times New Roman" w:cs="Times New Roman"/>
                      <w:bCs/>
                      <w:color w:val="000000" w:themeColor="text1"/>
                      <w:sz w:val="21"/>
                      <w:highlight w:val="none"/>
                      <w14:textFill>
                        <w14:solidFill>
                          <w14:schemeClr w14:val="tx1"/>
                        </w14:solidFill>
                      </w14:textFill>
                    </w:rPr>
                    <w:t>浇注</w:t>
                  </w:r>
                  <w:r>
                    <w:rPr>
                      <w:rFonts w:hint="eastAsia" w:cs="Times New Roman"/>
                      <w:bCs/>
                      <w:color w:val="000000" w:themeColor="text1"/>
                      <w:sz w:val="21"/>
                      <w:highlight w:val="none"/>
                      <w:lang w:val="en-US" w:eastAsia="zh-CN"/>
                      <w14:textFill>
                        <w14:solidFill>
                          <w14:schemeClr w14:val="tx1"/>
                        </w14:solidFill>
                      </w14:textFill>
                    </w:rPr>
                    <w:t>废气</w:t>
                  </w:r>
                </w:p>
              </w:tc>
              <w:tc>
                <w:tcPr>
                  <w:tcW w:w="2519" w:type="pct"/>
                  <w:noWrap w:val="0"/>
                  <w:vAlign w:val="center"/>
                </w:tcPr>
                <w:p w14:paraId="5E4D200C">
                  <w:pPr>
                    <w:pStyle w:val="6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r>
                    <w:rPr>
                      <w:rFonts w:hint="eastAsia" w:cs="Times New Roman"/>
                      <w:color w:val="000000" w:themeColor="text1"/>
                      <w:highlight w:val="none"/>
                      <w:lang w:val="en-US" w:eastAsia="zh-CN"/>
                      <w14:textFill>
                        <w14:solidFill>
                          <w14:schemeClr w14:val="tx1"/>
                        </w14:solidFill>
                      </w14:textFill>
                    </w:rPr>
                    <w:t>酚类（以苯酚计）、甲醛</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TVOC</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SO</w:t>
                  </w:r>
                  <w:r>
                    <w:rPr>
                      <w:rFonts w:hint="eastAsia" w:cs="Times New Roman"/>
                      <w:color w:val="000000" w:themeColor="text1"/>
                      <w:highlight w:val="none"/>
                      <w:vertAlign w:val="subscript"/>
                      <w:lang w:val="en-US" w:eastAsia="zh-CN"/>
                      <w14:textFill>
                        <w14:solidFill>
                          <w14:schemeClr w14:val="tx1"/>
                        </w14:solidFill>
                      </w14:textFill>
                    </w:rPr>
                    <w:t>2</w:t>
                  </w:r>
                </w:p>
              </w:tc>
              <w:tc>
                <w:tcPr>
                  <w:tcW w:w="678" w:type="pct"/>
                  <w:noWrap w:val="0"/>
                  <w:vAlign w:val="center"/>
                </w:tcPr>
                <w:p w14:paraId="7530777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1E1CA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10668F3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0461656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5E99B975">
                  <w:pPr>
                    <w:pStyle w:val="8"/>
                    <w:shd w:val="clear" w:color="auto" w:fill="auto"/>
                    <w:rPr>
                      <w:rFonts w:hint="eastAsia" w:ascii="Times New Roman" w:hAnsi="Times New Roman" w:eastAsia="宋体" w:cs="Times New Roman"/>
                      <w:color w:val="000000" w:themeColor="text1"/>
                      <w:sz w:val="21"/>
                      <w:highlight w:val="none"/>
                      <w:lang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G1-3落砂废气</w:t>
                  </w:r>
                </w:p>
              </w:tc>
              <w:tc>
                <w:tcPr>
                  <w:tcW w:w="2519" w:type="pct"/>
                  <w:noWrap w:val="0"/>
                  <w:vAlign w:val="center"/>
                </w:tcPr>
                <w:p w14:paraId="5E49814A">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78" w:type="pct"/>
                  <w:noWrap w:val="0"/>
                  <w:vAlign w:val="center"/>
                </w:tcPr>
                <w:p w14:paraId="171AFD1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2E2714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10DF191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71789ED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5425BE54">
                  <w:pPr>
                    <w:pStyle w:val="8"/>
                    <w:shd w:val="clear" w:color="auto" w:fill="auto"/>
                    <w:rPr>
                      <w:rFonts w:hint="default"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G1-4树脂砂造型/制芯废气</w:t>
                  </w:r>
                </w:p>
              </w:tc>
              <w:tc>
                <w:tcPr>
                  <w:tcW w:w="2519" w:type="pct"/>
                  <w:noWrap w:val="0"/>
                  <w:vAlign w:val="center"/>
                </w:tcPr>
                <w:p w14:paraId="55E6F5E6">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r>
                    <w:rPr>
                      <w:rFonts w:hint="eastAsia" w:cs="Times New Roman"/>
                      <w:color w:val="000000" w:themeColor="text1"/>
                      <w:highlight w:val="none"/>
                      <w:lang w:val="en-US" w:eastAsia="zh-CN"/>
                      <w14:textFill>
                        <w14:solidFill>
                          <w14:schemeClr w14:val="tx1"/>
                        </w14:solidFill>
                      </w14:textFill>
                    </w:rPr>
                    <w:t>酚类（以苯酚计）、甲醛</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TVOC</w:t>
                  </w:r>
                </w:p>
              </w:tc>
              <w:tc>
                <w:tcPr>
                  <w:tcW w:w="678" w:type="pct"/>
                  <w:noWrap w:val="0"/>
                  <w:vAlign w:val="center"/>
                </w:tcPr>
                <w:p w14:paraId="670D968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44E6F1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1B8FCFD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52A1A0F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5C17EFB4">
                  <w:pPr>
                    <w:pStyle w:val="8"/>
                    <w:shd w:val="clear" w:color="auto" w:fill="auto"/>
                    <w:rPr>
                      <w:rFonts w:hint="eastAsia"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G1-5粘土砂造型废气</w:t>
                  </w:r>
                </w:p>
              </w:tc>
              <w:tc>
                <w:tcPr>
                  <w:tcW w:w="2519" w:type="pct"/>
                  <w:noWrap w:val="0"/>
                  <w:vAlign w:val="center"/>
                </w:tcPr>
                <w:p w14:paraId="2AF4F516">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78" w:type="pct"/>
                  <w:noWrap w:val="0"/>
                  <w:vAlign w:val="center"/>
                </w:tcPr>
                <w:p w14:paraId="053B598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5625C0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318A9A50">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19DF2B8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5334C6B7">
                  <w:pPr>
                    <w:pStyle w:val="8"/>
                    <w:shd w:val="clear" w:color="auto" w:fill="auto"/>
                    <w:rPr>
                      <w:rFonts w:hint="eastAsia" w:ascii="Times New Roman" w:hAnsi="Times New Roman" w:eastAsia="宋体" w:cs="Times New Roman"/>
                      <w:color w:val="000000" w:themeColor="text1"/>
                      <w:sz w:val="21"/>
                      <w:highlight w:val="none"/>
                      <w:lang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G1-6打磨废气</w:t>
                  </w:r>
                </w:p>
              </w:tc>
              <w:tc>
                <w:tcPr>
                  <w:tcW w:w="2519" w:type="pct"/>
                  <w:noWrap w:val="0"/>
                  <w:vAlign w:val="center"/>
                </w:tcPr>
                <w:p w14:paraId="64FC9F35">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78" w:type="pct"/>
                  <w:noWrap w:val="0"/>
                  <w:vAlign w:val="center"/>
                </w:tcPr>
                <w:p w14:paraId="6D3384E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40F737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673B590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2C57EC8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6331757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G1-7</w:t>
                  </w:r>
                  <w:r>
                    <w:rPr>
                      <w:rFonts w:hint="default" w:ascii="Times New Roman" w:hAnsi="Times New Roman" w:cs="Times New Roman"/>
                      <w:bCs/>
                      <w:color w:val="000000" w:themeColor="text1"/>
                      <w:sz w:val="21"/>
                      <w:highlight w:val="none"/>
                      <w14:textFill>
                        <w14:solidFill>
                          <w14:schemeClr w14:val="tx1"/>
                        </w14:solidFill>
                      </w14:textFill>
                    </w:rPr>
                    <w:t>抛丸</w:t>
                  </w:r>
                  <w:r>
                    <w:rPr>
                      <w:rFonts w:hint="eastAsia" w:cs="Times New Roman"/>
                      <w:bCs/>
                      <w:color w:val="000000" w:themeColor="text1"/>
                      <w:sz w:val="21"/>
                      <w:highlight w:val="none"/>
                      <w:lang w:val="en-US" w:eastAsia="zh-CN"/>
                      <w14:textFill>
                        <w14:solidFill>
                          <w14:schemeClr w14:val="tx1"/>
                        </w14:solidFill>
                      </w14:textFill>
                    </w:rPr>
                    <w:t>废气</w:t>
                  </w:r>
                </w:p>
              </w:tc>
              <w:tc>
                <w:tcPr>
                  <w:tcW w:w="2519" w:type="pct"/>
                  <w:noWrap w:val="0"/>
                  <w:vAlign w:val="center"/>
                </w:tcPr>
                <w:p w14:paraId="06A41439">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78" w:type="pct"/>
                  <w:noWrap w:val="0"/>
                  <w:vAlign w:val="center"/>
                </w:tcPr>
                <w:p w14:paraId="3892E29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720C1D6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481F121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492E1B1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39C96747">
                  <w:pPr>
                    <w:pStyle w:val="8"/>
                    <w:shd w:val="clear" w:color="auto" w:fill="auto"/>
                    <w:rPr>
                      <w:rFonts w:hint="eastAsia" w:ascii="Times New Roman" w:hAnsi="Times New Roman" w:eastAsia="宋体" w:cs="Times New Roman"/>
                      <w:bCs/>
                      <w:color w:val="000000" w:themeColor="text1"/>
                      <w:sz w:val="21"/>
                      <w:highlight w:val="none"/>
                      <w:lang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G1-8清灰废气</w:t>
                  </w:r>
                </w:p>
              </w:tc>
              <w:tc>
                <w:tcPr>
                  <w:tcW w:w="2519" w:type="pct"/>
                  <w:noWrap w:val="0"/>
                  <w:vAlign w:val="center"/>
                </w:tcPr>
                <w:p w14:paraId="7E3364DA">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78" w:type="pct"/>
                  <w:noWrap w:val="0"/>
                  <w:vAlign w:val="center"/>
                </w:tcPr>
                <w:p w14:paraId="7974246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无</w:t>
                  </w:r>
                  <w:r>
                    <w:rPr>
                      <w:rFonts w:hint="default" w:ascii="Times New Roman" w:hAnsi="Times New Roman" w:cs="Times New Roman"/>
                      <w:color w:val="000000" w:themeColor="text1"/>
                      <w:sz w:val="21"/>
                      <w:highlight w:val="none"/>
                      <w14:textFill>
                        <w14:solidFill>
                          <w14:schemeClr w14:val="tx1"/>
                        </w14:solidFill>
                      </w14:textFill>
                    </w:rPr>
                    <w:t>组织</w:t>
                  </w:r>
                </w:p>
              </w:tc>
            </w:tr>
            <w:tr w14:paraId="730CBC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5DD8335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5E6F6DE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6024EEF7">
                  <w:pPr>
                    <w:pStyle w:val="8"/>
                    <w:shd w:val="clear" w:color="auto" w:fill="auto"/>
                    <w:rPr>
                      <w:rFonts w:hint="eastAsia" w:ascii="Times New Roman" w:hAnsi="Times New Roman" w:eastAsia="宋体"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G1-9喷漆废气</w:t>
                  </w:r>
                </w:p>
              </w:tc>
              <w:tc>
                <w:tcPr>
                  <w:tcW w:w="4039" w:type="dxa"/>
                  <w:noWrap w:val="0"/>
                  <w:vAlign w:val="center"/>
                </w:tcPr>
                <w:p w14:paraId="5987136D">
                  <w:pPr>
                    <w:pStyle w:val="61"/>
                    <w:shd w:val="clear" w:color="auto" w:fill="auto"/>
                    <w:ind w:firstLine="0" w:firstLineChars="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TVOC</w:t>
                  </w:r>
                  <w:r>
                    <w:rPr>
                      <w:rFonts w:hint="eastAsia" w:ascii="Times New Roman" w:hAnsi="Times New Roman" w:cs="Times New Roman"/>
                      <w:color w:val="000000" w:themeColor="text1"/>
                      <w:highlight w:val="none"/>
                      <w:lang w:val="en-US" w:eastAsia="zh-CN"/>
                      <w14:textFill>
                        <w14:solidFill>
                          <w14:schemeClr w14:val="tx1"/>
                        </w14:solidFill>
                      </w14:textFill>
                    </w:rPr>
                    <w:t>、NMHC</w:t>
                  </w:r>
                </w:p>
              </w:tc>
              <w:tc>
                <w:tcPr>
                  <w:tcW w:w="678" w:type="pct"/>
                  <w:noWrap w:val="0"/>
                  <w:vAlign w:val="center"/>
                </w:tcPr>
                <w:p w14:paraId="5FF1F4B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674951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056DC65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3AC44B8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03857A15">
                  <w:pPr>
                    <w:pStyle w:val="8"/>
                    <w:shd w:val="clear" w:color="auto" w:fill="auto"/>
                    <w:rPr>
                      <w:rFonts w:hint="eastAsia" w:ascii="Times New Roman" w:hAnsi="Times New Roman" w:eastAsia="宋体"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G1-10晾干废气</w:t>
                  </w:r>
                </w:p>
              </w:tc>
              <w:tc>
                <w:tcPr>
                  <w:tcW w:w="4039" w:type="dxa"/>
                  <w:noWrap w:val="0"/>
                  <w:vAlign w:val="center"/>
                </w:tcPr>
                <w:p w14:paraId="5D8F0916">
                  <w:pPr>
                    <w:pStyle w:val="61"/>
                    <w:shd w:val="clear" w:color="auto" w:fill="auto"/>
                    <w:ind w:firstLine="0" w:firstLineChars="0"/>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TVOC</w:t>
                  </w:r>
                  <w:r>
                    <w:rPr>
                      <w:rFonts w:hint="eastAsia" w:ascii="Times New Roman" w:hAnsi="Times New Roman" w:cs="Times New Roman"/>
                      <w:color w:val="000000" w:themeColor="text1"/>
                      <w:highlight w:val="none"/>
                      <w:lang w:val="en-US" w:eastAsia="zh-CN"/>
                      <w14:textFill>
                        <w14:solidFill>
                          <w14:schemeClr w14:val="tx1"/>
                        </w14:solidFill>
                      </w14:textFill>
                    </w:rPr>
                    <w:t>、NMHC</w:t>
                  </w:r>
                </w:p>
              </w:tc>
              <w:tc>
                <w:tcPr>
                  <w:tcW w:w="678" w:type="pct"/>
                  <w:noWrap w:val="0"/>
                  <w:vAlign w:val="center"/>
                </w:tcPr>
                <w:p w14:paraId="37D972E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2950A8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1E81232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noWrap w:val="0"/>
                  <w:vAlign w:val="center"/>
                </w:tcPr>
                <w:p w14:paraId="16976E50">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1076" w:type="pct"/>
                  <w:noWrap w:val="0"/>
                  <w:vAlign w:val="center"/>
                </w:tcPr>
                <w:p w14:paraId="2D7B1E1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机械设备</w:t>
                  </w:r>
                </w:p>
              </w:tc>
              <w:tc>
                <w:tcPr>
                  <w:tcW w:w="2519" w:type="pct"/>
                  <w:noWrap w:val="0"/>
                  <w:vAlign w:val="center"/>
                </w:tcPr>
                <w:p w14:paraId="2A55628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678" w:type="pct"/>
                  <w:noWrap w:val="0"/>
                  <w:vAlign w:val="center"/>
                </w:tcPr>
                <w:p w14:paraId="457A559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628A52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1A1518B0">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restart"/>
                  <w:noWrap w:val="0"/>
                  <w:vAlign w:val="center"/>
                </w:tcPr>
                <w:p w14:paraId="7DF9E29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固体废物</w:t>
                  </w:r>
                </w:p>
              </w:tc>
              <w:tc>
                <w:tcPr>
                  <w:tcW w:w="1076" w:type="pct"/>
                  <w:noWrap w:val="0"/>
                  <w:vAlign w:val="center"/>
                </w:tcPr>
                <w:p w14:paraId="75D8C99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生产</w:t>
                  </w:r>
                </w:p>
              </w:tc>
              <w:tc>
                <w:tcPr>
                  <w:tcW w:w="2519" w:type="pct"/>
                  <w:noWrap w:val="0"/>
                  <w:vAlign w:val="center"/>
                </w:tcPr>
                <w:p w14:paraId="41CDF5A2">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S1-1炉渣、S1-2不合格品、S1-3不合格品、S1-4废再生砂、S1-5金属边角料、S1-6废抛丸、S1-7沾染废乳化液刨花屑、S1-8废乳化液、S1-9漆料空桶、S1-10漆渣、S1-11水帘柜废水</w:t>
                  </w:r>
                </w:p>
              </w:tc>
              <w:tc>
                <w:tcPr>
                  <w:tcW w:w="678" w:type="pct"/>
                  <w:noWrap w:val="0"/>
                  <w:vAlign w:val="center"/>
                </w:tcPr>
                <w:p w14:paraId="173D0AA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2D7831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76025DE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7F9A5AB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0C30F21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环保设备</w:t>
                  </w:r>
                </w:p>
              </w:tc>
              <w:tc>
                <w:tcPr>
                  <w:tcW w:w="2519" w:type="pct"/>
                  <w:noWrap w:val="0"/>
                  <w:vAlign w:val="center"/>
                </w:tcPr>
                <w:p w14:paraId="41A703E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熔化炉除尘灰、打磨抛光</w:t>
                  </w:r>
                  <w:r>
                    <w:rPr>
                      <w:rFonts w:hint="default" w:ascii="Times New Roman" w:hAnsi="Times New Roman" w:cs="Times New Roman"/>
                      <w:color w:val="000000" w:themeColor="text1"/>
                      <w:sz w:val="21"/>
                      <w:highlight w:val="none"/>
                      <w14:textFill>
                        <w14:solidFill>
                          <w14:schemeClr w14:val="tx1"/>
                        </w14:solidFill>
                      </w14:textFill>
                    </w:rPr>
                    <w:t>除尘灰、</w:t>
                  </w:r>
                  <w:r>
                    <w:rPr>
                      <w:rFonts w:hint="eastAsia" w:cs="Times New Roman"/>
                      <w:color w:val="000000" w:themeColor="text1"/>
                      <w:sz w:val="21"/>
                      <w:highlight w:val="none"/>
                      <w:lang w:val="en-US" w:eastAsia="zh-CN"/>
                      <w14:textFill>
                        <w14:solidFill>
                          <w14:schemeClr w14:val="tx1"/>
                        </w14:solidFill>
                      </w14:textFill>
                    </w:rPr>
                    <w:t>落砂除尘灰、废过滤棉、</w:t>
                  </w:r>
                  <w:r>
                    <w:rPr>
                      <w:rFonts w:hint="default" w:ascii="Times New Roman" w:hAnsi="Times New Roman" w:cs="Times New Roman"/>
                      <w:color w:val="000000" w:themeColor="text1"/>
                      <w:sz w:val="21"/>
                      <w:highlight w:val="none"/>
                      <w14:textFill>
                        <w14:solidFill>
                          <w14:schemeClr w14:val="tx1"/>
                        </w14:solidFill>
                      </w14:textFill>
                    </w:rPr>
                    <w:t>废活性炭</w:t>
                  </w:r>
                  <w:r>
                    <w:rPr>
                      <w:rFonts w:hint="eastAsia" w:cs="Times New Roman"/>
                      <w:color w:val="000000" w:themeColor="text1"/>
                      <w:sz w:val="21"/>
                      <w:highlight w:val="none"/>
                      <w:lang w:val="en-US" w:eastAsia="zh-CN"/>
                      <w14:textFill>
                        <w14:solidFill>
                          <w14:schemeClr w14:val="tx1"/>
                        </w14:solidFill>
                      </w14:textFill>
                    </w:rPr>
                    <w:t>、废滤袋</w:t>
                  </w:r>
                </w:p>
              </w:tc>
              <w:tc>
                <w:tcPr>
                  <w:tcW w:w="678" w:type="pct"/>
                  <w:noWrap w:val="0"/>
                  <w:vAlign w:val="center"/>
                </w:tcPr>
                <w:p w14:paraId="631112F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357784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65" w:type="pct"/>
                  <w:vMerge w:val="continue"/>
                  <w:noWrap w:val="0"/>
                  <w:vAlign w:val="center"/>
                </w:tcPr>
                <w:p w14:paraId="24E6BE8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60" w:type="pct"/>
                  <w:vMerge w:val="continue"/>
                  <w:noWrap w:val="0"/>
                  <w:vAlign w:val="center"/>
                </w:tcPr>
                <w:p w14:paraId="4F17080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76" w:type="pct"/>
                  <w:noWrap w:val="0"/>
                  <w:vAlign w:val="center"/>
                </w:tcPr>
                <w:p w14:paraId="038145E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员工生活</w:t>
                  </w:r>
                </w:p>
              </w:tc>
              <w:tc>
                <w:tcPr>
                  <w:tcW w:w="2519" w:type="pct"/>
                  <w:noWrap w:val="0"/>
                  <w:vAlign w:val="center"/>
                </w:tcPr>
                <w:p w14:paraId="02F71FA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生活垃圾</w:t>
                  </w:r>
                </w:p>
              </w:tc>
              <w:tc>
                <w:tcPr>
                  <w:tcW w:w="678" w:type="pct"/>
                  <w:noWrap w:val="0"/>
                  <w:vAlign w:val="center"/>
                </w:tcPr>
                <w:p w14:paraId="75424B5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bl>
          <w:p w14:paraId="61712F76">
            <w:pPr>
              <w:pStyle w:val="58"/>
              <w:shd w:val="clear" w:color="auto" w:fill="auto"/>
              <w:ind w:firstLine="482" w:firstLineChars="20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2、树脂砂再生工艺</w:t>
            </w:r>
          </w:p>
          <w:p w14:paraId="717EF4D7">
            <w:pPr>
              <w:pStyle w:val="58"/>
              <w:shd w:val="clear" w:color="auto" w:fill="auto"/>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object>
                <v:shape id="_x0000_i1028" o:spt="75" type="#_x0000_t75" style="height:315pt;width:280.5pt;" o:ole="t" filled="f" o:preferrelative="t" stroked="f" coordsize="21600,21600">
                  <v:path/>
                  <v:fill on="f" focussize="0,0"/>
                  <v:stroke on="f"/>
                  <v:imagedata r:id="rId20" o:title=""/>
                  <o:lock v:ext="edit" aspectratio="f"/>
                  <w10:wrap type="none"/>
                  <w10:anchorlock/>
                </v:shape>
                <o:OLEObject Type="Embed" ProgID="Visio.Drawing.15" ShapeID="_x0000_i1028" DrawAspect="Content" ObjectID="_1468075728" r:id="rId19">
                  <o:LockedField>false</o:LockedField>
                </o:OLEObject>
              </w:object>
            </w:r>
          </w:p>
          <w:p w14:paraId="1088CC4D">
            <w:pPr>
              <w:pStyle w:val="58"/>
              <w:shd w:val="clear" w:color="auto" w:fill="auto"/>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图2-</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 xml:space="preserve"> </w:t>
            </w:r>
            <w:r>
              <w:rPr>
                <w:rFonts w:hint="eastAsia" w:cs="Times New Roman"/>
                <w:color w:val="000000" w:themeColor="text1"/>
                <w:highlight w:val="none"/>
                <w:lang w:val="en-US" w:eastAsia="zh-CN"/>
                <w14:textFill>
                  <w14:solidFill>
                    <w14:schemeClr w14:val="tx1"/>
                  </w14:solidFill>
                </w14:textFill>
              </w:rPr>
              <w:t>废</w:t>
            </w:r>
            <w:r>
              <w:rPr>
                <w:rFonts w:hint="eastAsia" w:ascii="Times New Roman" w:hAnsi="Times New Roman" w:cs="Times New Roman"/>
                <w:color w:val="000000" w:themeColor="text1"/>
                <w:highlight w:val="none"/>
                <w:lang w:val="en-US" w:eastAsia="zh-CN"/>
                <w14:textFill>
                  <w14:solidFill>
                    <w14:schemeClr w14:val="tx1"/>
                  </w14:solidFill>
                </w14:textFill>
              </w:rPr>
              <w:t>树脂砂再生</w:t>
            </w:r>
            <w:r>
              <w:rPr>
                <w:rFonts w:hint="default" w:ascii="Times New Roman" w:hAnsi="Times New Roman" w:cs="Times New Roman"/>
                <w:color w:val="000000" w:themeColor="text1"/>
                <w:highlight w:val="none"/>
                <w14:textFill>
                  <w14:solidFill>
                    <w14:schemeClr w14:val="tx1"/>
                  </w14:solidFill>
                </w14:textFill>
              </w:rPr>
              <w:t>生产工艺流程及产污环节图</w:t>
            </w:r>
          </w:p>
          <w:p w14:paraId="064C78D8">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废树脂砂再生生产线系统均使用密闭管道装置连接，整条生产线均为密闭状态，</w:t>
            </w:r>
            <w:r>
              <w:rPr>
                <w:rFonts w:hint="eastAsia" w:ascii="Times New Roman" w:hAnsi="Times New Roman" w:cs="Times New Roman"/>
                <w:color w:val="000000" w:themeColor="text1"/>
                <w:highlight w:val="none"/>
                <w:lang w:val="en-US" w:eastAsia="zh-CN"/>
                <w14:textFill>
                  <w14:solidFill>
                    <w14:schemeClr w14:val="tx1"/>
                  </w14:solidFill>
                </w14:textFill>
              </w:rPr>
              <w:t>树脂</w:t>
            </w:r>
            <w:r>
              <w:rPr>
                <w:rFonts w:hint="eastAsia" w:cs="Times New Roman"/>
                <w:color w:val="000000" w:themeColor="text1"/>
                <w:highlight w:val="none"/>
                <w:lang w:val="en-US" w:eastAsia="zh-CN"/>
                <w14:textFill>
                  <w14:solidFill>
                    <w14:schemeClr w14:val="tx1"/>
                  </w14:solidFill>
                </w14:textFill>
              </w:rPr>
              <w:t>砂</w:t>
            </w:r>
            <w:r>
              <w:rPr>
                <w:rFonts w:hint="eastAsia" w:ascii="Times New Roman" w:hAnsi="Times New Roman"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工艺流程简述：</w:t>
            </w:r>
          </w:p>
          <w:p w14:paraId="30617AFA">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（1）破碎</w:t>
            </w:r>
          </w:p>
          <w:p w14:paraId="1745EF2C">
            <w:pPr>
              <w:pStyle w:val="146"/>
              <w:shd w:val="clear" w:color="auto" w:fill="auto"/>
              <w:spacing w:line="360" w:lineRule="auto"/>
              <w:ind w:firstLine="480"/>
              <w:rPr>
                <w:rFonts w:hint="default" w:ascii="Times New Roman" w:hAnsi="Times New Roman" w:cs="Times New Roman"/>
                <w:bCs/>
                <w:color w:val="000000" w:themeColor="text1"/>
                <w:sz w:val="24"/>
                <w:szCs w:val="24"/>
                <w:highlight w:val="none"/>
                <w14:textFill>
                  <w14:solidFill>
                    <w14:schemeClr w14:val="tx1"/>
                  </w14:solidFill>
                </w14:textFill>
              </w:rPr>
            </w:pPr>
            <w:r>
              <w:rPr>
                <w:rFonts w:hint="default" w:ascii="Times New Roman" w:hAnsi="Times New Roman" w:cs="Times New Roman"/>
                <w:bCs/>
                <w:color w:val="000000" w:themeColor="text1"/>
                <w:sz w:val="24"/>
                <w:szCs w:val="24"/>
                <w:highlight w:val="none"/>
                <w14:textFill>
                  <w14:solidFill>
                    <w14:schemeClr w14:val="tx1"/>
                  </w14:solidFill>
                </w14:textFill>
              </w:rPr>
              <w:t>回收的废</w:t>
            </w:r>
            <w:r>
              <w:rPr>
                <w:rFonts w:hint="eastAsia" w:ascii="Times New Roman" w:hAnsi="Times New Roman" w:cs="Times New Roman"/>
                <w:bCs/>
                <w:color w:val="000000" w:themeColor="text1"/>
                <w:sz w:val="24"/>
                <w:szCs w:val="24"/>
                <w:highlight w:val="none"/>
                <w:lang w:val="en-US" w:eastAsia="zh-CN"/>
                <w14:textFill>
                  <w14:solidFill>
                    <w14:schemeClr w14:val="tx1"/>
                  </w14:solidFill>
                </w14:textFill>
              </w:rPr>
              <w:t>树脂</w:t>
            </w:r>
            <w:r>
              <w:rPr>
                <w:rFonts w:hint="default" w:ascii="Times New Roman" w:hAnsi="Times New Roman" w:cs="Times New Roman"/>
                <w:bCs/>
                <w:color w:val="000000" w:themeColor="text1"/>
                <w:sz w:val="24"/>
                <w:szCs w:val="24"/>
                <w:highlight w:val="none"/>
                <w14:textFill>
                  <w14:solidFill>
                    <w14:schemeClr w14:val="tx1"/>
                  </w14:solidFill>
                </w14:textFill>
              </w:rPr>
              <w:t>砂经斗式提升机输送至废砂箱上方料斗，投入废砂箱，废砂箱底部通过密闭管道连接输送机，废砂经输送机密闭上料至振动破碎，废砂在振动破碎中破碎成较小的废砂颗粒，破碎过程密闭。</w:t>
            </w:r>
          </w:p>
          <w:p w14:paraId="431AD61B">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（2）磁选</w:t>
            </w:r>
          </w:p>
          <w:p w14:paraId="7E69F49B">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利用斗式提升机将</w:t>
            </w:r>
            <w:r>
              <w:rPr>
                <w:rFonts w:hint="eastAsia" w:cs="Times New Roman"/>
                <w:color w:val="000000" w:themeColor="text1"/>
                <w:sz w:val="24"/>
                <w:szCs w:val="24"/>
                <w:highlight w:val="none"/>
                <w:lang w:val="en-US" w:eastAsia="zh-CN"/>
                <w14:textFill>
                  <w14:solidFill>
                    <w14:schemeClr w14:val="tx1"/>
                  </w14:solidFill>
                </w14:textFill>
              </w:rPr>
              <w:t>破碎</w:t>
            </w:r>
            <w:r>
              <w:rPr>
                <w:rFonts w:hint="default" w:ascii="Times New Roman" w:hAnsi="Times New Roman" w:cs="Times New Roman"/>
                <w:color w:val="000000" w:themeColor="text1"/>
                <w:sz w:val="24"/>
                <w:szCs w:val="24"/>
                <w:highlight w:val="none"/>
                <w14:textFill>
                  <w14:solidFill>
                    <w14:schemeClr w14:val="tx1"/>
                  </w14:solidFill>
                </w14:textFill>
              </w:rPr>
              <w:t>后的物料送入磁选机进行磁选，去除铁块、铁屑、铁渣等金属杂质，磁选过程密闭。</w:t>
            </w:r>
          </w:p>
          <w:p w14:paraId="3C7165DD">
            <w:pPr>
              <w:pStyle w:val="146"/>
              <w:shd w:val="clear" w:color="auto" w:fill="auto"/>
              <w:spacing w:line="460" w:lineRule="exact"/>
              <w:ind w:firstLine="48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（3）</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研磨再生</w:t>
            </w:r>
          </w:p>
          <w:p w14:paraId="26C05CBB">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经过磁选机磁选后的废树脂砂再进入涡流式再生机设备的上部进行研磨再生</w:t>
            </w:r>
            <w:r>
              <w:rPr>
                <w:rFonts w:hint="eastAsia" w:cs="Times New Roman"/>
                <w:color w:val="000000" w:themeColor="text1"/>
                <w:sz w:val="24"/>
                <w:szCs w:val="24"/>
                <w:highlight w:val="none"/>
                <w:lang w:val="en-US" w:eastAsia="zh-CN"/>
                <w14:textFill>
                  <w14:solidFill>
                    <w14:schemeClr w14:val="tx1"/>
                  </w14:solidFill>
                </w14:textFill>
              </w:rPr>
              <w:t>，树脂砂的回用率为94.2%</w:t>
            </w:r>
            <w:r>
              <w:rPr>
                <w:rFonts w:hint="default" w:ascii="Times New Roman" w:hAnsi="Times New Roman" w:cs="Times New Roman"/>
                <w:color w:val="000000" w:themeColor="text1"/>
                <w:sz w:val="24"/>
                <w:szCs w:val="24"/>
                <w:highlight w:val="none"/>
                <w14:textFill>
                  <w14:solidFill>
                    <w14:schemeClr w14:val="tx1"/>
                  </w14:solidFill>
                </w14:textFill>
              </w:rPr>
              <w:t>。</w:t>
            </w:r>
          </w:p>
          <w:p w14:paraId="4E836A05">
            <w:pPr>
              <w:pStyle w:val="146"/>
              <w:shd w:val="clear" w:color="auto" w:fill="auto"/>
              <w:spacing w:line="460" w:lineRule="exact"/>
              <w:ind w:firstLine="480"/>
              <w:rPr>
                <w:rFonts w:hint="default" w:ascii="Times New Roman" w:hAnsi="Times New Roman" w:cs="Times New Roman"/>
                <w:color w:val="000000" w:themeColor="text1"/>
                <w:sz w:val="24"/>
                <w:szCs w:val="24"/>
                <w:highlight w:val="none"/>
                <w:lang w:val="en-US"/>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涡流式再生机工作原理：通过破碎后的沙粒在高速旋转的再生盘带动下形成砂流，沙粒在再生盘与反击圈之间高速流动摩擦达到脱模并圆整砂粒的目的。根据生产需要，可以配备二级或多级再生系统进一步提高再生质量，降低液料加入量。再生机下部配备风选装置，将脱落后的惰性树脂膜、灰尘分离出来，生产出合格的再生砂再次用于造型生产。‌</w:t>
            </w:r>
          </w:p>
          <w:p w14:paraId="55E0EDF5">
            <w:pPr>
              <w:pStyle w:val="146"/>
              <w:shd w:val="clear" w:color="auto" w:fill="auto"/>
              <w:spacing w:line="460" w:lineRule="exact"/>
              <w:ind w:firstLine="480"/>
              <w:rPr>
                <w:rFonts w:hint="default"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风选筛分</w:t>
            </w:r>
          </w:p>
          <w:p w14:paraId="013479B1">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经过研磨后废砂经过涡流式再生机设备的下部进行风选筛分，将符合要求的硅砂回收再利用，不符合要求的废砂集中收集后委托处置</w:t>
            </w:r>
            <w:r>
              <w:rPr>
                <w:rFonts w:hint="default" w:ascii="Times New Roman" w:hAnsi="Times New Roman" w:cs="Times New Roman"/>
                <w:color w:val="000000" w:themeColor="text1"/>
                <w:sz w:val="24"/>
                <w:szCs w:val="24"/>
                <w:highlight w:val="none"/>
                <w14:textFill>
                  <w14:solidFill>
                    <w14:schemeClr w14:val="tx1"/>
                  </w14:solidFill>
                </w14:textFill>
              </w:rPr>
              <w:t>。</w:t>
            </w:r>
          </w:p>
          <w:p w14:paraId="11B14AAE">
            <w:pPr>
              <w:pStyle w:val="146"/>
              <w:shd w:val="clear" w:color="auto" w:fill="auto"/>
              <w:spacing w:line="460" w:lineRule="exact"/>
              <w:ind w:firstLine="480"/>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冷却</w:t>
            </w:r>
          </w:p>
          <w:p w14:paraId="1DB8E30F">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lang w:val="en-US"/>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经过风选筛</w:t>
            </w:r>
            <w:r>
              <w:rPr>
                <w:rFonts w:hint="default" w:ascii="Times New Roman" w:hAnsi="Times New Roman" w:cs="Times New Roman"/>
                <w:color w:val="000000" w:themeColor="text1"/>
                <w:kern w:val="1"/>
                <w:sz w:val="24"/>
                <w:szCs w:val="24"/>
                <w:highlight w:val="none"/>
                <w:lang w:val="en-US" w:eastAsia="zh-CN"/>
                <w14:textFill>
                  <w14:solidFill>
                    <w14:schemeClr w14:val="tx1"/>
                  </w14:solidFill>
                </w14:textFill>
              </w:rPr>
              <w:t>分后的硅砂温度大概为50~60℃，利</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用沸腾式冷却床进行冷却（冷却介质为</w:t>
            </w:r>
            <w:r>
              <w:rPr>
                <w:rFonts w:hint="eastAsia" w:cs="Times New Roman"/>
                <w:color w:val="000000" w:themeColor="text1"/>
                <w:kern w:val="1"/>
                <w:sz w:val="24"/>
                <w:szCs w:val="24"/>
                <w:highlight w:val="none"/>
                <w:lang w:val="en-US" w:eastAsia="zh-CN"/>
                <w14:textFill>
                  <w14:solidFill>
                    <w14:schemeClr w14:val="tx1"/>
                  </w14:solidFill>
                </w14:textFill>
              </w:rPr>
              <w:t>空气</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）处理，降低硅砂表面温度至常温状态，然后通过提升机输送至配料系统</w:t>
            </w: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eastAsia" w:cs="Times New Roman"/>
                <w:color w:val="000000" w:themeColor="text1"/>
                <w:kern w:val="1"/>
                <w:sz w:val="24"/>
                <w:szCs w:val="24"/>
                <w:highlight w:val="none"/>
                <w:lang w:val="en-US" w:eastAsia="zh-CN"/>
                <w14:textFill>
                  <w14:solidFill>
                    <w14:schemeClr w14:val="tx1"/>
                  </w14:solidFill>
                </w14:textFill>
              </w:rPr>
              <w:t>整个冷却床均在密闭装置内运行，冷却床产生的废气与再生线产生的颗粒物合并处理。</w:t>
            </w:r>
          </w:p>
          <w:p w14:paraId="75F1D26D">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lang w:val="en-US"/>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沸腾式冷却床</w:t>
            </w:r>
            <w:r>
              <w:rPr>
                <w:rFonts w:hint="eastAsia" w:cs="Times New Roman"/>
                <w:color w:val="000000" w:themeColor="text1"/>
                <w:kern w:val="1"/>
                <w:sz w:val="24"/>
                <w:szCs w:val="24"/>
                <w:highlight w:val="none"/>
                <w:lang w:val="en-US" w:eastAsia="zh-CN"/>
                <w14:textFill>
                  <w14:solidFill>
                    <w14:schemeClr w14:val="tx1"/>
                  </w14:solidFill>
                </w14:textFill>
              </w:rPr>
              <w:t>工作原理：旧砂均匀落入振动沸腾冷却机构，在振动输送的同时，鼓风系统吹入冷风，使热砂呈沸腾状态，空气与热砂进行热交换，散发出的热量经顶部抽风机除尘器排出，冷却的旧砂连续不断的输送至出砂口运走。</w:t>
            </w:r>
          </w:p>
          <w:p w14:paraId="667D2250">
            <w:pPr>
              <w:pStyle w:val="146"/>
              <w:shd w:val="clear" w:color="auto" w:fill="auto"/>
              <w:spacing w:line="460" w:lineRule="exact"/>
              <w:ind w:firstLine="480"/>
              <w:rPr>
                <w:rFonts w:hint="eastAsia" w:ascii="Times New Roman" w:hAnsi="Times New Roman" w:eastAsia="宋体" w:cs="Times New Roman"/>
                <w:color w:val="000000" w:themeColor="text1"/>
                <w:kern w:val="1"/>
                <w:sz w:val="24"/>
                <w:szCs w:val="24"/>
                <w:highlight w:val="none"/>
                <w:lang w:eastAsia="zh-CN"/>
                <w14:textFill>
                  <w14:solidFill>
                    <w14:schemeClr w14:val="tx1"/>
                  </w14:solidFill>
                </w14:textFill>
              </w:rPr>
            </w:pP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default" w:ascii="Times New Roman" w:hAnsi="Times New Roman" w:cs="Times New Roman"/>
                <w:color w:val="000000" w:themeColor="text1"/>
                <w:kern w:val="1"/>
                <w:sz w:val="24"/>
                <w:szCs w:val="24"/>
                <w:highlight w:val="none"/>
                <w:lang w:val="en-US" w:eastAsia="zh-CN"/>
                <w14:textFill>
                  <w14:solidFill>
                    <w14:schemeClr w14:val="tx1"/>
                  </w14:solidFill>
                </w14:textFill>
              </w:rPr>
              <w:t>6</w:t>
            </w: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配料</w:t>
            </w:r>
          </w:p>
          <w:p w14:paraId="578D6135">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再生产生的</w:t>
            </w:r>
            <w:r>
              <w:rPr>
                <w:rFonts w:hint="eastAsia" w:cs="Times New Roman"/>
                <w:color w:val="000000" w:themeColor="text1"/>
                <w:kern w:val="1"/>
                <w:sz w:val="24"/>
                <w:szCs w:val="24"/>
                <w:highlight w:val="none"/>
                <w:lang w:val="en-US" w:eastAsia="zh-CN"/>
                <w14:textFill>
                  <w14:solidFill>
                    <w14:schemeClr w14:val="tx1"/>
                  </w14:solidFill>
                </w14:textFill>
              </w:rPr>
              <w:t>树脂砂</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添加至固定式连续双臂混砂机中，并同步往混砂机中补充</w:t>
            </w:r>
            <w:r>
              <w:rPr>
                <w:rFonts w:hint="eastAsia" w:cs="Times New Roman"/>
                <w:color w:val="000000" w:themeColor="text1"/>
                <w:kern w:val="1"/>
                <w:sz w:val="24"/>
                <w:szCs w:val="24"/>
                <w:highlight w:val="none"/>
                <w:lang w:val="en-US" w:eastAsia="zh-CN"/>
                <w14:textFill>
                  <w14:solidFill>
                    <w14:schemeClr w14:val="tx1"/>
                  </w14:solidFill>
                </w14:textFill>
              </w:rPr>
              <w:t>5%左右的</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天然硅砂以及</w:t>
            </w:r>
            <w:r>
              <w:rPr>
                <w:rFonts w:hint="eastAsia" w:cs="Times New Roman"/>
                <w:color w:val="000000" w:themeColor="text1"/>
                <w:kern w:val="1"/>
                <w:sz w:val="24"/>
                <w:szCs w:val="24"/>
                <w:highlight w:val="none"/>
                <w:lang w:val="en-US" w:eastAsia="zh-CN"/>
                <w14:textFill>
                  <w14:solidFill>
                    <w14:schemeClr w14:val="tx1"/>
                  </w14:solidFill>
                </w14:textFill>
              </w:rPr>
              <w:t>少量的</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呋喃树脂和固化剂，</w:t>
            </w:r>
            <w:r>
              <w:rPr>
                <w:rFonts w:hint="eastAsia" w:cs="Times New Roman"/>
                <w:color w:val="000000" w:themeColor="text1"/>
                <w:kern w:val="1"/>
                <w:sz w:val="24"/>
                <w:szCs w:val="24"/>
                <w:highlight w:val="none"/>
                <w:lang w:val="en-US" w:eastAsia="zh-CN"/>
                <w14:textFill>
                  <w14:solidFill>
                    <w14:schemeClr w14:val="tx1"/>
                  </w14:solidFill>
                </w14:textFill>
              </w:rPr>
              <w:t>在</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固定式连续双臂混砂机中</w:t>
            </w:r>
            <w:r>
              <w:rPr>
                <w:rFonts w:hint="eastAsia" w:cs="Times New Roman"/>
                <w:color w:val="000000" w:themeColor="text1"/>
                <w:kern w:val="1"/>
                <w:sz w:val="24"/>
                <w:szCs w:val="24"/>
                <w:highlight w:val="none"/>
                <w:lang w:val="en-US" w:eastAsia="zh-CN"/>
                <w14:textFill>
                  <w14:solidFill>
                    <w14:schemeClr w14:val="tx1"/>
                  </w14:solidFill>
                </w14:textFill>
              </w:rPr>
              <w:t>充分混合均匀，将配好后的树脂砂送至造型/制芯工序</w:t>
            </w:r>
            <w:r>
              <w:rPr>
                <w:rFonts w:hint="default" w:ascii="Times New Roman" w:hAnsi="Times New Roman" w:cs="Times New Roman"/>
                <w:color w:val="000000" w:themeColor="text1"/>
                <w:kern w:val="1"/>
                <w:sz w:val="24"/>
                <w:szCs w:val="24"/>
                <w:highlight w:val="none"/>
                <w14:textFill>
                  <w14:solidFill>
                    <w14:schemeClr w14:val="tx1"/>
                  </w14:solidFill>
                </w14:textFill>
              </w:rPr>
              <w:t>。</w:t>
            </w:r>
          </w:p>
          <w:p w14:paraId="28930E1A">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14:textFill>
                  <w14:solidFill>
                    <w14:schemeClr w14:val="tx1"/>
                  </w14:solidFill>
                </w14:textFill>
              </w:rPr>
            </w:pPr>
            <w:r>
              <w:rPr>
                <w:rFonts w:hint="default" w:ascii="Times New Roman" w:hAnsi="Times New Roman" w:cs="Times New Roman"/>
                <w:color w:val="000000" w:themeColor="text1"/>
                <w:kern w:val="1"/>
                <w:sz w:val="24"/>
                <w:szCs w:val="24"/>
                <w:highlight w:val="none"/>
                <w14:textFill>
                  <w14:solidFill>
                    <w14:schemeClr w14:val="tx1"/>
                  </w14:solidFill>
                </w14:textFill>
              </w:rPr>
              <w:t>固化剂的使用可以改善呋喃树脂的性能，‌使其更好地适应各种应用需求。‌例如，‌在铸造过程中，‌通过正确的配比和混合方法，‌可以确保呋喃树脂快速且均匀地固化，‌从而提供强度和耐用性。‌</w:t>
            </w:r>
          </w:p>
          <w:p w14:paraId="5E831241">
            <w:pPr>
              <w:shd w:val="clear" w:color="auto" w:fill="auto"/>
              <w:ind w:firstLine="480"/>
              <w:jc w:val="both"/>
              <w:rPr>
                <w:rFonts w:hint="default" w:ascii="Times New Roman" w:hAnsi="Times New Roman" w:cs="Times New Roman"/>
                <w:color w:val="000000" w:themeColor="text1"/>
                <w:highlight w:val="none"/>
                <w:lang w:bidi="zh-CN"/>
                <w14:textFill>
                  <w14:solidFill>
                    <w14:schemeClr w14:val="tx1"/>
                  </w14:solidFill>
                </w14:textFill>
              </w:rPr>
            </w:pPr>
            <w:r>
              <w:rPr>
                <w:rFonts w:hint="eastAsia" w:cs="Times New Roman"/>
                <w:color w:val="000000" w:themeColor="text1"/>
                <w:highlight w:val="none"/>
                <w:lang w:val="en-US" w:bidi="zh-CN"/>
                <w14:textFill>
                  <w14:solidFill>
                    <w14:schemeClr w14:val="tx1"/>
                  </w14:solidFill>
                </w14:textFill>
              </w:rPr>
              <w:t>废树脂砂再生工艺</w:t>
            </w:r>
            <w:r>
              <w:rPr>
                <w:rFonts w:hint="default" w:ascii="Times New Roman" w:hAnsi="Times New Roman" w:cs="Times New Roman"/>
                <w:color w:val="000000" w:themeColor="text1"/>
                <w:highlight w:val="none"/>
                <w:lang w:val="zh-CN" w:bidi="zh-CN"/>
                <w14:textFill>
                  <w14:solidFill>
                    <w14:schemeClr w14:val="tx1"/>
                  </w14:solidFill>
                </w14:textFill>
              </w:rPr>
              <w:t>主要污染工序见表</w:t>
            </w:r>
            <w:r>
              <w:rPr>
                <w:rFonts w:hint="default" w:ascii="Times New Roman" w:hAnsi="Times New Roman" w:cs="Times New Roman"/>
                <w:color w:val="000000" w:themeColor="text1"/>
                <w:highlight w:val="none"/>
                <w:lang w:bidi="zh-CN"/>
                <w14:textFill>
                  <w14:solidFill>
                    <w14:schemeClr w14:val="tx1"/>
                  </w14:solidFill>
                </w14:textFill>
              </w:rPr>
              <w:t>2-</w:t>
            </w:r>
            <w:r>
              <w:rPr>
                <w:rFonts w:hint="eastAsia" w:cs="Times New Roman"/>
                <w:color w:val="000000" w:themeColor="text1"/>
                <w:highlight w:val="none"/>
                <w:lang w:val="en-US" w:bidi="zh-CN"/>
                <w14:textFill>
                  <w14:solidFill>
                    <w14:schemeClr w14:val="tx1"/>
                  </w14:solidFill>
                </w14:textFill>
              </w:rPr>
              <w:t>30</w:t>
            </w:r>
            <w:r>
              <w:rPr>
                <w:rFonts w:hint="default" w:ascii="Times New Roman" w:hAnsi="Times New Roman" w:cs="Times New Roman"/>
                <w:color w:val="000000" w:themeColor="text1"/>
                <w:highlight w:val="none"/>
                <w:lang w:val="zh-CN" w:bidi="zh-CN"/>
                <w14:textFill>
                  <w14:solidFill>
                    <w14:schemeClr w14:val="tx1"/>
                  </w14:solidFill>
                </w14:textFill>
              </w:rPr>
              <w:t>。</w:t>
            </w:r>
          </w:p>
          <w:p w14:paraId="0A1EA18F">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p>
          <w:p w14:paraId="22DC83DD">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eastAsia" w:cs="Times New Roman"/>
                <w:color w:val="000000" w:themeColor="text1"/>
                <w:sz w:val="24"/>
                <w:highlight w:val="none"/>
                <w:lang w:val="en-US" w:eastAsia="zh-CN"/>
                <w14:textFill>
                  <w14:solidFill>
                    <w14:schemeClr w14:val="tx1"/>
                  </w14:solidFill>
                </w14:textFill>
              </w:rPr>
              <w:t>30</w:t>
            </w:r>
            <w:r>
              <w:rPr>
                <w:rFonts w:hint="default" w:ascii="Times New Roman" w:hAnsi="Times New Roman" w:cs="Times New Roman"/>
                <w:color w:val="000000" w:themeColor="text1"/>
                <w:sz w:val="24"/>
                <w:highlight w:val="none"/>
                <w14:textFill>
                  <w14:solidFill>
                    <w14:schemeClr w14:val="tx1"/>
                  </w14:solidFill>
                </w14:textFill>
              </w:rPr>
              <w:t xml:space="preserve"> </w:t>
            </w:r>
            <w:r>
              <w:rPr>
                <w:rFonts w:hint="eastAsia" w:cs="Times New Roman"/>
                <w:color w:val="000000" w:themeColor="text1"/>
                <w:sz w:val="24"/>
                <w:highlight w:val="none"/>
                <w:lang w:val="en-US" w:eastAsia="zh-CN"/>
                <w14:textFill>
                  <w14:solidFill>
                    <w14:schemeClr w14:val="tx1"/>
                  </w14:solidFill>
                </w14:textFill>
              </w:rPr>
              <w:t>废树脂砂再生工序</w:t>
            </w:r>
            <w:r>
              <w:rPr>
                <w:rFonts w:hint="default" w:ascii="Times New Roman" w:hAnsi="Times New Roman" w:cs="Times New Roman"/>
                <w:color w:val="000000" w:themeColor="text1"/>
                <w:sz w:val="24"/>
                <w:highlight w:val="none"/>
                <w14:textFill>
                  <w14:solidFill>
                    <w14:schemeClr w14:val="tx1"/>
                  </w14:solidFill>
                </w14:textFill>
              </w:rPr>
              <w:t>主要污染工序一览表</w:t>
            </w:r>
          </w:p>
          <w:tbl>
            <w:tblPr>
              <w:tblStyle w:val="32"/>
              <w:tblW w:w="4996" w:type="pct"/>
              <w:tblInd w:w="17"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4"/>
              <w:gridCol w:w="687"/>
              <w:gridCol w:w="1613"/>
              <w:gridCol w:w="4100"/>
              <w:gridCol w:w="1087"/>
            </w:tblGrid>
            <w:tr w14:paraId="73726B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noWrap w:val="0"/>
                  <w:vAlign w:val="center"/>
                </w:tcPr>
                <w:p w14:paraId="0734B2C0">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时段</w:t>
                  </w:r>
                </w:p>
              </w:tc>
              <w:tc>
                <w:tcPr>
                  <w:tcW w:w="434" w:type="pct"/>
                  <w:noWrap w:val="0"/>
                  <w:vAlign w:val="center"/>
                </w:tcPr>
                <w:p w14:paraId="4FB6C8B7">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污染因子</w:t>
                  </w:r>
                </w:p>
              </w:tc>
              <w:tc>
                <w:tcPr>
                  <w:tcW w:w="1019" w:type="pct"/>
                  <w:noWrap w:val="0"/>
                  <w:vAlign w:val="center"/>
                </w:tcPr>
                <w:p w14:paraId="30C3BB9E">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来源</w:t>
                  </w:r>
                </w:p>
              </w:tc>
              <w:tc>
                <w:tcPr>
                  <w:tcW w:w="2591" w:type="pct"/>
                  <w:noWrap w:val="0"/>
                  <w:vAlign w:val="center"/>
                </w:tcPr>
                <w:p w14:paraId="2769E475">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污染物种类</w:t>
                  </w:r>
                </w:p>
              </w:tc>
              <w:tc>
                <w:tcPr>
                  <w:tcW w:w="687" w:type="pct"/>
                  <w:noWrap w:val="0"/>
                  <w:vAlign w:val="center"/>
                </w:tcPr>
                <w:p w14:paraId="54A3640A">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排放方式</w:t>
                  </w:r>
                </w:p>
              </w:tc>
            </w:tr>
            <w:tr w14:paraId="6FF0568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restart"/>
                  <w:noWrap w:val="0"/>
                  <w:vAlign w:val="center"/>
                </w:tcPr>
                <w:p w14:paraId="48FD22C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运营期</w:t>
                  </w:r>
                </w:p>
              </w:tc>
              <w:tc>
                <w:tcPr>
                  <w:tcW w:w="434" w:type="pct"/>
                  <w:noWrap w:val="0"/>
                  <w:vAlign w:val="center"/>
                </w:tcPr>
                <w:p w14:paraId="0E40380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废水</w:t>
                  </w:r>
                </w:p>
              </w:tc>
              <w:tc>
                <w:tcPr>
                  <w:tcW w:w="1019" w:type="pct"/>
                  <w:noWrap w:val="0"/>
                  <w:vAlign w:val="center"/>
                </w:tcPr>
                <w:p w14:paraId="54E6589A">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生活污水</w:t>
                  </w:r>
                </w:p>
              </w:tc>
              <w:tc>
                <w:tcPr>
                  <w:tcW w:w="2591" w:type="pct"/>
                  <w:noWrap w:val="0"/>
                  <w:vAlign w:val="center"/>
                </w:tcPr>
                <w:p w14:paraId="1AC9393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COD</w:t>
                  </w:r>
                  <w:r>
                    <w:rPr>
                      <w:rFonts w:hint="default" w:ascii="Times New Roman" w:hAnsi="Times New Roman" w:cs="Times New Roman"/>
                      <w:color w:val="000000" w:themeColor="text1"/>
                      <w:sz w:val="21"/>
                      <w:highlight w:val="none"/>
                      <w:vertAlign w:val="subscript"/>
                      <w14:textFill>
                        <w14:solidFill>
                          <w14:schemeClr w14:val="tx1"/>
                        </w14:solidFill>
                      </w14:textFill>
                    </w:rPr>
                    <w:t>Cr</w:t>
                  </w:r>
                  <w:r>
                    <w:rPr>
                      <w:rFonts w:hint="default" w:ascii="Times New Roman" w:hAnsi="Times New Roman" w:cs="Times New Roman"/>
                      <w:color w:val="000000" w:themeColor="text1"/>
                      <w:sz w:val="21"/>
                      <w:highlight w:val="none"/>
                      <w14:textFill>
                        <w14:solidFill>
                          <w14:schemeClr w14:val="tx1"/>
                        </w14:solidFill>
                      </w14:textFill>
                    </w:rPr>
                    <w:t>、BOD</w:t>
                  </w:r>
                  <w:r>
                    <w:rPr>
                      <w:rFonts w:hint="default" w:ascii="Times New Roman" w:hAnsi="Times New Roman" w:cs="Times New Roman"/>
                      <w:color w:val="000000" w:themeColor="text1"/>
                      <w:sz w:val="21"/>
                      <w:highlight w:val="none"/>
                      <w:vertAlign w:val="subscript"/>
                      <w14:textFill>
                        <w14:solidFill>
                          <w14:schemeClr w14:val="tx1"/>
                        </w14:solidFill>
                      </w14:textFill>
                    </w:rPr>
                    <w:t>5</w:t>
                  </w:r>
                  <w:r>
                    <w:rPr>
                      <w:rFonts w:hint="default" w:ascii="Times New Roman" w:hAnsi="Times New Roman" w:cs="Times New Roman"/>
                      <w:color w:val="000000" w:themeColor="text1"/>
                      <w:sz w:val="21"/>
                      <w:highlight w:val="none"/>
                      <w14:textFill>
                        <w14:solidFill>
                          <w14:schemeClr w14:val="tx1"/>
                        </w14:solidFill>
                      </w14:textFill>
                    </w:rPr>
                    <w:t>、SS、NH</w:t>
                  </w:r>
                  <w:r>
                    <w:rPr>
                      <w:rFonts w:hint="default" w:ascii="Times New Roman" w:hAnsi="Times New Roman" w:cs="Times New Roman"/>
                      <w:color w:val="000000" w:themeColor="text1"/>
                      <w:sz w:val="21"/>
                      <w:highlight w:val="none"/>
                      <w:vertAlign w:val="subscript"/>
                      <w14:textFill>
                        <w14:solidFill>
                          <w14:schemeClr w14:val="tx1"/>
                        </w14:solidFill>
                      </w14:textFill>
                    </w:rPr>
                    <w:t>3</w:t>
                  </w:r>
                  <w:r>
                    <w:rPr>
                      <w:rFonts w:hint="default" w:ascii="Times New Roman" w:hAnsi="Times New Roman" w:cs="Times New Roman"/>
                      <w:color w:val="000000" w:themeColor="text1"/>
                      <w:sz w:val="21"/>
                      <w:highlight w:val="none"/>
                      <w14:textFill>
                        <w14:solidFill>
                          <w14:schemeClr w14:val="tx1"/>
                        </w14:solidFill>
                      </w14:textFill>
                    </w:rPr>
                    <w:t>、TP、动植物油</w:t>
                  </w:r>
                </w:p>
              </w:tc>
              <w:tc>
                <w:tcPr>
                  <w:tcW w:w="687" w:type="pct"/>
                  <w:noWrap w:val="0"/>
                  <w:vAlign w:val="center"/>
                </w:tcPr>
                <w:p w14:paraId="52F1503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19B6F9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FF9D13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restart"/>
                  <w:noWrap w:val="0"/>
                  <w:vAlign w:val="center"/>
                </w:tcPr>
                <w:p w14:paraId="7C497DB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废气</w:t>
                  </w:r>
                </w:p>
              </w:tc>
              <w:tc>
                <w:tcPr>
                  <w:tcW w:w="1019" w:type="pct"/>
                  <w:noWrap w:val="0"/>
                  <w:vAlign w:val="center"/>
                </w:tcPr>
                <w:p w14:paraId="7DA9CBCD">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G2-1破碎废气</w:t>
                  </w:r>
                </w:p>
              </w:tc>
              <w:tc>
                <w:tcPr>
                  <w:tcW w:w="2591" w:type="pct"/>
                  <w:noWrap w:val="0"/>
                  <w:vAlign w:val="center"/>
                </w:tcPr>
                <w:p w14:paraId="13586789">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颗粒物</w:t>
                  </w:r>
                </w:p>
              </w:tc>
              <w:tc>
                <w:tcPr>
                  <w:tcW w:w="687" w:type="pct"/>
                  <w:noWrap w:val="0"/>
                  <w:vAlign w:val="center"/>
                </w:tcPr>
                <w:p w14:paraId="2986977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3D77DAF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07809BD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798DC92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187711D5">
                  <w:pPr>
                    <w:pStyle w:val="8"/>
                    <w:shd w:val="clear" w:color="auto" w:fill="auto"/>
                    <w:rPr>
                      <w:rFonts w:hint="default" w:ascii="Times New Roman" w:hAnsi="Times New Roman" w:eastAsia="宋体"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G2-2研磨废气</w:t>
                  </w:r>
                </w:p>
              </w:tc>
              <w:tc>
                <w:tcPr>
                  <w:tcW w:w="2591" w:type="pct"/>
                  <w:noWrap w:val="0"/>
                  <w:vAlign w:val="center"/>
                </w:tcPr>
                <w:p w14:paraId="4BA97429">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87" w:type="pct"/>
                  <w:noWrap w:val="0"/>
                  <w:vAlign w:val="center"/>
                </w:tcPr>
                <w:p w14:paraId="35B8532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3BFD5C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83" w:hRule="atLeast"/>
              </w:trPr>
              <w:tc>
                <w:tcPr>
                  <w:tcW w:w="267" w:type="pct"/>
                  <w:vMerge w:val="continue"/>
                  <w:noWrap w:val="0"/>
                  <w:vAlign w:val="center"/>
                </w:tcPr>
                <w:p w14:paraId="409BDF4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735FFAE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257053EC">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G2-3风选废气</w:t>
                  </w:r>
                </w:p>
              </w:tc>
              <w:tc>
                <w:tcPr>
                  <w:tcW w:w="2591" w:type="pct"/>
                  <w:noWrap w:val="0"/>
                  <w:vAlign w:val="center"/>
                </w:tcPr>
                <w:p w14:paraId="2A64D597">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687" w:type="pct"/>
                  <w:noWrap w:val="0"/>
                  <w:vAlign w:val="center"/>
                </w:tcPr>
                <w:p w14:paraId="7DBBB69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6953C4F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0B9DECE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13950A3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24B30C56">
                  <w:pPr>
                    <w:pStyle w:val="8"/>
                    <w:shd w:val="clear" w:color="auto" w:fill="auto"/>
                    <w:rPr>
                      <w:rFonts w:hint="eastAsia"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G2-4树脂砂冷却废气</w:t>
                  </w:r>
                </w:p>
              </w:tc>
              <w:tc>
                <w:tcPr>
                  <w:tcW w:w="2591" w:type="pct"/>
                  <w:noWrap w:val="0"/>
                  <w:vAlign w:val="center"/>
                </w:tcPr>
                <w:p w14:paraId="2134E1E7">
                  <w:pPr>
                    <w:pStyle w:val="61"/>
                    <w:shd w:val="clear" w:color="auto" w:fill="auto"/>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颗粒物</w:t>
                  </w:r>
                </w:p>
              </w:tc>
              <w:tc>
                <w:tcPr>
                  <w:tcW w:w="687" w:type="pct"/>
                  <w:noWrap w:val="0"/>
                  <w:vAlign w:val="center"/>
                </w:tcPr>
                <w:p w14:paraId="3281F3CB">
                  <w:pPr>
                    <w:pStyle w:val="8"/>
                    <w:shd w:val="clear" w:color="auto" w:fill="auto"/>
                    <w:rPr>
                      <w:rFonts w:hint="eastAsia"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有组织</w:t>
                  </w:r>
                </w:p>
              </w:tc>
            </w:tr>
            <w:tr w14:paraId="4498FE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20E583C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0D24A1A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7C17BF99">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G2-5树脂砂混砂废气</w:t>
                  </w:r>
                </w:p>
              </w:tc>
              <w:tc>
                <w:tcPr>
                  <w:tcW w:w="2591" w:type="pct"/>
                  <w:noWrap w:val="0"/>
                  <w:vAlign w:val="center"/>
                </w:tcPr>
                <w:p w14:paraId="39196790">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酚类（以苯酚计）、甲醛</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TVOC</w:t>
                  </w:r>
                </w:p>
              </w:tc>
              <w:tc>
                <w:tcPr>
                  <w:tcW w:w="687" w:type="pct"/>
                  <w:noWrap w:val="0"/>
                  <w:vAlign w:val="center"/>
                </w:tcPr>
                <w:p w14:paraId="79517E5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5C59485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69AEEA4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noWrap w:val="0"/>
                  <w:vAlign w:val="center"/>
                </w:tcPr>
                <w:p w14:paraId="268BC1E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1019" w:type="pct"/>
                  <w:noWrap w:val="0"/>
                  <w:vAlign w:val="center"/>
                </w:tcPr>
                <w:p w14:paraId="7144638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机械设备</w:t>
                  </w:r>
                </w:p>
              </w:tc>
              <w:tc>
                <w:tcPr>
                  <w:tcW w:w="2591" w:type="pct"/>
                  <w:noWrap w:val="0"/>
                  <w:vAlign w:val="center"/>
                </w:tcPr>
                <w:p w14:paraId="7E73C40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687" w:type="pct"/>
                  <w:noWrap w:val="0"/>
                  <w:vAlign w:val="center"/>
                </w:tcPr>
                <w:p w14:paraId="375314E0">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491B73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686EEE4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restart"/>
                  <w:noWrap w:val="0"/>
                  <w:vAlign w:val="center"/>
                </w:tcPr>
                <w:p w14:paraId="035BD18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固体废物</w:t>
                  </w:r>
                </w:p>
              </w:tc>
              <w:tc>
                <w:tcPr>
                  <w:tcW w:w="1019" w:type="pct"/>
                  <w:noWrap w:val="0"/>
                  <w:vAlign w:val="center"/>
                </w:tcPr>
                <w:p w14:paraId="1D4FB69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生产</w:t>
                  </w:r>
                </w:p>
              </w:tc>
              <w:tc>
                <w:tcPr>
                  <w:tcW w:w="2591" w:type="pct"/>
                  <w:noWrap w:val="0"/>
                  <w:vAlign w:val="center"/>
                </w:tcPr>
                <w:p w14:paraId="4C568971">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S2-1磁选金属、S2-2不可再生砂</w:t>
                  </w:r>
                </w:p>
              </w:tc>
              <w:tc>
                <w:tcPr>
                  <w:tcW w:w="687" w:type="pct"/>
                  <w:noWrap w:val="0"/>
                  <w:vAlign w:val="center"/>
                </w:tcPr>
                <w:p w14:paraId="4DD95EB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0682DC2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A6FE26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11F3502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79AD7D5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环保设备</w:t>
                  </w:r>
                </w:p>
              </w:tc>
              <w:tc>
                <w:tcPr>
                  <w:tcW w:w="2591" w:type="pct"/>
                  <w:noWrap w:val="0"/>
                  <w:vAlign w:val="center"/>
                </w:tcPr>
                <w:p w14:paraId="4F5A48A9">
                  <w:pPr>
                    <w:pStyle w:val="8"/>
                    <w:shd w:val="clear" w:color="auto" w:fill="auto"/>
                    <w:rPr>
                      <w:rFonts w:hint="default" w:ascii="Times New Roman" w:hAnsi="Times New Roman" w:cs="Times New Roman"/>
                      <w:color w:val="000000" w:themeColor="text1"/>
                      <w:sz w:val="21"/>
                      <w:highlight w:val="none"/>
                      <w:lang w:val="en-US"/>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树脂再生砂除尘灰、废滤袋</w:t>
                  </w:r>
                </w:p>
              </w:tc>
              <w:tc>
                <w:tcPr>
                  <w:tcW w:w="687" w:type="pct"/>
                  <w:noWrap w:val="0"/>
                  <w:vAlign w:val="center"/>
                </w:tcPr>
                <w:p w14:paraId="13A01FD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26A717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7D5175B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34" w:type="pct"/>
                  <w:vMerge w:val="continue"/>
                  <w:noWrap w:val="0"/>
                  <w:vAlign w:val="center"/>
                </w:tcPr>
                <w:p w14:paraId="20E2934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19" w:type="pct"/>
                  <w:noWrap w:val="0"/>
                  <w:vAlign w:val="center"/>
                </w:tcPr>
                <w:p w14:paraId="35DCA30F">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员工生活</w:t>
                  </w:r>
                </w:p>
              </w:tc>
              <w:tc>
                <w:tcPr>
                  <w:tcW w:w="2591" w:type="pct"/>
                  <w:noWrap w:val="0"/>
                  <w:vAlign w:val="center"/>
                </w:tcPr>
                <w:p w14:paraId="4DD093F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生活垃圾</w:t>
                  </w:r>
                </w:p>
              </w:tc>
              <w:tc>
                <w:tcPr>
                  <w:tcW w:w="687" w:type="pct"/>
                  <w:noWrap w:val="0"/>
                  <w:vAlign w:val="center"/>
                </w:tcPr>
                <w:p w14:paraId="31F92B4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bl>
          <w:p w14:paraId="27A8BE2D">
            <w:pPr>
              <w:pStyle w:val="58"/>
              <w:shd w:val="clear" w:color="auto" w:fill="auto"/>
              <w:ind w:firstLine="482" w:firstLineChars="20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3</w:t>
            </w:r>
            <w:r>
              <w:rPr>
                <w:rFonts w:hint="eastAsia" w:ascii="Times New Roman" w:hAnsi="Times New Roman" w:eastAsia="宋体"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粘土</w:t>
            </w:r>
            <w:r>
              <w:rPr>
                <w:rFonts w:hint="eastAsia" w:ascii="Times New Roman" w:hAnsi="Times New Roman" w:eastAsia="宋体" w:cs="Times New Roman"/>
                <w:color w:val="000000" w:themeColor="text1"/>
                <w:highlight w:val="none"/>
                <w:lang w:val="en-US" w:eastAsia="zh-CN"/>
                <w14:textFill>
                  <w14:solidFill>
                    <w14:schemeClr w14:val="tx1"/>
                  </w14:solidFill>
                </w14:textFill>
              </w:rPr>
              <w:t>砂再生工艺</w:t>
            </w:r>
          </w:p>
          <w:p w14:paraId="348D65C9">
            <w:pPr>
              <w:pStyle w:val="13"/>
              <w:shd w:val="clear" w:color="auto" w:fill="auto"/>
              <w:ind w:left="0" w:leftChars="0" w:firstLine="0" w:firstLineChars="0"/>
              <w:jc w:val="center"/>
              <w:rPr>
                <w:rFonts w:hint="default" w:ascii="Times New Roman" w:hAnsi="Times New Roman" w:cs="Times New Roman"/>
                <w:b/>
                <w:color w:val="000000" w:themeColor="text1"/>
                <w:sz w:val="24"/>
                <w:szCs w:val="24"/>
                <w:highlight w:val="none"/>
                <w14:textFill>
                  <w14:solidFill>
                    <w14:schemeClr w14:val="tx1"/>
                  </w14:solidFill>
                </w14:textFill>
              </w:rPr>
            </w:pPr>
            <w:r>
              <w:rPr>
                <w:rFonts w:hint="default" w:ascii="Times New Roman" w:hAnsi="Times New Roman" w:cs="Times New Roman"/>
                <w:b/>
                <w:color w:val="000000" w:themeColor="text1"/>
                <w:sz w:val="24"/>
                <w:szCs w:val="24"/>
                <w:highlight w:val="none"/>
                <w14:textFill>
                  <w14:solidFill>
                    <w14:schemeClr w14:val="tx1"/>
                  </w14:solidFill>
                </w14:textFill>
              </w:rPr>
              <w:object>
                <v:shape id="_x0000_i1029" o:spt="75" type="#_x0000_t75" style="height:316.6pt;width:279.9pt;" o:ole="t" filled="f" o:preferrelative="t" stroked="f" coordsize="21600,21600">
                  <v:path/>
                  <v:fill on="f" focussize="0,0"/>
                  <v:stroke on="f"/>
                  <v:imagedata r:id="rId22" o:title=""/>
                  <o:lock v:ext="edit" aspectratio="f"/>
                  <w10:wrap type="none"/>
                  <w10:anchorlock/>
                </v:shape>
                <o:OLEObject Type="Embed" ProgID="Visio.Drawing.15" ShapeID="_x0000_i1029" DrawAspect="Content" ObjectID="_1468075729" r:id="rId21">
                  <o:LockedField>false</o:LockedField>
                </o:OLEObject>
              </w:object>
            </w:r>
          </w:p>
          <w:p w14:paraId="55F512FC">
            <w:pPr>
              <w:pStyle w:val="58"/>
              <w:shd w:val="clear" w:color="auto" w:fill="auto"/>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图2-</w:t>
            </w:r>
            <w:r>
              <w:rPr>
                <w:rFonts w:hint="eastAsia"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 xml:space="preserve"> </w:t>
            </w:r>
            <w:r>
              <w:rPr>
                <w:rFonts w:hint="eastAsia" w:cs="Times New Roman"/>
                <w:color w:val="000000" w:themeColor="text1"/>
                <w:highlight w:val="none"/>
                <w:lang w:val="en-US" w:eastAsia="zh-CN"/>
                <w14:textFill>
                  <w14:solidFill>
                    <w14:schemeClr w14:val="tx1"/>
                  </w14:solidFill>
                </w14:textFill>
              </w:rPr>
              <w:t>废粘土</w:t>
            </w:r>
            <w:r>
              <w:rPr>
                <w:rFonts w:hint="eastAsia" w:ascii="Times New Roman" w:hAnsi="Times New Roman" w:cs="Times New Roman"/>
                <w:color w:val="000000" w:themeColor="text1"/>
                <w:highlight w:val="none"/>
                <w:lang w:val="en-US" w:eastAsia="zh-CN"/>
                <w14:textFill>
                  <w14:solidFill>
                    <w14:schemeClr w14:val="tx1"/>
                  </w14:solidFill>
                </w14:textFill>
              </w:rPr>
              <w:t>砂再生</w:t>
            </w:r>
            <w:r>
              <w:rPr>
                <w:rFonts w:hint="default" w:ascii="Times New Roman" w:hAnsi="Times New Roman" w:cs="Times New Roman"/>
                <w:color w:val="000000" w:themeColor="text1"/>
                <w:highlight w:val="none"/>
                <w14:textFill>
                  <w14:solidFill>
                    <w14:schemeClr w14:val="tx1"/>
                  </w14:solidFill>
                </w14:textFill>
              </w:rPr>
              <w:t>生产工艺流程及产污环节图</w:t>
            </w:r>
          </w:p>
          <w:p w14:paraId="6BDFD715">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废粘土砂再生生产线系统均使用密闭管道装置连接，整条生产线均为密闭状态，废粘土砂</w:t>
            </w:r>
            <w:r>
              <w:rPr>
                <w:rFonts w:hint="eastAsia" w:ascii="Times New Roman" w:hAnsi="Times New Roman"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工艺流程简述：</w:t>
            </w:r>
          </w:p>
          <w:p w14:paraId="48E26FF1">
            <w:pPr>
              <w:pStyle w:val="56"/>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（1）破碎</w:t>
            </w:r>
          </w:p>
          <w:p w14:paraId="01E2BA7E">
            <w:pPr>
              <w:pStyle w:val="146"/>
              <w:shd w:val="clear" w:color="auto" w:fill="auto"/>
              <w:spacing w:line="360" w:lineRule="auto"/>
              <w:ind w:firstLine="480"/>
              <w:rPr>
                <w:rFonts w:hint="default" w:ascii="Times New Roman" w:hAnsi="Times New Roman" w:cs="Times New Roman"/>
                <w:bCs/>
                <w:color w:val="000000" w:themeColor="text1"/>
                <w:sz w:val="24"/>
                <w:szCs w:val="24"/>
                <w:highlight w:val="none"/>
                <w14:textFill>
                  <w14:solidFill>
                    <w14:schemeClr w14:val="tx1"/>
                  </w14:solidFill>
                </w14:textFill>
              </w:rPr>
            </w:pPr>
            <w:r>
              <w:rPr>
                <w:rFonts w:hint="default" w:ascii="Times New Roman" w:hAnsi="Times New Roman" w:cs="Times New Roman"/>
                <w:bCs/>
                <w:color w:val="000000" w:themeColor="text1"/>
                <w:sz w:val="24"/>
                <w:szCs w:val="24"/>
                <w:highlight w:val="none"/>
                <w14:textFill>
                  <w14:solidFill>
                    <w14:schemeClr w14:val="tx1"/>
                  </w14:solidFill>
                </w14:textFill>
              </w:rPr>
              <w:t>回收的废</w:t>
            </w:r>
            <w:r>
              <w:rPr>
                <w:rFonts w:hint="eastAsia" w:cs="Times New Roman"/>
                <w:bCs/>
                <w:color w:val="000000" w:themeColor="text1"/>
                <w:sz w:val="24"/>
                <w:szCs w:val="24"/>
                <w:highlight w:val="none"/>
                <w:lang w:val="en-US" w:eastAsia="zh-CN"/>
                <w14:textFill>
                  <w14:solidFill>
                    <w14:schemeClr w14:val="tx1"/>
                  </w14:solidFill>
                </w14:textFill>
              </w:rPr>
              <w:t>粘土</w:t>
            </w:r>
            <w:r>
              <w:rPr>
                <w:rFonts w:hint="default" w:ascii="Times New Roman" w:hAnsi="Times New Roman" w:cs="Times New Roman"/>
                <w:bCs/>
                <w:color w:val="000000" w:themeColor="text1"/>
                <w:sz w:val="24"/>
                <w:szCs w:val="24"/>
                <w:highlight w:val="none"/>
                <w14:textFill>
                  <w14:solidFill>
                    <w14:schemeClr w14:val="tx1"/>
                  </w14:solidFill>
                </w14:textFill>
              </w:rPr>
              <w:t>砂经斗式提升机输送至废砂箱上方料斗，投入废砂箱，废砂箱底部通过密闭管道连接输送机，废砂经输送机密闭上料至振动破碎，废砂在振动破碎中破碎成较小的废砂颗粒，破碎过程密闭。</w:t>
            </w:r>
          </w:p>
          <w:p w14:paraId="619E4DAA">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（2）磁选</w:t>
            </w:r>
          </w:p>
          <w:p w14:paraId="666EFD76">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利用斗式提升机将</w:t>
            </w:r>
            <w:r>
              <w:rPr>
                <w:rFonts w:hint="eastAsia" w:cs="Times New Roman"/>
                <w:color w:val="000000" w:themeColor="text1"/>
                <w:sz w:val="24"/>
                <w:szCs w:val="24"/>
                <w:highlight w:val="none"/>
                <w:lang w:val="en-US" w:eastAsia="zh-CN"/>
                <w14:textFill>
                  <w14:solidFill>
                    <w14:schemeClr w14:val="tx1"/>
                  </w14:solidFill>
                </w14:textFill>
              </w:rPr>
              <w:t>破碎</w:t>
            </w:r>
            <w:r>
              <w:rPr>
                <w:rFonts w:hint="default" w:ascii="Times New Roman" w:hAnsi="Times New Roman" w:cs="Times New Roman"/>
                <w:color w:val="000000" w:themeColor="text1"/>
                <w:sz w:val="24"/>
                <w:szCs w:val="24"/>
                <w:highlight w:val="none"/>
                <w14:textFill>
                  <w14:solidFill>
                    <w14:schemeClr w14:val="tx1"/>
                  </w14:solidFill>
                </w14:textFill>
              </w:rPr>
              <w:t>后的物料送入磁选机进行磁选，去除铁块、铁屑、铁渣等金属杂质，磁选过程密闭。</w:t>
            </w:r>
          </w:p>
          <w:p w14:paraId="7E7C5A82">
            <w:pPr>
              <w:pStyle w:val="146"/>
              <w:shd w:val="clear" w:color="auto" w:fill="auto"/>
              <w:spacing w:line="460" w:lineRule="exact"/>
              <w:ind w:firstLine="480"/>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（3）</w:t>
            </w:r>
            <w:r>
              <w:rPr>
                <w:rFonts w:hint="eastAsia" w:cs="Times New Roman"/>
                <w:color w:val="000000" w:themeColor="text1"/>
                <w:sz w:val="24"/>
                <w:szCs w:val="24"/>
                <w:highlight w:val="none"/>
                <w:lang w:val="en-US" w:eastAsia="zh-CN"/>
                <w14:textFill>
                  <w14:solidFill>
                    <w14:schemeClr w14:val="tx1"/>
                  </w14:solidFill>
                </w14:textFill>
              </w:rPr>
              <w:t>筛分</w:t>
            </w:r>
          </w:p>
          <w:p w14:paraId="42BF0228">
            <w:pPr>
              <w:pStyle w:val="146"/>
              <w:shd w:val="clear" w:color="auto" w:fill="auto"/>
              <w:spacing w:line="460" w:lineRule="exact"/>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经过磁选机磁选后的废</w:t>
            </w:r>
            <w:r>
              <w:rPr>
                <w:rFonts w:hint="eastAsia" w:cs="Times New Roman"/>
                <w:bCs/>
                <w:color w:val="000000" w:themeColor="text1"/>
                <w:sz w:val="24"/>
                <w:szCs w:val="24"/>
                <w:highlight w:val="none"/>
                <w:lang w:val="en-US" w:eastAsia="zh-CN"/>
                <w14:textFill>
                  <w14:solidFill>
                    <w14:schemeClr w14:val="tx1"/>
                  </w14:solidFill>
                </w14:textFill>
              </w:rPr>
              <w:t>粘土</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砂再进入精细六角筛进行</w:t>
            </w:r>
            <w:r>
              <w:rPr>
                <w:rFonts w:hint="eastAsia" w:cs="Times New Roman"/>
                <w:color w:val="000000" w:themeColor="text1"/>
                <w:sz w:val="24"/>
                <w:szCs w:val="24"/>
                <w:highlight w:val="none"/>
                <w:lang w:val="en-US" w:eastAsia="zh-CN"/>
                <w14:textFill>
                  <w14:solidFill>
                    <w14:schemeClr w14:val="tx1"/>
                  </w14:solidFill>
                </w14:textFill>
              </w:rPr>
              <w:t>筛分</w:t>
            </w:r>
            <w:r>
              <w:rPr>
                <w:rFonts w:hint="default" w:ascii="Times New Roman" w:hAnsi="Times New Roman" w:cs="Times New Roman"/>
                <w:color w:val="000000" w:themeColor="text1"/>
                <w:sz w:val="24"/>
                <w:szCs w:val="24"/>
                <w:highlight w:val="none"/>
                <w14:textFill>
                  <w14:solidFill>
                    <w14:schemeClr w14:val="tx1"/>
                  </w14:solidFill>
                </w14:textFill>
              </w:rPr>
              <w:t>。</w:t>
            </w:r>
          </w:p>
          <w:p w14:paraId="0933C0B0">
            <w:pPr>
              <w:pStyle w:val="146"/>
              <w:shd w:val="clear" w:color="auto" w:fill="auto"/>
              <w:spacing w:line="460" w:lineRule="exact"/>
              <w:ind w:firstLine="480"/>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冷却</w:t>
            </w:r>
          </w:p>
          <w:p w14:paraId="4231FC0D">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lang w:val="en-US"/>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经过风选筛</w:t>
            </w:r>
            <w:r>
              <w:rPr>
                <w:rFonts w:hint="default" w:ascii="Times New Roman" w:hAnsi="Times New Roman" w:cs="Times New Roman"/>
                <w:color w:val="000000" w:themeColor="text1"/>
                <w:kern w:val="1"/>
                <w:sz w:val="24"/>
                <w:szCs w:val="24"/>
                <w:highlight w:val="none"/>
                <w:lang w:val="en-US" w:eastAsia="zh-CN"/>
                <w14:textFill>
                  <w14:solidFill>
                    <w14:schemeClr w14:val="tx1"/>
                  </w14:solidFill>
                </w14:textFill>
              </w:rPr>
              <w:t>分后的硅砂温度大概为50~60℃，利</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用沸腾式冷却床进行冷却（冷却介质为</w:t>
            </w:r>
            <w:r>
              <w:rPr>
                <w:rFonts w:hint="eastAsia" w:cs="Times New Roman"/>
                <w:color w:val="000000" w:themeColor="text1"/>
                <w:kern w:val="1"/>
                <w:sz w:val="24"/>
                <w:szCs w:val="24"/>
                <w:highlight w:val="none"/>
                <w:lang w:val="en-US" w:eastAsia="zh-CN"/>
                <w14:textFill>
                  <w14:solidFill>
                    <w14:schemeClr w14:val="tx1"/>
                  </w14:solidFill>
                </w14:textFill>
              </w:rPr>
              <w:t>空气</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）处理，降低硅砂表面温度至常温状态，然后通过提升机输送至配料系统</w:t>
            </w: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eastAsia" w:cs="Times New Roman"/>
                <w:color w:val="000000" w:themeColor="text1"/>
                <w:kern w:val="1"/>
                <w:sz w:val="24"/>
                <w:szCs w:val="24"/>
                <w:highlight w:val="none"/>
                <w:lang w:val="en-US" w:eastAsia="zh-CN"/>
                <w14:textFill>
                  <w14:solidFill>
                    <w14:schemeClr w14:val="tx1"/>
                  </w14:solidFill>
                </w14:textFill>
              </w:rPr>
              <w:t>整个冷却床均在密闭装置内运行，冷却床产生的废气与再生线产生的颗粒物合并处理。</w:t>
            </w:r>
          </w:p>
          <w:p w14:paraId="7FD78CDD">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lang w:val="en-US"/>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沸腾式冷却床</w:t>
            </w:r>
            <w:r>
              <w:rPr>
                <w:rFonts w:hint="eastAsia" w:cs="Times New Roman"/>
                <w:color w:val="000000" w:themeColor="text1"/>
                <w:kern w:val="1"/>
                <w:sz w:val="24"/>
                <w:szCs w:val="24"/>
                <w:highlight w:val="none"/>
                <w:lang w:val="en-US" w:eastAsia="zh-CN"/>
                <w14:textFill>
                  <w14:solidFill>
                    <w14:schemeClr w14:val="tx1"/>
                  </w14:solidFill>
                </w14:textFill>
              </w:rPr>
              <w:t>工作原理：旧砂均匀落入振动沸腾冷却机构，在振动输送的同时，鼓风系统吹入冷风，使热砂呈沸腾状态，空气与热砂进行热交换，散发出的热量经顶部抽风机除尘器排出，冷却的旧砂连续不断的输送至出砂口运走。</w:t>
            </w:r>
          </w:p>
          <w:p w14:paraId="584F402D">
            <w:pPr>
              <w:pStyle w:val="146"/>
              <w:shd w:val="clear" w:color="auto" w:fill="auto"/>
              <w:spacing w:line="460" w:lineRule="exact"/>
              <w:ind w:firstLine="480"/>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筛分</w:t>
            </w:r>
          </w:p>
          <w:p w14:paraId="6571E30B">
            <w:pPr>
              <w:pStyle w:val="146"/>
              <w:shd w:val="clear" w:color="auto" w:fill="auto"/>
              <w:spacing w:line="460" w:lineRule="exact"/>
              <w:ind w:firstLine="480"/>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经过</w:t>
            </w:r>
            <w:r>
              <w:rPr>
                <w:rFonts w:hint="eastAsia" w:cs="Times New Roman"/>
                <w:color w:val="000000" w:themeColor="text1"/>
                <w:sz w:val="24"/>
                <w:szCs w:val="24"/>
                <w:highlight w:val="none"/>
                <w:lang w:val="en-US" w:eastAsia="zh-CN"/>
                <w14:textFill>
                  <w14:solidFill>
                    <w14:schemeClr w14:val="tx1"/>
                  </w14:solidFill>
                </w14:textFill>
              </w:rPr>
              <w:t>冷却</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后的</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硅砂</w:t>
            </w:r>
            <w:r>
              <w:rPr>
                <w:rFonts w:hint="eastAsia" w:ascii="Times New Roman" w:hAnsi="Times New Roman" w:cs="Times New Roman"/>
                <w:color w:val="000000" w:themeColor="text1"/>
                <w:sz w:val="24"/>
                <w:szCs w:val="24"/>
                <w:highlight w:val="none"/>
                <w:lang w:val="en-US" w:eastAsia="zh-CN"/>
                <w14:textFill>
                  <w14:solidFill>
                    <w14:schemeClr w14:val="tx1"/>
                  </w14:solidFill>
                </w14:textFill>
              </w:rPr>
              <w:t>再进入直线振动筛进行</w:t>
            </w:r>
            <w:r>
              <w:rPr>
                <w:rFonts w:hint="eastAsia" w:cs="Times New Roman"/>
                <w:color w:val="000000" w:themeColor="text1"/>
                <w:sz w:val="24"/>
                <w:szCs w:val="24"/>
                <w:highlight w:val="none"/>
                <w:lang w:val="en-US" w:eastAsia="zh-CN"/>
                <w14:textFill>
                  <w14:solidFill>
                    <w14:schemeClr w14:val="tx1"/>
                  </w14:solidFill>
                </w14:textFill>
              </w:rPr>
              <w:t>筛分，分选出可再生利用的硅砂</w:t>
            </w:r>
            <w:r>
              <w:rPr>
                <w:rFonts w:hint="default" w:ascii="Times New Roman" w:hAnsi="Times New Roman" w:cs="Times New Roman"/>
                <w:color w:val="000000" w:themeColor="text1"/>
                <w:sz w:val="24"/>
                <w:szCs w:val="24"/>
                <w:highlight w:val="none"/>
                <w14:textFill>
                  <w14:solidFill>
                    <w14:schemeClr w14:val="tx1"/>
                  </w14:solidFill>
                </w14:textFill>
              </w:rPr>
              <w:t>。粘土砂的回用率为99.64%</w:t>
            </w:r>
            <w:r>
              <w:rPr>
                <w:rFonts w:hint="eastAsia" w:cs="Times New Roman"/>
                <w:color w:val="000000" w:themeColor="text1"/>
                <w:sz w:val="24"/>
                <w:szCs w:val="24"/>
                <w:highlight w:val="none"/>
                <w:lang w:eastAsia="zh-CN"/>
                <w14:textFill>
                  <w14:solidFill>
                    <w14:schemeClr w14:val="tx1"/>
                  </w14:solidFill>
                </w14:textFill>
              </w:rPr>
              <w:t>。</w:t>
            </w:r>
          </w:p>
          <w:p w14:paraId="7A3539E4">
            <w:pPr>
              <w:pStyle w:val="146"/>
              <w:shd w:val="clear" w:color="auto" w:fill="auto"/>
              <w:spacing w:line="460" w:lineRule="exact"/>
              <w:ind w:firstLine="480"/>
              <w:rPr>
                <w:rFonts w:hint="eastAsia" w:ascii="Times New Roman" w:hAnsi="Times New Roman" w:eastAsia="宋体" w:cs="Times New Roman"/>
                <w:color w:val="000000" w:themeColor="text1"/>
                <w:kern w:val="1"/>
                <w:sz w:val="24"/>
                <w:szCs w:val="24"/>
                <w:highlight w:val="none"/>
                <w:lang w:eastAsia="zh-CN"/>
                <w14:textFill>
                  <w14:solidFill>
                    <w14:schemeClr w14:val="tx1"/>
                  </w14:solidFill>
                </w14:textFill>
              </w:rPr>
            </w:pP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default" w:ascii="Times New Roman" w:hAnsi="Times New Roman" w:cs="Times New Roman"/>
                <w:color w:val="000000" w:themeColor="text1"/>
                <w:kern w:val="1"/>
                <w:sz w:val="24"/>
                <w:szCs w:val="24"/>
                <w:highlight w:val="none"/>
                <w:lang w:val="en-US" w:eastAsia="zh-CN"/>
                <w14:textFill>
                  <w14:solidFill>
                    <w14:schemeClr w14:val="tx1"/>
                  </w14:solidFill>
                </w14:textFill>
              </w:rPr>
              <w:t>6</w:t>
            </w:r>
            <w:r>
              <w:rPr>
                <w:rFonts w:hint="default" w:ascii="Times New Roman" w:hAnsi="Times New Roman" w:cs="Times New Roman"/>
                <w:color w:val="000000" w:themeColor="text1"/>
                <w:kern w:val="1"/>
                <w:sz w:val="24"/>
                <w:szCs w:val="24"/>
                <w:highlight w:val="none"/>
                <w14:textFill>
                  <w14:solidFill>
                    <w14:schemeClr w14:val="tx1"/>
                  </w14:solidFill>
                </w14:textFill>
              </w:rPr>
              <w:t>）</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配料</w:t>
            </w:r>
          </w:p>
          <w:p w14:paraId="4F326A62">
            <w:pPr>
              <w:pStyle w:val="146"/>
              <w:shd w:val="clear" w:color="auto" w:fill="auto"/>
              <w:spacing w:line="460" w:lineRule="exact"/>
              <w:ind w:firstLine="480"/>
              <w:rPr>
                <w:rFonts w:hint="default" w:ascii="Times New Roman" w:hAnsi="Times New Roman" w:cs="Times New Roman"/>
                <w:color w:val="000000" w:themeColor="text1"/>
                <w:kern w:val="1"/>
                <w:sz w:val="24"/>
                <w:szCs w:val="24"/>
                <w:highlight w:val="none"/>
                <w14:textFill>
                  <w14:solidFill>
                    <w14:schemeClr w14:val="tx1"/>
                  </w14:solidFill>
                </w14:textFill>
              </w:rPr>
            </w:pP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再生产生的</w:t>
            </w:r>
            <w:r>
              <w:rPr>
                <w:rFonts w:hint="eastAsia" w:cs="Times New Roman"/>
                <w:color w:val="000000" w:themeColor="text1"/>
                <w:kern w:val="1"/>
                <w:sz w:val="24"/>
                <w:szCs w:val="24"/>
                <w:highlight w:val="none"/>
                <w:lang w:val="en-US" w:eastAsia="zh-CN"/>
                <w14:textFill>
                  <w14:solidFill>
                    <w14:schemeClr w14:val="tx1"/>
                  </w14:solidFill>
                </w14:textFill>
              </w:rPr>
              <w:t>粘土</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砂</w:t>
            </w:r>
            <w:r>
              <w:rPr>
                <w:rFonts w:hint="eastAsia" w:cs="Times New Roman"/>
                <w:color w:val="000000" w:themeColor="text1"/>
                <w:kern w:val="1"/>
                <w:sz w:val="24"/>
                <w:szCs w:val="24"/>
                <w:highlight w:val="none"/>
                <w:lang w:val="en-US" w:eastAsia="zh-CN"/>
                <w14:textFill>
                  <w14:solidFill>
                    <w14:schemeClr w14:val="tx1"/>
                  </w14:solidFill>
                </w14:textFill>
              </w:rPr>
              <w:t>（再生的粘土砂中含有一定量的膨润土和红煤粉）</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添加至高效转子混砂机中，并同步往混砂机中补充</w:t>
            </w:r>
            <w:r>
              <w:rPr>
                <w:rFonts w:hint="eastAsia" w:cs="Times New Roman"/>
                <w:color w:val="000000" w:themeColor="text1"/>
                <w:kern w:val="1"/>
                <w:sz w:val="24"/>
                <w:szCs w:val="24"/>
                <w:highlight w:val="none"/>
                <w:lang w:val="en-US" w:eastAsia="zh-CN"/>
                <w14:textFill>
                  <w14:solidFill>
                    <w14:schemeClr w14:val="tx1"/>
                  </w14:solidFill>
                </w14:textFill>
              </w:rPr>
              <w:t>极少量</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天然硅砂</w:t>
            </w:r>
            <w:r>
              <w:rPr>
                <w:rFonts w:hint="eastAsia" w:cs="Times New Roman"/>
                <w:color w:val="000000" w:themeColor="text1"/>
                <w:kern w:val="1"/>
                <w:sz w:val="24"/>
                <w:szCs w:val="24"/>
                <w:highlight w:val="none"/>
                <w:lang w:val="en-US" w:eastAsia="zh-CN"/>
                <w14:textFill>
                  <w14:solidFill>
                    <w14:schemeClr w14:val="tx1"/>
                  </w14:solidFill>
                </w14:textFill>
              </w:rPr>
              <w:t>、膨润土、红煤粉</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和</w:t>
            </w:r>
            <w:r>
              <w:rPr>
                <w:rFonts w:hint="eastAsia" w:cs="Times New Roman"/>
                <w:color w:val="000000" w:themeColor="text1"/>
                <w:kern w:val="1"/>
                <w:sz w:val="24"/>
                <w:szCs w:val="24"/>
                <w:highlight w:val="none"/>
                <w:lang w:val="en-US" w:eastAsia="zh-CN"/>
                <w14:textFill>
                  <w14:solidFill>
                    <w14:schemeClr w14:val="tx1"/>
                  </w14:solidFill>
                </w14:textFill>
              </w:rPr>
              <w:t>水</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w:t>
            </w:r>
            <w:r>
              <w:rPr>
                <w:rFonts w:hint="eastAsia" w:cs="Times New Roman"/>
                <w:color w:val="000000" w:themeColor="text1"/>
                <w:kern w:val="1"/>
                <w:sz w:val="24"/>
                <w:szCs w:val="24"/>
                <w:highlight w:val="none"/>
                <w:lang w:val="en-US" w:eastAsia="zh-CN"/>
                <w14:textFill>
                  <w14:solidFill>
                    <w14:schemeClr w14:val="tx1"/>
                  </w14:solidFill>
                </w14:textFill>
              </w:rPr>
              <w:t>在</w:t>
            </w:r>
            <w:r>
              <w:rPr>
                <w:rFonts w:hint="eastAsia" w:ascii="Times New Roman" w:hAnsi="Times New Roman" w:cs="Times New Roman"/>
                <w:color w:val="000000" w:themeColor="text1"/>
                <w:kern w:val="1"/>
                <w:sz w:val="24"/>
                <w:szCs w:val="24"/>
                <w:highlight w:val="none"/>
                <w:lang w:val="en-US" w:eastAsia="zh-CN"/>
                <w14:textFill>
                  <w14:solidFill>
                    <w14:schemeClr w14:val="tx1"/>
                  </w14:solidFill>
                </w14:textFill>
              </w:rPr>
              <w:t>高效转子混砂机</w:t>
            </w:r>
            <w:r>
              <w:rPr>
                <w:rFonts w:hint="eastAsia" w:cs="Times New Roman"/>
                <w:color w:val="000000" w:themeColor="text1"/>
                <w:kern w:val="1"/>
                <w:sz w:val="24"/>
                <w:szCs w:val="24"/>
                <w:highlight w:val="none"/>
                <w:lang w:val="en-US" w:eastAsia="zh-CN"/>
                <w14:textFill>
                  <w14:solidFill>
                    <w14:schemeClr w14:val="tx1"/>
                  </w14:solidFill>
                </w14:textFill>
              </w:rPr>
              <w:t>充分混合均匀，将配好后的粘土砂送至造型工序</w:t>
            </w:r>
            <w:r>
              <w:rPr>
                <w:rFonts w:hint="default" w:ascii="Times New Roman" w:hAnsi="Times New Roman" w:cs="Times New Roman"/>
                <w:color w:val="000000" w:themeColor="text1"/>
                <w:kern w:val="1"/>
                <w:sz w:val="24"/>
                <w:szCs w:val="24"/>
                <w:highlight w:val="none"/>
                <w14:textFill>
                  <w14:solidFill>
                    <w14:schemeClr w14:val="tx1"/>
                  </w14:solidFill>
                </w14:textFill>
              </w:rPr>
              <w:t>。</w:t>
            </w:r>
          </w:p>
          <w:p w14:paraId="699F56BC">
            <w:pPr>
              <w:shd w:val="clear" w:color="auto" w:fill="auto"/>
              <w:ind w:firstLine="480"/>
              <w:jc w:val="both"/>
              <w:rPr>
                <w:rFonts w:hint="default" w:ascii="Times New Roman" w:hAnsi="Times New Roman" w:cs="Times New Roman"/>
                <w:color w:val="000000" w:themeColor="text1"/>
                <w:highlight w:val="none"/>
                <w:lang w:bidi="zh-CN"/>
                <w14:textFill>
                  <w14:solidFill>
                    <w14:schemeClr w14:val="tx1"/>
                  </w14:solidFill>
                </w14:textFill>
              </w:rPr>
            </w:pPr>
            <w:r>
              <w:rPr>
                <w:rFonts w:hint="eastAsia" w:cs="Times New Roman"/>
                <w:color w:val="000000" w:themeColor="text1"/>
                <w:highlight w:val="none"/>
                <w:lang w:val="en-US" w:bidi="zh-CN"/>
                <w14:textFill>
                  <w14:solidFill>
                    <w14:schemeClr w14:val="tx1"/>
                  </w14:solidFill>
                </w14:textFill>
              </w:rPr>
              <w:t>废粘土砂再生工艺</w:t>
            </w:r>
            <w:r>
              <w:rPr>
                <w:rFonts w:hint="default" w:ascii="Times New Roman" w:hAnsi="Times New Roman" w:cs="Times New Roman"/>
                <w:color w:val="000000" w:themeColor="text1"/>
                <w:highlight w:val="none"/>
                <w:lang w:val="zh-CN" w:bidi="zh-CN"/>
                <w14:textFill>
                  <w14:solidFill>
                    <w14:schemeClr w14:val="tx1"/>
                  </w14:solidFill>
                </w14:textFill>
              </w:rPr>
              <w:t>主要污染工序见表</w:t>
            </w:r>
            <w:r>
              <w:rPr>
                <w:rFonts w:hint="default" w:ascii="Times New Roman" w:hAnsi="Times New Roman" w:cs="Times New Roman"/>
                <w:color w:val="000000" w:themeColor="text1"/>
                <w:highlight w:val="none"/>
                <w:lang w:bidi="zh-CN"/>
                <w14:textFill>
                  <w14:solidFill>
                    <w14:schemeClr w14:val="tx1"/>
                  </w14:solidFill>
                </w14:textFill>
              </w:rPr>
              <w:t>2-</w:t>
            </w:r>
            <w:r>
              <w:rPr>
                <w:rFonts w:hint="eastAsia" w:cs="Times New Roman"/>
                <w:color w:val="000000" w:themeColor="text1"/>
                <w:highlight w:val="none"/>
                <w:lang w:val="en-US" w:bidi="zh-CN"/>
                <w14:textFill>
                  <w14:solidFill>
                    <w14:schemeClr w14:val="tx1"/>
                  </w14:solidFill>
                </w14:textFill>
              </w:rPr>
              <w:t>31</w:t>
            </w:r>
            <w:r>
              <w:rPr>
                <w:rFonts w:hint="default" w:ascii="Times New Roman" w:hAnsi="Times New Roman" w:cs="Times New Roman"/>
                <w:color w:val="000000" w:themeColor="text1"/>
                <w:highlight w:val="none"/>
                <w:lang w:val="zh-CN" w:bidi="zh-CN"/>
                <w14:textFill>
                  <w14:solidFill>
                    <w14:schemeClr w14:val="tx1"/>
                  </w14:solidFill>
                </w14:textFill>
              </w:rPr>
              <w:t>。</w:t>
            </w:r>
          </w:p>
          <w:p w14:paraId="5FD2CBE6">
            <w:pPr>
              <w:pStyle w:val="72"/>
              <w:numPr>
                <w:ilvl w:val="0"/>
                <w:numId w:val="0"/>
              </w:numPr>
              <w:shd w:val="clear" w:color="auto" w:fill="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表2-</w:t>
            </w:r>
            <w:r>
              <w:rPr>
                <w:rFonts w:hint="eastAsia" w:cs="Times New Roman"/>
                <w:color w:val="000000" w:themeColor="text1"/>
                <w:sz w:val="24"/>
                <w:highlight w:val="none"/>
                <w:lang w:val="en-US" w:eastAsia="zh-CN"/>
                <w14:textFill>
                  <w14:solidFill>
                    <w14:schemeClr w14:val="tx1"/>
                  </w14:solidFill>
                </w14:textFill>
              </w:rPr>
              <w:t>31</w:t>
            </w:r>
            <w:r>
              <w:rPr>
                <w:rFonts w:hint="default" w:ascii="Times New Roman" w:hAnsi="Times New Roman" w:cs="Times New Roman"/>
                <w:color w:val="000000" w:themeColor="text1"/>
                <w:sz w:val="24"/>
                <w:highlight w:val="none"/>
                <w14:textFill>
                  <w14:solidFill>
                    <w14:schemeClr w14:val="tx1"/>
                  </w14:solidFill>
                </w14:textFill>
              </w:rPr>
              <w:t xml:space="preserve"> </w:t>
            </w:r>
            <w:r>
              <w:rPr>
                <w:rFonts w:hint="eastAsia" w:cs="Times New Roman"/>
                <w:color w:val="000000" w:themeColor="text1"/>
                <w:sz w:val="24"/>
                <w:highlight w:val="none"/>
                <w:lang w:val="en-US" w:eastAsia="zh-CN"/>
                <w14:textFill>
                  <w14:solidFill>
                    <w14:schemeClr w14:val="tx1"/>
                  </w14:solidFill>
                </w14:textFill>
              </w:rPr>
              <w:t>废粘土砂再生工序</w:t>
            </w:r>
            <w:r>
              <w:rPr>
                <w:rFonts w:hint="default" w:ascii="Times New Roman" w:hAnsi="Times New Roman" w:cs="Times New Roman"/>
                <w:color w:val="000000" w:themeColor="text1"/>
                <w:sz w:val="24"/>
                <w:highlight w:val="none"/>
                <w14:textFill>
                  <w14:solidFill>
                    <w14:schemeClr w14:val="tx1"/>
                  </w14:solidFill>
                </w14:textFill>
              </w:rPr>
              <w:t>主要污染工序一览表</w:t>
            </w:r>
          </w:p>
          <w:tbl>
            <w:tblPr>
              <w:tblStyle w:val="32"/>
              <w:tblW w:w="4996" w:type="pct"/>
              <w:tblInd w:w="17"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24"/>
              <w:gridCol w:w="675"/>
              <w:gridCol w:w="1637"/>
              <w:gridCol w:w="4038"/>
              <w:gridCol w:w="1137"/>
            </w:tblGrid>
            <w:tr w14:paraId="78DBE4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noWrap w:val="0"/>
                  <w:vAlign w:val="center"/>
                </w:tcPr>
                <w:p w14:paraId="349E8788">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时段</w:t>
                  </w:r>
                </w:p>
              </w:tc>
              <w:tc>
                <w:tcPr>
                  <w:tcW w:w="426" w:type="pct"/>
                  <w:noWrap w:val="0"/>
                  <w:vAlign w:val="center"/>
                </w:tcPr>
                <w:p w14:paraId="7799F8D0">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污染因子</w:t>
                  </w:r>
                </w:p>
              </w:tc>
              <w:tc>
                <w:tcPr>
                  <w:tcW w:w="1034" w:type="pct"/>
                  <w:noWrap w:val="0"/>
                  <w:vAlign w:val="center"/>
                </w:tcPr>
                <w:p w14:paraId="38DE9683">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来源</w:t>
                  </w:r>
                </w:p>
              </w:tc>
              <w:tc>
                <w:tcPr>
                  <w:tcW w:w="2552" w:type="pct"/>
                  <w:noWrap w:val="0"/>
                  <w:vAlign w:val="center"/>
                </w:tcPr>
                <w:p w14:paraId="4EBE3346">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污染物种类</w:t>
                  </w:r>
                </w:p>
              </w:tc>
              <w:tc>
                <w:tcPr>
                  <w:tcW w:w="718" w:type="pct"/>
                  <w:noWrap w:val="0"/>
                  <w:vAlign w:val="center"/>
                </w:tcPr>
                <w:p w14:paraId="1B96F4CB">
                  <w:pPr>
                    <w:pStyle w:val="8"/>
                    <w:shd w:val="clear" w:color="auto" w:fill="auto"/>
                    <w:rPr>
                      <w:rFonts w:hint="default" w:ascii="Times New Roman" w:hAnsi="Times New Roman" w:cs="Times New Roman"/>
                      <w:b/>
                      <w:bCs/>
                      <w:color w:val="000000" w:themeColor="text1"/>
                      <w:sz w:val="21"/>
                      <w:highlight w:val="none"/>
                      <w14:textFill>
                        <w14:solidFill>
                          <w14:schemeClr w14:val="tx1"/>
                        </w14:solidFill>
                      </w14:textFill>
                    </w:rPr>
                  </w:pPr>
                  <w:r>
                    <w:rPr>
                      <w:rFonts w:hint="default" w:ascii="Times New Roman" w:hAnsi="Times New Roman" w:cs="Times New Roman"/>
                      <w:b/>
                      <w:bCs/>
                      <w:color w:val="000000" w:themeColor="text1"/>
                      <w:sz w:val="21"/>
                      <w:highlight w:val="none"/>
                      <w14:textFill>
                        <w14:solidFill>
                          <w14:schemeClr w14:val="tx1"/>
                        </w14:solidFill>
                      </w14:textFill>
                    </w:rPr>
                    <w:t>排放方式</w:t>
                  </w:r>
                </w:p>
              </w:tc>
            </w:tr>
            <w:tr w14:paraId="6CB5CBC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restart"/>
                  <w:noWrap w:val="0"/>
                  <w:vAlign w:val="center"/>
                </w:tcPr>
                <w:p w14:paraId="27C158F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运营期</w:t>
                  </w:r>
                </w:p>
              </w:tc>
              <w:tc>
                <w:tcPr>
                  <w:tcW w:w="426" w:type="pct"/>
                  <w:noWrap w:val="0"/>
                  <w:vAlign w:val="center"/>
                </w:tcPr>
                <w:p w14:paraId="533A250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废水</w:t>
                  </w:r>
                </w:p>
              </w:tc>
              <w:tc>
                <w:tcPr>
                  <w:tcW w:w="1034" w:type="pct"/>
                  <w:noWrap w:val="0"/>
                  <w:vAlign w:val="center"/>
                </w:tcPr>
                <w:p w14:paraId="7E7FBC3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生活污水</w:t>
                  </w:r>
                </w:p>
              </w:tc>
              <w:tc>
                <w:tcPr>
                  <w:tcW w:w="2552" w:type="pct"/>
                  <w:noWrap w:val="0"/>
                  <w:vAlign w:val="center"/>
                </w:tcPr>
                <w:p w14:paraId="7474F6D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COD</w:t>
                  </w:r>
                  <w:r>
                    <w:rPr>
                      <w:rFonts w:hint="default" w:ascii="Times New Roman" w:hAnsi="Times New Roman" w:cs="Times New Roman"/>
                      <w:color w:val="000000" w:themeColor="text1"/>
                      <w:sz w:val="21"/>
                      <w:highlight w:val="none"/>
                      <w:vertAlign w:val="subscript"/>
                      <w14:textFill>
                        <w14:solidFill>
                          <w14:schemeClr w14:val="tx1"/>
                        </w14:solidFill>
                      </w14:textFill>
                    </w:rPr>
                    <w:t>Cr</w:t>
                  </w:r>
                  <w:r>
                    <w:rPr>
                      <w:rFonts w:hint="default" w:ascii="Times New Roman" w:hAnsi="Times New Roman" w:cs="Times New Roman"/>
                      <w:color w:val="000000" w:themeColor="text1"/>
                      <w:sz w:val="21"/>
                      <w:highlight w:val="none"/>
                      <w14:textFill>
                        <w14:solidFill>
                          <w14:schemeClr w14:val="tx1"/>
                        </w14:solidFill>
                      </w14:textFill>
                    </w:rPr>
                    <w:t>、BOD</w:t>
                  </w:r>
                  <w:r>
                    <w:rPr>
                      <w:rFonts w:hint="default" w:ascii="Times New Roman" w:hAnsi="Times New Roman" w:cs="Times New Roman"/>
                      <w:color w:val="000000" w:themeColor="text1"/>
                      <w:sz w:val="21"/>
                      <w:highlight w:val="none"/>
                      <w:vertAlign w:val="subscript"/>
                      <w14:textFill>
                        <w14:solidFill>
                          <w14:schemeClr w14:val="tx1"/>
                        </w14:solidFill>
                      </w14:textFill>
                    </w:rPr>
                    <w:t>5</w:t>
                  </w:r>
                  <w:r>
                    <w:rPr>
                      <w:rFonts w:hint="default" w:ascii="Times New Roman" w:hAnsi="Times New Roman" w:cs="Times New Roman"/>
                      <w:color w:val="000000" w:themeColor="text1"/>
                      <w:sz w:val="21"/>
                      <w:highlight w:val="none"/>
                      <w14:textFill>
                        <w14:solidFill>
                          <w14:schemeClr w14:val="tx1"/>
                        </w14:solidFill>
                      </w14:textFill>
                    </w:rPr>
                    <w:t>、SS、NH</w:t>
                  </w:r>
                  <w:r>
                    <w:rPr>
                      <w:rFonts w:hint="default" w:ascii="Times New Roman" w:hAnsi="Times New Roman" w:cs="Times New Roman"/>
                      <w:color w:val="000000" w:themeColor="text1"/>
                      <w:sz w:val="21"/>
                      <w:highlight w:val="none"/>
                      <w:vertAlign w:val="subscript"/>
                      <w14:textFill>
                        <w14:solidFill>
                          <w14:schemeClr w14:val="tx1"/>
                        </w14:solidFill>
                      </w14:textFill>
                    </w:rPr>
                    <w:t>3</w:t>
                  </w:r>
                  <w:r>
                    <w:rPr>
                      <w:rFonts w:hint="default" w:ascii="Times New Roman" w:hAnsi="Times New Roman" w:cs="Times New Roman"/>
                      <w:color w:val="000000" w:themeColor="text1"/>
                      <w:sz w:val="21"/>
                      <w:highlight w:val="none"/>
                      <w14:textFill>
                        <w14:solidFill>
                          <w14:schemeClr w14:val="tx1"/>
                        </w14:solidFill>
                      </w14:textFill>
                    </w:rPr>
                    <w:t>、TP、动植物油</w:t>
                  </w:r>
                </w:p>
              </w:tc>
              <w:tc>
                <w:tcPr>
                  <w:tcW w:w="718" w:type="pct"/>
                  <w:noWrap w:val="0"/>
                  <w:vAlign w:val="center"/>
                </w:tcPr>
                <w:p w14:paraId="3D3F189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7CCDD1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F1A9FC5">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restart"/>
                  <w:noWrap w:val="0"/>
                  <w:vAlign w:val="center"/>
                </w:tcPr>
                <w:p w14:paraId="0225365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废气</w:t>
                  </w:r>
                </w:p>
              </w:tc>
              <w:tc>
                <w:tcPr>
                  <w:tcW w:w="1034" w:type="pct"/>
                  <w:noWrap w:val="0"/>
                  <w:vAlign w:val="center"/>
                </w:tcPr>
                <w:p w14:paraId="228228C7">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G3-1破碎废气</w:t>
                  </w:r>
                </w:p>
              </w:tc>
              <w:tc>
                <w:tcPr>
                  <w:tcW w:w="2552" w:type="pct"/>
                  <w:noWrap w:val="0"/>
                  <w:vAlign w:val="center"/>
                </w:tcPr>
                <w:p w14:paraId="619BDEA1">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颗粒物</w:t>
                  </w:r>
                </w:p>
              </w:tc>
              <w:tc>
                <w:tcPr>
                  <w:tcW w:w="718" w:type="pct"/>
                  <w:noWrap w:val="0"/>
                  <w:vAlign w:val="center"/>
                </w:tcPr>
                <w:p w14:paraId="71E6CF2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4F141E9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64827C8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238E7A7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5200BEDF">
                  <w:pPr>
                    <w:pStyle w:val="8"/>
                    <w:shd w:val="clear" w:color="auto" w:fill="auto"/>
                    <w:rPr>
                      <w:rFonts w:hint="default" w:ascii="Times New Roman" w:hAnsi="Times New Roman" w:eastAsia="宋体"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G3-2筛分废气</w:t>
                  </w:r>
                </w:p>
              </w:tc>
              <w:tc>
                <w:tcPr>
                  <w:tcW w:w="2552" w:type="pct"/>
                  <w:noWrap w:val="0"/>
                  <w:vAlign w:val="center"/>
                </w:tcPr>
                <w:p w14:paraId="5B1B14BD">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718" w:type="pct"/>
                  <w:noWrap w:val="0"/>
                  <w:vAlign w:val="center"/>
                </w:tcPr>
                <w:p w14:paraId="7AFD5E1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6A4DC60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70FDBD0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7E80676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2D4DF0FA">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G3-3筛分废气</w:t>
                  </w:r>
                </w:p>
              </w:tc>
              <w:tc>
                <w:tcPr>
                  <w:tcW w:w="2552" w:type="pct"/>
                  <w:noWrap w:val="0"/>
                  <w:vAlign w:val="center"/>
                </w:tcPr>
                <w:p w14:paraId="69FAADD1">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718" w:type="pct"/>
                  <w:noWrap w:val="0"/>
                  <w:vAlign w:val="center"/>
                </w:tcPr>
                <w:p w14:paraId="5F90A25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1FA295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0230E3F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678416BE">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7B8C85B7">
                  <w:pPr>
                    <w:pStyle w:val="8"/>
                    <w:shd w:val="clear" w:color="auto" w:fill="auto"/>
                    <w:rPr>
                      <w:rFonts w:hint="default" w:cs="Times New Roman"/>
                      <w:bCs/>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G3-4粘土砂冷却废气</w:t>
                  </w:r>
                </w:p>
              </w:tc>
              <w:tc>
                <w:tcPr>
                  <w:tcW w:w="2552" w:type="pct"/>
                  <w:noWrap w:val="0"/>
                  <w:vAlign w:val="center"/>
                </w:tcPr>
                <w:p w14:paraId="10899366">
                  <w:pPr>
                    <w:pStyle w:val="61"/>
                    <w:shd w:val="clear" w:color="auto" w:fill="auto"/>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颗粒物</w:t>
                  </w:r>
                </w:p>
              </w:tc>
              <w:tc>
                <w:tcPr>
                  <w:tcW w:w="718" w:type="pct"/>
                  <w:noWrap w:val="0"/>
                  <w:vAlign w:val="center"/>
                </w:tcPr>
                <w:p w14:paraId="7CACEDC5">
                  <w:pPr>
                    <w:pStyle w:val="8"/>
                    <w:shd w:val="clear" w:color="auto" w:fill="auto"/>
                    <w:rPr>
                      <w:rFonts w:hint="eastAsia"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有组织</w:t>
                  </w:r>
                </w:p>
              </w:tc>
            </w:tr>
            <w:tr w14:paraId="4A498D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816DE5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2A2E965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399C834B">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bCs/>
                      <w:color w:val="000000" w:themeColor="text1"/>
                      <w:sz w:val="21"/>
                      <w:highlight w:val="none"/>
                      <w:lang w:val="en-US" w:eastAsia="zh-CN"/>
                      <w14:textFill>
                        <w14:solidFill>
                          <w14:schemeClr w14:val="tx1"/>
                        </w14:solidFill>
                      </w14:textFill>
                    </w:rPr>
                    <w:t>G3-5粘土砂混砂废气</w:t>
                  </w:r>
                </w:p>
              </w:tc>
              <w:tc>
                <w:tcPr>
                  <w:tcW w:w="2552" w:type="pct"/>
                  <w:noWrap w:val="0"/>
                  <w:vAlign w:val="center"/>
                </w:tcPr>
                <w:p w14:paraId="527D30E2">
                  <w:pPr>
                    <w:pStyle w:val="6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颗粒物</w:t>
                  </w:r>
                </w:p>
              </w:tc>
              <w:tc>
                <w:tcPr>
                  <w:tcW w:w="718" w:type="pct"/>
                  <w:noWrap w:val="0"/>
                  <w:vAlign w:val="center"/>
                </w:tcPr>
                <w:p w14:paraId="65FFB32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有组织</w:t>
                  </w:r>
                </w:p>
              </w:tc>
            </w:tr>
            <w:tr w14:paraId="6AD37C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1CDAD36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noWrap w:val="0"/>
                  <w:vAlign w:val="center"/>
                </w:tcPr>
                <w:p w14:paraId="39F506C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1034" w:type="pct"/>
                  <w:noWrap w:val="0"/>
                  <w:vAlign w:val="center"/>
                </w:tcPr>
                <w:p w14:paraId="41468BE8">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机械设备</w:t>
                  </w:r>
                </w:p>
              </w:tc>
              <w:tc>
                <w:tcPr>
                  <w:tcW w:w="2552" w:type="pct"/>
                  <w:noWrap w:val="0"/>
                  <w:vAlign w:val="center"/>
                </w:tcPr>
                <w:p w14:paraId="2ED0919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噪声</w:t>
                  </w:r>
                </w:p>
              </w:tc>
              <w:tc>
                <w:tcPr>
                  <w:tcW w:w="718" w:type="pct"/>
                  <w:noWrap w:val="0"/>
                  <w:vAlign w:val="center"/>
                </w:tcPr>
                <w:p w14:paraId="61BB135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5153C3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2BA80006">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restart"/>
                  <w:noWrap w:val="0"/>
                  <w:vAlign w:val="center"/>
                </w:tcPr>
                <w:p w14:paraId="13D1FDC1">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固体废物</w:t>
                  </w:r>
                </w:p>
              </w:tc>
              <w:tc>
                <w:tcPr>
                  <w:tcW w:w="1034" w:type="pct"/>
                  <w:noWrap w:val="0"/>
                  <w:vAlign w:val="center"/>
                </w:tcPr>
                <w:p w14:paraId="22C51BB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生产</w:t>
                  </w:r>
                </w:p>
              </w:tc>
              <w:tc>
                <w:tcPr>
                  <w:tcW w:w="2552" w:type="pct"/>
                  <w:noWrap w:val="0"/>
                  <w:vAlign w:val="center"/>
                </w:tcPr>
                <w:p w14:paraId="39145F9F">
                  <w:pPr>
                    <w:pStyle w:val="8"/>
                    <w:shd w:val="clear" w:color="auto" w:fill="auto"/>
                    <w:rPr>
                      <w:rFonts w:hint="default" w:ascii="Times New Roman" w:hAnsi="Times New Roman" w:eastAsia="宋体" w:cs="Times New Roman"/>
                      <w:color w:val="000000" w:themeColor="text1"/>
                      <w:sz w:val="21"/>
                      <w:highlight w:val="none"/>
                      <w:lang w:val="en-US" w:eastAsia="zh-CN"/>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S3-1磁选金属</w:t>
                  </w:r>
                </w:p>
              </w:tc>
              <w:tc>
                <w:tcPr>
                  <w:tcW w:w="718" w:type="pct"/>
                  <w:noWrap w:val="0"/>
                  <w:vAlign w:val="center"/>
                </w:tcPr>
                <w:p w14:paraId="00489CFD">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364CC44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B1BCF2C">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2A5A04B7">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5BD649C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环保设备</w:t>
                  </w:r>
                </w:p>
              </w:tc>
              <w:tc>
                <w:tcPr>
                  <w:tcW w:w="2552" w:type="pct"/>
                  <w:noWrap w:val="0"/>
                  <w:vAlign w:val="center"/>
                </w:tcPr>
                <w:p w14:paraId="5E44E15C">
                  <w:pPr>
                    <w:pStyle w:val="8"/>
                    <w:shd w:val="clear" w:color="auto" w:fill="auto"/>
                    <w:rPr>
                      <w:rFonts w:hint="default" w:ascii="Times New Roman" w:hAnsi="Times New Roman" w:cs="Times New Roman"/>
                      <w:color w:val="000000" w:themeColor="text1"/>
                      <w:sz w:val="21"/>
                      <w:highlight w:val="none"/>
                      <w:lang w:val="en-US"/>
                      <w14:textFill>
                        <w14:solidFill>
                          <w14:schemeClr w14:val="tx1"/>
                        </w14:solidFill>
                      </w14:textFill>
                    </w:rPr>
                  </w:pPr>
                  <w:r>
                    <w:rPr>
                      <w:rFonts w:hint="eastAsia" w:cs="Times New Roman"/>
                      <w:color w:val="000000" w:themeColor="text1"/>
                      <w:sz w:val="21"/>
                      <w:highlight w:val="none"/>
                      <w:lang w:val="en-US" w:eastAsia="zh-CN"/>
                      <w14:textFill>
                        <w14:solidFill>
                          <w14:schemeClr w14:val="tx1"/>
                        </w14:solidFill>
                      </w14:textFill>
                    </w:rPr>
                    <w:t>树脂再生砂除尘灰、废滤袋</w:t>
                  </w:r>
                </w:p>
              </w:tc>
              <w:tc>
                <w:tcPr>
                  <w:tcW w:w="718" w:type="pct"/>
                  <w:noWrap w:val="0"/>
                  <w:vAlign w:val="center"/>
                </w:tcPr>
                <w:p w14:paraId="11EEC73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r w14:paraId="4995EF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267" w:type="pct"/>
                  <w:vMerge w:val="continue"/>
                  <w:noWrap w:val="0"/>
                  <w:vAlign w:val="center"/>
                </w:tcPr>
                <w:p w14:paraId="3ED78533">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426" w:type="pct"/>
                  <w:vMerge w:val="continue"/>
                  <w:noWrap w:val="0"/>
                  <w:vAlign w:val="center"/>
                </w:tcPr>
                <w:p w14:paraId="66E12632">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p>
              </w:tc>
              <w:tc>
                <w:tcPr>
                  <w:tcW w:w="1034" w:type="pct"/>
                  <w:noWrap w:val="0"/>
                  <w:vAlign w:val="center"/>
                </w:tcPr>
                <w:p w14:paraId="52B70B69">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员工生活</w:t>
                  </w:r>
                </w:p>
              </w:tc>
              <w:tc>
                <w:tcPr>
                  <w:tcW w:w="2552" w:type="pct"/>
                  <w:noWrap w:val="0"/>
                  <w:vAlign w:val="center"/>
                </w:tcPr>
                <w:p w14:paraId="4AD22BE4">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生活垃圾</w:t>
                  </w:r>
                </w:p>
              </w:tc>
              <w:tc>
                <w:tcPr>
                  <w:tcW w:w="718" w:type="pct"/>
                  <w:noWrap w:val="0"/>
                  <w:vAlign w:val="center"/>
                </w:tcPr>
                <w:p w14:paraId="089C6BCB">
                  <w:pPr>
                    <w:pStyle w:val="8"/>
                    <w:shd w:val="clear" w:color="auto" w:fill="auto"/>
                    <w:rPr>
                      <w:rFonts w:hint="default" w:ascii="Times New Roman" w:hAnsi="Times New Roman" w:cs="Times New Roman"/>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highlight w:val="none"/>
                      <w14:textFill>
                        <w14:solidFill>
                          <w14:schemeClr w14:val="tx1"/>
                        </w14:solidFill>
                      </w14:textFill>
                    </w:rPr>
                    <w:t>间歇排放</w:t>
                  </w:r>
                </w:p>
              </w:tc>
            </w:tr>
          </w:tbl>
          <w:p w14:paraId="15A6FB54">
            <w:pPr>
              <w:pStyle w:val="58"/>
              <w:shd w:val="clear" w:color="auto" w:fill="auto"/>
              <w:spacing w:line="240" w:lineRule="auto"/>
              <w:jc w:val="both"/>
              <w:rPr>
                <w:rFonts w:hint="default" w:ascii="Times New Roman" w:hAnsi="Times New Roman" w:cs="Times New Roman"/>
                <w:color w:val="000000" w:themeColor="text1"/>
                <w:highlight w:val="none"/>
                <w14:textFill>
                  <w14:solidFill>
                    <w14:schemeClr w14:val="tx1"/>
                  </w14:solidFill>
                </w14:textFill>
              </w:rPr>
            </w:pPr>
          </w:p>
        </w:tc>
      </w:tr>
      <w:tr w14:paraId="06743C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9" w:type="dxa"/>
            <w:noWrap w:val="0"/>
            <w:vAlign w:val="center"/>
          </w:tcPr>
          <w:p w14:paraId="6BC0973A">
            <w:pPr>
              <w:pStyle w:val="95"/>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与项目有关的原有环境污染问题</w:t>
            </w:r>
          </w:p>
        </w:tc>
        <w:tc>
          <w:tcPr>
            <w:tcW w:w="8133" w:type="dxa"/>
            <w:noWrap w:val="0"/>
            <w:vAlign w:val="top"/>
          </w:tcPr>
          <w:p w14:paraId="56BA0A21">
            <w:pPr>
              <w:pStyle w:val="21"/>
              <w:shd w:val="clear" w:color="auto" w:fill="auto"/>
              <w:ind w:firstLine="480"/>
              <w:rPr>
                <w:rFonts w:hint="default" w:ascii="Times New Roman" w:hAnsi="Times New Roman" w:cs="Times New Roman"/>
                <w:bCs/>
                <w:color w:val="000000" w:themeColor="text1"/>
                <w:sz w:val="24"/>
                <w:highlight w:val="none"/>
                <w14:textFill>
                  <w14:solidFill>
                    <w14:schemeClr w14:val="tx1"/>
                  </w14:solidFill>
                </w14:textFill>
              </w:rPr>
            </w:pPr>
            <w:r>
              <w:rPr>
                <w:rFonts w:hint="default" w:ascii="Times New Roman" w:hAnsi="Times New Roman" w:cs="Times New Roman"/>
                <w:bCs/>
                <w:color w:val="000000" w:themeColor="text1"/>
                <w:sz w:val="24"/>
                <w:highlight w:val="none"/>
                <w14:textFill>
                  <w14:solidFill>
                    <w14:schemeClr w14:val="tx1"/>
                  </w14:solidFill>
                </w14:textFill>
              </w:rPr>
              <w:t>本项目是新建项目，不存在原有污染情况及主要环境问题。</w:t>
            </w:r>
          </w:p>
          <w:p w14:paraId="4B1754C5">
            <w:pPr>
              <w:pStyle w:val="13"/>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p>
        </w:tc>
      </w:tr>
    </w:tbl>
    <w:p w14:paraId="39D35038">
      <w:pPr>
        <w:pStyle w:val="76"/>
        <w:shd w:val="clear" w:color="auto" w:fill="auto"/>
        <w:rPr>
          <w:color w:val="000000" w:themeColor="text1"/>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05A6207C">
      <w:pPr>
        <w:pStyle w:val="2"/>
        <w:shd w:val="clear" w:color="auto" w:fill="auto"/>
        <w:rPr>
          <w:color w:val="000000" w:themeColor="text1"/>
          <w:highlight w:val="none"/>
          <w14:textFill>
            <w14:solidFill>
              <w14:schemeClr w14:val="tx1"/>
            </w14:solidFill>
          </w14:textFill>
        </w:rPr>
      </w:pPr>
      <w:bookmarkStart w:id="2" w:name="_Toc27779"/>
      <w:r>
        <w:rPr>
          <w:rFonts w:hint="eastAsia"/>
          <w:color w:val="000000" w:themeColor="text1"/>
          <w:highlight w:val="none"/>
          <w14:textFill>
            <w14:solidFill>
              <w14:schemeClr w14:val="tx1"/>
            </w14:solidFill>
          </w14:textFill>
        </w:rPr>
        <w:t>三、</w:t>
      </w:r>
      <w:r>
        <w:rPr>
          <w:color w:val="000000" w:themeColor="text1"/>
          <w:highlight w:val="none"/>
          <w14:textFill>
            <w14:solidFill>
              <w14:schemeClr w14:val="tx1"/>
            </w14:solidFill>
          </w14:textFill>
        </w:rPr>
        <w:t>环境质量现状、环境保护目标及评价标准</w:t>
      </w:r>
      <w:bookmarkEnd w:id="2"/>
    </w:p>
    <w:tbl>
      <w:tblPr>
        <w:tblStyle w:val="32"/>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56"/>
        <w:gridCol w:w="8063"/>
      </w:tblGrid>
      <w:tr w14:paraId="3009DC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11" w:hRule="atLeast"/>
          <w:jc w:val="center"/>
        </w:trPr>
        <w:tc>
          <w:tcPr>
            <w:tcW w:w="456" w:type="dxa"/>
            <w:noWrap w:val="0"/>
            <w:vAlign w:val="center"/>
          </w:tcPr>
          <w:p w14:paraId="74B941A3">
            <w:pPr>
              <w:pStyle w:val="95"/>
              <w:shd w:val="clear" w:color="auto" w:fill="auto"/>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区域环境质量现状</w:t>
            </w:r>
          </w:p>
        </w:tc>
        <w:tc>
          <w:tcPr>
            <w:tcW w:w="8063" w:type="dxa"/>
            <w:noWrap w:val="0"/>
            <w:vAlign w:val="center"/>
          </w:tcPr>
          <w:p w14:paraId="287E042F">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1、大气环境质量现状</w:t>
            </w:r>
          </w:p>
          <w:p w14:paraId="71065787">
            <w:pPr>
              <w:shd w:val="clear" w:color="auto" w:fill="auto"/>
              <w:ind w:firstLine="48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（1）项目所在区域环境空气质量达标情况</w:t>
            </w:r>
          </w:p>
          <w:p w14:paraId="281461F2">
            <w:pPr>
              <w:shd w:val="clear" w:color="auto" w:fill="auto"/>
              <w:ind w:firstLine="480"/>
              <w:rPr>
                <w:color w:val="000000" w:themeColor="text1"/>
                <w:highlight w:val="none"/>
                <w14:textFill>
                  <w14:solidFill>
                    <w14:schemeClr w14:val="tx1"/>
                  </w14:solidFill>
                </w14:textFill>
              </w:rPr>
            </w:pPr>
            <w:r>
              <w:rPr>
                <w:rFonts w:hAnsi="宋体"/>
                <w:color w:val="000000" w:themeColor="text1"/>
                <w:highlight w:val="none"/>
                <w14:textFill>
                  <w14:solidFill>
                    <w14:schemeClr w14:val="tx1"/>
                  </w14:solidFill>
                </w14:textFill>
              </w:rPr>
              <w:t>项目所在地环境空气属二类功能区。根据《建设项目环境影响报告表编制技术指南（污染影响类）》（试行），常规污染物引用与建设项目距离近的有效数据，包括近</w:t>
            </w:r>
            <w:r>
              <w:rPr>
                <w:color w:val="000000" w:themeColor="text1"/>
                <w:highlight w:val="none"/>
                <w14:textFill>
                  <w14:solidFill>
                    <w14:schemeClr w14:val="tx1"/>
                  </w14:solidFill>
                </w14:textFill>
              </w:rPr>
              <w:t>3</w:t>
            </w:r>
            <w:r>
              <w:rPr>
                <w:rFonts w:hAnsi="宋体"/>
                <w:color w:val="000000" w:themeColor="text1"/>
                <w:highlight w:val="none"/>
                <w14:textFill>
                  <w14:solidFill>
                    <w14:schemeClr w14:val="tx1"/>
                  </w14:solidFill>
                </w14:textFill>
              </w:rPr>
              <w:t>年的规划环境影响评价的监测数据，国家、地方环境空气质量监测网数据或生态环境主管部门公开发布的质量数据等。本评价采用江西省生态环境厅公布的</w:t>
            </w:r>
            <w:r>
              <w:rPr>
                <w:color w:val="000000" w:themeColor="text1"/>
                <w:highlight w:val="none"/>
                <w14:textFill>
                  <w14:solidFill>
                    <w14:schemeClr w14:val="tx1"/>
                  </w14:solidFill>
                </w14:textFill>
              </w:rPr>
              <w:t>202</w:t>
            </w:r>
            <w:r>
              <w:rPr>
                <w:rFonts w:hint="eastAsia"/>
                <w:color w:val="000000" w:themeColor="text1"/>
                <w:highlight w:val="none"/>
                <w:lang w:val="en-US" w:eastAsia="zh-CN"/>
                <w14:textFill>
                  <w14:solidFill>
                    <w14:schemeClr w14:val="tx1"/>
                  </w14:solidFill>
                </w14:textFill>
              </w:rPr>
              <w:t>3</w:t>
            </w:r>
            <w:r>
              <w:rPr>
                <w:rFonts w:hAnsi="宋体"/>
                <w:color w:val="000000" w:themeColor="text1"/>
                <w:highlight w:val="none"/>
                <w14:textFill>
                  <w14:solidFill>
                    <w14:schemeClr w14:val="tx1"/>
                  </w14:solidFill>
                </w14:textFill>
              </w:rPr>
              <w:t>年江西省</w:t>
            </w:r>
            <w:r>
              <w:rPr>
                <w:rFonts w:hint="eastAsia" w:hAnsi="宋体"/>
                <w:color w:val="000000" w:themeColor="text1"/>
                <w:highlight w:val="none"/>
                <w14:textFill>
                  <w14:solidFill>
                    <w14:schemeClr w14:val="tx1"/>
                  </w14:solidFill>
                </w14:textFill>
              </w:rPr>
              <w:t>乐平市</w:t>
            </w:r>
            <w:r>
              <w:rPr>
                <w:rFonts w:hAnsi="宋体"/>
                <w:color w:val="000000" w:themeColor="text1"/>
                <w:highlight w:val="none"/>
                <w14:textFill>
                  <w14:solidFill>
                    <w14:schemeClr w14:val="tx1"/>
                  </w14:solidFill>
                </w14:textFill>
              </w:rPr>
              <w:t>六项基本大气污染物的数据。</w:t>
            </w:r>
          </w:p>
          <w:p w14:paraId="44583D5B">
            <w:pPr>
              <w:pStyle w:val="72"/>
              <w:numPr>
                <w:ilvl w:val="0"/>
                <w:numId w:val="0"/>
              </w:numPr>
              <w:shd w:val="clear" w:color="auto" w:fill="auto"/>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 xml:space="preserve">表3-1 </w:t>
            </w:r>
            <w:r>
              <w:rPr>
                <w:color w:val="000000" w:themeColor="text1"/>
                <w:sz w:val="24"/>
                <w:highlight w:val="none"/>
                <w14:textFill>
                  <w14:solidFill>
                    <w14:schemeClr w14:val="tx1"/>
                  </w14:solidFill>
                </w14:textFill>
              </w:rPr>
              <w:t>项目所在区域大气环境质量现状  （单位：年平均值</w:t>
            </w:r>
            <w:r>
              <w:rPr>
                <w:rFonts w:hint="eastAsia"/>
                <w:color w:val="000000" w:themeColor="text1"/>
                <w:sz w:val="24"/>
                <w:highlight w:val="none"/>
                <w14:textFill>
                  <w14:solidFill>
                    <w14:schemeClr w14:val="tx1"/>
                  </w14:solidFill>
                </w14:textFill>
              </w:rPr>
              <w:t>u</w:t>
            </w:r>
            <w:r>
              <w:rPr>
                <w:color w:val="000000" w:themeColor="text1"/>
                <w:sz w:val="24"/>
                <w:highlight w:val="none"/>
                <w14:textFill>
                  <w14:solidFill>
                    <w14:schemeClr w14:val="tx1"/>
                  </w14:solidFill>
                </w14:textFill>
              </w:rPr>
              <w:t>g/m</w:t>
            </w:r>
            <w:r>
              <w:rPr>
                <w:color w:val="000000" w:themeColor="text1"/>
                <w:sz w:val="24"/>
                <w:highlight w:val="none"/>
                <w:vertAlign w:val="superscript"/>
                <w14:textFill>
                  <w14:solidFill>
                    <w14:schemeClr w14:val="tx1"/>
                  </w14:solidFill>
                </w14:textFill>
              </w:rPr>
              <w:t>3</w:t>
            </w:r>
            <w:r>
              <w:rPr>
                <w:color w:val="000000" w:themeColor="text1"/>
                <w:sz w:val="24"/>
                <w:highlight w:val="none"/>
                <w14:textFill>
                  <w14:solidFill>
                    <w14:schemeClr w14:val="tx1"/>
                  </w14:solidFill>
                </w14:textFill>
              </w:rPr>
              <w:t>）</w:t>
            </w:r>
          </w:p>
          <w:tbl>
            <w:tblPr>
              <w:tblStyle w:val="32"/>
              <w:tblW w:w="0" w:type="auto"/>
              <w:tblInd w:w="15"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999"/>
              <w:gridCol w:w="2697"/>
              <w:gridCol w:w="1065"/>
              <w:gridCol w:w="1065"/>
              <w:gridCol w:w="960"/>
              <w:gridCol w:w="1038"/>
            </w:tblGrid>
            <w:tr w14:paraId="5EB052A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3FBF6FE8">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污染物</w:t>
                  </w:r>
                </w:p>
              </w:tc>
              <w:tc>
                <w:tcPr>
                  <w:tcW w:w="2697" w:type="dxa"/>
                  <w:noWrap w:val="0"/>
                  <w:vAlign w:val="center"/>
                </w:tcPr>
                <w:p w14:paraId="724CBD29">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年评价指标</w:t>
                  </w:r>
                </w:p>
              </w:tc>
              <w:tc>
                <w:tcPr>
                  <w:tcW w:w="1065" w:type="dxa"/>
                  <w:noWrap w:val="0"/>
                  <w:vAlign w:val="center"/>
                </w:tcPr>
                <w:p w14:paraId="17A24014">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现状浓度</w:t>
                  </w:r>
                </w:p>
                <w:p w14:paraId="31D79526">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（μg/m</w:t>
                  </w:r>
                  <w:r>
                    <w:rPr>
                      <w:b/>
                      <w:bCs/>
                      <w:color w:val="000000" w:themeColor="text1"/>
                      <w:sz w:val="21"/>
                      <w:szCs w:val="21"/>
                      <w:highlight w:val="none"/>
                      <w:vertAlign w:val="superscript"/>
                      <w14:textFill>
                        <w14:solidFill>
                          <w14:schemeClr w14:val="tx1"/>
                        </w14:solidFill>
                      </w14:textFill>
                    </w:rPr>
                    <w:t>3</w:t>
                  </w:r>
                  <w:r>
                    <w:rPr>
                      <w:b/>
                      <w:bCs/>
                      <w:color w:val="000000" w:themeColor="text1"/>
                      <w:sz w:val="21"/>
                      <w:szCs w:val="21"/>
                      <w:highlight w:val="none"/>
                      <w14:textFill>
                        <w14:solidFill>
                          <w14:schemeClr w14:val="tx1"/>
                        </w14:solidFill>
                      </w14:textFill>
                    </w:rPr>
                    <w:t>）</w:t>
                  </w:r>
                </w:p>
              </w:tc>
              <w:tc>
                <w:tcPr>
                  <w:tcW w:w="1065" w:type="dxa"/>
                  <w:noWrap w:val="0"/>
                  <w:vAlign w:val="center"/>
                </w:tcPr>
                <w:p w14:paraId="001F9E9E">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标准值</w:t>
                  </w:r>
                </w:p>
                <w:p w14:paraId="28BFCD11">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（μg/m</w:t>
                  </w:r>
                  <w:r>
                    <w:rPr>
                      <w:b/>
                      <w:bCs/>
                      <w:color w:val="000000" w:themeColor="text1"/>
                      <w:sz w:val="21"/>
                      <w:szCs w:val="21"/>
                      <w:highlight w:val="none"/>
                      <w:vertAlign w:val="superscript"/>
                      <w14:textFill>
                        <w14:solidFill>
                          <w14:schemeClr w14:val="tx1"/>
                        </w14:solidFill>
                      </w14:textFill>
                    </w:rPr>
                    <w:t>3</w:t>
                  </w:r>
                  <w:r>
                    <w:rPr>
                      <w:b/>
                      <w:bCs/>
                      <w:color w:val="000000" w:themeColor="text1"/>
                      <w:sz w:val="21"/>
                      <w:szCs w:val="21"/>
                      <w:highlight w:val="none"/>
                      <w14:textFill>
                        <w14:solidFill>
                          <w14:schemeClr w14:val="tx1"/>
                        </w14:solidFill>
                      </w14:textFill>
                    </w:rPr>
                    <w:t>）</w:t>
                  </w:r>
                </w:p>
              </w:tc>
              <w:tc>
                <w:tcPr>
                  <w:tcW w:w="960" w:type="dxa"/>
                  <w:noWrap w:val="0"/>
                  <w:vAlign w:val="center"/>
                </w:tcPr>
                <w:p w14:paraId="10AD31AA">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占标率</w:t>
                  </w:r>
                  <w:r>
                    <w:rPr>
                      <w:rFonts w:hint="eastAsia"/>
                      <w:color w:val="000000" w:themeColor="text1"/>
                      <w:highlight w:val="none"/>
                      <w14:textFill>
                        <w14:solidFill>
                          <w14:schemeClr w14:val="tx1"/>
                        </w14:solidFill>
                      </w14:textFill>
                    </w:rPr>
                    <w:t>%</w:t>
                  </w:r>
                </w:p>
              </w:tc>
              <w:tc>
                <w:tcPr>
                  <w:tcW w:w="1038" w:type="dxa"/>
                  <w:noWrap w:val="0"/>
                  <w:vAlign w:val="center"/>
                </w:tcPr>
                <w:p w14:paraId="6A78DC1C">
                  <w:pPr>
                    <w:shd w:val="clear" w:color="auto" w:fill="auto"/>
                    <w:spacing w:line="240" w:lineRule="auto"/>
                    <w:ind w:firstLine="0" w:firstLineChars="0"/>
                    <w:jc w:val="center"/>
                    <w:rPr>
                      <w:b/>
                      <w:bCs/>
                      <w:color w:val="000000" w:themeColor="text1"/>
                      <w:sz w:val="21"/>
                      <w:szCs w:val="21"/>
                      <w:highlight w:val="none"/>
                      <w14:textFill>
                        <w14:solidFill>
                          <w14:schemeClr w14:val="tx1"/>
                        </w14:solidFill>
                      </w14:textFill>
                    </w:rPr>
                  </w:pPr>
                  <w:r>
                    <w:rPr>
                      <w:b/>
                      <w:bCs/>
                      <w:color w:val="000000" w:themeColor="text1"/>
                      <w:sz w:val="21"/>
                      <w:szCs w:val="21"/>
                      <w:highlight w:val="none"/>
                      <w14:textFill>
                        <w14:solidFill>
                          <w14:schemeClr w14:val="tx1"/>
                        </w14:solidFill>
                      </w14:textFill>
                    </w:rPr>
                    <w:t>达标情况</w:t>
                  </w:r>
                </w:p>
              </w:tc>
            </w:tr>
            <w:tr w14:paraId="116AD5F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5EE0F16B">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SO</w:t>
                  </w:r>
                  <w:r>
                    <w:rPr>
                      <w:color w:val="000000" w:themeColor="text1"/>
                      <w:sz w:val="21"/>
                      <w:szCs w:val="21"/>
                      <w:highlight w:val="none"/>
                      <w:vertAlign w:val="subscript"/>
                      <w:lang w:bidi="ar"/>
                      <w14:textFill>
                        <w14:solidFill>
                          <w14:schemeClr w14:val="tx1"/>
                        </w14:solidFill>
                      </w14:textFill>
                    </w:rPr>
                    <w:t>2</w:t>
                  </w:r>
                </w:p>
              </w:tc>
              <w:tc>
                <w:tcPr>
                  <w:tcW w:w="2697" w:type="dxa"/>
                  <w:noWrap w:val="0"/>
                  <w:vAlign w:val="center"/>
                </w:tcPr>
                <w:p w14:paraId="239B89AA">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年均浓度</w:t>
                  </w:r>
                </w:p>
              </w:tc>
              <w:tc>
                <w:tcPr>
                  <w:tcW w:w="1065" w:type="dxa"/>
                  <w:noWrap w:val="0"/>
                  <w:vAlign w:val="center"/>
                </w:tcPr>
                <w:p w14:paraId="2C6CBFE6">
                  <w:pPr>
                    <w:pStyle w:val="22"/>
                    <w:shd w:val="clear" w:color="auto" w:fill="auto"/>
                    <w:spacing w:before="0" w:beforeAutospacing="0" w:after="0" w:afterAutospacing="0" w:line="240" w:lineRule="auto"/>
                    <w:ind w:firstLine="0" w:firstLineChars="0"/>
                    <w:jc w:val="center"/>
                    <w:rPr>
                      <w:rFonts w:hint="eastAsia"/>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9</w:t>
                  </w:r>
                </w:p>
              </w:tc>
              <w:tc>
                <w:tcPr>
                  <w:tcW w:w="1065" w:type="dxa"/>
                  <w:noWrap w:val="0"/>
                  <w:vAlign w:val="center"/>
                </w:tcPr>
                <w:p w14:paraId="0205C8E4">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60</w:t>
                  </w:r>
                </w:p>
              </w:tc>
              <w:tc>
                <w:tcPr>
                  <w:tcW w:w="960" w:type="dxa"/>
                  <w:noWrap w:val="0"/>
                  <w:vAlign w:val="center"/>
                </w:tcPr>
                <w:p w14:paraId="5B52235B">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15</w:t>
                  </w:r>
                </w:p>
              </w:tc>
              <w:tc>
                <w:tcPr>
                  <w:tcW w:w="1038" w:type="dxa"/>
                  <w:noWrap w:val="0"/>
                  <w:vAlign w:val="center"/>
                </w:tcPr>
                <w:p w14:paraId="1A3E5467">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r w14:paraId="75E33E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7D9F7904">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NO</w:t>
                  </w:r>
                  <w:r>
                    <w:rPr>
                      <w:color w:val="000000" w:themeColor="text1"/>
                      <w:sz w:val="21"/>
                      <w:szCs w:val="21"/>
                      <w:highlight w:val="none"/>
                      <w:vertAlign w:val="subscript"/>
                      <w:lang w:bidi="ar"/>
                      <w14:textFill>
                        <w14:solidFill>
                          <w14:schemeClr w14:val="tx1"/>
                        </w14:solidFill>
                      </w14:textFill>
                    </w:rPr>
                    <w:t>2</w:t>
                  </w:r>
                </w:p>
              </w:tc>
              <w:tc>
                <w:tcPr>
                  <w:tcW w:w="2697" w:type="dxa"/>
                  <w:noWrap w:val="0"/>
                  <w:vAlign w:val="center"/>
                </w:tcPr>
                <w:p w14:paraId="6B99F1D5">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年均浓度</w:t>
                  </w:r>
                </w:p>
              </w:tc>
              <w:tc>
                <w:tcPr>
                  <w:tcW w:w="1065" w:type="dxa"/>
                  <w:noWrap w:val="0"/>
                  <w:vAlign w:val="center"/>
                </w:tcPr>
                <w:p w14:paraId="02F0461F">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11</w:t>
                  </w:r>
                </w:p>
              </w:tc>
              <w:tc>
                <w:tcPr>
                  <w:tcW w:w="1065" w:type="dxa"/>
                  <w:noWrap w:val="0"/>
                  <w:vAlign w:val="center"/>
                </w:tcPr>
                <w:p w14:paraId="3C9FF295">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40</w:t>
                  </w:r>
                </w:p>
              </w:tc>
              <w:tc>
                <w:tcPr>
                  <w:tcW w:w="960" w:type="dxa"/>
                  <w:noWrap w:val="0"/>
                  <w:vAlign w:val="center"/>
                </w:tcPr>
                <w:p w14:paraId="176D178D">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27.5</w:t>
                  </w:r>
                </w:p>
              </w:tc>
              <w:tc>
                <w:tcPr>
                  <w:tcW w:w="1038" w:type="dxa"/>
                  <w:noWrap w:val="0"/>
                  <w:vAlign w:val="center"/>
                </w:tcPr>
                <w:p w14:paraId="676BB629">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r w14:paraId="6B380FE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09DA50FA">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PM</w:t>
                  </w:r>
                  <w:r>
                    <w:rPr>
                      <w:color w:val="000000" w:themeColor="text1"/>
                      <w:sz w:val="21"/>
                      <w:szCs w:val="21"/>
                      <w:highlight w:val="none"/>
                      <w:vertAlign w:val="subscript"/>
                      <w:lang w:bidi="ar"/>
                      <w14:textFill>
                        <w14:solidFill>
                          <w14:schemeClr w14:val="tx1"/>
                        </w14:solidFill>
                      </w14:textFill>
                    </w:rPr>
                    <w:t>2.5</w:t>
                  </w:r>
                </w:p>
              </w:tc>
              <w:tc>
                <w:tcPr>
                  <w:tcW w:w="2697" w:type="dxa"/>
                  <w:noWrap w:val="0"/>
                  <w:vAlign w:val="center"/>
                </w:tcPr>
                <w:p w14:paraId="5961605B">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年均浓度</w:t>
                  </w:r>
                </w:p>
              </w:tc>
              <w:tc>
                <w:tcPr>
                  <w:tcW w:w="1065" w:type="dxa"/>
                  <w:noWrap w:val="0"/>
                  <w:vAlign w:val="center"/>
                </w:tcPr>
                <w:p w14:paraId="4FBA82AE">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48</w:t>
                  </w:r>
                </w:p>
              </w:tc>
              <w:tc>
                <w:tcPr>
                  <w:tcW w:w="1065" w:type="dxa"/>
                  <w:noWrap w:val="0"/>
                  <w:vAlign w:val="center"/>
                </w:tcPr>
                <w:p w14:paraId="661B5346">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70</w:t>
                  </w:r>
                </w:p>
              </w:tc>
              <w:tc>
                <w:tcPr>
                  <w:tcW w:w="960" w:type="dxa"/>
                  <w:noWrap w:val="0"/>
                  <w:vAlign w:val="center"/>
                </w:tcPr>
                <w:p w14:paraId="06B776D1">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68.57</w:t>
                  </w:r>
                </w:p>
              </w:tc>
              <w:tc>
                <w:tcPr>
                  <w:tcW w:w="1038" w:type="dxa"/>
                  <w:noWrap w:val="0"/>
                  <w:vAlign w:val="center"/>
                </w:tcPr>
                <w:p w14:paraId="0B740382">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r w14:paraId="72E47E0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2ADD22ED">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PM</w:t>
                  </w:r>
                  <w:r>
                    <w:rPr>
                      <w:color w:val="000000" w:themeColor="text1"/>
                      <w:sz w:val="21"/>
                      <w:szCs w:val="21"/>
                      <w:highlight w:val="none"/>
                      <w:vertAlign w:val="subscript"/>
                      <w:lang w:bidi="ar"/>
                      <w14:textFill>
                        <w14:solidFill>
                          <w14:schemeClr w14:val="tx1"/>
                        </w14:solidFill>
                      </w14:textFill>
                    </w:rPr>
                    <w:t>10</w:t>
                  </w:r>
                </w:p>
              </w:tc>
              <w:tc>
                <w:tcPr>
                  <w:tcW w:w="2697" w:type="dxa"/>
                  <w:noWrap w:val="0"/>
                  <w:vAlign w:val="center"/>
                </w:tcPr>
                <w:p w14:paraId="562FB718">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年均浓度</w:t>
                  </w:r>
                </w:p>
              </w:tc>
              <w:tc>
                <w:tcPr>
                  <w:tcW w:w="1065" w:type="dxa"/>
                  <w:noWrap w:val="0"/>
                  <w:vAlign w:val="center"/>
                </w:tcPr>
                <w:p w14:paraId="365FB277">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26</w:t>
                  </w:r>
                </w:p>
              </w:tc>
              <w:tc>
                <w:tcPr>
                  <w:tcW w:w="1065" w:type="dxa"/>
                  <w:noWrap w:val="0"/>
                  <w:vAlign w:val="center"/>
                </w:tcPr>
                <w:p w14:paraId="1C7BAB99">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35</w:t>
                  </w:r>
                </w:p>
              </w:tc>
              <w:tc>
                <w:tcPr>
                  <w:tcW w:w="960" w:type="dxa"/>
                  <w:noWrap w:val="0"/>
                  <w:vAlign w:val="center"/>
                </w:tcPr>
                <w:p w14:paraId="69C27B34">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74.29</w:t>
                  </w:r>
                </w:p>
              </w:tc>
              <w:tc>
                <w:tcPr>
                  <w:tcW w:w="1038" w:type="dxa"/>
                  <w:noWrap w:val="0"/>
                  <w:vAlign w:val="center"/>
                </w:tcPr>
                <w:p w14:paraId="6E8D0BD6">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r w14:paraId="7104C1E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69CD68BB">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CO（</w:t>
                  </w:r>
                  <w:r>
                    <w:rPr>
                      <w:color w:val="000000" w:themeColor="text1"/>
                      <w:sz w:val="21"/>
                      <w:szCs w:val="21"/>
                      <w:highlight w:val="none"/>
                      <w14:textFill>
                        <w14:solidFill>
                          <w14:schemeClr w14:val="tx1"/>
                        </w14:solidFill>
                      </w14:textFill>
                    </w:rPr>
                    <w:t>mg/m</w:t>
                  </w:r>
                  <w:r>
                    <w:rPr>
                      <w:color w:val="000000" w:themeColor="text1"/>
                      <w:sz w:val="21"/>
                      <w:szCs w:val="21"/>
                      <w:highlight w:val="none"/>
                      <w:vertAlign w:val="superscript"/>
                      <w14:textFill>
                        <w14:solidFill>
                          <w14:schemeClr w14:val="tx1"/>
                        </w14:solidFill>
                      </w14:textFill>
                    </w:rPr>
                    <w:t>3</w:t>
                  </w:r>
                  <w:r>
                    <w:rPr>
                      <w:color w:val="000000" w:themeColor="text1"/>
                      <w:sz w:val="21"/>
                      <w:szCs w:val="21"/>
                      <w:highlight w:val="none"/>
                      <w14:textFill>
                        <w14:solidFill>
                          <w14:schemeClr w14:val="tx1"/>
                        </w14:solidFill>
                      </w14:textFill>
                    </w:rPr>
                    <w:t>）</w:t>
                  </w:r>
                </w:p>
              </w:tc>
              <w:tc>
                <w:tcPr>
                  <w:tcW w:w="2697" w:type="dxa"/>
                  <w:noWrap w:val="0"/>
                  <w:vAlign w:val="center"/>
                </w:tcPr>
                <w:p w14:paraId="0D9FB5DA">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日均值95%位数值</w:t>
                  </w:r>
                </w:p>
              </w:tc>
              <w:tc>
                <w:tcPr>
                  <w:tcW w:w="1065" w:type="dxa"/>
                  <w:noWrap w:val="0"/>
                  <w:vAlign w:val="center"/>
                </w:tcPr>
                <w:p w14:paraId="320649CE">
                  <w:pPr>
                    <w:pStyle w:val="22"/>
                    <w:shd w:val="clear" w:color="auto" w:fill="auto"/>
                    <w:spacing w:before="0" w:beforeAutospacing="0" w:after="0" w:afterAutospacing="0" w:line="240" w:lineRule="auto"/>
                    <w:ind w:firstLine="0" w:firstLineChars="0"/>
                    <w:jc w:val="center"/>
                    <w:rPr>
                      <w:rFonts w:hint="eastAsia"/>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1100</w:t>
                  </w:r>
                </w:p>
              </w:tc>
              <w:tc>
                <w:tcPr>
                  <w:tcW w:w="1065" w:type="dxa"/>
                  <w:noWrap w:val="0"/>
                  <w:vAlign w:val="center"/>
                </w:tcPr>
                <w:p w14:paraId="0CC672BE">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4000</w:t>
                  </w:r>
                </w:p>
              </w:tc>
              <w:tc>
                <w:tcPr>
                  <w:tcW w:w="960" w:type="dxa"/>
                  <w:noWrap w:val="0"/>
                  <w:vAlign w:val="center"/>
                </w:tcPr>
                <w:p w14:paraId="1B43452C">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27.5</w:t>
                  </w:r>
                </w:p>
              </w:tc>
              <w:tc>
                <w:tcPr>
                  <w:tcW w:w="1038" w:type="dxa"/>
                  <w:noWrap w:val="0"/>
                  <w:vAlign w:val="center"/>
                </w:tcPr>
                <w:p w14:paraId="7EB9AB68">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r w14:paraId="1B04982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rPr>
              <w:tc>
                <w:tcPr>
                  <w:tcW w:w="999" w:type="dxa"/>
                  <w:noWrap w:val="0"/>
                  <w:vAlign w:val="center"/>
                </w:tcPr>
                <w:p w14:paraId="68CEEA27">
                  <w:pPr>
                    <w:pStyle w:val="22"/>
                    <w:shd w:val="clear" w:color="auto" w:fill="auto"/>
                    <w:spacing w:before="0" w:beforeAutospacing="0" w:after="0" w:afterAutospacing="0"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lang w:bidi="ar"/>
                      <w14:textFill>
                        <w14:solidFill>
                          <w14:schemeClr w14:val="tx1"/>
                        </w14:solidFill>
                      </w14:textFill>
                    </w:rPr>
                    <w:t>O</w:t>
                  </w:r>
                  <w:r>
                    <w:rPr>
                      <w:color w:val="000000" w:themeColor="text1"/>
                      <w:sz w:val="21"/>
                      <w:szCs w:val="21"/>
                      <w:highlight w:val="none"/>
                      <w:vertAlign w:val="subscript"/>
                      <w:lang w:bidi="ar"/>
                      <w14:textFill>
                        <w14:solidFill>
                          <w14:schemeClr w14:val="tx1"/>
                        </w14:solidFill>
                      </w14:textFill>
                    </w:rPr>
                    <w:t>3</w:t>
                  </w:r>
                </w:p>
              </w:tc>
              <w:tc>
                <w:tcPr>
                  <w:tcW w:w="2697" w:type="dxa"/>
                  <w:noWrap w:val="0"/>
                  <w:vAlign w:val="center"/>
                </w:tcPr>
                <w:p w14:paraId="2C61424B">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color w:val="000000" w:themeColor="text1"/>
                      <w:sz w:val="21"/>
                      <w:szCs w:val="21"/>
                      <w:highlight w:val="none"/>
                      <w:lang w:bidi="ar"/>
                      <w14:textFill>
                        <w14:solidFill>
                          <w14:schemeClr w14:val="tx1"/>
                        </w14:solidFill>
                      </w14:textFill>
                    </w:rPr>
                    <w:t>日最大8小时值90%位数值</w:t>
                  </w:r>
                </w:p>
              </w:tc>
              <w:tc>
                <w:tcPr>
                  <w:tcW w:w="1065" w:type="dxa"/>
                  <w:noWrap w:val="0"/>
                  <w:vAlign w:val="center"/>
                </w:tcPr>
                <w:p w14:paraId="7C3B3C6D">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127</w:t>
                  </w:r>
                </w:p>
              </w:tc>
              <w:tc>
                <w:tcPr>
                  <w:tcW w:w="1065" w:type="dxa"/>
                  <w:noWrap w:val="0"/>
                  <w:vAlign w:val="center"/>
                </w:tcPr>
                <w:p w14:paraId="4AE23DC8">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160</w:t>
                  </w:r>
                </w:p>
              </w:tc>
              <w:tc>
                <w:tcPr>
                  <w:tcW w:w="960" w:type="dxa"/>
                  <w:noWrap w:val="0"/>
                  <w:vAlign w:val="center"/>
                </w:tcPr>
                <w:p w14:paraId="1136CDA4">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default"/>
                      <w:color w:val="000000" w:themeColor="text1"/>
                      <w:sz w:val="21"/>
                      <w:szCs w:val="21"/>
                      <w:highlight w:val="none"/>
                      <w:lang w:val="en-US" w:eastAsia="zh-CN" w:bidi="ar"/>
                      <w14:textFill>
                        <w14:solidFill>
                          <w14:schemeClr w14:val="tx1"/>
                        </w14:solidFill>
                      </w14:textFill>
                    </w:rPr>
                    <w:t>79.38</w:t>
                  </w:r>
                </w:p>
              </w:tc>
              <w:tc>
                <w:tcPr>
                  <w:tcW w:w="1038" w:type="dxa"/>
                  <w:noWrap w:val="0"/>
                  <w:vAlign w:val="center"/>
                </w:tcPr>
                <w:p w14:paraId="5746AE5A">
                  <w:pPr>
                    <w:pStyle w:val="22"/>
                    <w:shd w:val="clear" w:color="auto" w:fill="auto"/>
                    <w:spacing w:before="0" w:beforeAutospacing="0" w:after="0" w:afterAutospacing="0" w:line="240" w:lineRule="auto"/>
                    <w:ind w:firstLine="0" w:firstLineChars="0"/>
                    <w:jc w:val="center"/>
                    <w:rPr>
                      <w:color w:val="000000" w:themeColor="text1"/>
                      <w:sz w:val="21"/>
                      <w:szCs w:val="21"/>
                      <w:highlight w:val="none"/>
                      <w:lang w:bidi="ar"/>
                      <w14:textFill>
                        <w14:solidFill>
                          <w14:schemeClr w14:val="tx1"/>
                        </w14:solidFill>
                      </w14:textFill>
                    </w:rPr>
                  </w:pPr>
                  <w:r>
                    <w:rPr>
                      <w:rFonts w:hint="eastAsia"/>
                      <w:color w:val="000000" w:themeColor="text1"/>
                      <w:sz w:val="21"/>
                      <w:szCs w:val="21"/>
                      <w:highlight w:val="none"/>
                      <w:lang w:bidi="ar"/>
                      <w14:textFill>
                        <w14:solidFill>
                          <w14:schemeClr w14:val="tx1"/>
                        </w14:solidFill>
                      </w14:textFill>
                    </w:rPr>
                    <w:t>达标</w:t>
                  </w:r>
                </w:p>
              </w:tc>
            </w:tr>
          </w:tbl>
          <w:p w14:paraId="780CC84F">
            <w:pPr>
              <w:pStyle w:val="56"/>
              <w:shd w:val="clear" w:color="auto" w:fill="auto"/>
              <w:ind w:firstLine="480"/>
              <w:rPr>
                <w:rFonts w:hint="default"/>
                <w:color w:val="000000" w:themeColor="text1"/>
                <w:highlight w:val="none"/>
                <w14:textFill>
                  <w14:solidFill>
                    <w14:schemeClr w14:val="tx1"/>
                  </w14:solidFill>
                </w14:textFill>
              </w:rPr>
            </w:pPr>
            <w:r>
              <w:rPr>
                <w:rFonts w:hint="default"/>
                <w:color w:val="000000" w:themeColor="text1"/>
                <w:highlight w:val="none"/>
                <w14:textFill>
                  <w14:solidFill>
                    <w14:schemeClr w14:val="tx1"/>
                  </w14:solidFill>
                </w14:textFill>
              </w:rPr>
              <w:t>项目所在区域</w:t>
            </w:r>
            <w:r>
              <w:rPr>
                <w:color w:val="000000" w:themeColor="text1"/>
                <w:highlight w:val="none"/>
                <w14:textFill>
                  <w14:solidFill>
                    <w14:schemeClr w14:val="tx1"/>
                  </w14:solidFill>
                </w14:textFill>
              </w:rPr>
              <w:t>乐平市202</w:t>
            </w:r>
            <w:r>
              <w:rPr>
                <w:rFonts w:hint="eastAsia"/>
                <w:color w:val="000000" w:themeColor="text1"/>
                <w:highlight w:val="none"/>
                <w:lang w:val="en-US" w:eastAsia="zh-CN"/>
                <w14:textFill>
                  <w14:solidFill>
                    <w14:schemeClr w14:val="tx1"/>
                  </w14:solidFill>
                </w14:textFill>
              </w:rPr>
              <w:t>3</w:t>
            </w:r>
            <w:r>
              <w:rPr>
                <w:color w:val="000000" w:themeColor="text1"/>
                <w:highlight w:val="none"/>
                <w14:textFill>
                  <w14:solidFill>
                    <w14:schemeClr w14:val="tx1"/>
                  </w14:solidFill>
                </w14:textFill>
              </w:rPr>
              <w:t>年</w:t>
            </w:r>
            <w:r>
              <w:rPr>
                <w:rFonts w:hint="default"/>
                <w:color w:val="000000" w:themeColor="text1"/>
                <w:highlight w:val="none"/>
                <w14:textFill>
                  <w14:solidFill>
                    <w14:schemeClr w14:val="tx1"/>
                  </w14:solidFill>
                </w14:textFill>
              </w:rPr>
              <w:t>SO</w:t>
            </w:r>
            <w:r>
              <w:rPr>
                <w:rFonts w:hint="default"/>
                <w:color w:val="000000" w:themeColor="text1"/>
                <w:highlight w:val="none"/>
                <w:vertAlign w:val="subscript"/>
                <w14:textFill>
                  <w14:solidFill>
                    <w14:schemeClr w14:val="tx1"/>
                  </w14:solidFill>
                </w14:textFill>
              </w:rPr>
              <w:t>2</w:t>
            </w:r>
            <w:r>
              <w:rPr>
                <w:rFonts w:hint="default"/>
                <w:color w:val="000000" w:themeColor="text1"/>
                <w:highlight w:val="none"/>
                <w14:textFill>
                  <w14:solidFill>
                    <w14:schemeClr w14:val="tx1"/>
                  </w14:solidFill>
                </w14:textFill>
              </w:rPr>
              <w:t>、NO</w:t>
            </w:r>
            <w:r>
              <w:rPr>
                <w:rFonts w:hint="default"/>
                <w:color w:val="000000" w:themeColor="text1"/>
                <w:highlight w:val="none"/>
                <w:vertAlign w:val="subscript"/>
                <w14:textFill>
                  <w14:solidFill>
                    <w14:schemeClr w14:val="tx1"/>
                  </w14:solidFill>
                </w14:textFill>
              </w:rPr>
              <w:t>2</w:t>
            </w:r>
            <w:r>
              <w:rPr>
                <w:rFonts w:hint="default"/>
                <w:color w:val="000000" w:themeColor="text1"/>
                <w:highlight w:val="none"/>
                <w14:textFill>
                  <w14:solidFill>
                    <w14:schemeClr w14:val="tx1"/>
                  </w14:solidFill>
                </w14:textFill>
              </w:rPr>
              <w:t>、PM</w:t>
            </w:r>
            <w:r>
              <w:rPr>
                <w:color w:val="000000" w:themeColor="text1"/>
                <w:highlight w:val="none"/>
                <w:vertAlign w:val="subscript"/>
                <w14:textFill>
                  <w14:solidFill>
                    <w14:schemeClr w14:val="tx1"/>
                  </w14:solidFill>
                </w14:textFill>
              </w:rPr>
              <w:t>2.5</w:t>
            </w:r>
            <w:r>
              <w:rPr>
                <w:rFonts w:hint="default"/>
                <w:color w:val="000000" w:themeColor="text1"/>
                <w:highlight w:val="none"/>
                <w14:textFill>
                  <w14:solidFill>
                    <w14:schemeClr w14:val="tx1"/>
                  </w14:solidFill>
                </w14:textFill>
              </w:rPr>
              <w:t>、PM</w:t>
            </w:r>
            <w:r>
              <w:rPr>
                <w:rFonts w:hint="default"/>
                <w:color w:val="000000" w:themeColor="text1"/>
                <w:highlight w:val="none"/>
                <w:vertAlign w:val="subscript"/>
                <w14:textFill>
                  <w14:solidFill>
                    <w14:schemeClr w14:val="tx1"/>
                  </w14:solidFill>
                </w14:textFill>
              </w:rPr>
              <w:t>10</w:t>
            </w:r>
            <w:r>
              <w:rPr>
                <w:rFonts w:hint="default"/>
                <w:color w:val="000000" w:themeColor="text1"/>
                <w:highlight w:val="none"/>
                <w14:textFill>
                  <w14:solidFill>
                    <w14:schemeClr w14:val="tx1"/>
                  </w14:solidFill>
                </w14:textFill>
              </w:rPr>
              <w:t>、CO、O</w:t>
            </w:r>
            <w:r>
              <w:rPr>
                <w:rFonts w:hint="default"/>
                <w:color w:val="000000" w:themeColor="text1"/>
                <w:highlight w:val="none"/>
                <w:vertAlign w:val="subscript"/>
                <w14:textFill>
                  <w14:solidFill>
                    <w14:schemeClr w14:val="tx1"/>
                  </w14:solidFill>
                </w14:textFill>
              </w:rPr>
              <w:t>3</w:t>
            </w:r>
            <w:r>
              <w:rPr>
                <w:rFonts w:hint="default"/>
                <w:color w:val="000000" w:themeColor="text1"/>
                <w:highlight w:val="none"/>
                <w14:textFill>
                  <w14:solidFill>
                    <w14:schemeClr w14:val="tx1"/>
                  </w14:solidFill>
                </w14:textFill>
              </w:rPr>
              <w:t>年均值均达到《环境空气质量标准》（GB3095-2012）二级标准，</w:t>
            </w:r>
            <w:r>
              <w:rPr>
                <w:color w:val="000000" w:themeColor="text1"/>
                <w:highlight w:val="none"/>
                <w14:textFill>
                  <w14:solidFill>
                    <w14:schemeClr w14:val="tx1"/>
                  </w14:solidFill>
                </w14:textFill>
              </w:rPr>
              <w:t>各个因子未出现</w:t>
            </w:r>
            <w:r>
              <w:rPr>
                <w:rFonts w:hint="default"/>
                <w:color w:val="000000" w:themeColor="text1"/>
                <w:highlight w:val="none"/>
                <w14:textFill>
                  <w14:solidFill>
                    <w14:schemeClr w14:val="tx1"/>
                  </w14:solidFill>
                </w14:textFill>
              </w:rPr>
              <w:t>超标现象，表明项目所在地属于达标区。</w:t>
            </w:r>
          </w:p>
          <w:p w14:paraId="750601E2">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（2）其他污染物</w:t>
            </w:r>
          </w:p>
          <w:p w14:paraId="0FB7192F">
            <w:pPr>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针对本项目的其他污染物，</w:t>
            </w:r>
            <w:r>
              <w:rPr>
                <w:color w:val="000000" w:themeColor="text1"/>
                <w14:textFill>
                  <w14:solidFill>
                    <w14:schemeClr w14:val="tx1"/>
                  </w14:solidFill>
                </w14:textFill>
              </w:rPr>
              <w:t>为了解拟建项目所在区域环境空气质量现状，</w:t>
            </w:r>
            <w:r>
              <w:rPr>
                <w:rFonts w:hint="eastAsia"/>
                <w:color w:val="000000" w:themeColor="text1"/>
                <w:highlight w:val="none"/>
                <w:lang w:val="en-US" w:eastAsia="zh-CN"/>
                <w14:textFill>
                  <w14:solidFill>
                    <w14:schemeClr w14:val="tx1"/>
                  </w14:solidFill>
                </w14:textFill>
              </w:rPr>
              <w:t>根据《环境影响评价技术导则 大气环境》（HJ2.2-2018），补充监测布点以近20年统计的当地主导风向为轴向，在厂址及主导风向下风向5km范围内设置1~2个监测点。</w:t>
            </w:r>
            <w:r>
              <w:rPr>
                <w:rFonts w:hint="eastAsia"/>
                <w:color w:val="000000" w:themeColor="text1"/>
                <w:highlight w:val="none"/>
                <w14:textFill>
                  <w14:solidFill>
                    <w14:schemeClr w14:val="tx1"/>
                  </w14:solidFill>
                </w14:textFill>
              </w:rPr>
              <w:t>为了解本项目评价范围内</w:t>
            </w:r>
            <w:r>
              <w:rPr>
                <w:rFonts w:hint="eastAsia"/>
                <w:color w:val="000000" w:themeColor="text1"/>
                <w:highlight w:val="none"/>
                <w:lang w:val="en-US" w:eastAsia="zh-CN"/>
                <w14:textFill>
                  <w14:solidFill>
                    <w14:schemeClr w14:val="tx1"/>
                  </w14:solidFill>
                </w14:textFill>
              </w:rPr>
              <w:t>特征因子</w:t>
            </w:r>
            <w:r>
              <w:rPr>
                <w:rFonts w:hint="eastAsia"/>
                <w:color w:val="000000" w:themeColor="text1"/>
                <w:highlight w:val="none"/>
                <w14:textFill>
                  <w14:solidFill>
                    <w14:schemeClr w14:val="tx1"/>
                  </w14:solidFill>
                </w14:textFill>
              </w:rPr>
              <w:t>环境质量现状，</w:t>
            </w:r>
            <w:r>
              <w:rPr>
                <w:rFonts w:hint="eastAsia"/>
                <w:color w:val="000000" w:themeColor="text1"/>
                <w:highlight w:val="none"/>
                <w:lang w:val="en-US" w:eastAsia="zh-CN"/>
                <w14:textFill>
                  <w14:solidFill>
                    <w14:schemeClr w14:val="tx1"/>
                  </w14:solidFill>
                </w14:textFill>
              </w:rPr>
              <w:t>根据乐平气象站近20年（2003-2022年）统计的风向风频资料可知，乐平市主导风向为东北偏东，因此</w:t>
            </w:r>
            <w:r>
              <w:rPr>
                <w:color w:val="000000" w:themeColor="text1"/>
                <w:highlight w:val="none"/>
                <w14:textFill>
                  <w14:solidFill>
                    <w14:schemeClr w14:val="tx1"/>
                  </w14:solidFill>
                </w14:textFill>
              </w:rPr>
              <w:t>本评价</w:t>
            </w:r>
            <w:r>
              <w:rPr>
                <w:rFonts w:hint="eastAsia"/>
                <w:color w:val="000000" w:themeColor="text1"/>
                <w:highlight w:val="none"/>
                <w:lang w:val="en-US" w:eastAsia="zh-CN"/>
                <w14:textFill>
                  <w14:solidFill>
                    <w14:schemeClr w14:val="tx1"/>
                  </w14:solidFill>
                </w14:textFill>
              </w:rPr>
              <w:t>在距离厂界西侧约2148m处的杨家井设置大气现状监测点符合导则要求，并</w:t>
            </w:r>
            <w:r>
              <w:rPr>
                <w:rFonts w:hint="default" w:ascii="Times New Roman" w:hAnsi="Times New Roman" w:cs="Times New Roman"/>
                <w:color w:val="000000" w:themeColor="text1"/>
                <w:highlight w:val="none"/>
                <w14:textFill>
                  <w14:solidFill>
                    <w14:schemeClr w14:val="tx1"/>
                  </w14:solidFill>
                </w14:textFill>
              </w:rPr>
              <w:t>委托</w:t>
            </w:r>
            <w:r>
              <w:rPr>
                <w:rFonts w:hint="eastAsia"/>
                <w:color w:val="000000" w:themeColor="text1"/>
                <w:lang w:eastAsia="zh-CN"/>
                <w14:textFill>
                  <w14:solidFill>
                    <w14:schemeClr w14:val="tx1"/>
                  </w14:solidFill>
                </w14:textFill>
              </w:rPr>
              <w:t>南昌宇环检测技术有限公司于</w:t>
            </w:r>
            <w:r>
              <w:rPr>
                <w:rFonts w:hint="eastAsia"/>
                <w:color w:val="000000" w:themeColor="text1"/>
                <w:lang w:val="en-US" w:eastAsia="zh-CN"/>
                <w14:textFill>
                  <w14:solidFill>
                    <w14:schemeClr w14:val="tx1"/>
                  </w14:solidFill>
                </w14:textFill>
              </w:rPr>
              <w:t>2024年8月9日~15日</w:t>
            </w:r>
            <w:r>
              <w:rPr>
                <w:rFonts w:hint="default" w:ascii="Times New Roman" w:hAnsi="Times New Roman" w:cs="Times New Roman"/>
                <w:color w:val="000000" w:themeColor="text1"/>
                <w:highlight w:val="none"/>
                <w14:textFill>
                  <w14:solidFill>
                    <w14:schemeClr w14:val="tx1"/>
                  </w14:solidFill>
                </w14:textFill>
              </w:rPr>
              <w:t>在</w:t>
            </w:r>
            <w:r>
              <w:rPr>
                <w:rFonts w:hint="eastAsia"/>
                <w:color w:val="000000" w:themeColor="text1"/>
                <w:highlight w:val="none"/>
                <w:lang w:val="en-US" w:eastAsia="zh-CN"/>
                <w14:textFill>
                  <w14:solidFill>
                    <w14:schemeClr w14:val="tx1"/>
                  </w14:solidFill>
                </w14:textFill>
              </w:rPr>
              <w:t>杨家井</w:t>
            </w:r>
            <w:r>
              <w:rPr>
                <w:rFonts w:hint="default" w:ascii="Times New Roman" w:hAnsi="Times New Roman" w:cs="Times New Roman"/>
                <w:color w:val="000000" w:themeColor="text1"/>
                <w:highlight w:val="none"/>
                <w14:textFill>
                  <w14:solidFill>
                    <w14:schemeClr w14:val="tx1"/>
                  </w14:solidFill>
                </w14:textFill>
              </w:rPr>
              <w:t>补充监测</w:t>
            </w:r>
            <w:r>
              <w:rPr>
                <w:rFonts w:hint="eastAsia" w:ascii="Times New Roman" w:hAnsi="Times New Roman" w:cs="Times New Roman"/>
                <w:color w:val="000000" w:themeColor="text1"/>
                <w:highlight w:val="none"/>
                <w:lang w:val="en-US" w:eastAsia="zh-CN"/>
                <w14:textFill>
                  <w14:solidFill>
                    <w14:schemeClr w14:val="tx1"/>
                  </w14:solidFill>
                </w14:textFill>
              </w:rPr>
              <w:t>甲醛和酚类化合物</w:t>
            </w:r>
            <w:r>
              <w:rPr>
                <w:rFonts w:hint="eastAsia"/>
                <w:color w:val="000000" w:themeColor="text1"/>
                <w:lang w:val="en-US" w:eastAsia="zh-CN"/>
                <w14:textFill>
                  <w14:solidFill>
                    <w14:schemeClr w14:val="tx1"/>
                  </w14:solidFill>
                </w14:textFill>
              </w:rPr>
              <w:t>；</w:t>
            </w:r>
            <w:r>
              <w:rPr>
                <w:rFonts w:hint="eastAsia"/>
                <w:color w:val="000000" w:themeColor="text1"/>
                <w:lang w:eastAsia="zh-CN"/>
                <w14:textFill>
                  <w14:solidFill>
                    <w14:schemeClr w14:val="tx1"/>
                  </w14:solidFill>
                </w14:textFill>
              </w:rPr>
              <w:t>同时</w:t>
            </w:r>
            <w:r>
              <w:rPr>
                <w:rFonts w:hint="eastAsia"/>
                <w:color w:val="000000" w:themeColor="text1"/>
                <w14:textFill>
                  <w14:solidFill>
                    <w14:schemeClr w14:val="tx1"/>
                  </w14:solidFill>
                </w14:textFill>
              </w:rPr>
              <w:t>引用江西</w:t>
            </w:r>
            <w:r>
              <w:rPr>
                <w:rFonts w:hint="eastAsia"/>
                <w:color w:val="000000" w:themeColor="text1"/>
                <w:lang w:val="en-US" w:eastAsia="zh-CN"/>
                <w14:textFill>
                  <w14:solidFill>
                    <w14:schemeClr w14:val="tx1"/>
                  </w14:solidFill>
                </w14:textFill>
              </w:rPr>
              <w:t>慧正环境检测技术</w:t>
            </w:r>
            <w:r>
              <w:rPr>
                <w:rFonts w:hint="eastAsia"/>
                <w:color w:val="000000" w:themeColor="text1"/>
                <w14:textFill>
                  <w14:solidFill>
                    <w14:schemeClr w14:val="tx1"/>
                  </w14:solidFill>
                </w14:textFill>
              </w:rPr>
              <w:t>有限公司</w:t>
            </w:r>
            <w:r>
              <w:rPr>
                <w:color w:val="000000" w:themeColor="text1"/>
                <w14:textFill>
                  <w14:solidFill>
                    <w14:schemeClr w14:val="tx1"/>
                  </w14:solidFill>
                </w14:textFill>
              </w:rPr>
              <w:t>于202</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28</w:t>
            </w:r>
            <w:r>
              <w:rPr>
                <w:color w:val="000000" w:themeColor="text1"/>
                <w14:textFill>
                  <w14:solidFill>
                    <w14:schemeClr w14:val="tx1"/>
                  </w14:solidFill>
                </w14:textFill>
              </w:rPr>
              <w:t>日</w:t>
            </w:r>
            <w:r>
              <w:rPr>
                <w:rFonts w:hint="eastAsia"/>
                <w:color w:val="000000" w:themeColor="text1"/>
                <w:lang w:val="en-US" w:eastAsia="zh-CN"/>
                <w14:textFill>
                  <w14:solidFill>
                    <w14:schemeClr w14:val="tx1"/>
                  </w14:solidFill>
                </w14:textFill>
              </w:rPr>
              <w:t>~4月3日对杨家湖所在地TVOC的检测数据和江西纵横环境监测有限公司</w:t>
            </w:r>
            <w:r>
              <w:rPr>
                <w:color w:val="000000" w:themeColor="text1"/>
                <w14:textFill>
                  <w14:solidFill>
                    <w14:schemeClr w14:val="tx1"/>
                  </w14:solidFill>
                </w14:textFill>
              </w:rPr>
              <w:t>于202</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5</w:t>
            </w:r>
            <w:r>
              <w:rPr>
                <w:color w:val="000000" w:themeColor="text1"/>
                <w14:textFill>
                  <w14:solidFill>
                    <w14:schemeClr w14:val="tx1"/>
                  </w14:solidFill>
                </w14:textFill>
              </w:rPr>
              <w:t>日</w:t>
            </w:r>
            <w:r>
              <w:rPr>
                <w:rFonts w:hint="eastAsia"/>
                <w:color w:val="000000" w:themeColor="text1"/>
                <w:lang w:val="en-US" w:eastAsia="zh-CN"/>
                <w14:textFill>
                  <w14:solidFill>
                    <w14:schemeClr w14:val="tx1"/>
                  </w14:solidFill>
                </w14:textFill>
              </w:rPr>
              <w:t>~11日</w:t>
            </w:r>
            <w:r>
              <w:rPr>
                <w:rFonts w:hint="eastAsia"/>
                <w:color w:val="000000" w:themeColor="text1"/>
                <w:lang w:eastAsia="zh-CN"/>
                <w14:textFill>
                  <w14:solidFill>
                    <w14:schemeClr w14:val="tx1"/>
                  </w14:solidFill>
                </w14:textFill>
              </w:rPr>
              <w:t>对</w:t>
            </w:r>
            <w:r>
              <w:rPr>
                <w:rFonts w:hint="eastAsia"/>
                <w:color w:val="000000" w:themeColor="text1"/>
                <w14:textFill>
                  <w14:solidFill>
                    <w14:schemeClr w14:val="tx1"/>
                  </w14:solidFill>
                </w14:textFill>
              </w:rPr>
              <w:t>江西旭泰环保科技有限公司</w:t>
            </w:r>
            <w:r>
              <w:rPr>
                <w:rFonts w:hint="eastAsia"/>
                <w:color w:val="000000" w:themeColor="text1"/>
                <w:lang w:eastAsia="zh-CN"/>
                <w14:textFill>
                  <w14:solidFill>
                    <w14:schemeClr w14:val="tx1"/>
                  </w14:solidFill>
                </w14:textFill>
              </w:rPr>
              <w:t>项目所在地</w:t>
            </w:r>
            <w:r>
              <w:rPr>
                <w:rFonts w:hint="eastAsia"/>
                <w:color w:val="000000" w:themeColor="text1"/>
                <w:lang w:val="en-US" w:eastAsia="zh-CN"/>
                <w14:textFill>
                  <w14:solidFill>
                    <w14:schemeClr w14:val="tx1"/>
                  </w14:solidFill>
                </w14:textFill>
              </w:rPr>
              <w:t>TSP进行检测的</w:t>
            </w:r>
            <w:r>
              <w:rPr>
                <w:rFonts w:hint="eastAsia"/>
                <w:color w:val="000000" w:themeColor="text1"/>
                <w14:textFill>
                  <w14:solidFill>
                    <w14:schemeClr w14:val="tx1"/>
                  </w14:solidFill>
                </w14:textFill>
              </w:rPr>
              <w:t>检测报告</w:t>
            </w:r>
            <w:r>
              <w:rPr>
                <w:color w:val="000000" w:themeColor="text1"/>
                <w14:textFill>
                  <w14:solidFill>
                    <w14:schemeClr w14:val="tx1"/>
                  </w14:solidFill>
                </w14:textFill>
              </w:rPr>
              <w:t>；监测点位以及结果详见下表</w:t>
            </w:r>
            <w:r>
              <w:rPr>
                <w:color w:val="000000" w:themeColor="text1"/>
                <w:highlight w:val="none"/>
                <w14:textFill>
                  <w14:solidFill>
                    <w14:schemeClr w14:val="tx1"/>
                  </w14:solidFill>
                </w14:textFill>
              </w:rPr>
              <w:t>。</w:t>
            </w:r>
          </w:p>
          <w:p w14:paraId="3B5E2FF1">
            <w:pPr>
              <w:shd w:val="clear" w:color="auto" w:fill="auto"/>
              <w:spacing w:line="240" w:lineRule="auto"/>
              <w:ind w:firstLine="0" w:firstLineChars="0"/>
              <w:jc w:val="center"/>
              <w:rPr>
                <w:b/>
                <w:bCs/>
                <w:color w:val="000000" w:themeColor="text1"/>
                <w:sz w:val="24"/>
                <w:szCs w:val="24"/>
                <w:highlight w:val="none"/>
                <w14:textFill>
                  <w14:solidFill>
                    <w14:schemeClr w14:val="tx1"/>
                  </w14:solidFill>
                </w14:textFill>
              </w:rPr>
            </w:pPr>
            <w:r>
              <w:rPr>
                <w:b/>
                <w:bCs/>
                <w:color w:val="000000" w:themeColor="text1"/>
                <w:sz w:val="24"/>
                <w:szCs w:val="24"/>
                <w:highlight w:val="none"/>
                <w14:textFill>
                  <w14:solidFill>
                    <w14:schemeClr w14:val="tx1"/>
                  </w14:solidFill>
                </w14:textFill>
              </w:rPr>
              <w:t>表3-2环境空气引用数据来源情况表</w:t>
            </w:r>
          </w:p>
          <w:tbl>
            <w:tblPr>
              <w:tblStyle w:val="32"/>
              <w:tblW w:w="4996"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fixed"/>
              <w:tblCellMar>
                <w:top w:w="15" w:type="dxa"/>
                <w:left w:w="15" w:type="dxa"/>
                <w:bottom w:w="15" w:type="dxa"/>
                <w:right w:w="15" w:type="dxa"/>
              </w:tblCellMar>
            </w:tblPr>
            <w:tblGrid>
              <w:gridCol w:w="2211"/>
              <w:gridCol w:w="1860"/>
              <w:gridCol w:w="1703"/>
              <w:gridCol w:w="2067"/>
            </w:tblGrid>
            <w:tr w14:paraId="7E1AB67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15" w:type="dxa"/>
                  <w:left w:w="15" w:type="dxa"/>
                  <w:bottom w:w="15" w:type="dxa"/>
                  <w:right w:w="15" w:type="dxa"/>
                </w:tblCellMar>
              </w:tblPrEx>
              <w:trPr>
                <w:trHeight w:val="340" w:hRule="atLeast"/>
              </w:trPr>
              <w:tc>
                <w:tcPr>
                  <w:tcW w:w="1409" w:type="pct"/>
                  <w:noWrap w:val="0"/>
                  <w:vAlign w:val="center"/>
                </w:tcPr>
                <w:p w14:paraId="3C329C54">
                  <w:pPr>
                    <w:widowControl/>
                    <w:spacing w:line="240" w:lineRule="auto"/>
                    <w:ind w:firstLine="0" w:firstLineChars="0"/>
                    <w:jc w:val="center"/>
                    <w:textAlignment w:val="center"/>
                    <w:rPr>
                      <w:b/>
                      <w:bCs/>
                      <w:color w:val="000000" w:themeColor="text1"/>
                      <w:sz w:val="21"/>
                      <w:szCs w:val="21"/>
                      <w:lang w:bidi="ar"/>
                      <w14:textFill>
                        <w14:solidFill>
                          <w14:schemeClr w14:val="tx1"/>
                        </w14:solidFill>
                      </w14:textFill>
                    </w:rPr>
                  </w:pPr>
                  <w:r>
                    <w:rPr>
                      <w:b/>
                      <w:bCs/>
                      <w:color w:val="000000" w:themeColor="text1"/>
                      <w:sz w:val="21"/>
                      <w:szCs w:val="21"/>
                      <w:lang w:bidi="ar"/>
                      <w14:textFill>
                        <w14:solidFill>
                          <w14:schemeClr w14:val="tx1"/>
                        </w14:solidFill>
                      </w14:textFill>
                    </w:rPr>
                    <w:t>监测点位</w:t>
                  </w:r>
                </w:p>
              </w:tc>
              <w:tc>
                <w:tcPr>
                  <w:tcW w:w="1186" w:type="pct"/>
                  <w:noWrap w:val="0"/>
                  <w:vAlign w:val="center"/>
                </w:tcPr>
                <w:p w14:paraId="51362E90">
                  <w:pPr>
                    <w:widowControl/>
                    <w:spacing w:line="240" w:lineRule="auto"/>
                    <w:ind w:firstLine="0" w:firstLineChars="0"/>
                    <w:jc w:val="center"/>
                    <w:textAlignment w:val="center"/>
                    <w:rPr>
                      <w:b/>
                      <w:bCs/>
                      <w:color w:val="000000" w:themeColor="text1"/>
                      <w:sz w:val="21"/>
                      <w:szCs w:val="21"/>
                      <w:lang w:bidi="ar"/>
                      <w14:textFill>
                        <w14:solidFill>
                          <w14:schemeClr w14:val="tx1"/>
                        </w14:solidFill>
                      </w14:textFill>
                    </w:rPr>
                  </w:pPr>
                  <w:r>
                    <w:rPr>
                      <w:b/>
                      <w:bCs/>
                      <w:color w:val="000000" w:themeColor="text1"/>
                      <w:sz w:val="21"/>
                      <w:szCs w:val="21"/>
                      <w:lang w:bidi="ar"/>
                      <w14:textFill>
                        <w14:solidFill>
                          <w14:schemeClr w14:val="tx1"/>
                        </w14:solidFill>
                      </w14:textFill>
                    </w:rPr>
                    <w:t>监测时间</w:t>
                  </w:r>
                </w:p>
              </w:tc>
              <w:tc>
                <w:tcPr>
                  <w:tcW w:w="1085" w:type="pct"/>
                  <w:noWrap w:val="0"/>
                  <w:vAlign w:val="center"/>
                </w:tcPr>
                <w:p w14:paraId="1E988E81">
                  <w:pPr>
                    <w:widowControl/>
                    <w:spacing w:line="240" w:lineRule="auto"/>
                    <w:ind w:firstLine="0" w:firstLineChars="0"/>
                    <w:jc w:val="center"/>
                    <w:textAlignment w:val="center"/>
                    <w:rPr>
                      <w:rStyle w:val="62"/>
                      <w:b/>
                      <w:bCs/>
                      <w:color w:val="000000" w:themeColor="text1"/>
                      <w:sz w:val="21"/>
                      <w:szCs w:val="21"/>
                      <w:lang w:bidi="ar"/>
                      <w14:textFill>
                        <w14:solidFill>
                          <w14:schemeClr w14:val="tx1"/>
                        </w14:solidFill>
                      </w14:textFill>
                    </w:rPr>
                  </w:pPr>
                  <w:r>
                    <w:rPr>
                      <w:rStyle w:val="62"/>
                      <w:b/>
                      <w:bCs/>
                      <w:color w:val="000000" w:themeColor="text1"/>
                      <w:sz w:val="21"/>
                      <w:szCs w:val="21"/>
                      <w:lang w:bidi="ar"/>
                      <w14:textFill>
                        <w14:solidFill>
                          <w14:schemeClr w14:val="tx1"/>
                        </w14:solidFill>
                      </w14:textFill>
                    </w:rPr>
                    <w:t>监测因子</w:t>
                  </w:r>
                </w:p>
              </w:tc>
              <w:tc>
                <w:tcPr>
                  <w:tcW w:w="1318" w:type="pct"/>
                  <w:noWrap w:val="0"/>
                  <w:vAlign w:val="center"/>
                </w:tcPr>
                <w:p w14:paraId="69ADB0D1">
                  <w:pPr>
                    <w:widowControl/>
                    <w:spacing w:line="240" w:lineRule="auto"/>
                    <w:ind w:firstLine="0" w:firstLineChars="0"/>
                    <w:jc w:val="center"/>
                    <w:textAlignment w:val="center"/>
                    <w:rPr>
                      <w:b/>
                      <w:bCs/>
                      <w:color w:val="000000" w:themeColor="text1"/>
                      <w:sz w:val="21"/>
                      <w:szCs w:val="21"/>
                      <w:lang w:bidi="ar"/>
                      <w14:textFill>
                        <w14:solidFill>
                          <w14:schemeClr w14:val="tx1"/>
                        </w14:solidFill>
                      </w14:textFill>
                    </w:rPr>
                  </w:pPr>
                  <w:r>
                    <w:rPr>
                      <w:b/>
                      <w:bCs/>
                      <w:color w:val="000000" w:themeColor="text1"/>
                      <w:sz w:val="21"/>
                      <w:szCs w:val="21"/>
                      <w:lang w:bidi="ar"/>
                      <w14:textFill>
                        <w14:solidFill>
                          <w14:schemeClr w14:val="tx1"/>
                        </w14:solidFill>
                      </w14:textFill>
                    </w:rPr>
                    <w:t>与本项目方位及距离</w:t>
                  </w:r>
                </w:p>
              </w:tc>
            </w:tr>
            <w:tr w14:paraId="7D35005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15" w:type="dxa"/>
                  <w:left w:w="15" w:type="dxa"/>
                  <w:bottom w:w="15" w:type="dxa"/>
                  <w:right w:w="15" w:type="dxa"/>
                </w:tblCellMar>
              </w:tblPrEx>
              <w:trPr>
                <w:trHeight w:val="340" w:hRule="atLeast"/>
              </w:trPr>
              <w:tc>
                <w:tcPr>
                  <w:tcW w:w="1409" w:type="pct"/>
                  <w:tcBorders>
                    <w:top w:val="single" w:color="auto" w:sz="4" w:space="0"/>
                  </w:tcBorders>
                  <w:noWrap w:val="0"/>
                  <w:vAlign w:val="center"/>
                </w:tcPr>
                <w:p w14:paraId="2C129F53">
                  <w:pPr>
                    <w:widowControl/>
                    <w:spacing w:line="240" w:lineRule="auto"/>
                    <w:ind w:firstLine="0" w:firstLineChars="0"/>
                    <w:jc w:val="center"/>
                    <w:textAlignment w:val="center"/>
                    <w:rPr>
                      <w:rFonts w:hint="eastAsia"/>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A1杨家井</w:t>
                  </w:r>
                </w:p>
              </w:tc>
              <w:tc>
                <w:tcPr>
                  <w:tcW w:w="1186" w:type="pct"/>
                  <w:tcBorders>
                    <w:top w:val="single" w:color="auto" w:sz="4" w:space="0"/>
                  </w:tcBorders>
                  <w:noWrap w:val="0"/>
                  <w:vAlign w:val="center"/>
                </w:tcPr>
                <w:p w14:paraId="449E734B">
                  <w:pPr>
                    <w:widowControl/>
                    <w:spacing w:line="240" w:lineRule="auto"/>
                    <w:ind w:firstLine="0" w:firstLineChars="0"/>
                    <w:jc w:val="center"/>
                    <w:textAlignment w:val="center"/>
                    <w:rPr>
                      <w:rFonts w:hint="default"/>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2024.8.9~2024.8.15</w:t>
                  </w:r>
                </w:p>
              </w:tc>
              <w:tc>
                <w:tcPr>
                  <w:tcW w:w="1085" w:type="pct"/>
                  <w:tcBorders>
                    <w:top w:val="single" w:color="auto" w:sz="4" w:space="0"/>
                  </w:tcBorders>
                  <w:noWrap w:val="0"/>
                  <w:vAlign w:val="center"/>
                </w:tcPr>
                <w:p w14:paraId="110A8E0D">
                  <w:pPr>
                    <w:widowControl/>
                    <w:spacing w:line="240" w:lineRule="auto"/>
                    <w:ind w:firstLine="0" w:firstLineChars="0"/>
                    <w:jc w:val="center"/>
                    <w:textAlignment w:val="center"/>
                    <w:rPr>
                      <w:rFonts w:hint="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甲醛、酚类化合物</w:t>
                  </w:r>
                </w:p>
              </w:tc>
              <w:tc>
                <w:tcPr>
                  <w:tcW w:w="1318" w:type="pct"/>
                  <w:noWrap w:val="0"/>
                  <w:vAlign w:val="center"/>
                </w:tcPr>
                <w:p w14:paraId="00FAD998">
                  <w:pPr>
                    <w:widowControl/>
                    <w:shd w:val="clear" w:color="auto" w:fill="auto"/>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西侧2148m</w:t>
                  </w:r>
                </w:p>
              </w:tc>
            </w:tr>
            <w:tr w14:paraId="38EAE4A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15" w:type="dxa"/>
                  <w:left w:w="15" w:type="dxa"/>
                  <w:bottom w:w="15" w:type="dxa"/>
                  <w:right w:w="15" w:type="dxa"/>
                </w:tblCellMar>
              </w:tblPrEx>
              <w:trPr>
                <w:trHeight w:val="340" w:hRule="atLeast"/>
              </w:trPr>
              <w:tc>
                <w:tcPr>
                  <w:tcW w:w="1409" w:type="pct"/>
                  <w:tcBorders>
                    <w:top w:val="single" w:color="auto" w:sz="4" w:space="0"/>
                  </w:tcBorders>
                  <w:noWrap w:val="0"/>
                  <w:vAlign w:val="center"/>
                </w:tcPr>
                <w:p w14:paraId="3F17D18F">
                  <w:pPr>
                    <w:widowControl/>
                    <w:spacing w:line="240" w:lineRule="auto"/>
                    <w:ind w:firstLine="0" w:firstLineChars="0"/>
                    <w:jc w:val="center"/>
                    <w:textAlignment w:val="center"/>
                    <w:rPr>
                      <w:rFonts w:hint="default" w:eastAsia="宋体"/>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A2杨家湖</w:t>
                  </w:r>
                </w:p>
              </w:tc>
              <w:tc>
                <w:tcPr>
                  <w:tcW w:w="1186" w:type="pct"/>
                  <w:tcBorders>
                    <w:top w:val="single" w:color="auto" w:sz="4" w:space="0"/>
                  </w:tcBorders>
                  <w:noWrap w:val="0"/>
                  <w:vAlign w:val="center"/>
                </w:tcPr>
                <w:p w14:paraId="4163B868">
                  <w:pPr>
                    <w:widowControl/>
                    <w:spacing w:line="240" w:lineRule="auto"/>
                    <w:ind w:firstLine="0" w:firstLineChars="0"/>
                    <w:jc w:val="center"/>
                    <w:textAlignment w:val="center"/>
                    <w:rPr>
                      <w:rFonts w:hint="default" w:eastAsia="宋体"/>
                      <w:color w:val="000000" w:themeColor="text1"/>
                      <w:sz w:val="21"/>
                      <w:szCs w:val="21"/>
                      <w:lang w:val="en-US" w:eastAsia="zh-CN" w:bidi="ar"/>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2023.3.28~2023.4.3</w:t>
                  </w:r>
                </w:p>
              </w:tc>
              <w:tc>
                <w:tcPr>
                  <w:tcW w:w="1085" w:type="pct"/>
                  <w:tcBorders>
                    <w:top w:val="single" w:color="auto" w:sz="4" w:space="0"/>
                  </w:tcBorders>
                  <w:noWrap w:val="0"/>
                  <w:vAlign w:val="center"/>
                </w:tcPr>
                <w:p w14:paraId="1A655E8E">
                  <w:pPr>
                    <w:widowControl/>
                    <w:spacing w:line="240" w:lineRule="auto"/>
                    <w:ind w:firstLine="0" w:firstLineChars="0"/>
                    <w:jc w:val="center"/>
                    <w:textAlignment w:val="center"/>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TVOC</w:t>
                  </w:r>
                </w:p>
              </w:tc>
              <w:tc>
                <w:tcPr>
                  <w:tcW w:w="1318" w:type="pct"/>
                  <w:noWrap w:val="0"/>
                  <w:vAlign w:val="center"/>
                </w:tcPr>
                <w:p w14:paraId="5688C933">
                  <w:pPr>
                    <w:widowControl/>
                    <w:shd w:val="clear" w:color="auto" w:fill="auto"/>
                    <w:spacing w:line="240" w:lineRule="auto"/>
                    <w:ind w:firstLine="0" w:firstLineChars="0"/>
                    <w:jc w:val="center"/>
                    <w:textAlignment w:val="center"/>
                    <w:rPr>
                      <w:rFonts w:hint="default" w:eastAsia="宋体"/>
                      <w:color w:val="000000" w:themeColor="text1"/>
                      <w:sz w:val="21"/>
                      <w:szCs w:val="21"/>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东</w:t>
                  </w:r>
                  <w:r>
                    <w:rPr>
                      <w:rFonts w:hint="default" w:ascii="Times New Roman" w:hAnsi="Times New Roman" w:cs="Times New Roman"/>
                      <w:color w:val="000000" w:themeColor="text1"/>
                      <w:sz w:val="21"/>
                      <w:szCs w:val="21"/>
                      <w:highlight w:val="none"/>
                      <w:lang w:eastAsia="zh-CN"/>
                      <w14:textFill>
                        <w14:solidFill>
                          <w14:schemeClr w14:val="tx1"/>
                        </w14:solidFill>
                      </w14:textFill>
                    </w:rPr>
                    <w:t>南侧</w:t>
                  </w:r>
                  <w:r>
                    <w:rPr>
                      <w:rFonts w:hint="eastAsia" w:cs="Times New Roman"/>
                      <w:color w:val="000000" w:themeColor="text1"/>
                      <w:sz w:val="21"/>
                      <w:szCs w:val="21"/>
                      <w:highlight w:val="none"/>
                      <w:lang w:val="en-US" w:eastAsia="zh-CN"/>
                      <w14:textFill>
                        <w14:solidFill>
                          <w14:schemeClr w14:val="tx1"/>
                        </w14:solidFill>
                      </w14:textFill>
                    </w:rPr>
                    <w:t>1857</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m</w:t>
                  </w:r>
                </w:p>
              </w:tc>
            </w:tr>
            <w:tr w14:paraId="0B5C76A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15" w:type="dxa"/>
                  <w:left w:w="15" w:type="dxa"/>
                  <w:bottom w:w="15" w:type="dxa"/>
                  <w:right w:w="15" w:type="dxa"/>
                </w:tblCellMar>
              </w:tblPrEx>
              <w:trPr>
                <w:trHeight w:val="340" w:hRule="atLeast"/>
              </w:trPr>
              <w:tc>
                <w:tcPr>
                  <w:tcW w:w="1409" w:type="pct"/>
                  <w:tcBorders>
                    <w:top w:val="single" w:color="auto" w:sz="4" w:space="0"/>
                  </w:tcBorders>
                  <w:noWrap w:val="0"/>
                  <w:vAlign w:val="center"/>
                </w:tcPr>
                <w:p w14:paraId="2A1CA31D">
                  <w:pPr>
                    <w:widowControl/>
                    <w:spacing w:line="240" w:lineRule="auto"/>
                    <w:ind w:firstLine="0" w:firstLineChars="0"/>
                    <w:jc w:val="center"/>
                    <w:textAlignment w:val="center"/>
                    <w:rPr>
                      <w:color w:val="000000" w:themeColor="text1"/>
                      <w:sz w:val="21"/>
                      <w:szCs w:val="21"/>
                      <w:lang w:bidi="ar"/>
                      <w14:textFill>
                        <w14:solidFill>
                          <w14:schemeClr w14:val="tx1"/>
                        </w14:solidFill>
                      </w14:textFill>
                    </w:rPr>
                  </w:pPr>
                  <w:r>
                    <w:rPr>
                      <w:rFonts w:hint="eastAsia"/>
                      <w:color w:val="000000" w:themeColor="text1"/>
                      <w:sz w:val="21"/>
                      <w:szCs w:val="21"/>
                      <w:lang w:bidi="ar"/>
                      <w14:textFill>
                        <w14:solidFill>
                          <w14:schemeClr w14:val="tx1"/>
                        </w14:solidFill>
                      </w14:textFill>
                    </w:rPr>
                    <w:t>A</w:t>
                  </w:r>
                  <w:r>
                    <w:rPr>
                      <w:rFonts w:hint="eastAsia"/>
                      <w:color w:val="000000" w:themeColor="text1"/>
                      <w:sz w:val="21"/>
                      <w:szCs w:val="21"/>
                      <w:lang w:val="en-US" w:eastAsia="zh-CN" w:bidi="ar"/>
                      <w14:textFill>
                        <w14:solidFill>
                          <w14:schemeClr w14:val="tx1"/>
                        </w14:solidFill>
                      </w14:textFill>
                    </w:rPr>
                    <w:t>3</w:t>
                  </w:r>
                  <w:r>
                    <w:rPr>
                      <w:rFonts w:hint="eastAsia"/>
                      <w:color w:val="000000" w:themeColor="text1"/>
                      <w:sz w:val="21"/>
                      <w:szCs w:val="21"/>
                      <w:lang w:bidi="ar"/>
                      <w14:textFill>
                        <w14:solidFill>
                          <w14:schemeClr w14:val="tx1"/>
                        </w14:solidFill>
                      </w14:textFill>
                    </w:rPr>
                    <w:t>江西旭泰环保科技有限公司</w:t>
                  </w:r>
                  <w:r>
                    <w:rPr>
                      <w:color w:val="000000" w:themeColor="text1"/>
                      <w:sz w:val="21"/>
                      <w:szCs w:val="21"/>
                      <w:lang w:bidi="ar"/>
                      <w14:textFill>
                        <w14:solidFill>
                          <w14:schemeClr w14:val="tx1"/>
                        </w14:solidFill>
                      </w14:textFill>
                    </w:rPr>
                    <w:t>项目所在地</w:t>
                  </w:r>
                </w:p>
              </w:tc>
              <w:tc>
                <w:tcPr>
                  <w:tcW w:w="1186" w:type="pct"/>
                  <w:tcBorders>
                    <w:top w:val="single" w:color="auto" w:sz="4" w:space="0"/>
                  </w:tcBorders>
                  <w:noWrap w:val="0"/>
                  <w:vAlign w:val="center"/>
                </w:tcPr>
                <w:p w14:paraId="2CC472A9">
                  <w:pPr>
                    <w:widowControl/>
                    <w:spacing w:line="240" w:lineRule="auto"/>
                    <w:ind w:firstLine="0" w:firstLineChars="0"/>
                    <w:jc w:val="center"/>
                    <w:textAlignment w:val="center"/>
                    <w:rPr>
                      <w:rFonts w:hint="default" w:eastAsia="宋体"/>
                      <w:color w:val="000000" w:themeColor="text1"/>
                      <w:sz w:val="21"/>
                      <w:szCs w:val="21"/>
                      <w:lang w:val="en-US" w:eastAsia="zh-CN" w:bidi="ar"/>
                      <w14:textFill>
                        <w14:solidFill>
                          <w14:schemeClr w14:val="tx1"/>
                        </w14:solidFill>
                      </w14:textFill>
                    </w:rPr>
                  </w:pPr>
                  <w:r>
                    <w:rPr>
                      <w:rFonts w:hint="eastAsia"/>
                      <w:color w:val="000000" w:themeColor="text1"/>
                      <w:sz w:val="21"/>
                      <w:szCs w:val="21"/>
                      <w:lang w:bidi="ar"/>
                      <w14:textFill>
                        <w14:solidFill>
                          <w14:schemeClr w14:val="tx1"/>
                        </w14:solidFill>
                      </w14:textFill>
                    </w:rPr>
                    <w:t>2022.1.5~2022.1.</w:t>
                  </w:r>
                  <w:r>
                    <w:rPr>
                      <w:rFonts w:hint="eastAsia"/>
                      <w:color w:val="000000" w:themeColor="text1"/>
                      <w:sz w:val="21"/>
                      <w:szCs w:val="21"/>
                      <w:lang w:val="en-US" w:eastAsia="zh-CN" w:bidi="ar"/>
                      <w14:textFill>
                        <w14:solidFill>
                          <w14:schemeClr w14:val="tx1"/>
                        </w14:solidFill>
                      </w14:textFill>
                    </w:rPr>
                    <w:t>11</w:t>
                  </w:r>
                </w:p>
              </w:tc>
              <w:tc>
                <w:tcPr>
                  <w:tcW w:w="1085" w:type="pct"/>
                  <w:tcBorders>
                    <w:top w:val="single" w:color="auto" w:sz="4" w:space="0"/>
                  </w:tcBorders>
                  <w:noWrap w:val="0"/>
                  <w:vAlign w:val="center"/>
                </w:tcPr>
                <w:p w14:paraId="2E409BB4">
                  <w:pPr>
                    <w:widowControl/>
                    <w:spacing w:line="240" w:lineRule="auto"/>
                    <w:ind w:firstLine="0" w:firstLineChars="0"/>
                    <w:jc w:val="center"/>
                    <w:textAlignment w:val="center"/>
                    <w:rPr>
                      <w:rFonts w:hint="eastAsia" w:eastAsia="宋体"/>
                      <w:color w:val="000000" w:themeColor="text1"/>
                      <w:sz w:val="21"/>
                      <w:szCs w:val="21"/>
                      <w:lang w:eastAsia="zh-CN"/>
                      <w14:textFill>
                        <w14:solidFill>
                          <w14:schemeClr w14:val="tx1"/>
                        </w14:solidFill>
                      </w14:textFill>
                    </w:rPr>
                  </w:pPr>
                  <w:r>
                    <w:rPr>
                      <w:rFonts w:hint="eastAsia"/>
                      <w:color w:val="000000" w:themeColor="text1"/>
                      <w:sz w:val="21"/>
                      <w:szCs w:val="21"/>
                      <w14:textFill>
                        <w14:solidFill>
                          <w14:schemeClr w14:val="tx1"/>
                        </w14:solidFill>
                      </w14:textFill>
                    </w:rPr>
                    <w:t>TSP</w:t>
                  </w:r>
                </w:p>
              </w:tc>
              <w:tc>
                <w:tcPr>
                  <w:tcW w:w="1318" w:type="pct"/>
                  <w:noWrap w:val="0"/>
                  <w:vAlign w:val="center"/>
                </w:tcPr>
                <w:p w14:paraId="14A00F82">
                  <w:pPr>
                    <w:widowControl/>
                    <w:shd w:val="clear" w:color="auto" w:fill="auto"/>
                    <w:spacing w:line="240" w:lineRule="auto"/>
                    <w:ind w:firstLine="0" w:firstLineChars="0"/>
                    <w:jc w:val="center"/>
                    <w:textAlignment w:val="center"/>
                    <w:rPr>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东南侧</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2</w:t>
                  </w:r>
                  <w:r>
                    <w:rPr>
                      <w:rFonts w:hint="eastAsia" w:cs="Times New Roman"/>
                      <w:color w:val="000000" w:themeColor="text1"/>
                      <w:sz w:val="21"/>
                      <w:szCs w:val="21"/>
                      <w:highlight w:val="none"/>
                      <w:lang w:val="en-US" w:eastAsia="zh-CN"/>
                      <w14:textFill>
                        <w14:solidFill>
                          <w14:schemeClr w14:val="tx1"/>
                        </w14:solidFill>
                      </w14:textFill>
                    </w:rPr>
                    <w:t>343</w:t>
                  </w:r>
                  <w:r>
                    <w:rPr>
                      <w:rFonts w:hint="default" w:ascii="Times New Roman" w:hAnsi="Times New Roman" w:cs="Times New Roman"/>
                      <w:color w:val="000000" w:themeColor="text1"/>
                      <w:sz w:val="21"/>
                      <w:szCs w:val="21"/>
                      <w:highlight w:val="none"/>
                      <w14:textFill>
                        <w14:solidFill>
                          <w14:schemeClr w14:val="tx1"/>
                        </w14:solidFill>
                      </w14:textFill>
                    </w:rPr>
                    <w:t>m</w:t>
                  </w:r>
                </w:p>
              </w:tc>
            </w:tr>
          </w:tbl>
          <w:p w14:paraId="3CADD3EB">
            <w:pPr>
              <w:shd w:val="clear" w:color="auto" w:fill="auto"/>
              <w:spacing w:line="240" w:lineRule="auto"/>
              <w:ind w:firstLine="0" w:firstLineChars="0"/>
              <w:jc w:val="center"/>
              <w:rPr>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表3-3环境空气现状及评价结果表</w:t>
            </w:r>
          </w:p>
          <w:tbl>
            <w:tblPr>
              <w:tblStyle w:val="3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05"/>
              <w:gridCol w:w="1560"/>
              <w:gridCol w:w="1095"/>
              <w:gridCol w:w="1020"/>
              <w:gridCol w:w="1292"/>
              <w:gridCol w:w="1118"/>
              <w:gridCol w:w="854"/>
            </w:tblGrid>
            <w:tr w14:paraId="3CD0FE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6" w:type="pct"/>
                  <w:noWrap w:val="0"/>
                  <w:vAlign w:val="center"/>
                </w:tcPr>
                <w:p w14:paraId="19EFFEB4">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评价因子</w:t>
                  </w:r>
                </w:p>
              </w:tc>
              <w:tc>
                <w:tcPr>
                  <w:tcW w:w="994" w:type="pct"/>
                  <w:noWrap w:val="0"/>
                  <w:vAlign w:val="center"/>
                </w:tcPr>
                <w:p w14:paraId="65E1CECB">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监测点</w:t>
                  </w:r>
                </w:p>
              </w:tc>
              <w:tc>
                <w:tcPr>
                  <w:tcW w:w="1348" w:type="pct"/>
                  <w:gridSpan w:val="2"/>
                  <w:noWrap w:val="0"/>
                  <w:vAlign w:val="center"/>
                </w:tcPr>
                <w:p w14:paraId="0C9C134A">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浓度范围（μg/m</w:t>
                  </w:r>
                  <w:r>
                    <w:rPr>
                      <w:rFonts w:hint="default" w:ascii="Times New Roman" w:hAnsi="Times New Roman" w:cs="Times New Roman"/>
                      <w:b/>
                      <w:color w:val="000000" w:themeColor="text1"/>
                      <w:sz w:val="21"/>
                      <w:szCs w:val="21"/>
                      <w:vertAlign w:val="superscript"/>
                      <w14:textFill>
                        <w14:solidFill>
                          <w14:schemeClr w14:val="tx1"/>
                        </w14:solidFill>
                      </w14:textFill>
                    </w:rPr>
                    <w:t>3</w:t>
                  </w:r>
                  <w:r>
                    <w:rPr>
                      <w:rFonts w:hint="default" w:ascii="Times New Roman" w:hAnsi="Times New Roman" w:cs="Times New Roman"/>
                      <w:b/>
                      <w:color w:val="000000" w:themeColor="text1"/>
                      <w:sz w:val="21"/>
                      <w:szCs w:val="21"/>
                      <w14:textFill>
                        <w14:solidFill>
                          <w14:schemeClr w14:val="tx1"/>
                        </w14:solidFill>
                      </w14:textFill>
                    </w:rPr>
                    <w:t>）</w:t>
                  </w:r>
                </w:p>
              </w:tc>
              <w:tc>
                <w:tcPr>
                  <w:tcW w:w="823" w:type="pct"/>
                  <w:noWrap w:val="0"/>
                  <w:vAlign w:val="center"/>
                </w:tcPr>
                <w:p w14:paraId="6FCBC255">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标准指数</w:t>
                  </w:r>
                </w:p>
              </w:tc>
              <w:tc>
                <w:tcPr>
                  <w:tcW w:w="712" w:type="pct"/>
                  <w:noWrap w:val="0"/>
                  <w:vAlign w:val="center"/>
                </w:tcPr>
                <w:p w14:paraId="0D01A633">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标准（μg/m</w:t>
                  </w:r>
                  <w:r>
                    <w:rPr>
                      <w:rFonts w:hint="default" w:ascii="Times New Roman" w:hAnsi="Times New Roman" w:cs="Times New Roman"/>
                      <w:b/>
                      <w:color w:val="000000" w:themeColor="text1"/>
                      <w:sz w:val="21"/>
                      <w:szCs w:val="21"/>
                      <w:vertAlign w:val="superscript"/>
                      <w14:textFill>
                        <w14:solidFill>
                          <w14:schemeClr w14:val="tx1"/>
                        </w14:solidFill>
                      </w14:textFill>
                    </w:rPr>
                    <w:t>3</w:t>
                  </w:r>
                  <w:r>
                    <w:rPr>
                      <w:rFonts w:hint="default" w:ascii="Times New Roman" w:hAnsi="Times New Roman" w:cs="Times New Roman"/>
                      <w:b/>
                      <w:color w:val="000000" w:themeColor="text1"/>
                      <w:sz w:val="21"/>
                      <w:szCs w:val="21"/>
                      <w14:textFill>
                        <w14:solidFill>
                          <w14:schemeClr w14:val="tx1"/>
                        </w14:solidFill>
                      </w14:textFill>
                    </w:rPr>
                    <w:t>）</w:t>
                  </w:r>
                </w:p>
              </w:tc>
              <w:tc>
                <w:tcPr>
                  <w:tcW w:w="544" w:type="pct"/>
                  <w:noWrap w:val="0"/>
                  <w:vAlign w:val="center"/>
                </w:tcPr>
                <w:p w14:paraId="0292D22F">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default" w:ascii="Times New Roman" w:hAnsi="Times New Roman" w:cs="Times New Roman"/>
                      <w:b/>
                      <w:color w:val="000000" w:themeColor="text1"/>
                      <w:sz w:val="21"/>
                      <w:szCs w:val="21"/>
                      <w14:textFill>
                        <w14:solidFill>
                          <w14:schemeClr w14:val="tx1"/>
                        </w14:solidFill>
                      </w14:textFill>
                    </w:rPr>
                    <w:t>超标率</w:t>
                  </w:r>
                </w:p>
              </w:tc>
            </w:tr>
            <w:tr w14:paraId="3FDAD2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576" w:type="pct"/>
                  <w:noWrap w:val="0"/>
                  <w:vAlign w:val="center"/>
                </w:tcPr>
                <w:p w14:paraId="400A9A63">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eastAsia="zh-CN"/>
                      <w14:textFill>
                        <w14:solidFill>
                          <w14:schemeClr w14:val="tx1"/>
                        </w14:solidFill>
                      </w14:textFill>
                    </w:rPr>
                  </w:pPr>
                  <w:r>
                    <w:rPr>
                      <w:rFonts w:hint="default" w:ascii="Times New Roman" w:hAnsi="Times New Roman" w:cs="Times New Roman"/>
                      <w:b w:val="0"/>
                      <w:bCs/>
                      <w:color w:val="000000" w:themeColor="text1"/>
                      <w:sz w:val="21"/>
                      <w:szCs w:val="21"/>
                      <w:lang w:eastAsia="zh-CN"/>
                      <w14:textFill>
                        <w14:solidFill>
                          <w14:schemeClr w14:val="tx1"/>
                        </w14:solidFill>
                      </w14:textFill>
                    </w:rPr>
                    <w:t>甲醛</w:t>
                  </w:r>
                </w:p>
              </w:tc>
              <w:tc>
                <w:tcPr>
                  <w:tcW w:w="994" w:type="pct"/>
                  <w:vMerge w:val="restart"/>
                  <w:noWrap w:val="0"/>
                  <w:vAlign w:val="center"/>
                </w:tcPr>
                <w:p w14:paraId="54D8774B">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A1杨家井</w:t>
                  </w:r>
                </w:p>
              </w:tc>
              <w:tc>
                <w:tcPr>
                  <w:tcW w:w="697" w:type="pct"/>
                  <w:noWrap w:val="0"/>
                  <w:vAlign w:val="center"/>
                </w:tcPr>
                <w:p w14:paraId="269D6C0D">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小时值</w:t>
                  </w:r>
                </w:p>
              </w:tc>
              <w:tc>
                <w:tcPr>
                  <w:tcW w:w="650" w:type="pct"/>
                  <w:noWrap w:val="0"/>
                  <w:vAlign w:val="center"/>
                </w:tcPr>
                <w:p w14:paraId="2CE9BC9F">
                  <w:pPr>
                    <w:widowControl/>
                    <w:spacing w:line="240" w:lineRule="auto"/>
                    <w:ind w:firstLine="0" w:firstLineChars="0"/>
                    <w:jc w:val="cente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20~38</w:t>
                  </w:r>
                </w:p>
              </w:tc>
              <w:tc>
                <w:tcPr>
                  <w:tcW w:w="823" w:type="pct"/>
                  <w:noWrap w:val="0"/>
                  <w:vAlign w:val="center"/>
                </w:tcPr>
                <w:p w14:paraId="7C00357D">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eastAsia" w:cs="Times New Roman"/>
                      <w:b w:val="0"/>
                      <w:bCs/>
                      <w:color w:val="000000" w:themeColor="text1"/>
                      <w:sz w:val="21"/>
                      <w:szCs w:val="21"/>
                      <w:highlight w:val="none"/>
                      <w:lang w:val="en-US" w:eastAsia="zh-CN"/>
                      <w14:textFill>
                        <w14:solidFill>
                          <w14:schemeClr w14:val="tx1"/>
                        </w14:solidFill>
                      </w14:textFill>
                    </w:rPr>
                    <w:t>0.4~0.76</w:t>
                  </w:r>
                </w:p>
              </w:tc>
              <w:tc>
                <w:tcPr>
                  <w:tcW w:w="712" w:type="pct"/>
                  <w:noWrap w:val="0"/>
                  <w:vAlign w:val="center"/>
                </w:tcPr>
                <w:p w14:paraId="30583AAC">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50</w:t>
                  </w:r>
                </w:p>
              </w:tc>
              <w:tc>
                <w:tcPr>
                  <w:tcW w:w="544" w:type="pct"/>
                  <w:noWrap w:val="0"/>
                  <w:vAlign w:val="center"/>
                </w:tcPr>
                <w:p w14:paraId="0F2B5668">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0</w:t>
                  </w:r>
                </w:p>
              </w:tc>
            </w:tr>
            <w:tr w14:paraId="6B57C3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6" w:type="pct"/>
                  <w:noWrap w:val="0"/>
                  <w:vAlign w:val="center"/>
                </w:tcPr>
                <w:p w14:paraId="78EF4A9A">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default" w:ascii="Times New Roman" w:hAnsi="Times New Roman" w:cs="Times New Roman"/>
                      <w:b w:val="0"/>
                      <w:bCs/>
                      <w:color w:val="000000" w:themeColor="text1"/>
                      <w:sz w:val="21"/>
                      <w:szCs w:val="21"/>
                      <w:lang w:val="en-US" w:eastAsia="zh-CN"/>
                      <w14:textFill>
                        <w14:solidFill>
                          <w14:schemeClr w14:val="tx1"/>
                        </w14:solidFill>
                      </w14:textFill>
                    </w:rPr>
                    <w:t>酚类化合物</w:t>
                  </w:r>
                </w:p>
              </w:tc>
              <w:tc>
                <w:tcPr>
                  <w:tcW w:w="994" w:type="pct"/>
                  <w:vMerge w:val="continue"/>
                  <w:noWrap w:val="0"/>
                  <w:vAlign w:val="center"/>
                </w:tcPr>
                <w:p w14:paraId="02B55267">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p>
              </w:tc>
              <w:tc>
                <w:tcPr>
                  <w:tcW w:w="697" w:type="pct"/>
                  <w:noWrap w:val="0"/>
                  <w:vAlign w:val="center"/>
                </w:tcPr>
                <w:p w14:paraId="2055287B">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highlight w:val="none"/>
                      <w:lang w:val="en-US" w:eastAsia="zh-CN" w:bidi="ar-SA"/>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小时值</w:t>
                  </w:r>
                </w:p>
              </w:tc>
              <w:tc>
                <w:tcPr>
                  <w:tcW w:w="650" w:type="pct"/>
                  <w:noWrap w:val="0"/>
                  <w:vAlign w:val="center"/>
                </w:tcPr>
                <w:p w14:paraId="4F45D346">
                  <w:pPr>
                    <w:widowControl/>
                    <w:spacing w:line="240" w:lineRule="auto"/>
                    <w:ind w:firstLine="0" w:firstLineChars="0"/>
                    <w:jc w:val="cente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US" w:eastAsia="zh-CN"/>
                      <w14:textFill>
                        <w14:solidFill>
                          <w14:schemeClr w14:val="tx1"/>
                        </w14:solidFill>
                      </w14:textFill>
                    </w:rPr>
                    <w:t>ND</w:t>
                  </w:r>
                </w:p>
              </w:tc>
              <w:tc>
                <w:tcPr>
                  <w:tcW w:w="823" w:type="pct"/>
                  <w:noWrap w:val="0"/>
                  <w:vAlign w:val="center"/>
                </w:tcPr>
                <w:p w14:paraId="13D42D30">
                  <w:pPr>
                    <w:widowControl/>
                    <w:spacing w:line="240" w:lineRule="auto"/>
                    <w:ind w:firstLine="0" w:firstLineChars="0"/>
                    <w:jc w:val="center"/>
                    <w:rPr>
                      <w:rFonts w:hint="default" w:ascii="Times New Roman" w:hAnsi="Times New Roman" w:eastAsia="宋体" w:cs="Times New Roman"/>
                      <w:b/>
                      <w:color w:val="000000" w:themeColor="text1"/>
                      <w:sz w:val="21"/>
                      <w:szCs w:val="21"/>
                      <w:highlight w:val="none"/>
                      <w:lang w:val="en-US" w:eastAsia="zh-CN" w:bidi="ar-SA"/>
                      <w14:textFill>
                        <w14:solidFill>
                          <w14:schemeClr w14:val="tx1"/>
                        </w14:solidFill>
                      </w14:textFill>
                    </w:rPr>
                  </w:pPr>
                  <w:r>
                    <w:rPr>
                      <w:rFonts w:hint="default" w:ascii="Times New Roman" w:hAnsi="Times New Roman" w:cs="Times New Roman"/>
                      <w:b/>
                      <w:color w:val="000000" w:themeColor="text1"/>
                      <w:sz w:val="21"/>
                      <w:szCs w:val="21"/>
                      <w:highlight w:val="none"/>
                      <w:lang w:val="en-US" w:eastAsia="zh-CN"/>
                      <w14:textFill>
                        <w14:solidFill>
                          <w14:schemeClr w14:val="tx1"/>
                        </w14:solidFill>
                      </w14:textFill>
                    </w:rPr>
                    <w:t>/</w:t>
                  </w:r>
                </w:p>
              </w:tc>
              <w:tc>
                <w:tcPr>
                  <w:tcW w:w="712" w:type="pct"/>
                  <w:noWrap w:val="0"/>
                  <w:vAlign w:val="center"/>
                </w:tcPr>
                <w:p w14:paraId="5CCEACED">
                  <w:pPr>
                    <w:widowControl/>
                    <w:spacing w:line="240" w:lineRule="auto"/>
                    <w:ind w:firstLine="0" w:firstLineChars="0"/>
                    <w:jc w:val="center"/>
                    <w:rPr>
                      <w:rFonts w:hint="default" w:ascii="Times New Roman" w:hAnsi="Times New Roman" w:eastAsia="宋体" w:cs="Times New Roman"/>
                      <w:b/>
                      <w:color w:val="000000" w:themeColor="text1"/>
                      <w:sz w:val="21"/>
                      <w:szCs w:val="21"/>
                      <w:highlight w:val="none"/>
                      <w:lang w:val="en-US" w:eastAsia="zh-CN" w:bidi="ar-SA"/>
                      <w14:textFill>
                        <w14:solidFill>
                          <w14:schemeClr w14:val="tx1"/>
                        </w14:solidFill>
                      </w14:textFill>
                    </w:rPr>
                  </w:pPr>
                  <w:r>
                    <w:rPr>
                      <w:rFonts w:hint="eastAsia" w:cs="Times New Roman"/>
                      <w:b w:val="0"/>
                      <w:bCs/>
                      <w:color w:val="000000" w:themeColor="text1"/>
                      <w:sz w:val="21"/>
                      <w:szCs w:val="21"/>
                      <w:highlight w:val="none"/>
                      <w:lang w:val="en-US" w:eastAsia="zh-CN" w:bidi="ar-SA"/>
                      <w14:textFill>
                        <w14:solidFill>
                          <w14:schemeClr w14:val="tx1"/>
                        </w14:solidFill>
                      </w14:textFill>
                    </w:rPr>
                    <w:t>20</w:t>
                  </w:r>
                </w:p>
              </w:tc>
              <w:tc>
                <w:tcPr>
                  <w:tcW w:w="544" w:type="pct"/>
                  <w:noWrap w:val="0"/>
                  <w:vAlign w:val="center"/>
                </w:tcPr>
                <w:p w14:paraId="40F9BF11">
                  <w:pPr>
                    <w:widowControl/>
                    <w:spacing w:line="240" w:lineRule="auto"/>
                    <w:ind w:firstLine="0" w:firstLineChars="0"/>
                    <w:jc w:val="center"/>
                    <w:rPr>
                      <w:rFonts w:hint="default" w:ascii="Times New Roman" w:hAnsi="Times New Roman" w:eastAsia="宋体" w:cs="Times New Roman"/>
                      <w:b/>
                      <w:color w:val="000000" w:themeColor="text1"/>
                      <w:sz w:val="21"/>
                      <w:szCs w:val="21"/>
                      <w:highlight w:val="none"/>
                      <w:lang w:val="en-US" w:eastAsia="zh-CN" w:bidi="ar-SA"/>
                      <w14:textFill>
                        <w14:solidFill>
                          <w14:schemeClr w14:val="tx1"/>
                        </w14:solidFill>
                      </w14:textFill>
                    </w:rPr>
                  </w:pPr>
                  <w:r>
                    <w:rPr>
                      <w:rFonts w:hint="default" w:ascii="Times New Roman" w:hAnsi="Times New Roman" w:eastAsia="宋体" w:cs="Times New Roman"/>
                      <w:b/>
                      <w:color w:val="000000" w:themeColor="text1"/>
                      <w:sz w:val="21"/>
                      <w:szCs w:val="21"/>
                      <w:highlight w:val="none"/>
                      <w:lang w:val="en-US" w:eastAsia="zh-CN" w:bidi="ar-SA"/>
                      <w14:textFill>
                        <w14:solidFill>
                          <w14:schemeClr w14:val="tx1"/>
                        </w14:solidFill>
                      </w14:textFill>
                    </w:rPr>
                    <w:t>/</w:t>
                  </w:r>
                </w:p>
              </w:tc>
            </w:tr>
            <w:tr w14:paraId="7B4B9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6" w:type="pct"/>
                  <w:noWrap w:val="0"/>
                  <w:vAlign w:val="center"/>
                </w:tcPr>
                <w:p w14:paraId="621D9594">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TVOC</w:t>
                  </w:r>
                </w:p>
              </w:tc>
              <w:tc>
                <w:tcPr>
                  <w:tcW w:w="994" w:type="pct"/>
                  <w:noWrap w:val="0"/>
                  <w:vAlign w:val="center"/>
                </w:tcPr>
                <w:p w14:paraId="51EBFA68">
                  <w:pPr>
                    <w:widowControl/>
                    <w:spacing w:line="240" w:lineRule="auto"/>
                    <w:ind w:firstLine="0" w:firstLineChars="0"/>
                    <w:jc w:val="center"/>
                    <w:rPr>
                      <w:rFonts w:hint="default" w:ascii="Times New Roman" w:hAnsi="Times New Roman" w:cs="Times New Roman"/>
                      <w:b/>
                      <w:color w:val="000000" w:themeColor="text1"/>
                      <w:sz w:val="21"/>
                      <w:szCs w:val="21"/>
                      <w14:textFill>
                        <w14:solidFill>
                          <w14:schemeClr w14:val="tx1"/>
                        </w14:solidFill>
                      </w14:textFill>
                    </w:rPr>
                  </w:pPr>
                  <w:r>
                    <w:rPr>
                      <w:rFonts w:hint="eastAsia"/>
                      <w:color w:val="000000" w:themeColor="text1"/>
                      <w:sz w:val="21"/>
                      <w:szCs w:val="21"/>
                      <w:lang w:val="en-US" w:eastAsia="zh-CN" w:bidi="ar"/>
                      <w14:textFill>
                        <w14:solidFill>
                          <w14:schemeClr w14:val="tx1"/>
                        </w14:solidFill>
                      </w14:textFill>
                    </w:rPr>
                    <w:t>A2杨家湖</w:t>
                  </w:r>
                </w:p>
              </w:tc>
              <w:tc>
                <w:tcPr>
                  <w:tcW w:w="697" w:type="pct"/>
                  <w:noWrap w:val="0"/>
                  <w:vAlign w:val="center"/>
                </w:tcPr>
                <w:p w14:paraId="1149EF1B">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8小时值</w:t>
                  </w:r>
                </w:p>
              </w:tc>
              <w:tc>
                <w:tcPr>
                  <w:tcW w:w="650" w:type="pct"/>
                  <w:noWrap w:val="0"/>
                  <w:vAlign w:val="center"/>
                </w:tcPr>
                <w:p w14:paraId="770F3489">
                  <w:pPr>
                    <w:widowControl/>
                    <w:spacing w:line="240" w:lineRule="auto"/>
                    <w:ind w:firstLine="0" w:firstLineChars="0"/>
                    <w:jc w:val="center"/>
                    <w:rPr>
                      <w:rFonts w:hint="default" w:ascii="Times New Roman" w:hAnsi="Times New Roman"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3.1~16.1</w:t>
                  </w:r>
                </w:p>
              </w:tc>
              <w:tc>
                <w:tcPr>
                  <w:tcW w:w="823" w:type="pct"/>
                  <w:noWrap w:val="0"/>
                  <w:vAlign w:val="center"/>
                </w:tcPr>
                <w:p w14:paraId="50135560">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0.005~0.026</w:t>
                  </w:r>
                </w:p>
              </w:tc>
              <w:tc>
                <w:tcPr>
                  <w:tcW w:w="712" w:type="pct"/>
                  <w:noWrap w:val="0"/>
                  <w:vAlign w:val="center"/>
                </w:tcPr>
                <w:p w14:paraId="332D55A2">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eastAsia" w:cs="Times New Roman"/>
                      <w:b w:val="0"/>
                      <w:bCs/>
                      <w:color w:val="000000" w:themeColor="text1"/>
                      <w:sz w:val="21"/>
                      <w:szCs w:val="21"/>
                      <w:lang w:val="en-US" w:eastAsia="zh-CN"/>
                      <w14:textFill>
                        <w14:solidFill>
                          <w14:schemeClr w14:val="tx1"/>
                        </w14:solidFill>
                      </w14:textFill>
                    </w:rPr>
                    <w:t>600</w:t>
                  </w:r>
                </w:p>
              </w:tc>
              <w:tc>
                <w:tcPr>
                  <w:tcW w:w="544" w:type="pct"/>
                  <w:noWrap w:val="0"/>
                  <w:vAlign w:val="center"/>
                </w:tcPr>
                <w:p w14:paraId="63FEAB1D">
                  <w:pPr>
                    <w:widowControl/>
                    <w:spacing w:line="240" w:lineRule="auto"/>
                    <w:ind w:firstLine="0" w:firstLineChars="0"/>
                    <w:jc w:val="center"/>
                    <w:rPr>
                      <w:rFonts w:hint="default" w:ascii="Times New Roman" w:hAnsi="Times New Roman" w:eastAsia="宋体" w:cs="Times New Roman"/>
                      <w:b w:val="0"/>
                      <w:bCs/>
                      <w:color w:val="000000" w:themeColor="text1"/>
                      <w:sz w:val="21"/>
                      <w:szCs w:val="21"/>
                      <w:lang w:val="en-US" w:eastAsia="zh-CN"/>
                      <w14:textFill>
                        <w14:solidFill>
                          <w14:schemeClr w14:val="tx1"/>
                        </w14:solidFill>
                      </w14:textFill>
                    </w:rPr>
                  </w:pPr>
                  <w:r>
                    <w:rPr>
                      <w:rFonts w:hint="default" w:ascii="Times New Roman" w:hAnsi="Times New Roman" w:cs="Times New Roman"/>
                      <w:b w:val="0"/>
                      <w:bCs/>
                      <w:color w:val="000000" w:themeColor="text1"/>
                      <w:sz w:val="21"/>
                      <w:szCs w:val="21"/>
                      <w:lang w:val="en-US" w:eastAsia="zh-CN"/>
                      <w14:textFill>
                        <w14:solidFill>
                          <w14:schemeClr w14:val="tx1"/>
                        </w14:solidFill>
                      </w14:textFill>
                    </w:rPr>
                    <w:t>0</w:t>
                  </w:r>
                </w:p>
              </w:tc>
            </w:tr>
            <w:tr w14:paraId="7B4CA6B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6" w:type="pct"/>
                  <w:noWrap w:val="0"/>
                  <w:vAlign w:val="center"/>
                </w:tcPr>
                <w:p w14:paraId="583239AB">
                  <w:pPr>
                    <w:widowControl/>
                    <w:spacing w:line="240" w:lineRule="auto"/>
                    <w:ind w:firstLine="0" w:firstLineChars="0"/>
                    <w:jc w:val="center"/>
                    <w:textAlignment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TSP</w:t>
                  </w:r>
                </w:p>
              </w:tc>
              <w:tc>
                <w:tcPr>
                  <w:tcW w:w="994" w:type="pct"/>
                  <w:noWrap w:val="0"/>
                  <w:vAlign w:val="center"/>
                </w:tcPr>
                <w:p w14:paraId="375BC88F">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bidi="ar"/>
                      <w14:textFill>
                        <w14:solidFill>
                          <w14:schemeClr w14:val="tx1"/>
                        </w14:solidFill>
                      </w14:textFill>
                    </w:rPr>
                    <w:t>A</w:t>
                  </w:r>
                  <w:r>
                    <w:rPr>
                      <w:rFonts w:hint="eastAsia" w:cs="Times New Roman"/>
                      <w:color w:val="000000" w:themeColor="text1"/>
                      <w:sz w:val="21"/>
                      <w:szCs w:val="21"/>
                      <w:lang w:val="en-US" w:eastAsia="zh-CN" w:bidi="ar"/>
                      <w14:textFill>
                        <w14:solidFill>
                          <w14:schemeClr w14:val="tx1"/>
                        </w14:solidFill>
                      </w14:textFill>
                    </w:rPr>
                    <w:t>3</w:t>
                  </w:r>
                  <w:r>
                    <w:rPr>
                      <w:rFonts w:hint="default" w:ascii="Times New Roman" w:hAnsi="Times New Roman" w:cs="Times New Roman"/>
                      <w:color w:val="000000" w:themeColor="text1"/>
                      <w:sz w:val="21"/>
                      <w:szCs w:val="21"/>
                      <w:lang w:bidi="ar"/>
                      <w14:textFill>
                        <w14:solidFill>
                          <w14:schemeClr w14:val="tx1"/>
                        </w14:solidFill>
                      </w14:textFill>
                    </w:rPr>
                    <w:t>江西旭泰环保科技有限公司项目所在地</w:t>
                  </w:r>
                </w:p>
              </w:tc>
              <w:tc>
                <w:tcPr>
                  <w:tcW w:w="697" w:type="pct"/>
                  <w:noWrap w:val="0"/>
                  <w:vAlign w:val="center"/>
                </w:tcPr>
                <w:p w14:paraId="054A0487">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日均值</w:t>
                  </w:r>
                </w:p>
              </w:tc>
              <w:tc>
                <w:tcPr>
                  <w:tcW w:w="650" w:type="pct"/>
                  <w:noWrap w:val="0"/>
                  <w:vAlign w:val="center"/>
                </w:tcPr>
                <w:p w14:paraId="6533DF99">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201~211</w:t>
                  </w:r>
                </w:p>
              </w:tc>
              <w:tc>
                <w:tcPr>
                  <w:tcW w:w="823" w:type="pct"/>
                  <w:noWrap w:val="0"/>
                  <w:vAlign w:val="center"/>
                </w:tcPr>
                <w:p w14:paraId="2331F02B">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0.67~0.70</w:t>
                  </w:r>
                </w:p>
              </w:tc>
              <w:tc>
                <w:tcPr>
                  <w:tcW w:w="712" w:type="pct"/>
                  <w:noWrap w:val="0"/>
                  <w:vAlign w:val="center"/>
                </w:tcPr>
                <w:p w14:paraId="1A01D6E1">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300</w:t>
                  </w:r>
                </w:p>
              </w:tc>
              <w:tc>
                <w:tcPr>
                  <w:tcW w:w="544" w:type="pct"/>
                  <w:noWrap w:val="0"/>
                  <w:vAlign w:val="center"/>
                </w:tcPr>
                <w:p w14:paraId="36380FB3">
                  <w:pPr>
                    <w:widowControl/>
                    <w:spacing w:line="240" w:lineRule="auto"/>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0</w:t>
                  </w:r>
                </w:p>
              </w:tc>
            </w:tr>
          </w:tbl>
          <w:p w14:paraId="556A8702">
            <w:pPr>
              <w:shd w:val="clear" w:color="auto" w:fill="auto"/>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由上表可见，TSP满足《环境空气质量标准》（GB3095-2012）中二级标准限值，</w:t>
            </w:r>
            <w:r>
              <w:rPr>
                <w:rFonts w:hint="eastAsia"/>
                <w:color w:val="000000" w:themeColor="text1"/>
                <w:highlight w:val="none"/>
                <w:lang w:val="en-US" w:eastAsia="zh-CN"/>
                <w14:textFill>
                  <w14:solidFill>
                    <w14:schemeClr w14:val="tx1"/>
                  </w14:solidFill>
                </w14:textFill>
              </w:rPr>
              <w:t>TVOC</w:t>
            </w:r>
            <w:r>
              <w:rPr>
                <w:rFonts w:hint="eastAsia"/>
                <w:color w:val="000000" w:themeColor="text1"/>
                <w:highlight w:val="none"/>
                <w14:textFill>
                  <w14:solidFill>
                    <w14:schemeClr w14:val="tx1"/>
                  </w14:solidFill>
                </w14:textFill>
              </w:rPr>
              <w:t>、甲醛满足《环境影响评价技术导则大气环境》（HJ2.2-2018）附录D</w:t>
            </w:r>
            <w:r>
              <w:rPr>
                <w:rFonts w:hint="eastAsia"/>
                <w:color w:val="000000" w:themeColor="text1"/>
                <w:highlight w:val="none"/>
                <w:lang w:val="en-US" w:eastAsia="zh-CN"/>
                <w14:textFill>
                  <w14:solidFill>
                    <w14:schemeClr w14:val="tx1"/>
                  </w14:solidFill>
                </w14:textFill>
              </w:rPr>
              <w:t>中标准限值</w:t>
            </w:r>
            <w:r>
              <w:rPr>
                <w:rFonts w:hint="eastAsia"/>
                <w:color w:val="000000" w:themeColor="text1"/>
                <w:highlight w:val="none"/>
                <w14:textFill>
                  <w14:solidFill>
                    <w14:schemeClr w14:val="tx1"/>
                  </w14:solidFill>
                </w14:textFill>
              </w:rPr>
              <w:t>，酚类化合物满足《大气污染物综合排放标准详解》</w:t>
            </w:r>
            <w:r>
              <w:rPr>
                <w:rFonts w:hint="eastAsia"/>
                <w:color w:val="000000" w:themeColor="text1"/>
                <w:highlight w:val="none"/>
                <w:lang w:val="en-US" w:eastAsia="zh-CN"/>
                <w14:textFill>
                  <w14:solidFill>
                    <w14:schemeClr w14:val="tx1"/>
                  </w14:solidFill>
                </w14:textFill>
              </w:rPr>
              <w:t>中标准限值。综上，项目所在区域环境</w:t>
            </w:r>
            <w:r>
              <w:rPr>
                <w:rFonts w:hint="eastAsia"/>
                <w:color w:val="000000" w:themeColor="text1"/>
                <w:highlight w:val="none"/>
                <w14:textFill>
                  <w14:solidFill>
                    <w14:schemeClr w14:val="tx1"/>
                  </w14:solidFill>
                </w14:textFill>
              </w:rPr>
              <w:t>质量现状良好。</w:t>
            </w:r>
          </w:p>
          <w:p w14:paraId="6B97E0DB">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2、地表水环境质量现状</w:t>
            </w:r>
          </w:p>
          <w:p w14:paraId="5C239A45">
            <w:pPr>
              <w:pStyle w:val="83"/>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根据《环境影响评价技术导则</w:t>
            </w:r>
            <w:r>
              <w:rPr>
                <w:rFonts w:hint="eastAsia"/>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地表水环境》(HJ2.3-2018)，水环境质量现状调查应优先采用国务院生态环境保护主管部门统一发布的水环境状况信息。</w:t>
            </w:r>
            <w:r>
              <w:rPr>
                <w:rFonts w:hint="eastAsia"/>
                <w:color w:val="000000" w:themeColor="text1"/>
                <w:highlight w:val="none"/>
                <w14:textFill>
                  <w14:solidFill>
                    <w14:schemeClr w14:val="tx1"/>
                  </w14:solidFill>
                </w14:textFill>
              </w:rPr>
              <w:t>本项目最近的控制断面为乐安河桃源，</w:t>
            </w:r>
            <w:r>
              <w:rPr>
                <w:color w:val="000000" w:themeColor="text1"/>
                <w:highlight w:val="none"/>
                <w14:textFill>
                  <w14:solidFill>
                    <w14:schemeClr w14:val="tx1"/>
                  </w14:solidFill>
                </w14:textFill>
              </w:rPr>
              <w:t>项目引用</w:t>
            </w:r>
            <w:r>
              <w:rPr>
                <w:rFonts w:hint="eastAsia"/>
                <w:color w:val="000000" w:themeColor="text1"/>
                <w:highlight w:val="none"/>
                <w14:textFill>
                  <w14:solidFill>
                    <w14:schemeClr w14:val="tx1"/>
                  </w14:solidFill>
                </w14:textFill>
              </w:rPr>
              <w:t>景德镇市202</w:t>
            </w:r>
            <w:r>
              <w:rPr>
                <w:rFonts w:hint="eastAsia"/>
                <w:color w:val="000000" w:themeColor="text1"/>
                <w:highlight w:val="none"/>
                <w:lang w:val="en-US" w:eastAsia="zh-CN"/>
                <w14:textFill>
                  <w14:solidFill>
                    <w14:schemeClr w14:val="tx1"/>
                  </w14:solidFill>
                </w14:textFill>
              </w:rPr>
              <w:t>4</w:t>
            </w:r>
            <w:r>
              <w:rPr>
                <w:color w:val="000000" w:themeColor="text1"/>
                <w:highlight w:val="none"/>
                <w14:textFill>
                  <w14:solidFill>
                    <w14:schemeClr w14:val="tx1"/>
                  </w14:solidFill>
                </w14:textFill>
              </w:rPr>
              <w:t>年</w:t>
            </w:r>
            <w:r>
              <w:rPr>
                <w:rFonts w:hint="eastAsia"/>
                <w:color w:val="000000" w:themeColor="text1"/>
                <w:highlight w:val="none"/>
                <w:lang w:val="en-US" w:eastAsia="zh-CN"/>
                <w14:textFill>
                  <w14:solidFill>
                    <w14:schemeClr w14:val="tx1"/>
                  </w14:solidFill>
                </w14:textFill>
              </w:rPr>
              <w:t>6</w:t>
            </w:r>
            <w:r>
              <w:rPr>
                <w:rFonts w:hint="eastAsia"/>
                <w:color w:val="000000" w:themeColor="text1"/>
                <w:highlight w:val="none"/>
                <w14:textFill>
                  <w14:solidFill>
                    <w14:schemeClr w14:val="tx1"/>
                  </w14:solidFill>
                </w14:textFill>
              </w:rPr>
              <w:t>月</w:t>
            </w:r>
            <w:r>
              <w:rPr>
                <w:color w:val="000000" w:themeColor="text1"/>
                <w:highlight w:val="none"/>
                <w14:textFill>
                  <w14:solidFill>
                    <w14:schemeClr w14:val="tx1"/>
                  </w14:solidFill>
                </w14:textFill>
              </w:rPr>
              <w:t>《环境</w:t>
            </w:r>
            <w:r>
              <w:rPr>
                <w:rFonts w:hint="eastAsia"/>
                <w:color w:val="000000" w:themeColor="text1"/>
                <w:highlight w:val="none"/>
                <w14:textFill>
                  <w14:solidFill>
                    <w14:schemeClr w14:val="tx1"/>
                  </w14:solidFill>
                </w14:textFill>
              </w:rPr>
              <w:t>监测</w:t>
            </w:r>
            <w:r>
              <w:rPr>
                <w:color w:val="000000" w:themeColor="text1"/>
                <w:highlight w:val="none"/>
                <w14:textFill>
                  <w14:solidFill>
                    <w14:schemeClr w14:val="tx1"/>
                  </w14:solidFill>
                </w14:textFill>
              </w:rPr>
              <w:t>质量</w:t>
            </w:r>
            <w:r>
              <w:rPr>
                <w:rFonts w:hint="eastAsia"/>
                <w:color w:val="000000" w:themeColor="text1"/>
                <w:highlight w:val="none"/>
                <w14:textFill>
                  <w14:solidFill>
                    <w14:schemeClr w14:val="tx1"/>
                  </w14:solidFill>
                </w14:textFill>
              </w:rPr>
              <w:t>月报</w:t>
            </w:r>
            <w:r>
              <w:rPr>
                <w:color w:val="000000" w:themeColor="text1"/>
                <w:highlight w:val="none"/>
                <w14:textFill>
                  <w14:solidFill>
                    <w14:schemeClr w14:val="tx1"/>
                  </w14:solidFill>
                </w14:textFill>
              </w:rPr>
              <w:t>》中现状数据，见表3-</w:t>
            </w: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w:t>
            </w:r>
          </w:p>
          <w:p w14:paraId="066A00E9">
            <w:pPr>
              <w:pStyle w:val="137"/>
              <w:shd w:val="clear" w:color="auto" w:fill="auto"/>
              <w:tabs>
                <w:tab w:val="left" w:pos="0"/>
                <w:tab w:val="left" w:pos="360"/>
              </w:tabs>
              <w:adjustRightInd/>
              <w:snapToGrid/>
              <w:spacing w:before="156" w:beforeLines="50" w:line="240" w:lineRule="auto"/>
              <w:ind w:firstLine="0" w:firstLineChars="0"/>
              <w:rPr>
                <w:rFonts w:hint="eastAsia"/>
                <w:color w:val="000000" w:themeColor="text1"/>
                <w:sz w:val="24"/>
                <w:szCs w:val="24"/>
                <w:highlight w:val="none"/>
                <w14:textFill>
                  <w14:solidFill>
                    <w14:schemeClr w14:val="tx1"/>
                  </w14:solidFill>
                </w14:textFill>
              </w:rPr>
            </w:pPr>
            <w:r>
              <w:rPr>
                <w:color w:val="000000" w:themeColor="text1"/>
                <w:sz w:val="24"/>
                <w:szCs w:val="24"/>
                <w:highlight w:val="none"/>
                <w14:textFill>
                  <w14:solidFill>
                    <w14:schemeClr w14:val="tx1"/>
                  </w14:solidFill>
                </w14:textFill>
              </w:rPr>
              <w:t>表3-</w:t>
            </w:r>
            <w:r>
              <w:rPr>
                <w:rFonts w:hint="eastAsia"/>
                <w:color w:val="000000" w:themeColor="text1"/>
                <w:sz w:val="24"/>
                <w:szCs w:val="24"/>
                <w:highlight w:val="none"/>
                <w14:textFill>
                  <w14:solidFill>
                    <w14:schemeClr w14:val="tx1"/>
                  </w14:solidFill>
                </w14:textFill>
              </w:rPr>
              <w:t>4</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景德镇市202</w:t>
            </w:r>
            <w:r>
              <w:rPr>
                <w:rFonts w:hint="eastAsia"/>
                <w:color w:val="000000" w:themeColor="text1"/>
                <w:sz w:val="24"/>
                <w:szCs w:val="24"/>
                <w:highlight w:val="none"/>
                <w:lang w:val="en-US" w:eastAsia="zh-CN"/>
                <w14:textFill>
                  <w14:solidFill>
                    <w14:schemeClr w14:val="tx1"/>
                  </w14:solidFill>
                </w14:textFill>
              </w:rPr>
              <w:t>4</w:t>
            </w:r>
            <w:r>
              <w:rPr>
                <w:rFonts w:hint="eastAsia"/>
                <w:color w:val="000000" w:themeColor="text1"/>
                <w:sz w:val="24"/>
                <w:szCs w:val="24"/>
                <w:highlight w:val="none"/>
                <w14:textFill>
                  <w14:solidFill>
                    <w14:schemeClr w14:val="tx1"/>
                  </w14:solidFill>
                </w14:textFill>
              </w:rPr>
              <w:t>年</w:t>
            </w:r>
            <w:r>
              <w:rPr>
                <w:rFonts w:hint="eastAsia"/>
                <w:color w:val="000000" w:themeColor="text1"/>
                <w:sz w:val="24"/>
                <w:szCs w:val="24"/>
                <w:highlight w:val="none"/>
                <w:lang w:val="en-US" w:eastAsia="zh-CN"/>
                <w14:textFill>
                  <w14:solidFill>
                    <w14:schemeClr w14:val="tx1"/>
                  </w14:solidFill>
                </w14:textFill>
              </w:rPr>
              <w:t>6月</w:t>
            </w:r>
            <w:r>
              <w:rPr>
                <w:rFonts w:hint="eastAsia"/>
                <w:color w:val="000000" w:themeColor="text1"/>
                <w:sz w:val="24"/>
                <w:szCs w:val="24"/>
                <w:highlight w:val="none"/>
                <w14:textFill>
                  <w14:solidFill>
                    <w14:schemeClr w14:val="tx1"/>
                  </w14:solidFill>
                </w14:textFill>
              </w:rPr>
              <w:t>地表水水质类别评价表</w:t>
            </w:r>
          </w:p>
          <w:tbl>
            <w:tblPr>
              <w:tblStyle w:val="32"/>
              <w:tblW w:w="797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46"/>
              <w:gridCol w:w="1875"/>
              <w:gridCol w:w="900"/>
              <w:gridCol w:w="1135"/>
              <w:gridCol w:w="1139"/>
              <w:gridCol w:w="1139"/>
              <w:gridCol w:w="1140"/>
            </w:tblGrid>
            <w:tr w14:paraId="210787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2521" w:type="dxa"/>
                  <w:gridSpan w:val="2"/>
                  <w:vMerge w:val="restart"/>
                  <w:noWrap w:val="0"/>
                  <w:vAlign w:val="center"/>
                </w:tcPr>
                <w:p w14:paraId="444EF65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断面名称及性质</w:t>
                  </w:r>
                </w:p>
              </w:tc>
              <w:tc>
                <w:tcPr>
                  <w:tcW w:w="900" w:type="dxa"/>
                  <w:vMerge w:val="restart"/>
                  <w:noWrap w:val="0"/>
                  <w:vAlign w:val="center"/>
                </w:tcPr>
                <w:p w14:paraId="71BD3E85">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水质目标</w:t>
                  </w:r>
                </w:p>
              </w:tc>
              <w:tc>
                <w:tcPr>
                  <w:tcW w:w="2274" w:type="dxa"/>
                  <w:gridSpan w:val="2"/>
                  <w:noWrap w:val="0"/>
                  <w:vAlign w:val="center"/>
                </w:tcPr>
                <w:p w14:paraId="6020CD4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本月</w:t>
                  </w:r>
                </w:p>
              </w:tc>
              <w:tc>
                <w:tcPr>
                  <w:tcW w:w="2279" w:type="dxa"/>
                  <w:gridSpan w:val="2"/>
                  <w:noWrap w:val="0"/>
                  <w:vAlign w:val="center"/>
                </w:tcPr>
                <w:p w14:paraId="759ABDC5">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上年同期</w:t>
                  </w:r>
                </w:p>
              </w:tc>
            </w:tr>
            <w:tr w14:paraId="5DB650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2521" w:type="dxa"/>
                  <w:gridSpan w:val="2"/>
                  <w:vMerge w:val="continue"/>
                  <w:noWrap w:val="0"/>
                  <w:vAlign w:val="center"/>
                </w:tcPr>
                <w:p w14:paraId="28DB688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highlight w:val="none"/>
                      <w14:textFill>
                        <w14:solidFill>
                          <w14:schemeClr w14:val="tx1"/>
                        </w14:solidFill>
                      </w14:textFill>
                    </w:rPr>
                  </w:pPr>
                </w:p>
              </w:tc>
              <w:tc>
                <w:tcPr>
                  <w:tcW w:w="900" w:type="dxa"/>
                  <w:vMerge w:val="continue"/>
                  <w:noWrap w:val="0"/>
                  <w:vAlign w:val="center"/>
                </w:tcPr>
                <w:p w14:paraId="40B93AB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highlight w:val="none"/>
                      <w14:textFill>
                        <w14:solidFill>
                          <w14:schemeClr w14:val="tx1"/>
                        </w14:solidFill>
                      </w14:textFill>
                    </w:rPr>
                  </w:pPr>
                </w:p>
              </w:tc>
              <w:tc>
                <w:tcPr>
                  <w:tcW w:w="1135" w:type="dxa"/>
                  <w:noWrap w:val="0"/>
                  <w:vAlign w:val="center"/>
                </w:tcPr>
                <w:p w14:paraId="7A56109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水质类别</w:t>
                  </w:r>
                </w:p>
              </w:tc>
              <w:tc>
                <w:tcPr>
                  <w:tcW w:w="1139" w:type="dxa"/>
                  <w:noWrap w:val="0"/>
                  <w:vAlign w:val="center"/>
                </w:tcPr>
                <w:p w14:paraId="6C1E84D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超标项目</w:t>
                  </w:r>
                </w:p>
              </w:tc>
              <w:tc>
                <w:tcPr>
                  <w:tcW w:w="1139" w:type="dxa"/>
                  <w:noWrap w:val="0"/>
                  <w:vAlign w:val="center"/>
                </w:tcPr>
                <w:p w14:paraId="02291FD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水质类别</w:t>
                  </w:r>
                </w:p>
              </w:tc>
              <w:tc>
                <w:tcPr>
                  <w:tcW w:w="1140" w:type="dxa"/>
                  <w:noWrap w:val="0"/>
                  <w:vAlign w:val="center"/>
                </w:tcPr>
                <w:p w14:paraId="44B2DBD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超标项目</w:t>
                  </w:r>
                </w:p>
              </w:tc>
            </w:tr>
            <w:tr w14:paraId="362DC0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3" w:hRule="atLeast"/>
                <w:jc w:val="center"/>
              </w:trPr>
              <w:tc>
                <w:tcPr>
                  <w:tcW w:w="646" w:type="dxa"/>
                  <w:vMerge w:val="restart"/>
                  <w:noWrap w:val="0"/>
                  <w:vAlign w:val="center"/>
                </w:tcPr>
                <w:p w14:paraId="44BF719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昌江河</w:t>
                  </w:r>
                </w:p>
              </w:tc>
              <w:tc>
                <w:tcPr>
                  <w:tcW w:w="1875" w:type="dxa"/>
                  <w:noWrap w:val="0"/>
                  <w:vAlign w:val="center"/>
                </w:tcPr>
                <w:p w14:paraId="6C57D24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南河河口（国控）</w:t>
                  </w:r>
                </w:p>
              </w:tc>
              <w:tc>
                <w:tcPr>
                  <w:tcW w:w="900" w:type="dxa"/>
                  <w:noWrap w:val="0"/>
                  <w:vAlign w:val="center"/>
                </w:tcPr>
                <w:p w14:paraId="2BDA45B0">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4FAE536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9" w:type="dxa"/>
                  <w:noWrap w:val="0"/>
                  <w:vAlign w:val="center"/>
                </w:tcPr>
                <w:p w14:paraId="39A7639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2E9F6C9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40" w:type="dxa"/>
                  <w:noWrap w:val="0"/>
                  <w:vAlign w:val="center"/>
                </w:tcPr>
                <w:p w14:paraId="28EC8C5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364A524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2750730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3DC5D12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关山村（国控）</w:t>
                  </w:r>
                </w:p>
              </w:tc>
              <w:tc>
                <w:tcPr>
                  <w:tcW w:w="900" w:type="dxa"/>
                  <w:noWrap w:val="0"/>
                  <w:vAlign w:val="center"/>
                </w:tcPr>
                <w:p w14:paraId="7FD7C0E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1BF2E050">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30826C9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04959E5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4C9A84A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772A85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25BD09E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11366C4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鲇鱼山（国控）</w:t>
                  </w:r>
                </w:p>
              </w:tc>
              <w:tc>
                <w:tcPr>
                  <w:tcW w:w="900" w:type="dxa"/>
                  <w:noWrap w:val="0"/>
                  <w:vAlign w:val="center"/>
                </w:tcPr>
                <w:p w14:paraId="7BB5A937">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23723F59">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49DCFF7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7A624573">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2BBC7F4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65991E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3EBBD93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7607B9C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洋湖水厂（国控）</w:t>
                  </w:r>
                </w:p>
              </w:tc>
              <w:tc>
                <w:tcPr>
                  <w:tcW w:w="900" w:type="dxa"/>
                  <w:noWrap w:val="0"/>
                  <w:vAlign w:val="center"/>
                </w:tcPr>
                <w:p w14:paraId="73084926">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4360519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555CCB9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70EE622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38FC487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1FC59CF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322DF35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5188AD8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吊鱼(省控)</w:t>
                  </w:r>
                </w:p>
              </w:tc>
              <w:tc>
                <w:tcPr>
                  <w:tcW w:w="900" w:type="dxa"/>
                  <w:noWrap w:val="0"/>
                  <w:vAlign w:val="center"/>
                </w:tcPr>
                <w:p w14:paraId="115630D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3CE4AA8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
                      <w14:textFill>
                        <w14:solidFill>
                          <w14:schemeClr w14:val="tx1"/>
                        </w14:solidFill>
                      </w14:textFill>
                    </w:rPr>
                    <w:t>Ⅰ</w:t>
                  </w: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类</w:t>
                  </w:r>
                </w:p>
              </w:tc>
              <w:tc>
                <w:tcPr>
                  <w:tcW w:w="1139" w:type="dxa"/>
                  <w:noWrap w:val="0"/>
                  <w:vAlign w:val="center"/>
                </w:tcPr>
                <w:p w14:paraId="0D56B20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060CC4A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
                      <w14:textFill>
                        <w14:solidFill>
                          <w14:schemeClr w14:val="tx1"/>
                        </w14:solidFill>
                      </w14:textFill>
                    </w:rPr>
                    <w:t>Ⅰ</w:t>
                  </w: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类</w:t>
                  </w:r>
                </w:p>
              </w:tc>
              <w:tc>
                <w:tcPr>
                  <w:tcW w:w="1140" w:type="dxa"/>
                  <w:noWrap w:val="0"/>
                  <w:vAlign w:val="center"/>
                </w:tcPr>
                <w:p w14:paraId="1FCCB58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0AF52B8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342395D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37D5EC3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昌江庄屋下(省控)</w:t>
                  </w:r>
                </w:p>
              </w:tc>
              <w:tc>
                <w:tcPr>
                  <w:tcW w:w="900" w:type="dxa"/>
                  <w:noWrap w:val="0"/>
                  <w:vAlign w:val="center"/>
                </w:tcPr>
                <w:p w14:paraId="6431EA6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67185DE3">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5FE4F99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09DC4F9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089F873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69D7A3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646" w:type="dxa"/>
                  <w:vMerge w:val="continue"/>
                  <w:noWrap w:val="0"/>
                  <w:vAlign w:val="center"/>
                </w:tcPr>
                <w:p w14:paraId="15D4E69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6FD71DF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浮梁进坑村(省控)</w:t>
                  </w:r>
                </w:p>
              </w:tc>
              <w:tc>
                <w:tcPr>
                  <w:tcW w:w="900" w:type="dxa"/>
                  <w:noWrap w:val="0"/>
                  <w:vAlign w:val="center"/>
                </w:tcPr>
                <w:p w14:paraId="4EAE0AF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2971A9F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14D1C6A0">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79A8CD4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59C1AB0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24E1496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3426E24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46B6A91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浮梁罗家村(省控)</w:t>
                  </w:r>
                </w:p>
              </w:tc>
              <w:tc>
                <w:tcPr>
                  <w:tcW w:w="900" w:type="dxa"/>
                  <w:noWrap w:val="0"/>
                  <w:vAlign w:val="center"/>
                </w:tcPr>
                <w:p w14:paraId="5BCAF166">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47E096B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5F75363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5BE74E6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7AF42CB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078352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6" w:type="dxa"/>
                  <w:vMerge w:val="restart"/>
                  <w:noWrap w:val="0"/>
                  <w:vAlign w:val="center"/>
                </w:tcPr>
                <w:p w14:paraId="62BE4C6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乐安河</w:t>
                  </w:r>
                </w:p>
              </w:tc>
              <w:tc>
                <w:tcPr>
                  <w:tcW w:w="1875" w:type="dxa"/>
                  <w:noWrap w:val="0"/>
                  <w:vAlign w:val="center"/>
                </w:tcPr>
                <w:p w14:paraId="6218F1DF">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野鸡山村(国控)</w:t>
                  </w:r>
                </w:p>
              </w:tc>
              <w:tc>
                <w:tcPr>
                  <w:tcW w:w="900" w:type="dxa"/>
                  <w:noWrap w:val="0"/>
                  <w:vAlign w:val="center"/>
                </w:tcPr>
                <w:p w14:paraId="72C3399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2970097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2D2541A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2A5A638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70835792">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126C80C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7DFEF1C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76E065CC">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桃源（国控）</w:t>
                  </w:r>
                </w:p>
              </w:tc>
              <w:tc>
                <w:tcPr>
                  <w:tcW w:w="900" w:type="dxa"/>
                  <w:noWrap w:val="0"/>
                  <w:vAlign w:val="center"/>
                </w:tcPr>
                <w:p w14:paraId="7656053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3B856433">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665BEB33">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2D6CC421">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7B808D29">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03C1B94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349B4E57">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1B1F27F9">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韩家渡(省控)</w:t>
                  </w:r>
                </w:p>
              </w:tc>
              <w:tc>
                <w:tcPr>
                  <w:tcW w:w="900" w:type="dxa"/>
                  <w:noWrap w:val="0"/>
                  <w:vAlign w:val="center"/>
                </w:tcPr>
                <w:p w14:paraId="3A258B5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6B05CD68">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Ⅱ类</w:t>
                  </w:r>
                </w:p>
              </w:tc>
              <w:tc>
                <w:tcPr>
                  <w:tcW w:w="1139" w:type="dxa"/>
                  <w:noWrap w:val="0"/>
                  <w:vAlign w:val="center"/>
                </w:tcPr>
                <w:p w14:paraId="659D7F1A">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455C2ED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01437A8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r w14:paraId="3BF7FE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6" w:type="dxa"/>
                  <w:vMerge w:val="continue"/>
                  <w:noWrap w:val="0"/>
                  <w:vAlign w:val="center"/>
                </w:tcPr>
                <w:p w14:paraId="1E8BEED0">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p>
              </w:tc>
              <w:tc>
                <w:tcPr>
                  <w:tcW w:w="1875" w:type="dxa"/>
                  <w:noWrap w:val="0"/>
                  <w:vAlign w:val="center"/>
                </w:tcPr>
                <w:p w14:paraId="198F7C14">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乐平共产主义水库(省控)</w:t>
                  </w:r>
                </w:p>
              </w:tc>
              <w:tc>
                <w:tcPr>
                  <w:tcW w:w="900" w:type="dxa"/>
                  <w:noWrap w:val="0"/>
                  <w:vAlign w:val="center"/>
                </w:tcPr>
                <w:p w14:paraId="2013CC89">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Ⅲ类</w:t>
                  </w:r>
                </w:p>
              </w:tc>
              <w:tc>
                <w:tcPr>
                  <w:tcW w:w="1135" w:type="dxa"/>
                  <w:noWrap w:val="0"/>
                  <w:vAlign w:val="center"/>
                </w:tcPr>
                <w:p w14:paraId="510EFA56">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
                      <w14:textFill>
                        <w14:solidFill>
                          <w14:schemeClr w14:val="tx1"/>
                        </w14:solidFill>
                      </w14:textFill>
                    </w:rPr>
                    <w:t>Ⅰ</w:t>
                  </w: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类</w:t>
                  </w:r>
                </w:p>
              </w:tc>
              <w:tc>
                <w:tcPr>
                  <w:tcW w:w="1139" w:type="dxa"/>
                  <w:noWrap w:val="0"/>
                  <w:vAlign w:val="center"/>
                </w:tcPr>
                <w:p w14:paraId="3719DA3B">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lang w:val="en"/>
                      <w14:textFill>
                        <w14:solidFill>
                          <w14:schemeClr w14:val="tx1"/>
                        </w14:solidFill>
                      </w14:textFill>
                    </w:rPr>
                    <w:t>无</w:t>
                  </w:r>
                </w:p>
              </w:tc>
              <w:tc>
                <w:tcPr>
                  <w:tcW w:w="1139" w:type="dxa"/>
                  <w:noWrap w:val="0"/>
                  <w:vAlign w:val="center"/>
                </w:tcPr>
                <w:p w14:paraId="3F1B7D8D">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Ⅱ类</w:t>
                  </w:r>
                </w:p>
              </w:tc>
              <w:tc>
                <w:tcPr>
                  <w:tcW w:w="1140" w:type="dxa"/>
                  <w:noWrap w:val="0"/>
                  <w:vAlign w:val="center"/>
                </w:tcPr>
                <w:p w14:paraId="65A7C15E">
                  <w:pPr>
                    <w:pStyle w:val="137"/>
                    <w:keepNext w:val="0"/>
                    <w:keepLines w:val="0"/>
                    <w:pageBreakBefore w:val="0"/>
                    <w:widowControl w:val="0"/>
                    <w:shd w:val="clear" w:color="auto" w:fill="auto"/>
                    <w:tabs>
                      <w:tab w:val="left" w:pos="0"/>
                      <w:tab w:val="left" w:pos="360"/>
                    </w:tabs>
                    <w:kinsoku/>
                    <w:wordWrap/>
                    <w:overflowPunct/>
                    <w:topLinePunct w:val="0"/>
                    <w:autoSpaceDE/>
                    <w:autoSpaceDN/>
                    <w:bidi w:val="0"/>
                    <w:adjustRightInd/>
                    <w:snapToGrid/>
                    <w:spacing w:before="0" w:line="240" w:lineRule="auto"/>
                    <w:ind w:firstLine="0" w:firstLineChars="0"/>
                    <w:jc w:val="center"/>
                    <w:textAlignment w:val="auto"/>
                    <w:rPr>
                      <w:rFonts w:hint="default" w:ascii="Times New Roman" w:hAnsi="Times New Roman" w:cs="Times New Roman"/>
                      <w:b w:val="0"/>
                      <w:bCs/>
                      <w:color w:val="000000" w:themeColor="text1"/>
                      <w:sz w:val="21"/>
                      <w:szCs w:val="21"/>
                      <w:highlight w:val="none"/>
                      <w14:textFill>
                        <w14:solidFill>
                          <w14:schemeClr w14:val="tx1"/>
                        </w14:solidFill>
                      </w14:textFill>
                    </w:rPr>
                  </w:pPr>
                  <w:r>
                    <w:rPr>
                      <w:rFonts w:hint="default" w:ascii="Times New Roman" w:hAnsi="Times New Roman" w:cs="Times New Roman"/>
                      <w:b w:val="0"/>
                      <w:bCs/>
                      <w:color w:val="000000" w:themeColor="text1"/>
                      <w:sz w:val="21"/>
                      <w:szCs w:val="21"/>
                      <w:highlight w:val="none"/>
                      <w14:textFill>
                        <w14:solidFill>
                          <w14:schemeClr w14:val="tx1"/>
                        </w14:solidFill>
                      </w14:textFill>
                    </w:rPr>
                    <w:t>无</w:t>
                  </w:r>
                </w:p>
              </w:tc>
            </w:tr>
          </w:tbl>
          <w:p w14:paraId="3E55A0AC">
            <w:pPr>
              <w:pStyle w:val="58"/>
              <w:shd w:val="clear" w:color="auto" w:fill="auto"/>
              <w:ind w:firstLine="496" w:firstLineChars="200"/>
              <w:rPr>
                <w:rFonts w:hint="eastAsia"/>
                <w:b w:val="0"/>
                <w:bCs/>
                <w:color w:val="000000" w:themeColor="text1"/>
                <w:highlight w:val="none"/>
                <w14:textFill>
                  <w14:solidFill>
                    <w14:schemeClr w14:val="tx1"/>
                  </w14:solidFill>
                </w14:textFill>
              </w:rPr>
            </w:pPr>
            <w:r>
              <w:rPr>
                <w:b w:val="0"/>
                <w:bCs/>
                <w:snapToGrid w:val="0"/>
                <w:color w:val="000000" w:themeColor="text1"/>
                <w:spacing w:val="4"/>
                <w:kern w:val="18"/>
                <w:highlight w:val="none"/>
                <w14:textFill>
                  <w14:solidFill>
                    <w14:schemeClr w14:val="tx1"/>
                  </w14:solidFill>
                </w14:textFill>
              </w:rPr>
              <w:t>由</w:t>
            </w:r>
            <w:r>
              <w:rPr>
                <w:rFonts w:hint="eastAsia"/>
                <w:b w:val="0"/>
                <w:bCs/>
                <w:snapToGrid w:val="0"/>
                <w:color w:val="000000" w:themeColor="text1"/>
                <w:spacing w:val="4"/>
                <w:kern w:val="18"/>
                <w:highlight w:val="none"/>
                <w14:textFill>
                  <w14:solidFill>
                    <w14:schemeClr w14:val="tx1"/>
                  </w14:solidFill>
                </w14:textFill>
              </w:rPr>
              <w:t>以上数据</w:t>
            </w:r>
            <w:r>
              <w:rPr>
                <w:b w:val="0"/>
                <w:bCs/>
                <w:snapToGrid w:val="0"/>
                <w:color w:val="000000" w:themeColor="text1"/>
                <w:spacing w:val="4"/>
                <w:kern w:val="18"/>
                <w:highlight w:val="none"/>
                <w14:textFill>
                  <w14:solidFill>
                    <w14:schemeClr w14:val="tx1"/>
                  </w14:solidFill>
                </w14:textFill>
              </w:rPr>
              <w:t>可知，</w:t>
            </w:r>
            <w:r>
              <w:rPr>
                <w:rFonts w:hint="eastAsia"/>
                <w:b w:val="0"/>
                <w:bCs/>
                <w:snapToGrid w:val="0"/>
                <w:color w:val="000000" w:themeColor="text1"/>
                <w:spacing w:val="4"/>
                <w:kern w:val="18"/>
                <w:highlight w:val="none"/>
                <w14:textFill>
                  <w14:solidFill>
                    <w14:schemeClr w14:val="tx1"/>
                  </w14:solidFill>
                </w14:textFill>
              </w:rPr>
              <w:t>乐安河桃源的</w:t>
            </w:r>
            <w:r>
              <w:rPr>
                <w:b w:val="0"/>
                <w:bCs/>
                <w:color w:val="000000" w:themeColor="text1"/>
                <w:highlight w:val="none"/>
                <w14:textFill>
                  <w14:solidFill>
                    <w14:schemeClr w14:val="tx1"/>
                  </w14:solidFill>
                </w14:textFill>
              </w:rPr>
              <w:t>地表水现状能满足《地表水环境质量标准》（GB3838-2002）中Ш类标准要求，项目</w:t>
            </w:r>
            <w:r>
              <w:rPr>
                <w:rFonts w:hint="eastAsia"/>
                <w:b w:val="0"/>
                <w:bCs/>
                <w:color w:val="000000" w:themeColor="text1"/>
                <w:highlight w:val="none"/>
                <w14:textFill>
                  <w14:solidFill>
                    <w14:schemeClr w14:val="tx1"/>
                  </w14:solidFill>
                </w14:textFill>
              </w:rPr>
              <w:t>区域地表水水体</w:t>
            </w:r>
            <w:r>
              <w:rPr>
                <w:b w:val="0"/>
                <w:bCs/>
                <w:color w:val="000000" w:themeColor="text1"/>
                <w:highlight w:val="none"/>
                <w14:textFill>
                  <w14:solidFill>
                    <w14:schemeClr w14:val="tx1"/>
                  </w14:solidFill>
                </w14:textFill>
              </w:rPr>
              <w:t>水质良好</w:t>
            </w:r>
            <w:r>
              <w:rPr>
                <w:rFonts w:hint="eastAsia"/>
                <w:b w:val="0"/>
                <w:bCs/>
                <w:color w:val="000000" w:themeColor="text1"/>
                <w:highlight w:val="none"/>
                <w14:textFill>
                  <w14:solidFill>
                    <w14:schemeClr w14:val="tx1"/>
                  </w14:solidFill>
                </w14:textFill>
              </w:rPr>
              <w:t>。</w:t>
            </w:r>
          </w:p>
          <w:p w14:paraId="59269949">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3、声环境质量现状</w:t>
            </w:r>
          </w:p>
          <w:p w14:paraId="47DB5829">
            <w:pPr>
              <w:pStyle w:val="108"/>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本项目</w:t>
            </w:r>
            <w:r>
              <w:rPr>
                <w:rFonts w:hint="eastAsia"/>
                <w:color w:val="000000" w:themeColor="text1"/>
                <w:highlight w:val="none"/>
                <w14:textFill>
                  <w14:solidFill>
                    <w14:schemeClr w14:val="tx1"/>
                  </w14:solidFill>
                </w14:textFill>
              </w:rPr>
              <w:t>厂界四周执行</w:t>
            </w:r>
            <w:r>
              <w:rPr>
                <w:color w:val="000000" w:themeColor="text1"/>
                <w:highlight w:val="none"/>
                <w14:textFill>
                  <w14:solidFill>
                    <w14:schemeClr w14:val="tx1"/>
                  </w14:solidFill>
                </w14:textFill>
              </w:rPr>
              <w:t>《声环境质量标准》（GB3096-2008）中</w:t>
            </w:r>
            <w:r>
              <w:rPr>
                <w:rFonts w:hint="eastAsia"/>
                <w:color w:val="000000" w:themeColor="text1"/>
                <w:highlight w:val="none"/>
                <w14:textFill>
                  <w14:solidFill>
                    <w14:schemeClr w14:val="tx1"/>
                  </w14:solidFill>
                </w14:textFill>
              </w:rPr>
              <w:t>3类</w:t>
            </w:r>
            <w:r>
              <w:rPr>
                <w:color w:val="000000" w:themeColor="text1"/>
                <w:highlight w:val="none"/>
                <w14:textFill>
                  <w14:solidFill>
                    <w14:schemeClr w14:val="tx1"/>
                  </w14:solidFill>
                </w14:textFill>
              </w:rPr>
              <w:t>标准要求</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本项目厂界50米范围内无声环境保护目标，根据《建设项目环境影响报告表编制技术指南（污染影响类）（试行）》要求，可不需开展声环境现状监测。</w:t>
            </w:r>
          </w:p>
          <w:p w14:paraId="2EAFAE14">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4、生态环境质量现状</w:t>
            </w:r>
          </w:p>
          <w:p w14:paraId="04A8FD44">
            <w:pPr>
              <w:widowControl/>
              <w:shd w:val="clear" w:color="auto" w:fill="auto"/>
              <w:ind w:firstLine="480"/>
              <w:rPr>
                <w:b/>
                <w:bCs/>
                <w:color w:val="000000" w:themeColor="text1"/>
                <w:highlight w:val="none"/>
                <w14:textFill>
                  <w14:solidFill>
                    <w14:schemeClr w14:val="tx1"/>
                  </w14:solidFill>
                </w14:textFill>
              </w:rPr>
            </w:pPr>
            <w:r>
              <w:rPr>
                <w:rFonts w:hAnsi="宋体"/>
                <w:color w:val="000000" w:themeColor="text1"/>
                <w:highlight w:val="none"/>
                <w14:textFill>
                  <w14:solidFill>
                    <w14:schemeClr w14:val="tx1"/>
                  </w14:solidFill>
                </w14:textFill>
              </w:rPr>
              <w:t>项目位于江西省</w:t>
            </w:r>
            <w:r>
              <w:rPr>
                <w:color w:val="000000" w:themeColor="text1"/>
                <w:highlight w:val="none"/>
                <w14:textFill>
                  <w14:solidFill>
                    <w14:schemeClr w14:val="tx1"/>
                  </w14:solidFill>
                </w14:textFill>
              </w:rPr>
              <w:t>景德镇市乐平市金山工业园区</w:t>
            </w:r>
            <w:r>
              <w:rPr>
                <w:rFonts w:hAnsi="宋体"/>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厂区内地面、绿化、建筑均为人工建设，周边自然地貌已基本经人工改造而消失，生态系统敏感程度较低</w:t>
            </w:r>
            <w:r>
              <w:rPr>
                <w:color w:val="000000" w:themeColor="text1"/>
                <w:highlight w:val="none"/>
                <w14:textFill>
                  <w14:solidFill>
                    <w14:schemeClr w14:val="tx1"/>
                  </w14:solidFill>
                </w14:textFill>
              </w:rPr>
              <w:t>。</w:t>
            </w:r>
            <w:r>
              <w:rPr>
                <w:rFonts w:hAnsi="宋体"/>
                <w:color w:val="000000" w:themeColor="text1"/>
                <w:highlight w:val="none"/>
                <w14:textFill>
                  <w14:solidFill>
                    <w14:schemeClr w14:val="tx1"/>
                  </w14:solidFill>
                </w14:textFill>
              </w:rPr>
              <w:t>无需进行生态现状调查。</w:t>
            </w:r>
          </w:p>
          <w:p w14:paraId="0809E6D8">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5、电磁辐射</w:t>
            </w:r>
          </w:p>
          <w:p w14:paraId="5A6EBF60">
            <w:pPr>
              <w:pStyle w:val="58"/>
              <w:shd w:val="clear" w:color="auto" w:fill="auto"/>
              <w:ind w:firstLine="480" w:firstLineChars="200"/>
              <w:rPr>
                <w:b w:val="0"/>
                <w:bCs/>
                <w:color w:val="000000" w:themeColor="text1"/>
                <w:highlight w:val="none"/>
                <w14:textFill>
                  <w14:solidFill>
                    <w14:schemeClr w14:val="tx1"/>
                  </w14:solidFill>
                </w14:textFill>
              </w:rPr>
            </w:pPr>
            <w:r>
              <w:rPr>
                <w:rFonts w:hint="eastAsia"/>
                <w:b w:val="0"/>
                <w:bCs/>
                <w:color w:val="000000" w:themeColor="text1"/>
                <w:highlight w:val="none"/>
                <w14:textFill>
                  <w14:solidFill>
                    <w14:schemeClr w14:val="tx1"/>
                  </w14:solidFill>
                </w14:textFill>
              </w:rPr>
              <w:t>本项目</w:t>
            </w:r>
            <w:r>
              <w:rPr>
                <w:b w:val="0"/>
                <w:bCs/>
                <w:color w:val="000000" w:themeColor="text1"/>
                <w:highlight w:val="none"/>
                <w14:textFill>
                  <w14:solidFill>
                    <w14:schemeClr w14:val="tx1"/>
                  </w14:solidFill>
                </w14:textFill>
              </w:rPr>
              <w:t>不属于新建或改建、扩建广播电台、差转台、电视塔台、卫星地球上行站、雷达等电磁辐射类项目，因此不需要对项目电磁辐射现状开展监测与评价。</w:t>
            </w:r>
          </w:p>
          <w:p w14:paraId="5A3719E0">
            <w:pPr>
              <w:pStyle w:val="58"/>
              <w:shd w:val="clear" w:color="auto" w:fill="auto"/>
              <w:ind w:firstLine="482" w:firstLineChars="20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6、地下水、土壤环境质量现状</w:t>
            </w:r>
          </w:p>
          <w:p w14:paraId="78C7219A">
            <w:pPr>
              <w:pStyle w:val="56"/>
              <w:shd w:val="clear" w:color="auto" w:fill="auto"/>
              <w:ind w:firstLine="480"/>
              <w:rPr>
                <w:rFonts w:hint="default"/>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w:t>
            </w:r>
            <w:r>
              <w:rPr>
                <w:color w:val="000000" w:themeColor="text1"/>
                <w:highlight w:val="none"/>
                <w:lang w:val="zh-CN"/>
                <w14:textFill>
                  <w14:solidFill>
                    <w14:schemeClr w14:val="tx1"/>
                  </w14:solidFill>
                </w14:textFill>
              </w:rPr>
              <w:t>《建设项目环境影响评价表编制技术指南（污染影响类）》（202</w:t>
            </w:r>
            <w:r>
              <w:rPr>
                <w:color w:val="000000" w:themeColor="text1"/>
                <w:highlight w:val="none"/>
                <w14:textFill>
                  <w14:solidFill>
                    <w14:schemeClr w14:val="tx1"/>
                  </w14:solidFill>
                </w14:textFill>
              </w:rPr>
              <w:t>1</w:t>
            </w:r>
            <w:r>
              <w:rPr>
                <w:color w:val="000000" w:themeColor="text1"/>
                <w:highlight w:val="none"/>
                <w:lang w:val="zh-CN"/>
                <w14:textFill>
                  <w14:solidFill>
                    <w14:schemeClr w14:val="tx1"/>
                  </w14:solidFill>
                </w14:textFill>
              </w:rPr>
              <w:t>年）</w:t>
            </w:r>
            <w:r>
              <w:rPr>
                <w:color w:val="000000" w:themeColor="text1"/>
                <w:highlight w:val="none"/>
                <w14:textFill>
                  <w14:solidFill>
                    <w14:schemeClr w14:val="tx1"/>
                  </w14:solidFill>
                </w14:textFill>
              </w:rPr>
              <w:t>的有关要求，地下水、土壤环境原则上不开展环境质量现状调查。项目位于工业园区，排放的废气污染物主要为NMHC、</w:t>
            </w:r>
            <w:r>
              <w:rPr>
                <w:rFonts w:hint="eastAsia"/>
                <w:color w:val="000000" w:themeColor="text1"/>
                <w:highlight w:val="none"/>
                <w:lang w:val="en-US" w:eastAsia="zh-CN"/>
                <w14:textFill>
                  <w14:solidFill>
                    <w14:schemeClr w14:val="tx1"/>
                  </w14:solidFill>
                </w14:textFill>
              </w:rPr>
              <w:t>酚类</w:t>
            </w:r>
            <w:r>
              <w:rPr>
                <w:rFonts w:hint="eastAsia" w:cs="Times New Roman"/>
                <w:color w:val="000000" w:themeColor="text1"/>
                <w:highlight w:val="none"/>
                <w:lang w:val="en-US" w:eastAsia="zh-CN"/>
                <w14:textFill>
                  <w14:solidFill>
                    <w14:schemeClr w14:val="tx1"/>
                  </w14:solidFill>
                </w14:textFill>
              </w:rPr>
              <w:t>（以苯酚计）</w:t>
            </w:r>
            <w:r>
              <w:rPr>
                <w:color w:val="000000" w:themeColor="text1"/>
                <w:highlight w:val="none"/>
                <w14:textFill>
                  <w14:solidFill>
                    <w14:schemeClr w14:val="tx1"/>
                  </w14:solidFill>
                </w14:textFill>
              </w:rPr>
              <w:t>、颗粒物、二氧化硫、</w:t>
            </w:r>
            <w:r>
              <w:rPr>
                <w:rFonts w:hint="eastAsia"/>
                <w:color w:val="000000" w:themeColor="text1"/>
                <w:highlight w:val="none"/>
                <w:lang w:val="en-US" w:eastAsia="zh-CN"/>
                <w14:textFill>
                  <w14:solidFill>
                    <w14:schemeClr w14:val="tx1"/>
                  </w14:solidFill>
                </w14:textFill>
              </w:rPr>
              <w:t>甲醛</w:t>
            </w:r>
            <w:r>
              <w:rPr>
                <w:color w:val="000000" w:themeColor="text1"/>
                <w:highlight w:val="none"/>
                <w14:textFill>
                  <w14:solidFill>
                    <w14:schemeClr w14:val="tx1"/>
                  </w14:solidFill>
                </w14:textFill>
              </w:rPr>
              <w:t>，</w:t>
            </w:r>
            <w:r>
              <w:rPr>
                <w:rFonts w:hint="default"/>
                <w:color w:val="000000" w:themeColor="text1"/>
                <w:highlight w:val="none"/>
                <w14:textFill>
                  <w14:solidFill>
                    <w14:schemeClr w14:val="tx1"/>
                  </w14:solidFill>
                </w14:textFill>
              </w:rPr>
              <w:t>废气中各污染因子沉降系数较低，出现大气沉降污染土壤及地下水的可能性较低</w:t>
            </w:r>
            <w:r>
              <w:rPr>
                <w:color w:val="000000" w:themeColor="text1"/>
                <w:highlight w:val="none"/>
                <w14:textFill>
                  <w14:solidFill>
                    <w14:schemeClr w14:val="tx1"/>
                  </w14:solidFill>
                </w14:textFill>
              </w:rPr>
              <w:t>。机油等</w:t>
            </w:r>
            <w:r>
              <w:rPr>
                <w:rFonts w:hint="default"/>
                <w:color w:val="000000" w:themeColor="text1"/>
                <w:highlight w:val="none"/>
                <w14:textFill>
                  <w14:solidFill>
                    <w14:schemeClr w14:val="tx1"/>
                  </w14:solidFill>
                </w14:textFill>
              </w:rPr>
              <w:t>存放于独立存储间且厂房周边地面已做硬化处理，出现液态原辅料外泄通过地表垂直入渗方式污染土壤及地下水的可能性较低</w:t>
            </w:r>
            <w:r>
              <w:rPr>
                <w:color w:val="000000" w:themeColor="text1"/>
                <w:highlight w:val="none"/>
                <w14:textFill>
                  <w14:solidFill>
                    <w14:schemeClr w14:val="tx1"/>
                  </w14:solidFill>
                </w14:textFill>
              </w:rPr>
              <w:t>。同时本项目采取“源头控制、分区防渗、污染监控、应急响应”等措施，可有效阻断土壤、地下水环境污染途径。本评价在此不对地下水和土壤环境质量现状进行调查。</w:t>
            </w:r>
          </w:p>
        </w:tc>
      </w:tr>
      <w:tr w14:paraId="11E635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82" w:hRule="atLeast"/>
          <w:jc w:val="center"/>
        </w:trPr>
        <w:tc>
          <w:tcPr>
            <w:tcW w:w="456" w:type="dxa"/>
            <w:noWrap w:val="0"/>
            <w:vAlign w:val="center"/>
          </w:tcPr>
          <w:p w14:paraId="37CBA71C">
            <w:pPr>
              <w:pStyle w:val="95"/>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环境保护目标</w:t>
            </w:r>
          </w:p>
        </w:tc>
        <w:tc>
          <w:tcPr>
            <w:tcW w:w="8063" w:type="dxa"/>
            <w:noWrap w:val="0"/>
            <w:vAlign w:val="center"/>
          </w:tcPr>
          <w:p w14:paraId="6D2D6B51">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1、大气环境保护目标</w:t>
            </w:r>
          </w:p>
          <w:p w14:paraId="606991C2">
            <w:pPr>
              <w:pStyle w:val="56"/>
              <w:shd w:val="clear" w:color="auto" w:fill="auto"/>
              <w:ind w:firstLine="480"/>
              <w:rPr>
                <w:color w:val="000000" w:themeColor="text1"/>
                <w:highlight w:val="none"/>
                <w14:textFill>
                  <w14:solidFill>
                    <w14:schemeClr w14:val="tx1"/>
                  </w14:solidFill>
                </w14:textFill>
              </w:rPr>
            </w:pPr>
            <w:r>
              <w:rPr>
                <w:rFonts w:hint="default"/>
                <w:color w:val="000000" w:themeColor="text1"/>
                <w:highlight w:val="none"/>
                <w14:textFill>
                  <w14:solidFill>
                    <w14:schemeClr w14:val="tx1"/>
                  </w14:solidFill>
                </w14:textFill>
              </w:rPr>
              <w:t>本项目周边环境质量良好，评价范围内无名胜古迹、重要公共设施，也无特殊保护区，环境保护目标为一般环境保护区域，项目主要保护目标见</w:t>
            </w:r>
            <w:r>
              <w:rPr>
                <w:color w:val="000000" w:themeColor="text1"/>
                <w:highlight w:val="none"/>
                <w14:textFill>
                  <w14:solidFill>
                    <w14:schemeClr w14:val="tx1"/>
                  </w14:solidFill>
                </w14:textFill>
              </w:rPr>
              <w:t>表3-5</w:t>
            </w:r>
            <w:r>
              <w:rPr>
                <w:rFonts w:hint="default"/>
                <w:color w:val="000000" w:themeColor="text1"/>
                <w:highlight w:val="none"/>
                <w14:textFill>
                  <w14:solidFill>
                    <w14:schemeClr w14:val="tx1"/>
                  </w14:solidFill>
                </w14:textFill>
              </w:rPr>
              <w:t>。</w:t>
            </w:r>
          </w:p>
          <w:p w14:paraId="4499DCAA">
            <w:pPr>
              <w:pStyle w:val="72"/>
              <w:numPr>
                <w:ilvl w:val="0"/>
                <w:numId w:val="0"/>
              </w:numPr>
              <w:shd w:val="clear" w:color="auto" w:fill="auto"/>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 xml:space="preserve">表3-5 </w:t>
            </w:r>
            <w:r>
              <w:rPr>
                <w:color w:val="000000" w:themeColor="text1"/>
                <w:sz w:val="24"/>
                <w:highlight w:val="none"/>
                <w14:textFill>
                  <w14:solidFill>
                    <w14:schemeClr w14:val="tx1"/>
                  </w14:solidFill>
                </w14:textFill>
              </w:rPr>
              <w:t>主要环境保护目标一览表</w:t>
            </w:r>
          </w:p>
          <w:tbl>
            <w:tblPr>
              <w:tblStyle w:val="32"/>
              <w:tblW w:w="502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516"/>
              <w:gridCol w:w="1991"/>
              <w:gridCol w:w="566"/>
              <w:gridCol w:w="566"/>
              <w:gridCol w:w="763"/>
              <w:gridCol w:w="614"/>
              <w:gridCol w:w="709"/>
              <w:gridCol w:w="696"/>
              <w:gridCol w:w="886"/>
              <w:gridCol w:w="587"/>
            </w:tblGrid>
            <w:tr w14:paraId="75C15A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29" w:hRule="atLeast"/>
                <w:jc w:val="center"/>
              </w:trPr>
              <w:tc>
                <w:tcPr>
                  <w:tcW w:w="326" w:type="pct"/>
                  <w:vMerge w:val="restart"/>
                  <w:tcBorders>
                    <w:tl2br w:val="nil"/>
                    <w:tr2bl w:val="nil"/>
                  </w:tcBorders>
                  <w:noWrap/>
                  <w:tcMar>
                    <w:top w:w="12" w:type="dxa"/>
                    <w:left w:w="12" w:type="dxa"/>
                    <w:right w:w="12" w:type="dxa"/>
                  </w:tcMar>
                  <w:vAlign w:val="center"/>
                </w:tcPr>
                <w:p w14:paraId="5749F349">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eastAsia" w:ascii="Times New Roman" w:hAnsi="Times New Roman" w:eastAsia="宋体" w:cs="Times New Roman"/>
                      <w:b/>
                      <w:bCs w:val="0"/>
                      <w:color w:val="000000" w:themeColor="text1"/>
                      <w:kern w:val="0"/>
                      <w:sz w:val="21"/>
                      <w:szCs w:val="21"/>
                      <w:highlight w:val="none"/>
                      <w:lang w:val="en-US" w:eastAsia="zh-CN" w:bidi="ar"/>
                      <w14:textFill>
                        <w14:solidFill>
                          <w14:schemeClr w14:val="tx1"/>
                        </w14:solidFill>
                      </w14:textFill>
                    </w:rPr>
                  </w:pPr>
                  <w:r>
                    <w:rPr>
                      <w:rFonts w:hint="eastAsia" w:cs="Times New Roman"/>
                      <w:b/>
                      <w:bCs w:val="0"/>
                      <w:color w:val="000000" w:themeColor="text1"/>
                      <w:kern w:val="0"/>
                      <w:sz w:val="21"/>
                      <w:szCs w:val="21"/>
                      <w:highlight w:val="none"/>
                      <w:lang w:val="en-US" w:eastAsia="zh-CN" w:bidi="ar"/>
                      <w14:textFill>
                        <w14:solidFill>
                          <w14:schemeClr w14:val="tx1"/>
                        </w14:solidFill>
                      </w14:textFill>
                    </w:rPr>
                    <w:t>序号</w:t>
                  </w:r>
                </w:p>
              </w:tc>
              <w:tc>
                <w:tcPr>
                  <w:tcW w:w="1261" w:type="pct"/>
                  <w:vMerge w:val="restart"/>
                  <w:tcBorders>
                    <w:tl2br w:val="nil"/>
                    <w:tr2bl w:val="nil"/>
                  </w:tcBorders>
                  <w:noWrap/>
                  <w:tcMar>
                    <w:top w:w="12" w:type="dxa"/>
                    <w:left w:w="12" w:type="dxa"/>
                    <w:right w:w="12" w:type="dxa"/>
                  </w:tcMar>
                  <w:vAlign w:val="center"/>
                </w:tcPr>
                <w:p w14:paraId="238C188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t>名称</w:t>
                  </w:r>
                </w:p>
              </w:tc>
              <w:tc>
                <w:tcPr>
                  <w:tcW w:w="717" w:type="pct"/>
                  <w:gridSpan w:val="2"/>
                  <w:tcBorders>
                    <w:tl2br w:val="nil"/>
                    <w:tr2bl w:val="nil"/>
                  </w:tcBorders>
                  <w:noWrap/>
                  <w:tcMar>
                    <w:top w:w="12" w:type="dxa"/>
                    <w:left w:w="12" w:type="dxa"/>
                    <w:right w:w="12" w:type="dxa"/>
                  </w:tcMar>
                  <w:vAlign w:val="center"/>
                </w:tcPr>
                <w:p w14:paraId="785E07E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t>坐标/m</w:t>
                  </w:r>
                </w:p>
              </w:tc>
              <w:tc>
                <w:tcPr>
                  <w:tcW w:w="483" w:type="pct"/>
                  <w:vMerge w:val="restart"/>
                  <w:tcBorders>
                    <w:tl2br w:val="nil"/>
                    <w:tr2bl w:val="nil"/>
                  </w:tcBorders>
                  <w:noWrap/>
                  <w:tcMar>
                    <w:top w:w="12" w:type="dxa"/>
                    <w:left w:w="12" w:type="dxa"/>
                    <w:right w:w="12" w:type="dxa"/>
                  </w:tcMar>
                  <w:vAlign w:val="center"/>
                </w:tcPr>
                <w:p w14:paraId="4A160B4D">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eastAsia="zh-CN"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eastAsia="zh-CN" w:bidi="ar"/>
                      <w14:textFill>
                        <w14:solidFill>
                          <w14:schemeClr w14:val="tx1"/>
                        </w14:solidFill>
                      </w14:textFill>
                    </w:rPr>
                    <w:t>保护对象</w:t>
                  </w:r>
                </w:p>
              </w:tc>
              <w:tc>
                <w:tcPr>
                  <w:tcW w:w="388" w:type="pct"/>
                  <w:vMerge w:val="restart"/>
                  <w:tcBorders>
                    <w:tl2br w:val="nil"/>
                    <w:tr2bl w:val="nil"/>
                  </w:tcBorders>
                  <w:noWrap/>
                  <w:tcMar>
                    <w:top w:w="12" w:type="dxa"/>
                    <w:left w:w="12" w:type="dxa"/>
                    <w:right w:w="12" w:type="dxa"/>
                  </w:tcMar>
                  <w:vAlign w:val="center"/>
                </w:tcPr>
                <w:p w14:paraId="2AD0DA47">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t>保护内容</w:t>
                  </w:r>
                </w:p>
              </w:tc>
              <w:tc>
                <w:tcPr>
                  <w:tcW w:w="449" w:type="pct"/>
                  <w:vMerge w:val="restart"/>
                  <w:tcBorders>
                    <w:tl2br w:val="nil"/>
                    <w:tr2bl w:val="nil"/>
                  </w:tcBorders>
                  <w:noWrap/>
                  <w:tcMar>
                    <w:top w:w="12" w:type="dxa"/>
                    <w:left w:w="12" w:type="dxa"/>
                    <w:right w:w="12" w:type="dxa"/>
                  </w:tcMar>
                  <w:vAlign w:val="center"/>
                </w:tcPr>
                <w:p w14:paraId="5B1FF59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环境功能区</w:t>
                  </w:r>
                </w:p>
              </w:tc>
              <w:tc>
                <w:tcPr>
                  <w:tcW w:w="440" w:type="pct"/>
                  <w:vMerge w:val="restart"/>
                  <w:tcBorders>
                    <w:tl2br w:val="nil"/>
                    <w:tr2bl w:val="nil"/>
                  </w:tcBorders>
                  <w:noWrap/>
                  <w:tcMar>
                    <w:top w:w="12" w:type="dxa"/>
                    <w:left w:w="12" w:type="dxa"/>
                    <w:right w:w="12" w:type="dxa"/>
                  </w:tcMar>
                  <w:vAlign w:val="center"/>
                </w:tcPr>
                <w:p w14:paraId="66DF7A21">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相对厂址方位</w:t>
                  </w:r>
                </w:p>
              </w:tc>
              <w:tc>
                <w:tcPr>
                  <w:tcW w:w="561" w:type="pct"/>
                  <w:vMerge w:val="restart"/>
                  <w:tcBorders>
                    <w:tl2br w:val="nil"/>
                    <w:tr2bl w:val="nil"/>
                  </w:tcBorders>
                  <w:noWrap/>
                  <w:tcMar>
                    <w:top w:w="12" w:type="dxa"/>
                    <w:left w:w="12" w:type="dxa"/>
                    <w:right w:w="12" w:type="dxa"/>
                  </w:tcMar>
                  <w:vAlign w:val="center"/>
                </w:tcPr>
                <w:p w14:paraId="3684745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t>相对厂界距离</w:t>
                  </w:r>
                  <w:r>
                    <w:rPr>
                      <w:rFonts w:hint="eastAsia" w:cs="Times New Roman"/>
                      <w:b/>
                      <w:bCs w:val="0"/>
                      <w:color w:val="000000" w:themeColor="text1"/>
                      <w:kern w:val="0"/>
                      <w:sz w:val="21"/>
                      <w:szCs w:val="21"/>
                      <w:highlight w:val="none"/>
                      <w:lang w:val="en-US" w:eastAsia="zh-CN" w:bidi="ar"/>
                      <w14:textFill>
                        <w14:solidFill>
                          <w14:schemeClr w14:val="tx1"/>
                        </w14:solidFill>
                      </w14:textFill>
                    </w:rPr>
                    <w:t>/m</w:t>
                  </w:r>
                </w:p>
              </w:tc>
              <w:tc>
                <w:tcPr>
                  <w:tcW w:w="371" w:type="pct"/>
                  <w:vMerge w:val="restart"/>
                  <w:tcBorders>
                    <w:tl2br w:val="nil"/>
                    <w:tr2bl w:val="nil"/>
                  </w:tcBorders>
                  <w:noWrap/>
                  <w:tcMar>
                    <w:top w:w="12" w:type="dxa"/>
                    <w:left w:w="12" w:type="dxa"/>
                    <w:right w:w="12" w:type="dxa"/>
                  </w:tcMar>
                  <w:vAlign w:val="center"/>
                </w:tcPr>
                <w:p w14:paraId="520D3F38">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bCs w:val="0"/>
                      <w:color w:val="000000" w:themeColor="text1"/>
                      <w:kern w:val="0"/>
                      <w:sz w:val="21"/>
                      <w:szCs w:val="21"/>
                      <w:highlight w:val="none"/>
                      <w:lang w:bidi="ar"/>
                      <w14:textFill>
                        <w14:solidFill>
                          <w14:schemeClr w14:val="tx1"/>
                        </w14:solidFill>
                      </w14:textFill>
                    </w:rPr>
                    <w:t>人数/人</w:t>
                  </w:r>
                </w:p>
              </w:tc>
            </w:tr>
            <w:tr w14:paraId="007998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vMerge w:val="continue"/>
                  <w:tcBorders>
                    <w:tl2br w:val="nil"/>
                    <w:tr2bl w:val="nil"/>
                  </w:tcBorders>
                  <w:noWrap/>
                  <w:tcMar>
                    <w:top w:w="12" w:type="dxa"/>
                    <w:left w:w="12" w:type="dxa"/>
                    <w:right w:w="12" w:type="dxa"/>
                  </w:tcMar>
                  <w:vAlign w:val="center"/>
                </w:tcPr>
                <w:p w14:paraId="138699A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c>
                <w:tcPr>
                  <w:tcW w:w="1261" w:type="pct"/>
                  <w:vMerge w:val="continue"/>
                  <w:tcBorders>
                    <w:tl2br w:val="nil"/>
                    <w:tr2bl w:val="nil"/>
                  </w:tcBorders>
                  <w:noWrap/>
                  <w:tcMar>
                    <w:top w:w="12" w:type="dxa"/>
                    <w:left w:w="12" w:type="dxa"/>
                    <w:right w:w="12" w:type="dxa"/>
                  </w:tcMar>
                  <w:vAlign w:val="center"/>
                </w:tcPr>
                <w:p w14:paraId="58CCC61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c>
                <w:tcPr>
                  <w:tcW w:w="358" w:type="pct"/>
                  <w:tcBorders>
                    <w:tl2br w:val="nil"/>
                    <w:tr2bl w:val="nil"/>
                  </w:tcBorders>
                  <w:noWrap/>
                  <w:tcMar>
                    <w:top w:w="12" w:type="dxa"/>
                    <w:left w:w="12" w:type="dxa"/>
                    <w:right w:w="12" w:type="dxa"/>
                  </w:tcMar>
                  <w:vAlign w:val="center"/>
                </w:tcPr>
                <w:p w14:paraId="24C33BD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i/>
                      <w:color w:val="000000" w:themeColor="text1"/>
                      <w:kern w:val="0"/>
                      <w:sz w:val="21"/>
                      <w:szCs w:val="21"/>
                      <w:highlight w:val="none"/>
                      <w:lang w:bidi="ar"/>
                      <w14:textFill>
                        <w14:solidFill>
                          <w14:schemeClr w14:val="tx1"/>
                        </w14:solidFill>
                      </w14:textFill>
                    </w:rPr>
                    <w:t>X</w:t>
                  </w:r>
                </w:p>
              </w:tc>
              <w:tc>
                <w:tcPr>
                  <w:tcW w:w="358" w:type="pct"/>
                  <w:tcBorders>
                    <w:tl2br w:val="nil"/>
                    <w:tr2bl w:val="nil"/>
                  </w:tcBorders>
                  <w:noWrap/>
                  <w:tcMar>
                    <w:top w:w="12" w:type="dxa"/>
                    <w:left w:w="12" w:type="dxa"/>
                    <w:right w:w="12" w:type="dxa"/>
                  </w:tcMar>
                  <w:vAlign w:val="center"/>
                </w:tcPr>
                <w:p w14:paraId="50170335">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b/>
                      <w:i/>
                      <w:color w:val="000000" w:themeColor="text1"/>
                      <w:kern w:val="0"/>
                      <w:sz w:val="21"/>
                      <w:szCs w:val="21"/>
                      <w:highlight w:val="none"/>
                      <w:lang w:bidi="ar"/>
                      <w14:textFill>
                        <w14:solidFill>
                          <w14:schemeClr w14:val="tx1"/>
                        </w14:solidFill>
                      </w14:textFill>
                    </w:rPr>
                    <w:t>Y</w:t>
                  </w:r>
                </w:p>
              </w:tc>
              <w:tc>
                <w:tcPr>
                  <w:tcW w:w="483" w:type="pct"/>
                  <w:vMerge w:val="continue"/>
                  <w:tcBorders>
                    <w:tl2br w:val="nil"/>
                    <w:tr2bl w:val="nil"/>
                  </w:tcBorders>
                  <w:noWrap/>
                  <w:tcMar>
                    <w:top w:w="12" w:type="dxa"/>
                    <w:left w:w="12" w:type="dxa"/>
                    <w:right w:w="12" w:type="dxa"/>
                  </w:tcMar>
                  <w:vAlign w:val="center"/>
                </w:tcPr>
                <w:p w14:paraId="209C15A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88" w:type="pct"/>
                  <w:vMerge w:val="continue"/>
                  <w:tcBorders>
                    <w:tl2br w:val="nil"/>
                    <w:tr2bl w:val="nil"/>
                  </w:tcBorders>
                  <w:noWrap/>
                  <w:tcMar>
                    <w:top w:w="12" w:type="dxa"/>
                    <w:left w:w="12" w:type="dxa"/>
                    <w:right w:w="12" w:type="dxa"/>
                  </w:tcMar>
                  <w:vAlign w:val="center"/>
                </w:tcPr>
                <w:p w14:paraId="6E24276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449" w:type="pct"/>
                  <w:vMerge w:val="continue"/>
                  <w:tcBorders>
                    <w:tl2br w:val="nil"/>
                    <w:tr2bl w:val="nil"/>
                  </w:tcBorders>
                  <w:noWrap/>
                  <w:tcMar>
                    <w:top w:w="12" w:type="dxa"/>
                    <w:left w:w="12" w:type="dxa"/>
                    <w:right w:w="12" w:type="dxa"/>
                  </w:tcMar>
                  <w:vAlign w:val="center"/>
                </w:tcPr>
                <w:p w14:paraId="126E633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c>
                <w:tcPr>
                  <w:tcW w:w="440" w:type="pct"/>
                  <w:vMerge w:val="continue"/>
                  <w:tcBorders>
                    <w:tl2br w:val="nil"/>
                    <w:tr2bl w:val="nil"/>
                  </w:tcBorders>
                  <w:noWrap/>
                  <w:tcMar>
                    <w:top w:w="12" w:type="dxa"/>
                    <w:left w:w="12" w:type="dxa"/>
                    <w:right w:w="12" w:type="dxa"/>
                  </w:tcMar>
                  <w:vAlign w:val="center"/>
                </w:tcPr>
                <w:p w14:paraId="17B56FB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561" w:type="pct"/>
                  <w:vMerge w:val="continue"/>
                  <w:tcBorders>
                    <w:tl2br w:val="nil"/>
                    <w:tr2bl w:val="nil"/>
                  </w:tcBorders>
                  <w:noWrap/>
                  <w:tcMar>
                    <w:top w:w="12" w:type="dxa"/>
                    <w:left w:w="12" w:type="dxa"/>
                    <w:right w:w="12" w:type="dxa"/>
                  </w:tcMar>
                  <w:vAlign w:val="center"/>
                </w:tcPr>
                <w:p w14:paraId="3ACBF19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371" w:type="pct"/>
                  <w:vMerge w:val="continue"/>
                  <w:tcBorders>
                    <w:tl2br w:val="nil"/>
                    <w:tr2bl w:val="nil"/>
                  </w:tcBorders>
                  <w:noWrap/>
                  <w:tcMar>
                    <w:top w:w="12" w:type="dxa"/>
                    <w:left w:w="12" w:type="dxa"/>
                    <w:right w:w="12" w:type="dxa"/>
                  </w:tcMar>
                  <w:vAlign w:val="center"/>
                </w:tcPr>
                <w:p w14:paraId="714F232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p>
              </w:tc>
            </w:tr>
            <w:tr w14:paraId="14C6F7F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3429E9A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c>
                <w:tcPr>
                  <w:tcW w:w="1261" w:type="pct"/>
                  <w:tcBorders>
                    <w:tl2br w:val="nil"/>
                    <w:tr2bl w:val="nil"/>
                  </w:tcBorders>
                  <w:noWrap/>
                  <w:tcMar>
                    <w:top w:w="12" w:type="dxa"/>
                    <w:left w:w="12" w:type="dxa"/>
                    <w:right w:w="12" w:type="dxa"/>
                  </w:tcMar>
                  <w:vAlign w:val="center"/>
                </w:tcPr>
                <w:p w14:paraId="532BA8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乐平中等专业学校</w:t>
                  </w:r>
                </w:p>
              </w:tc>
              <w:tc>
                <w:tcPr>
                  <w:tcW w:w="358" w:type="pct"/>
                  <w:tcBorders>
                    <w:tl2br w:val="nil"/>
                    <w:tr2bl w:val="nil"/>
                  </w:tcBorders>
                  <w:noWrap/>
                  <w:tcMar>
                    <w:top w:w="12" w:type="dxa"/>
                    <w:left w:w="12" w:type="dxa"/>
                    <w:right w:w="12" w:type="dxa"/>
                  </w:tcMar>
                  <w:vAlign w:val="center"/>
                </w:tcPr>
                <w:p w14:paraId="1E52E7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2451</w:t>
                  </w:r>
                </w:p>
              </w:tc>
              <w:tc>
                <w:tcPr>
                  <w:tcW w:w="358" w:type="pct"/>
                  <w:tcBorders>
                    <w:tl2br w:val="nil"/>
                    <w:tr2bl w:val="nil"/>
                  </w:tcBorders>
                  <w:noWrap/>
                  <w:tcMar>
                    <w:top w:w="12" w:type="dxa"/>
                    <w:left w:w="12" w:type="dxa"/>
                    <w:right w:w="12" w:type="dxa"/>
                  </w:tcMar>
                  <w:vAlign w:val="center"/>
                </w:tcPr>
                <w:p w14:paraId="357651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369</w:t>
                  </w:r>
                </w:p>
              </w:tc>
              <w:tc>
                <w:tcPr>
                  <w:tcW w:w="483" w:type="pct"/>
                  <w:tcBorders>
                    <w:tl2br w:val="nil"/>
                    <w:tr2bl w:val="nil"/>
                  </w:tcBorders>
                  <w:noWrap/>
                  <w:tcMar>
                    <w:top w:w="12" w:type="dxa"/>
                    <w:left w:w="12" w:type="dxa"/>
                    <w:right w:w="12" w:type="dxa"/>
                  </w:tcMar>
                  <w:vAlign w:val="center"/>
                </w:tcPr>
                <w:p w14:paraId="4BF81A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学校</w:t>
                  </w:r>
                </w:p>
              </w:tc>
              <w:tc>
                <w:tcPr>
                  <w:tcW w:w="388" w:type="pct"/>
                  <w:tcBorders>
                    <w:tl2br w:val="nil"/>
                    <w:tr2bl w:val="nil"/>
                  </w:tcBorders>
                  <w:noWrap/>
                  <w:tcMar>
                    <w:top w:w="12" w:type="dxa"/>
                    <w:left w:w="12" w:type="dxa"/>
                    <w:right w:w="12" w:type="dxa"/>
                  </w:tcMar>
                  <w:vAlign w:val="center"/>
                </w:tcPr>
                <w:p w14:paraId="0C4A50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师生</w:t>
                  </w:r>
                </w:p>
              </w:tc>
              <w:tc>
                <w:tcPr>
                  <w:tcW w:w="449" w:type="pct"/>
                  <w:tcBorders>
                    <w:tl2br w:val="nil"/>
                    <w:tr2bl w:val="nil"/>
                  </w:tcBorders>
                  <w:noWrap/>
                  <w:tcMar>
                    <w:top w:w="12" w:type="dxa"/>
                    <w:left w:w="12" w:type="dxa"/>
                    <w:right w:w="12" w:type="dxa"/>
                  </w:tcMar>
                  <w:vAlign w:val="center"/>
                </w:tcPr>
                <w:p w14:paraId="22A2307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81309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w:t>
                  </w:r>
                </w:p>
              </w:tc>
              <w:tc>
                <w:tcPr>
                  <w:tcW w:w="561" w:type="pct"/>
                  <w:tcBorders>
                    <w:tl2br w:val="nil"/>
                    <w:tr2bl w:val="nil"/>
                  </w:tcBorders>
                  <w:noWrap/>
                  <w:tcMar>
                    <w:top w:w="12" w:type="dxa"/>
                    <w:left w:w="12" w:type="dxa"/>
                    <w:right w:w="12" w:type="dxa"/>
                  </w:tcMar>
                  <w:vAlign w:val="center"/>
                </w:tcPr>
                <w:p w14:paraId="2F8F6D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2240</w:t>
                  </w:r>
                </w:p>
              </w:tc>
              <w:tc>
                <w:tcPr>
                  <w:tcW w:w="371" w:type="pct"/>
                  <w:tcBorders>
                    <w:tl2br w:val="nil"/>
                    <w:tr2bl w:val="nil"/>
                  </w:tcBorders>
                  <w:noWrap/>
                  <w:tcMar>
                    <w:top w:w="12" w:type="dxa"/>
                    <w:left w:w="12" w:type="dxa"/>
                    <w:right w:w="12" w:type="dxa"/>
                  </w:tcMar>
                  <w:vAlign w:val="center"/>
                </w:tcPr>
                <w:p w14:paraId="064A76FD">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4580</w:t>
                  </w:r>
                </w:p>
              </w:tc>
            </w:tr>
            <w:tr w14:paraId="6DA37B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106C83B2">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1261" w:type="pct"/>
                  <w:tcBorders>
                    <w:tl2br w:val="nil"/>
                    <w:tr2bl w:val="nil"/>
                  </w:tcBorders>
                  <w:noWrap/>
                  <w:tcMar>
                    <w:top w:w="12" w:type="dxa"/>
                    <w:left w:w="12" w:type="dxa"/>
                    <w:right w:w="12" w:type="dxa"/>
                  </w:tcMar>
                  <w:vAlign w:val="center"/>
                </w:tcPr>
                <w:p w14:paraId="035A27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明成实验小学</w:t>
                  </w:r>
                </w:p>
              </w:tc>
              <w:tc>
                <w:tcPr>
                  <w:tcW w:w="358" w:type="pct"/>
                  <w:tcBorders>
                    <w:tl2br w:val="nil"/>
                    <w:tr2bl w:val="nil"/>
                  </w:tcBorders>
                  <w:noWrap/>
                  <w:tcMar>
                    <w:top w:w="12" w:type="dxa"/>
                    <w:left w:w="12" w:type="dxa"/>
                    <w:right w:w="12" w:type="dxa"/>
                  </w:tcMar>
                  <w:vAlign w:val="center"/>
                </w:tcPr>
                <w:p w14:paraId="479B1F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675</w:t>
                  </w:r>
                </w:p>
              </w:tc>
              <w:tc>
                <w:tcPr>
                  <w:tcW w:w="358" w:type="pct"/>
                  <w:tcBorders>
                    <w:tl2br w:val="nil"/>
                    <w:tr2bl w:val="nil"/>
                  </w:tcBorders>
                  <w:noWrap/>
                  <w:tcMar>
                    <w:top w:w="12" w:type="dxa"/>
                    <w:left w:w="12" w:type="dxa"/>
                    <w:right w:w="12" w:type="dxa"/>
                  </w:tcMar>
                  <w:vAlign w:val="center"/>
                </w:tcPr>
                <w:p w14:paraId="6F4D57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-1432</w:t>
                  </w:r>
                </w:p>
              </w:tc>
              <w:tc>
                <w:tcPr>
                  <w:tcW w:w="483" w:type="pct"/>
                  <w:tcBorders>
                    <w:tl2br w:val="nil"/>
                    <w:tr2bl w:val="nil"/>
                  </w:tcBorders>
                  <w:noWrap/>
                  <w:tcMar>
                    <w:top w:w="12" w:type="dxa"/>
                    <w:left w:w="12" w:type="dxa"/>
                    <w:right w:w="12" w:type="dxa"/>
                  </w:tcMar>
                  <w:vAlign w:val="center"/>
                </w:tcPr>
                <w:p w14:paraId="48ACE6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学校</w:t>
                  </w:r>
                </w:p>
              </w:tc>
              <w:tc>
                <w:tcPr>
                  <w:tcW w:w="388" w:type="pct"/>
                  <w:tcBorders>
                    <w:tl2br w:val="nil"/>
                    <w:tr2bl w:val="nil"/>
                  </w:tcBorders>
                  <w:noWrap/>
                  <w:tcMar>
                    <w:top w:w="12" w:type="dxa"/>
                    <w:left w:w="12" w:type="dxa"/>
                    <w:right w:w="12" w:type="dxa"/>
                  </w:tcMar>
                  <w:vAlign w:val="center"/>
                </w:tcPr>
                <w:p w14:paraId="245826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师生</w:t>
                  </w:r>
                </w:p>
              </w:tc>
              <w:tc>
                <w:tcPr>
                  <w:tcW w:w="449" w:type="pct"/>
                  <w:tcBorders>
                    <w:tl2br w:val="nil"/>
                    <w:tr2bl w:val="nil"/>
                  </w:tcBorders>
                  <w:noWrap/>
                  <w:tcMar>
                    <w:top w:w="12" w:type="dxa"/>
                    <w:left w:w="12" w:type="dxa"/>
                    <w:right w:w="12" w:type="dxa"/>
                  </w:tcMar>
                  <w:vAlign w:val="center"/>
                </w:tcPr>
                <w:p w14:paraId="6DF1050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72371C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东</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3B4F4A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1656</w:t>
                  </w:r>
                </w:p>
              </w:tc>
              <w:tc>
                <w:tcPr>
                  <w:tcW w:w="371" w:type="pct"/>
                  <w:tcBorders>
                    <w:tl2br w:val="nil"/>
                    <w:tr2bl w:val="nil"/>
                  </w:tcBorders>
                  <w:noWrap/>
                  <w:tcMar>
                    <w:top w:w="12" w:type="dxa"/>
                    <w:left w:w="12" w:type="dxa"/>
                    <w:right w:w="12" w:type="dxa"/>
                  </w:tcMar>
                  <w:vAlign w:val="center"/>
                </w:tcPr>
                <w:p w14:paraId="400D40B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5</w:t>
                  </w: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w:t>
                  </w:r>
                </w:p>
              </w:tc>
            </w:tr>
            <w:tr w14:paraId="2B202A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509B785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w:t>
                  </w:r>
                </w:p>
              </w:tc>
              <w:tc>
                <w:tcPr>
                  <w:tcW w:w="1261" w:type="pct"/>
                  <w:tcBorders>
                    <w:tl2br w:val="nil"/>
                    <w:tr2bl w:val="nil"/>
                  </w:tcBorders>
                  <w:noWrap/>
                  <w:tcMar>
                    <w:top w:w="12" w:type="dxa"/>
                    <w:left w:w="12" w:type="dxa"/>
                    <w:right w:w="12" w:type="dxa"/>
                  </w:tcMar>
                  <w:vAlign w:val="center"/>
                </w:tcPr>
                <w:p w14:paraId="79FF17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岿头小学</w:t>
                  </w:r>
                </w:p>
              </w:tc>
              <w:tc>
                <w:tcPr>
                  <w:tcW w:w="358" w:type="pct"/>
                  <w:tcBorders>
                    <w:tl2br w:val="nil"/>
                    <w:tr2bl w:val="nil"/>
                  </w:tcBorders>
                  <w:noWrap/>
                  <w:tcMar>
                    <w:top w:w="12" w:type="dxa"/>
                    <w:left w:w="12" w:type="dxa"/>
                    <w:right w:w="12" w:type="dxa"/>
                  </w:tcMar>
                  <w:vAlign w:val="center"/>
                </w:tcPr>
                <w:p w14:paraId="72DED8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2438</w:t>
                  </w:r>
                </w:p>
              </w:tc>
              <w:tc>
                <w:tcPr>
                  <w:tcW w:w="358" w:type="pct"/>
                  <w:tcBorders>
                    <w:tl2br w:val="nil"/>
                    <w:tr2bl w:val="nil"/>
                  </w:tcBorders>
                  <w:noWrap/>
                  <w:tcMar>
                    <w:top w:w="12" w:type="dxa"/>
                    <w:left w:w="12" w:type="dxa"/>
                    <w:right w:w="12" w:type="dxa"/>
                  </w:tcMar>
                  <w:vAlign w:val="center"/>
                </w:tcPr>
                <w:p w14:paraId="5D73A6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-2228</w:t>
                  </w:r>
                </w:p>
              </w:tc>
              <w:tc>
                <w:tcPr>
                  <w:tcW w:w="483" w:type="pct"/>
                  <w:tcBorders>
                    <w:tl2br w:val="nil"/>
                    <w:tr2bl w:val="nil"/>
                  </w:tcBorders>
                  <w:noWrap/>
                  <w:tcMar>
                    <w:top w:w="12" w:type="dxa"/>
                    <w:left w:w="12" w:type="dxa"/>
                    <w:right w:w="12" w:type="dxa"/>
                  </w:tcMar>
                  <w:vAlign w:val="center"/>
                </w:tcPr>
                <w:p w14:paraId="1AD78C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学校</w:t>
                  </w:r>
                </w:p>
              </w:tc>
              <w:tc>
                <w:tcPr>
                  <w:tcW w:w="388" w:type="pct"/>
                  <w:tcBorders>
                    <w:tl2br w:val="nil"/>
                    <w:tr2bl w:val="nil"/>
                  </w:tcBorders>
                  <w:noWrap/>
                  <w:tcMar>
                    <w:top w:w="12" w:type="dxa"/>
                    <w:left w:w="12" w:type="dxa"/>
                    <w:right w:w="12" w:type="dxa"/>
                  </w:tcMar>
                  <w:vAlign w:val="center"/>
                </w:tcPr>
                <w:p w14:paraId="2B5DE3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师生</w:t>
                  </w:r>
                </w:p>
              </w:tc>
              <w:tc>
                <w:tcPr>
                  <w:tcW w:w="449" w:type="pct"/>
                  <w:tcBorders>
                    <w:tl2br w:val="nil"/>
                    <w:tr2bl w:val="nil"/>
                  </w:tcBorders>
                  <w:noWrap/>
                  <w:tcMar>
                    <w:top w:w="12" w:type="dxa"/>
                    <w:left w:w="12" w:type="dxa"/>
                    <w:right w:w="12" w:type="dxa"/>
                  </w:tcMar>
                  <w:vAlign w:val="center"/>
                </w:tcPr>
                <w:p w14:paraId="4350A9B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8526E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东南</w:t>
                  </w:r>
                </w:p>
              </w:tc>
              <w:tc>
                <w:tcPr>
                  <w:tcW w:w="561" w:type="pct"/>
                  <w:tcBorders>
                    <w:tl2br w:val="nil"/>
                    <w:tr2bl w:val="nil"/>
                  </w:tcBorders>
                  <w:noWrap/>
                  <w:tcMar>
                    <w:top w:w="12" w:type="dxa"/>
                    <w:left w:w="12" w:type="dxa"/>
                    <w:right w:w="12" w:type="dxa"/>
                  </w:tcMar>
                  <w:vAlign w:val="center"/>
                </w:tcPr>
                <w:p w14:paraId="52ADDF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3291</w:t>
                  </w:r>
                </w:p>
              </w:tc>
              <w:tc>
                <w:tcPr>
                  <w:tcW w:w="371" w:type="pct"/>
                  <w:tcBorders>
                    <w:tl2br w:val="nil"/>
                    <w:tr2bl w:val="nil"/>
                  </w:tcBorders>
                  <w:noWrap/>
                  <w:tcMar>
                    <w:top w:w="12" w:type="dxa"/>
                    <w:left w:w="12" w:type="dxa"/>
                    <w:right w:w="12" w:type="dxa"/>
                  </w:tcMar>
                  <w:vAlign w:val="center"/>
                </w:tcPr>
                <w:p w14:paraId="5317DE4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200</w:t>
                  </w:r>
                </w:p>
              </w:tc>
            </w:tr>
            <w:tr w14:paraId="04D3F08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48C8A28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w:t>
                  </w:r>
                </w:p>
              </w:tc>
              <w:tc>
                <w:tcPr>
                  <w:tcW w:w="1261" w:type="pct"/>
                  <w:tcBorders>
                    <w:tl2br w:val="nil"/>
                    <w:tr2bl w:val="nil"/>
                  </w:tcBorders>
                  <w:noWrap/>
                  <w:tcMar>
                    <w:top w:w="12" w:type="dxa"/>
                    <w:left w:w="12" w:type="dxa"/>
                    <w:right w:w="12" w:type="dxa"/>
                  </w:tcMar>
                  <w:vAlign w:val="center"/>
                </w:tcPr>
                <w:p w14:paraId="0827EA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乐平市第十中学</w:t>
                  </w:r>
                </w:p>
              </w:tc>
              <w:tc>
                <w:tcPr>
                  <w:tcW w:w="358" w:type="pct"/>
                  <w:tcBorders>
                    <w:tl2br w:val="nil"/>
                    <w:tr2bl w:val="nil"/>
                  </w:tcBorders>
                  <w:noWrap/>
                  <w:tcMar>
                    <w:top w:w="12" w:type="dxa"/>
                    <w:left w:w="12" w:type="dxa"/>
                    <w:right w:w="12" w:type="dxa"/>
                  </w:tcMar>
                  <w:vAlign w:val="center"/>
                </w:tcPr>
                <w:p w14:paraId="54AC7D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-2186</w:t>
                  </w:r>
                </w:p>
              </w:tc>
              <w:tc>
                <w:tcPr>
                  <w:tcW w:w="358" w:type="pct"/>
                  <w:tcBorders>
                    <w:tl2br w:val="nil"/>
                    <w:tr2bl w:val="nil"/>
                  </w:tcBorders>
                  <w:noWrap/>
                  <w:tcMar>
                    <w:top w:w="12" w:type="dxa"/>
                    <w:left w:w="12" w:type="dxa"/>
                    <w:right w:w="12" w:type="dxa"/>
                  </w:tcMar>
                  <w:vAlign w:val="center"/>
                </w:tcPr>
                <w:p w14:paraId="22B97C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-900</w:t>
                  </w:r>
                </w:p>
              </w:tc>
              <w:tc>
                <w:tcPr>
                  <w:tcW w:w="483" w:type="pct"/>
                  <w:tcBorders>
                    <w:tl2br w:val="nil"/>
                    <w:tr2bl w:val="nil"/>
                  </w:tcBorders>
                  <w:noWrap/>
                  <w:tcMar>
                    <w:top w:w="12" w:type="dxa"/>
                    <w:left w:w="12" w:type="dxa"/>
                    <w:right w:w="12" w:type="dxa"/>
                  </w:tcMar>
                  <w:vAlign w:val="center"/>
                </w:tcPr>
                <w:p w14:paraId="124D6E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学校</w:t>
                  </w:r>
                </w:p>
              </w:tc>
              <w:tc>
                <w:tcPr>
                  <w:tcW w:w="388" w:type="pct"/>
                  <w:tcBorders>
                    <w:tl2br w:val="nil"/>
                    <w:tr2bl w:val="nil"/>
                  </w:tcBorders>
                  <w:noWrap/>
                  <w:tcMar>
                    <w:top w:w="12" w:type="dxa"/>
                    <w:left w:w="12" w:type="dxa"/>
                    <w:right w:w="12" w:type="dxa"/>
                  </w:tcMar>
                  <w:vAlign w:val="center"/>
                </w:tcPr>
                <w:p w14:paraId="581DE4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师生</w:t>
                  </w:r>
                </w:p>
              </w:tc>
              <w:tc>
                <w:tcPr>
                  <w:tcW w:w="449" w:type="pct"/>
                  <w:tcBorders>
                    <w:tl2br w:val="nil"/>
                    <w:tr2bl w:val="nil"/>
                  </w:tcBorders>
                  <w:noWrap/>
                  <w:tcMar>
                    <w:top w:w="12" w:type="dxa"/>
                    <w:left w:w="12" w:type="dxa"/>
                    <w:right w:w="12" w:type="dxa"/>
                  </w:tcMar>
                  <w:vAlign w:val="center"/>
                </w:tcPr>
                <w:p w14:paraId="7D9AC14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78759E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29A50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2190</w:t>
                  </w:r>
                </w:p>
              </w:tc>
              <w:tc>
                <w:tcPr>
                  <w:tcW w:w="371" w:type="pct"/>
                  <w:tcBorders>
                    <w:tl2br w:val="nil"/>
                    <w:tr2bl w:val="nil"/>
                  </w:tcBorders>
                  <w:noWrap/>
                  <w:tcMar>
                    <w:top w:w="12" w:type="dxa"/>
                    <w:left w:w="12" w:type="dxa"/>
                    <w:right w:w="12" w:type="dxa"/>
                  </w:tcMar>
                  <w:vAlign w:val="center"/>
                </w:tcPr>
                <w:p w14:paraId="6D4CBAC8">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3250</w:t>
                  </w:r>
                </w:p>
              </w:tc>
            </w:tr>
            <w:tr w14:paraId="616520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365E11D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w:t>
                  </w:r>
                </w:p>
              </w:tc>
              <w:tc>
                <w:tcPr>
                  <w:tcW w:w="1261" w:type="pct"/>
                  <w:tcBorders>
                    <w:tl2br w:val="nil"/>
                    <w:tr2bl w:val="nil"/>
                  </w:tcBorders>
                  <w:noWrap/>
                  <w:tcMar>
                    <w:top w:w="12" w:type="dxa"/>
                    <w:left w:w="12" w:type="dxa"/>
                    <w:right w:w="12" w:type="dxa"/>
                  </w:tcMar>
                  <w:vAlign w:val="center"/>
                </w:tcPr>
                <w:p w14:paraId="766961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庙顶村汪正忠卫生室</w:t>
                  </w:r>
                </w:p>
              </w:tc>
              <w:tc>
                <w:tcPr>
                  <w:tcW w:w="358" w:type="pct"/>
                  <w:tcBorders>
                    <w:tl2br w:val="nil"/>
                    <w:tr2bl w:val="nil"/>
                  </w:tcBorders>
                  <w:noWrap/>
                  <w:tcMar>
                    <w:top w:w="12" w:type="dxa"/>
                    <w:left w:w="12" w:type="dxa"/>
                    <w:right w:w="12" w:type="dxa"/>
                  </w:tcMar>
                  <w:vAlign w:val="center"/>
                </w:tcPr>
                <w:p w14:paraId="565F6C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-933</w:t>
                  </w:r>
                </w:p>
              </w:tc>
              <w:tc>
                <w:tcPr>
                  <w:tcW w:w="358" w:type="pct"/>
                  <w:tcBorders>
                    <w:tl2br w:val="nil"/>
                    <w:tr2bl w:val="nil"/>
                  </w:tcBorders>
                  <w:noWrap/>
                  <w:tcMar>
                    <w:top w:w="12" w:type="dxa"/>
                    <w:left w:w="12" w:type="dxa"/>
                    <w:right w:w="12" w:type="dxa"/>
                  </w:tcMar>
                  <w:vAlign w:val="center"/>
                </w:tcPr>
                <w:p w14:paraId="40E43B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-2142</w:t>
                  </w:r>
                </w:p>
              </w:tc>
              <w:tc>
                <w:tcPr>
                  <w:tcW w:w="483" w:type="pct"/>
                  <w:tcBorders>
                    <w:tl2br w:val="nil"/>
                    <w:tr2bl w:val="nil"/>
                  </w:tcBorders>
                  <w:noWrap/>
                  <w:tcMar>
                    <w:top w:w="12" w:type="dxa"/>
                    <w:left w:w="12" w:type="dxa"/>
                    <w:right w:w="12" w:type="dxa"/>
                  </w:tcMar>
                  <w:vAlign w:val="center"/>
                </w:tcPr>
                <w:p w14:paraId="760FB4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医院</w:t>
                  </w:r>
                </w:p>
              </w:tc>
              <w:tc>
                <w:tcPr>
                  <w:tcW w:w="388" w:type="pct"/>
                  <w:tcBorders>
                    <w:tl2br w:val="nil"/>
                    <w:tr2bl w:val="nil"/>
                  </w:tcBorders>
                  <w:noWrap/>
                  <w:tcMar>
                    <w:top w:w="12" w:type="dxa"/>
                    <w:left w:w="12" w:type="dxa"/>
                    <w:right w:w="12" w:type="dxa"/>
                  </w:tcMar>
                  <w:vAlign w:val="center"/>
                </w:tcPr>
                <w:p w14:paraId="1DA39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医患</w:t>
                  </w:r>
                </w:p>
              </w:tc>
              <w:tc>
                <w:tcPr>
                  <w:tcW w:w="449" w:type="pct"/>
                  <w:tcBorders>
                    <w:tl2br w:val="nil"/>
                    <w:tr2bl w:val="nil"/>
                  </w:tcBorders>
                  <w:noWrap/>
                  <w:tcMar>
                    <w:top w:w="12" w:type="dxa"/>
                    <w:left w:w="12" w:type="dxa"/>
                    <w:right w:w="12" w:type="dxa"/>
                  </w:tcMar>
                  <w:vAlign w:val="center"/>
                </w:tcPr>
                <w:p w14:paraId="27C5B9A9">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32E86A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6DD029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2522</w:t>
                  </w:r>
                </w:p>
              </w:tc>
              <w:tc>
                <w:tcPr>
                  <w:tcW w:w="371" w:type="pct"/>
                  <w:tcBorders>
                    <w:tl2br w:val="nil"/>
                    <w:tr2bl w:val="nil"/>
                  </w:tcBorders>
                  <w:noWrap/>
                  <w:tcMar>
                    <w:top w:w="12" w:type="dxa"/>
                    <w:left w:w="12" w:type="dxa"/>
                    <w:right w:w="12" w:type="dxa"/>
                  </w:tcMar>
                  <w:vAlign w:val="center"/>
                </w:tcPr>
                <w:p w14:paraId="2E36A026">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10</w:t>
                  </w:r>
                </w:p>
              </w:tc>
            </w:tr>
            <w:tr w14:paraId="195147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41423D9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6</w:t>
                  </w:r>
                </w:p>
              </w:tc>
              <w:tc>
                <w:tcPr>
                  <w:tcW w:w="1261" w:type="pct"/>
                  <w:tcBorders>
                    <w:tl2br w:val="nil"/>
                    <w:tr2bl w:val="nil"/>
                  </w:tcBorders>
                  <w:noWrap/>
                  <w:tcMar>
                    <w:top w:w="12" w:type="dxa"/>
                    <w:left w:w="12" w:type="dxa"/>
                    <w:right w:w="12" w:type="dxa"/>
                  </w:tcMar>
                  <w:vAlign w:val="center"/>
                </w:tcPr>
                <w:p w14:paraId="7517DC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凤凰御龙湾</w:t>
                  </w:r>
                </w:p>
              </w:tc>
              <w:tc>
                <w:tcPr>
                  <w:tcW w:w="358" w:type="pct"/>
                  <w:tcBorders>
                    <w:tl2br w:val="nil"/>
                    <w:tr2bl w:val="nil"/>
                  </w:tcBorders>
                  <w:noWrap/>
                  <w:tcMar>
                    <w:top w:w="12" w:type="dxa"/>
                    <w:left w:w="12" w:type="dxa"/>
                    <w:right w:w="12" w:type="dxa"/>
                  </w:tcMar>
                  <w:vAlign w:val="center"/>
                </w:tcPr>
                <w:p w14:paraId="06349A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-1548</w:t>
                  </w:r>
                </w:p>
              </w:tc>
              <w:tc>
                <w:tcPr>
                  <w:tcW w:w="358" w:type="pct"/>
                  <w:tcBorders>
                    <w:tl2br w:val="nil"/>
                    <w:tr2bl w:val="nil"/>
                  </w:tcBorders>
                  <w:noWrap/>
                  <w:tcMar>
                    <w:top w:w="12" w:type="dxa"/>
                    <w:left w:w="12" w:type="dxa"/>
                    <w:right w:w="12" w:type="dxa"/>
                  </w:tcMar>
                  <w:vAlign w:val="center"/>
                </w:tcPr>
                <w:p w14:paraId="3B9A8B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-990</w:t>
                  </w:r>
                </w:p>
              </w:tc>
              <w:tc>
                <w:tcPr>
                  <w:tcW w:w="483" w:type="pct"/>
                  <w:tcBorders>
                    <w:tl2br w:val="nil"/>
                    <w:tr2bl w:val="nil"/>
                  </w:tcBorders>
                  <w:noWrap/>
                  <w:tcMar>
                    <w:top w:w="12" w:type="dxa"/>
                    <w:left w:w="12" w:type="dxa"/>
                    <w:right w:w="12" w:type="dxa"/>
                  </w:tcMar>
                  <w:vAlign w:val="center"/>
                </w:tcPr>
                <w:p w14:paraId="145E03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居民区</w:t>
                  </w:r>
                </w:p>
              </w:tc>
              <w:tc>
                <w:tcPr>
                  <w:tcW w:w="388" w:type="pct"/>
                  <w:tcBorders>
                    <w:tl2br w:val="nil"/>
                    <w:tr2bl w:val="nil"/>
                  </w:tcBorders>
                  <w:noWrap/>
                  <w:tcMar>
                    <w:top w:w="12" w:type="dxa"/>
                    <w:left w:w="12" w:type="dxa"/>
                    <w:right w:w="12" w:type="dxa"/>
                  </w:tcMar>
                  <w:vAlign w:val="center"/>
                </w:tcPr>
                <w:p w14:paraId="5F5474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37DA1C7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39FD78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5D3FE7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1891</w:t>
                  </w:r>
                </w:p>
              </w:tc>
              <w:tc>
                <w:tcPr>
                  <w:tcW w:w="371" w:type="pct"/>
                  <w:tcBorders>
                    <w:tl2br w:val="nil"/>
                    <w:tr2bl w:val="nil"/>
                  </w:tcBorders>
                  <w:noWrap/>
                  <w:tcMar>
                    <w:top w:w="12" w:type="dxa"/>
                    <w:left w:w="12" w:type="dxa"/>
                    <w:right w:w="12" w:type="dxa"/>
                  </w:tcMar>
                  <w:vAlign w:val="center"/>
                </w:tcPr>
                <w:p w14:paraId="48CA26E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200</w:t>
                  </w:r>
                  <w:r>
                    <w:rPr>
                      <w:rFonts w:hint="eastAsia" w:cs="Times New Roman"/>
                      <w:color w:val="000000" w:themeColor="text1"/>
                      <w:kern w:val="0"/>
                      <w:sz w:val="21"/>
                      <w:szCs w:val="21"/>
                      <w:highlight w:val="none"/>
                      <w:lang w:val="en-US" w:eastAsia="zh-CN" w:bidi="ar"/>
                      <w14:textFill>
                        <w14:solidFill>
                          <w14:schemeClr w14:val="tx1"/>
                        </w14:solidFill>
                      </w14:textFill>
                    </w:rPr>
                    <w:t>0</w:t>
                  </w:r>
                </w:p>
              </w:tc>
            </w:tr>
            <w:tr w14:paraId="1CF22B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3961CF6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7</w:t>
                  </w:r>
                </w:p>
              </w:tc>
              <w:tc>
                <w:tcPr>
                  <w:tcW w:w="1261" w:type="pct"/>
                  <w:tcBorders>
                    <w:tl2br w:val="nil"/>
                    <w:tr2bl w:val="nil"/>
                  </w:tcBorders>
                  <w:noWrap/>
                  <w:tcMar>
                    <w:top w:w="12" w:type="dxa"/>
                    <w:left w:w="12" w:type="dxa"/>
                    <w:right w:w="12" w:type="dxa"/>
                  </w:tcMar>
                  <w:vAlign w:val="center"/>
                </w:tcPr>
                <w:p w14:paraId="5F9AE2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东投天骄府小区</w:t>
                  </w:r>
                </w:p>
              </w:tc>
              <w:tc>
                <w:tcPr>
                  <w:tcW w:w="358" w:type="pct"/>
                  <w:tcBorders>
                    <w:tl2br w:val="nil"/>
                    <w:tr2bl w:val="nil"/>
                  </w:tcBorders>
                  <w:noWrap/>
                  <w:tcMar>
                    <w:top w:w="12" w:type="dxa"/>
                    <w:left w:w="12" w:type="dxa"/>
                    <w:right w:w="12" w:type="dxa"/>
                  </w:tcMar>
                  <w:vAlign w:val="center"/>
                </w:tcPr>
                <w:p w14:paraId="597061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-2553</w:t>
                  </w:r>
                </w:p>
              </w:tc>
              <w:tc>
                <w:tcPr>
                  <w:tcW w:w="358" w:type="pct"/>
                  <w:tcBorders>
                    <w:tl2br w:val="nil"/>
                    <w:tr2bl w:val="nil"/>
                  </w:tcBorders>
                  <w:noWrap/>
                  <w:tcMar>
                    <w:top w:w="12" w:type="dxa"/>
                    <w:left w:w="12" w:type="dxa"/>
                    <w:right w:w="12" w:type="dxa"/>
                  </w:tcMar>
                  <w:vAlign w:val="center"/>
                </w:tcPr>
                <w:p w14:paraId="1E88B9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-1234</w:t>
                  </w:r>
                </w:p>
              </w:tc>
              <w:tc>
                <w:tcPr>
                  <w:tcW w:w="483" w:type="pct"/>
                  <w:tcBorders>
                    <w:tl2br w:val="nil"/>
                    <w:tr2bl w:val="nil"/>
                  </w:tcBorders>
                  <w:noWrap/>
                  <w:tcMar>
                    <w:top w:w="12" w:type="dxa"/>
                    <w:left w:w="12" w:type="dxa"/>
                    <w:right w:w="12" w:type="dxa"/>
                  </w:tcMar>
                  <w:vAlign w:val="center"/>
                </w:tcPr>
                <w:p w14:paraId="2474F8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居民区</w:t>
                  </w:r>
                </w:p>
              </w:tc>
              <w:tc>
                <w:tcPr>
                  <w:tcW w:w="388" w:type="pct"/>
                  <w:tcBorders>
                    <w:tl2br w:val="nil"/>
                    <w:tr2bl w:val="nil"/>
                  </w:tcBorders>
                  <w:noWrap/>
                  <w:tcMar>
                    <w:top w:w="12" w:type="dxa"/>
                    <w:left w:w="12" w:type="dxa"/>
                    <w:right w:w="12" w:type="dxa"/>
                  </w:tcMar>
                  <w:vAlign w:val="center"/>
                </w:tcPr>
                <w:p w14:paraId="031BB7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6321BC07">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52A193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930A3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2814</w:t>
                  </w:r>
                </w:p>
              </w:tc>
              <w:tc>
                <w:tcPr>
                  <w:tcW w:w="371" w:type="pct"/>
                  <w:tcBorders>
                    <w:tl2br w:val="nil"/>
                    <w:tr2bl w:val="nil"/>
                  </w:tcBorders>
                  <w:noWrap/>
                  <w:tcMar>
                    <w:top w:w="12" w:type="dxa"/>
                    <w:left w:w="12" w:type="dxa"/>
                    <w:right w:w="12" w:type="dxa"/>
                  </w:tcMar>
                  <w:vAlign w:val="center"/>
                </w:tcPr>
                <w:p w14:paraId="1E80DF5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600</w:t>
                  </w:r>
                </w:p>
              </w:tc>
            </w:tr>
            <w:tr w14:paraId="3AD4783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1927407D">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8</w:t>
                  </w:r>
                </w:p>
              </w:tc>
              <w:tc>
                <w:tcPr>
                  <w:tcW w:w="1261" w:type="pct"/>
                  <w:tcBorders>
                    <w:tl2br w:val="nil"/>
                    <w:tr2bl w:val="nil"/>
                  </w:tcBorders>
                  <w:noWrap/>
                  <w:tcMar>
                    <w:top w:w="12" w:type="dxa"/>
                    <w:left w:w="12" w:type="dxa"/>
                    <w:right w:w="12" w:type="dxa"/>
                  </w:tcMar>
                  <w:vAlign w:val="center"/>
                </w:tcPr>
                <w:p w14:paraId="676C83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叶家坞</w:t>
                  </w:r>
                </w:p>
              </w:tc>
              <w:tc>
                <w:tcPr>
                  <w:tcW w:w="358" w:type="pct"/>
                  <w:tcBorders>
                    <w:tl2br w:val="nil"/>
                    <w:tr2bl w:val="nil"/>
                  </w:tcBorders>
                  <w:noWrap/>
                  <w:tcMar>
                    <w:top w:w="12" w:type="dxa"/>
                    <w:left w:w="12" w:type="dxa"/>
                    <w:right w:w="12" w:type="dxa"/>
                  </w:tcMar>
                  <w:vAlign w:val="center"/>
                </w:tcPr>
                <w:p w14:paraId="45DF69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-1463</w:t>
                  </w:r>
                </w:p>
              </w:tc>
              <w:tc>
                <w:tcPr>
                  <w:tcW w:w="358" w:type="pct"/>
                  <w:tcBorders>
                    <w:tl2br w:val="nil"/>
                    <w:tr2bl w:val="nil"/>
                  </w:tcBorders>
                  <w:noWrap/>
                  <w:tcMar>
                    <w:top w:w="12" w:type="dxa"/>
                    <w:left w:w="12" w:type="dxa"/>
                    <w:right w:w="12" w:type="dxa"/>
                  </w:tcMar>
                  <w:vAlign w:val="center"/>
                </w:tcPr>
                <w:p w14:paraId="3A9137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-2109</w:t>
                  </w:r>
                </w:p>
              </w:tc>
              <w:tc>
                <w:tcPr>
                  <w:tcW w:w="483" w:type="pct"/>
                  <w:tcBorders>
                    <w:tl2br w:val="nil"/>
                    <w:tr2bl w:val="nil"/>
                  </w:tcBorders>
                  <w:noWrap/>
                  <w:tcMar>
                    <w:top w:w="12" w:type="dxa"/>
                    <w:left w:w="12" w:type="dxa"/>
                    <w:right w:w="12" w:type="dxa"/>
                  </w:tcMar>
                  <w:vAlign w:val="center"/>
                </w:tcPr>
                <w:p w14:paraId="7854C0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29B45A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DF3E86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F7ACA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E79C1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2728</w:t>
                  </w:r>
                </w:p>
              </w:tc>
              <w:tc>
                <w:tcPr>
                  <w:tcW w:w="371" w:type="pct"/>
                  <w:tcBorders>
                    <w:tl2br w:val="nil"/>
                    <w:tr2bl w:val="nil"/>
                  </w:tcBorders>
                  <w:noWrap/>
                  <w:tcMar>
                    <w:top w:w="12" w:type="dxa"/>
                    <w:left w:w="12" w:type="dxa"/>
                    <w:right w:w="12" w:type="dxa"/>
                  </w:tcMar>
                  <w:vAlign w:val="center"/>
                </w:tcPr>
                <w:p w14:paraId="508DCC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400</w:t>
                  </w:r>
                </w:p>
              </w:tc>
            </w:tr>
            <w:tr w14:paraId="7210A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2D0172D7">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w:t>
                  </w:r>
                </w:p>
              </w:tc>
              <w:tc>
                <w:tcPr>
                  <w:tcW w:w="1261" w:type="pct"/>
                  <w:tcBorders>
                    <w:tl2br w:val="nil"/>
                    <w:tr2bl w:val="nil"/>
                  </w:tcBorders>
                  <w:noWrap/>
                  <w:tcMar>
                    <w:top w:w="12" w:type="dxa"/>
                    <w:left w:w="12" w:type="dxa"/>
                    <w:right w:w="12" w:type="dxa"/>
                  </w:tcMar>
                  <w:vAlign w:val="center"/>
                </w:tcPr>
                <w:p w14:paraId="6FAE16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唐家畈村</w:t>
                  </w:r>
                </w:p>
              </w:tc>
              <w:tc>
                <w:tcPr>
                  <w:tcW w:w="358" w:type="pct"/>
                  <w:tcBorders>
                    <w:tl2br w:val="nil"/>
                    <w:tr2bl w:val="nil"/>
                  </w:tcBorders>
                  <w:noWrap/>
                  <w:tcMar>
                    <w:top w:w="12" w:type="dxa"/>
                    <w:left w:w="12" w:type="dxa"/>
                    <w:right w:w="12" w:type="dxa"/>
                  </w:tcMar>
                  <w:vAlign w:val="center"/>
                </w:tcPr>
                <w:p w14:paraId="13B88B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-1929</w:t>
                  </w:r>
                </w:p>
              </w:tc>
              <w:tc>
                <w:tcPr>
                  <w:tcW w:w="358" w:type="pct"/>
                  <w:tcBorders>
                    <w:tl2br w:val="nil"/>
                    <w:tr2bl w:val="nil"/>
                  </w:tcBorders>
                  <w:noWrap/>
                  <w:tcMar>
                    <w:top w:w="12" w:type="dxa"/>
                    <w:left w:w="12" w:type="dxa"/>
                    <w:right w:w="12" w:type="dxa"/>
                  </w:tcMar>
                  <w:vAlign w:val="center"/>
                </w:tcPr>
                <w:p w14:paraId="2FA69F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-1922</w:t>
                  </w:r>
                </w:p>
              </w:tc>
              <w:tc>
                <w:tcPr>
                  <w:tcW w:w="483" w:type="pct"/>
                  <w:tcBorders>
                    <w:tl2br w:val="nil"/>
                    <w:tr2bl w:val="nil"/>
                  </w:tcBorders>
                  <w:noWrap/>
                  <w:tcMar>
                    <w:top w:w="12" w:type="dxa"/>
                    <w:left w:w="12" w:type="dxa"/>
                    <w:right w:w="12" w:type="dxa"/>
                  </w:tcMar>
                  <w:vAlign w:val="center"/>
                </w:tcPr>
                <w:p w14:paraId="30B3EC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DFBDC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1C5DF6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0DF9C7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919C9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2804</w:t>
                  </w:r>
                </w:p>
              </w:tc>
              <w:tc>
                <w:tcPr>
                  <w:tcW w:w="371" w:type="pct"/>
                  <w:tcBorders>
                    <w:tl2br w:val="nil"/>
                    <w:tr2bl w:val="nil"/>
                  </w:tcBorders>
                  <w:noWrap/>
                  <w:tcMar>
                    <w:top w:w="12" w:type="dxa"/>
                    <w:left w:w="12" w:type="dxa"/>
                    <w:right w:w="12" w:type="dxa"/>
                  </w:tcMar>
                  <w:vAlign w:val="center"/>
                </w:tcPr>
                <w:p w14:paraId="790C61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500</w:t>
                  </w:r>
                </w:p>
              </w:tc>
            </w:tr>
            <w:tr w14:paraId="6BE54C2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326" w:type="pct"/>
                  <w:tcBorders>
                    <w:tl2br w:val="nil"/>
                    <w:tr2bl w:val="nil"/>
                  </w:tcBorders>
                  <w:noWrap/>
                  <w:tcMar>
                    <w:top w:w="12" w:type="dxa"/>
                    <w:left w:w="12" w:type="dxa"/>
                    <w:right w:w="12" w:type="dxa"/>
                  </w:tcMar>
                  <w:vAlign w:val="center"/>
                </w:tcPr>
                <w:p w14:paraId="220B12D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w:t>
                  </w:r>
                </w:p>
              </w:tc>
              <w:tc>
                <w:tcPr>
                  <w:tcW w:w="1261" w:type="pct"/>
                  <w:tcBorders>
                    <w:tl2br w:val="nil"/>
                    <w:tr2bl w:val="nil"/>
                  </w:tcBorders>
                  <w:noWrap/>
                  <w:tcMar>
                    <w:top w:w="12" w:type="dxa"/>
                    <w:left w:w="12" w:type="dxa"/>
                    <w:right w:w="12" w:type="dxa"/>
                  </w:tcMar>
                  <w:vAlign w:val="center"/>
                </w:tcPr>
                <w:p w14:paraId="6019F5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岿头村</w:t>
                  </w:r>
                </w:p>
              </w:tc>
              <w:tc>
                <w:tcPr>
                  <w:tcW w:w="358" w:type="pct"/>
                  <w:tcBorders>
                    <w:tl2br w:val="nil"/>
                    <w:tr2bl w:val="nil"/>
                  </w:tcBorders>
                  <w:noWrap/>
                  <w:tcMar>
                    <w:top w:w="12" w:type="dxa"/>
                    <w:left w:w="12" w:type="dxa"/>
                    <w:right w:w="12" w:type="dxa"/>
                  </w:tcMar>
                  <w:vAlign w:val="center"/>
                </w:tcPr>
                <w:p w14:paraId="3F205C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2411</w:t>
                  </w:r>
                </w:p>
              </w:tc>
              <w:tc>
                <w:tcPr>
                  <w:tcW w:w="358" w:type="pct"/>
                  <w:tcBorders>
                    <w:tl2br w:val="nil"/>
                    <w:tr2bl w:val="nil"/>
                  </w:tcBorders>
                  <w:noWrap/>
                  <w:tcMar>
                    <w:top w:w="12" w:type="dxa"/>
                    <w:left w:w="12" w:type="dxa"/>
                    <w:right w:w="12" w:type="dxa"/>
                  </w:tcMar>
                  <w:vAlign w:val="center"/>
                </w:tcPr>
                <w:p w14:paraId="2B6E5E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-2157</w:t>
                  </w:r>
                </w:p>
              </w:tc>
              <w:tc>
                <w:tcPr>
                  <w:tcW w:w="483" w:type="pct"/>
                  <w:tcBorders>
                    <w:tl2br w:val="nil"/>
                    <w:tr2bl w:val="nil"/>
                  </w:tcBorders>
                  <w:noWrap/>
                  <w:tcMar>
                    <w:top w:w="12" w:type="dxa"/>
                    <w:left w:w="12" w:type="dxa"/>
                    <w:right w:w="12" w:type="dxa"/>
                  </w:tcMar>
                  <w:vAlign w:val="center"/>
                </w:tcPr>
                <w:p w14:paraId="34F931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7300D9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00C7297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11AD51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东南</w:t>
                  </w:r>
                </w:p>
              </w:tc>
              <w:tc>
                <w:tcPr>
                  <w:tcW w:w="561" w:type="pct"/>
                  <w:tcBorders>
                    <w:tl2br w:val="nil"/>
                    <w:tr2bl w:val="nil"/>
                  </w:tcBorders>
                  <w:noWrap/>
                  <w:tcMar>
                    <w:top w:w="12" w:type="dxa"/>
                    <w:left w:w="12" w:type="dxa"/>
                    <w:right w:w="12" w:type="dxa"/>
                  </w:tcMar>
                  <w:vAlign w:val="center"/>
                </w:tcPr>
                <w:p w14:paraId="412E98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3186</w:t>
                  </w:r>
                </w:p>
              </w:tc>
              <w:tc>
                <w:tcPr>
                  <w:tcW w:w="371" w:type="pct"/>
                  <w:tcBorders>
                    <w:tl2br w:val="nil"/>
                    <w:tr2bl w:val="nil"/>
                  </w:tcBorders>
                  <w:noWrap/>
                  <w:tcMar>
                    <w:top w:w="12" w:type="dxa"/>
                    <w:left w:w="12" w:type="dxa"/>
                    <w:right w:w="12" w:type="dxa"/>
                  </w:tcMar>
                  <w:vAlign w:val="center"/>
                </w:tcPr>
                <w:p w14:paraId="20E5105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110</w:t>
                  </w:r>
                </w:p>
              </w:tc>
            </w:tr>
            <w:tr w14:paraId="02E7330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467B2C2">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11</w:t>
                  </w:r>
                </w:p>
              </w:tc>
              <w:tc>
                <w:tcPr>
                  <w:tcW w:w="1261" w:type="pct"/>
                  <w:tcBorders>
                    <w:tl2br w:val="nil"/>
                    <w:tr2bl w:val="nil"/>
                  </w:tcBorders>
                  <w:noWrap/>
                  <w:tcMar>
                    <w:top w:w="12" w:type="dxa"/>
                    <w:left w:w="12" w:type="dxa"/>
                    <w:right w:w="12" w:type="dxa"/>
                  </w:tcMar>
                  <w:vAlign w:val="center"/>
                </w:tcPr>
                <w:p w14:paraId="3CE922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卢家</w:t>
                  </w:r>
                </w:p>
              </w:tc>
              <w:tc>
                <w:tcPr>
                  <w:tcW w:w="358" w:type="pct"/>
                  <w:tcBorders>
                    <w:tl2br w:val="nil"/>
                    <w:tr2bl w:val="nil"/>
                  </w:tcBorders>
                  <w:noWrap/>
                  <w:tcMar>
                    <w:top w:w="12" w:type="dxa"/>
                    <w:left w:w="12" w:type="dxa"/>
                    <w:right w:w="12" w:type="dxa"/>
                  </w:tcMar>
                  <w:vAlign w:val="center"/>
                </w:tcPr>
                <w:p w14:paraId="4938DF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966</w:t>
                  </w:r>
                </w:p>
              </w:tc>
              <w:tc>
                <w:tcPr>
                  <w:tcW w:w="358" w:type="pct"/>
                  <w:tcBorders>
                    <w:tl2br w:val="nil"/>
                    <w:tr2bl w:val="nil"/>
                  </w:tcBorders>
                  <w:noWrap/>
                  <w:tcMar>
                    <w:top w:w="12" w:type="dxa"/>
                    <w:left w:w="12" w:type="dxa"/>
                    <w:right w:w="12" w:type="dxa"/>
                  </w:tcMar>
                  <w:vAlign w:val="center"/>
                </w:tcPr>
                <w:p w14:paraId="7D7466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566</w:t>
                  </w:r>
                </w:p>
              </w:tc>
              <w:tc>
                <w:tcPr>
                  <w:tcW w:w="483" w:type="pct"/>
                  <w:tcBorders>
                    <w:tl2br w:val="nil"/>
                    <w:tr2bl w:val="nil"/>
                  </w:tcBorders>
                  <w:noWrap/>
                  <w:tcMar>
                    <w:top w:w="12" w:type="dxa"/>
                    <w:left w:w="12" w:type="dxa"/>
                    <w:right w:w="12" w:type="dxa"/>
                  </w:tcMar>
                  <w:vAlign w:val="center"/>
                </w:tcPr>
                <w:p w14:paraId="764797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0B2B0D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5D7EC27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AA52A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东北</w:t>
                  </w:r>
                </w:p>
              </w:tc>
              <w:tc>
                <w:tcPr>
                  <w:tcW w:w="561" w:type="pct"/>
                  <w:tcBorders>
                    <w:tl2br w:val="nil"/>
                    <w:tr2bl w:val="nil"/>
                  </w:tcBorders>
                  <w:noWrap/>
                  <w:tcMar>
                    <w:top w:w="12" w:type="dxa"/>
                    <w:left w:w="12" w:type="dxa"/>
                    <w:right w:w="12" w:type="dxa"/>
                  </w:tcMar>
                  <w:vAlign w:val="center"/>
                </w:tcPr>
                <w:p w14:paraId="1494BC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1019</w:t>
                  </w:r>
                </w:p>
              </w:tc>
              <w:tc>
                <w:tcPr>
                  <w:tcW w:w="371" w:type="pct"/>
                  <w:tcBorders>
                    <w:tl2br w:val="nil"/>
                    <w:tr2bl w:val="nil"/>
                  </w:tcBorders>
                  <w:noWrap/>
                  <w:tcMar>
                    <w:top w:w="12" w:type="dxa"/>
                    <w:left w:w="12" w:type="dxa"/>
                    <w:right w:w="12" w:type="dxa"/>
                  </w:tcMar>
                  <w:vAlign w:val="center"/>
                </w:tcPr>
                <w:p w14:paraId="189C72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1B1DDE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6F880605">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12</w:t>
                  </w:r>
                </w:p>
              </w:tc>
              <w:tc>
                <w:tcPr>
                  <w:tcW w:w="1261" w:type="pct"/>
                  <w:tcBorders>
                    <w:tl2br w:val="nil"/>
                    <w:tr2bl w:val="nil"/>
                  </w:tcBorders>
                  <w:noWrap/>
                  <w:tcMar>
                    <w:top w:w="12" w:type="dxa"/>
                    <w:left w:w="12" w:type="dxa"/>
                    <w:right w:w="12" w:type="dxa"/>
                  </w:tcMar>
                  <w:vAlign w:val="center"/>
                </w:tcPr>
                <w:p w14:paraId="52CE2A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史家</w:t>
                  </w:r>
                </w:p>
              </w:tc>
              <w:tc>
                <w:tcPr>
                  <w:tcW w:w="358" w:type="pct"/>
                  <w:tcBorders>
                    <w:tl2br w:val="nil"/>
                    <w:tr2bl w:val="nil"/>
                  </w:tcBorders>
                  <w:noWrap/>
                  <w:tcMar>
                    <w:top w:w="12" w:type="dxa"/>
                    <w:left w:w="12" w:type="dxa"/>
                    <w:right w:w="12" w:type="dxa"/>
                  </w:tcMar>
                  <w:vAlign w:val="center"/>
                </w:tcPr>
                <w:p w14:paraId="3B1234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86</w:t>
                  </w:r>
                </w:p>
              </w:tc>
              <w:tc>
                <w:tcPr>
                  <w:tcW w:w="358" w:type="pct"/>
                  <w:tcBorders>
                    <w:tl2br w:val="nil"/>
                    <w:tr2bl w:val="nil"/>
                  </w:tcBorders>
                  <w:noWrap/>
                  <w:tcMar>
                    <w:top w:w="12" w:type="dxa"/>
                    <w:left w:w="12" w:type="dxa"/>
                    <w:right w:w="12" w:type="dxa"/>
                  </w:tcMar>
                  <w:vAlign w:val="center"/>
                </w:tcPr>
                <w:p w14:paraId="35F028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-2035</w:t>
                  </w:r>
                </w:p>
              </w:tc>
              <w:tc>
                <w:tcPr>
                  <w:tcW w:w="483" w:type="pct"/>
                  <w:tcBorders>
                    <w:tl2br w:val="nil"/>
                    <w:tr2bl w:val="nil"/>
                  </w:tcBorders>
                  <w:noWrap/>
                  <w:tcMar>
                    <w:top w:w="12" w:type="dxa"/>
                    <w:left w:w="12" w:type="dxa"/>
                    <w:right w:w="12" w:type="dxa"/>
                  </w:tcMar>
                  <w:vAlign w:val="center"/>
                </w:tcPr>
                <w:p w14:paraId="6E461F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58F69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B1302D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32E407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47FFA4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2162</w:t>
                  </w:r>
                </w:p>
              </w:tc>
              <w:tc>
                <w:tcPr>
                  <w:tcW w:w="371" w:type="pct"/>
                  <w:tcBorders>
                    <w:tl2br w:val="nil"/>
                    <w:tr2bl w:val="nil"/>
                  </w:tcBorders>
                  <w:noWrap/>
                  <w:tcMar>
                    <w:top w:w="12" w:type="dxa"/>
                    <w:left w:w="12" w:type="dxa"/>
                    <w:right w:w="12" w:type="dxa"/>
                  </w:tcMar>
                  <w:vAlign w:val="center"/>
                </w:tcPr>
                <w:p w14:paraId="5D5A71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69D32B1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59" w:hRule="atLeast"/>
                <w:jc w:val="center"/>
              </w:trPr>
              <w:tc>
                <w:tcPr>
                  <w:tcW w:w="326" w:type="pct"/>
                  <w:tcBorders>
                    <w:tl2br w:val="nil"/>
                    <w:tr2bl w:val="nil"/>
                  </w:tcBorders>
                  <w:noWrap/>
                  <w:tcMar>
                    <w:top w:w="12" w:type="dxa"/>
                    <w:left w:w="12" w:type="dxa"/>
                    <w:right w:w="12" w:type="dxa"/>
                  </w:tcMar>
                  <w:vAlign w:val="center"/>
                </w:tcPr>
                <w:p w14:paraId="7D91BE17">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13</w:t>
                  </w:r>
                </w:p>
              </w:tc>
              <w:tc>
                <w:tcPr>
                  <w:tcW w:w="1261" w:type="pct"/>
                  <w:tcBorders>
                    <w:tl2br w:val="nil"/>
                    <w:tr2bl w:val="nil"/>
                  </w:tcBorders>
                  <w:noWrap/>
                  <w:tcMar>
                    <w:top w:w="12" w:type="dxa"/>
                    <w:left w:w="12" w:type="dxa"/>
                    <w:right w:w="12" w:type="dxa"/>
                  </w:tcMar>
                  <w:vAlign w:val="center"/>
                </w:tcPr>
                <w:p w14:paraId="62BB96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何头</w:t>
                  </w:r>
                </w:p>
              </w:tc>
              <w:tc>
                <w:tcPr>
                  <w:tcW w:w="358" w:type="pct"/>
                  <w:tcBorders>
                    <w:tl2br w:val="nil"/>
                    <w:tr2bl w:val="nil"/>
                  </w:tcBorders>
                  <w:noWrap/>
                  <w:tcMar>
                    <w:top w:w="12" w:type="dxa"/>
                    <w:left w:w="12" w:type="dxa"/>
                    <w:right w:w="12" w:type="dxa"/>
                  </w:tcMar>
                  <w:vAlign w:val="center"/>
                </w:tcPr>
                <w:p w14:paraId="2103FC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1259</w:t>
                  </w:r>
                </w:p>
              </w:tc>
              <w:tc>
                <w:tcPr>
                  <w:tcW w:w="358" w:type="pct"/>
                  <w:tcBorders>
                    <w:tl2br w:val="nil"/>
                    <w:tr2bl w:val="nil"/>
                  </w:tcBorders>
                  <w:noWrap/>
                  <w:tcMar>
                    <w:top w:w="12" w:type="dxa"/>
                    <w:left w:w="12" w:type="dxa"/>
                    <w:right w:w="12" w:type="dxa"/>
                  </w:tcMar>
                  <w:vAlign w:val="center"/>
                </w:tcPr>
                <w:p w14:paraId="30C9E7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289</w:t>
                  </w:r>
                </w:p>
              </w:tc>
              <w:tc>
                <w:tcPr>
                  <w:tcW w:w="483" w:type="pct"/>
                  <w:tcBorders>
                    <w:tl2br w:val="nil"/>
                    <w:tr2bl w:val="nil"/>
                  </w:tcBorders>
                  <w:noWrap/>
                  <w:tcMar>
                    <w:top w:w="12" w:type="dxa"/>
                    <w:left w:w="12" w:type="dxa"/>
                    <w:right w:w="12" w:type="dxa"/>
                  </w:tcMar>
                  <w:vAlign w:val="center"/>
                </w:tcPr>
                <w:p w14:paraId="082ACE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6A98E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61327F8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134284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w:t>
                  </w: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75DEC0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1206</w:t>
                  </w:r>
                </w:p>
              </w:tc>
              <w:tc>
                <w:tcPr>
                  <w:tcW w:w="371" w:type="pct"/>
                  <w:tcBorders>
                    <w:tl2br w:val="nil"/>
                    <w:tr2bl w:val="nil"/>
                  </w:tcBorders>
                  <w:noWrap/>
                  <w:tcMar>
                    <w:top w:w="12" w:type="dxa"/>
                    <w:left w:w="12" w:type="dxa"/>
                    <w:right w:w="12" w:type="dxa"/>
                  </w:tcMar>
                  <w:vAlign w:val="center"/>
                </w:tcPr>
                <w:p w14:paraId="5067F7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w:t>
                  </w:r>
                </w:p>
              </w:tc>
            </w:tr>
            <w:tr w14:paraId="032F54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06B9A866">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14</w:t>
                  </w:r>
                </w:p>
              </w:tc>
              <w:tc>
                <w:tcPr>
                  <w:tcW w:w="1261" w:type="pct"/>
                  <w:tcBorders>
                    <w:tl2br w:val="nil"/>
                    <w:tr2bl w:val="nil"/>
                  </w:tcBorders>
                  <w:noWrap/>
                  <w:tcMar>
                    <w:top w:w="12" w:type="dxa"/>
                    <w:left w:w="12" w:type="dxa"/>
                    <w:right w:w="12" w:type="dxa"/>
                  </w:tcMar>
                  <w:vAlign w:val="center"/>
                </w:tcPr>
                <w:p w14:paraId="28E780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珠满塘</w:t>
                  </w:r>
                </w:p>
              </w:tc>
              <w:tc>
                <w:tcPr>
                  <w:tcW w:w="358" w:type="pct"/>
                  <w:tcBorders>
                    <w:tl2br w:val="nil"/>
                    <w:tr2bl w:val="nil"/>
                  </w:tcBorders>
                  <w:noWrap/>
                  <w:tcMar>
                    <w:top w:w="12" w:type="dxa"/>
                    <w:left w:w="12" w:type="dxa"/>
                    <w:right w:w="12" w:type="dxa"/>
                  </w:tcMar>
                  <w:vAlign w:val="center"/>
                </w:tcPr>
                <w:p w14:paraId="028330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-2492</w:t>
                  </w:r>
                </w:p>
              </w:tc>
              <w:tc>
                <w:tcPr>
                  <w:tcW w:w="358" w:type="pct"/>
                  <w:tcBorders>
                    <w:tl2br w:val="nil"/>
                    <w:tr2bl w:val="nil"/>
                  </w:tcBorders>
                  <w:noWrap/>
                  <w:tcMar>
                    <w:top w:w="12" w:type="dxa"/>
                    <w:left w:w="12" w:type="dxa"/>
                    <w:right w:w="12" w:type="dxa"/>
                  </w:tcMar>
                  <w:vAlign w:val="center"/>
                </w:tcPr>
                <w:p w14:paraId="3FF28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-1510</w:t>
                  </w:r>
                </w:p>
              </w:tc>
              <w:tc>
                <w:tcPr>
                  <w:tcW w:w="483" w:type="pct"/>
                  <w:tcBorders>
                    <w:tl2br w:val="nil"/>
                    <w:tr2bl w:val="nil"/>
                  </w:tcBorders>
                  <w:noWrap/>
                  <w:tcMar>
                    <w:top w:w="12" w:type="dxa"/>
                    <w:left w:w="12" w:type="dxa"/>
                    <w:right w:w="12" w:type="dxa"/>
                  </w:tcMar>
                  <w:vAlign w:val="center"/>
                </w:tcPr>
                <w:p w14:paraId="362EB1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7873D1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2ED7E2B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548037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7E3806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2945</w:t>
                  </w:r>
                </w:p>
              </w:tc>
              <w:tc>
                <w:tcPr>
                  <w:tcW w:w="371" w:type="pct"/>
                  <w:tcBorders>
                    <w:tl2br w:val="nil"/>
                    <w:tr2bl w:val="nil"/>
                  </w:tcBorders>
                  <w:noWrap/>
                  <w:tcMar>
                    <w:top w:w="12" w:type="dxa"/>
                    <w:left w:w="12" w:type="dxa"/>
                    <w:right w:w="12" w:type="dxa"/>
                  </w:tcMar>
                  <w:vAlign w:val="center"/>
                </w:tcPr>
                <w:p w14:paraId="38A5706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t>200</w:t>
                  </w:r>
                </w:p>
              </w:tc>
            </w:tr>
            <w:tr w14:paraId="4EE0C2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570647AD">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1261" w:type="pct"/>
                  <w:tcBorders>
                    <w:tl2br w:val="nil"/>
                    <w:tr2bl w:val="nil"/>
                  </w:tcBorders>
                  <w:noWrap/>
                  <w:tcMar>
                    <w:top w:w="12" w:type="dxa"/>
                    <w:left w:w="12" w:type="dxa"/>
                    <w:right w:w="12" w:type="dxa"/>
                  </w:tcMar>
                  <w:vAlign w:val="center"/>
                </w:tcPr>
                <w:p w14:paraId="316814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下屋头</w:t>
                  </w:r>
                </w:p>
              </w:tc>
              <w:tc>
                <w:tcPr>
                  <w:tcW w:w="358" w:type="pct"/>
                  <w:tcBorders>
                    <w:tl2br w:val="nil"/>
                    <w:tr2bl w:val="nil"/>
                  </w:tcBorders>
                  <w:noWrap/>
                  <w:tcMar>
                    <w:top w:w="12" w:type="dxa"/>
                    <w:left w:w="12" w:type="dxa"/>
                    <w:right w:w="12" w:type="dxa"/>
                  </w:tcMar>
                  <w:vAlign w:val="center"/>
                </w:tcPr>
                <w:p w14:paraId="23F96C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-2105</w:t>
                  </w:r>
                </w:p>
              </w:tc>
              <w:tc>
                <w:tcPr>
                  <w:tcW w:w="358" w:type="pct"/>
                  <w:tcBorders>
                    <w:tl2br w:val="nil"/>
                    <w:tr2bl w:val="nil"/>
                  </w:tcBorders>
                  <w:noWrap/>
                  <w:tcMar>
                    <w:top w:w="12" w:type="dxa"/>
                    <w:left w:w="12" w:type="dxa"/>
                    <w:right w:w="12" w:type="dxa"/>
                  </w:tcMar>
                  <w:vAlign w:val="center"/>
                </w:tcPr>
                <w:p w14:paraId="4EBB5C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-1441</w:t>
                  </w:r>
                </w:p>
              </w:tc>
              <w:tc>
                <w:tcPr>
                  <w:tcW w:w="483" w:type="pct"/>
                  <w:tcBorders>
                    <w:tl2br w:val="nil"/>
                    <w:tr2bl w:val="nil"/>
                  </w:tcBorders>
                  <w:noWrap/>
                  <w:tcMar>
                    <w:top w:w="12" w:type="dxa"/>
                    <w:left w:w="12" w:type="dxa"/>
                    <w:right w:w="12" w:type="dxa"/>
                  </w:tcMar>
                  <w:vAlign w:val="center"/>
                </w:tcPr>
                <w:p w14:paraId="14CAFC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3909F0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6B8C212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1D3D9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150E64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2583</w:t>
                  </w:r>
                </w:p>
              </w:tc>
              <w:tc>
                <w:tcPr>
                  <w:tcW w:w="371" w:type="pct"/>
                  <w:tcBorders>
                    <w:tl2br w:val="nil"/>
                    <w:tr2bl w:val="nil"/>
                  </w:tcBorders>
                  <w:noWrap/>
                  <w:tcMar>
                    <w:top w:w="12" w:type="dxa"/>
                    <w:left w:w="12" w:type="dxa"/>
                    <w:right w:w="12" w:type="dxa"/>
                  </w:tcMar>
                  <w:vAlign w:val="center"/>
                </w:tcPr>
                <w:p w14:paraId="4075B2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400</w:t>
                  </w:r>
                </w:p>
              </w:tc>
            </w:tr>
            <w:tr w14:paraId="2752C5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52CADEC5">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16</w:t>
                  </w:r>
                </w:p>
              </w:tc>
              <w:tc>
                <w:tcPr>
                  <w:tcW w:w="1261" w:type="pct"/>
                  <w:tcBorders>
                    <w:tl2br w:val="nil"/>
                    <w:tr2bl w:val="nil"/>
                  </w:tcBorders>
                  <w:noWrap/>
                  <w:tcMar>
                    <w:top w:w="12" w:type="dxa"/>
                    <w:left w:w="12" w:type="dxa"/>
                    <w:right w:w="12" w:type="dxa"/>
                  </w:tcMar>
                  <w:vAlign w:val="center"/>
                </w:tcPr>
                <w:p w14:paraId="2F9ACB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唐家</w:t>
                  </w:r>
                </w:p>
              </w:tc>
              <w:tc>
                <w:tcPr>
                  <w:tcW w:w="358" w:type="pct"/>
                  <w:tcBorders>
                    <w:tl2br w:val="nil"/>
                    <w:tr2bl w:val="nil"/>
                  </w:tcBorders>
                  <w:noWrap/>
                  <w:tcMar>
                    <w:top w:w="12" w:type="dxa"/>
                    <w:left w:w="12" w:type="dxa"/>
                    <w:right w:w="12" w:type="dxa"/>
                  </w:tcMar>
                  <w:vAlign w:val="center"/>
                </w:tcPr>
                <w:p w14:paraId="3BC1FD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-269</w:t>
                  </w:r>
                </w:p>
              </w:tc>
              <w:tc>
                <w:tcPr>
                  <w:tcW w:w="358" w:type="pct"/>
                  <w:tcBorders>
                    <w:tl2br w:val="nil"/>
                    <w:tr2bl w:val="nil"/>
                  </w:tcBorders>
                  <w:noWrap/>
                  <w:tcMar>
                    <w:top w:w="12" w:type="dxa"/>
                    <w:left w:w="12" w:type="dxa"/>
                    <w:right w:w="12" w:type="dxa"/>
                  </w:tcMar>
                  <w:vAlign w:val="center"/>
                </w:tcPr>
                <w:p w14:paraId="225929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1334</w:t>
                  </w:r>
                </w:p>
              </w:tc>
              <w:tc>
                <w:tcPr>
                  <w:tcW w:w="483" w:type="pct"/>
                  <w:tcBorders>
                    <w:tl2br w:val="nil"/>
                    <w:tr2bl w:val="nil"/>
                  </w:tcBorders>
                  <w:noWrap/>
                  <w:tcMar>
                    <w:top w:w="12" w:type="dxa"/>
                    <w:left w:w="12" w:type="dxa"/>
                    <w:right w:w="12" w:type="dxa"/>
                  </w:tcMar>
                  <w:vAlign w:val="center"/>
                </w:tcPr>
                <w:p w14:paraId="04C022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56579B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FC5E586">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154059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西</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585AF3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1415</w:t>
                  </w:r>
                </w:p>
              </w:tc>
              <w:tc>
                <w:tcPr>
                  <w:tcW w:w="371" w:type="pct"/>
                  <w:tcBorders>
                    <w:tl2br w:val="nil"/>
                    <w:tr2bl w:val="nil"/>
                  </w:tcBorders>
                  <w:noWrap/>
                  <w:tcMar>
                    <w:top w:w="12" w:type="dxa"/>
                    <w:left w:w="12" w:type="dxa"/>
                    <w:right w:w="12" w:type="dxa"/>
                  </w:tcMar>
                  <w:vAlign w:val="center"/>
                </w:tcPr>
                <w:p w14:paraId="3D95813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60</w:t>
                  </w:r>
                </w:p>
              </w:tc>
            </w:tr>
            <w:tr w14:paraId="183984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4052A88D">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17</w:t>
                  </w:r>
                </w:p>
              </w:tc>
              <w:tc>
                <w:tcPr>
                  <w:tcW w:w="1261" w:type="pct"/>
                  <w:tcBorders>
                    <w:tl2br w:val="nil"/>
                    <w:tr2bl w:val="nil"/>
                  </w:tcBorders>
                  <w:noWrap/>
                  <w:tcMar>
                    <w:top w:w="12" w:type="dxa"/>
                    <w:left w:w="12" w:type="dxa"/>
                    <w:right w:w="12" w:type="dxa"/>
                  </w:tcMar>
                  <w:vAlign w:val="center"/>
                </w:tcPr>
                <w:p w14:paraId="3B4245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张家边</w:t>
                  </w:r>
                </w:p>
              </w:tc>
              <w:tc>
                <w:tcPr>
                  <w:tcW w:w="358" w:type="pct"/>
                  <w:tcBorders>
                    <w:tl2br w:val="nil"/>
                    <w:tr2bl w:val="nil"/>
                  </w:tcBorders>
                  <w:noWrap/>
                  <w:tcMar>
                    <w:top w:w="12" w:type="dxa"/>
                    <w:left w:w="12" w:type="dxa"/>
                    <w:right w:w="12" w:type="dxa"/>
                  </w:tcMar>
                  <w:vAlign w:val="center"/>
                </w:tcPr>
                <w:p w14:paraId="23ED2A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2590</w:t>
                  </w:r>
                </w:p>
              </w:tc>
              <w:tc>
                <w:tcPr>
                  <w:tcW w:w="358" w:type="pct"/>
                  <w:tcBorders>
                    <w:tl2br w:val="nil"/>
                    <w:tr2bl w:val="nil"/>
                  </w:tcBorders>
                  <w:noWrap/>
                  <w:tcMar>
                    <w:top w:w="12" w:type="dxa"/>
                    <w:left w:w="12" w:type="dxa"/>
                    <w:right w:w="12" w:type="dxa"/>
                  </w:tcMar>
                  <w:vAlign w:val="center"/>
                </w:tcPr>
                <w:p w14:paraId="750AB3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-544</w:t>
                  </w:r>
                </w:p>
              </w:tc>
              <w:tc>
                <w:tcPr>
                  <w:tcW w:w="483" w:type="pct"/>
                  <w:tcBorders>
                    <w:tl2br w:val="nil"/>
                    <w:tr2bl w:val="nil"/>
                  </w:tcBorders>
                  <w:noWrap/>
                  <w:tcMar>
                    <w:top w:w="12" w:type="dxa"/>
                    <w:left w:w="12" w:type="dxa"/>
                    <w:right w:w="12" w:type="dxa"/>
                  </w:tcMar>
                  <w:vAlign w:val="center"/>
                </w:tcPr>
                <w:p w14:paraId="36EF8D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2D3B2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09966262">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FB869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w:t>
                  </w: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094606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2465</w:t>
                  </w:r>
                </w:p>
              </w:tc>
              <w:tc>
                <w:tcPr>
                  <w:tcW w:w="371" w:type="pct"/>
                  <w:tcBorders>
                    <w:tl2br w:val="nil"/>
                    <w:tr2bl w:val="nil"/>
                  </w:tcBorders>
                  <w:noWrap/>
                  <w:tcMar>
                    <w:top w:w="12" w:type="dxa"/>
                    <w:left w:w="12" w:type="dxa"/>
                    <w:right w:w="12" w:type="dxa"/>
                  </w:tcMar>
                  <w:vAlign w:val="center"/>
                </w:tcPr>
                <w:p w14:paraId="3359DEC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eastAsia"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t>50</w:t>
                  </w:r>
                </w:p>
              </w:tc>
            </w:tr>
            <w:tr w14:paraId="6157EFE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692BC64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18</w:t>
                  </w:r>
                </w:p>
              </w:tc>
              <w:tc>
                <w:tcPr>
                  <w:tcW w:w="1261" w:type="pct"/>
                  <w:tcBorders>
                    <w:tl2br w:val="nil"/>
                    <w:tr2bl w:val="nil"/>
                  </w:tcBorders>
                  <w:noWrap/>
                  <w:tcMar>
                    <w:top w:w="12" w:type="dxa"/>
                    <w:left w:w="12" w:type="dxa"/>
                    <w:right w:w="12" w:type="dxa"/>
                  </w:tcMar>
                  <w:vAlign w:val="center"/>
                </w:tcPr>
                <w:p w14:paraId="7016F0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油麻墩</w:t>
                  </w:r>
                </w:p>
              </w:tc>
              <w:tc>
                <w:tcPr>
                  <w:tcW w:w="358" w:type="pct"/>
                  <w:tcBorders>
                    <w:tl2br w:val="nil"/>
                    <w:tr2bl w:val="nil"/>
                  </w:tcBorders>
                  <w:noWrap/>
                  <w:tcMar>
                    <w:top w:w="12" w:type="dxa"/>
                    <w:left w:w="12" w:type="dxa"/>
                    <w:right w:w="12" w:type="dxa"/>
                  </w:tcMar>
                  <w:vAlign w:val="center"/>
                </w:tcPr>
                <w:p w14:paraId="7285B6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-1659</w:t>
                  </w:r>
                </w:p>
              </w:tc>
              <w:tc>
                <w:tcPr>
                  <w:tcW w:w="358" w:type="pct"/>
                  <w:tcBorders>
                    <w:tl2br w:val="nil"/>
                    <w:tr2bl w:val="nil"/>
                  </w:tcBorders>
                  <w:noWrap/>
                  <w:tcMar>
                    <w:top w:w="12" w:type="dxa"/>
                    <w:left w:w="12" w:type="dxa"/>
                    <w:right w:w="12" w:type="dxa"/>
                  </w:tcMar>
                  <w:vAlign w:val="center"/>
                </w:tcPr>
                <w:p w14:paraId="0310B7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2109</w:t>
                  </w:r>
                </w:p>
              </w:tc>
              <w:tc>
                <w:tcPr>
                  <w:tcW w:w="483" w:type="pct"/>
                  <w:tcBorders>
                    <w:tl2br w:val="nil"/>
                    <w:tr2bl w:val="nil"/>
                  </w:tcBorders>
                  <w:noWrap/>
                  <w:tcMar>
                    <w:top w:w="12" w:type="dxa"/>
                    <w:left w:w="12" w:type="dxa"/>
                    <w:right w:w="12" w:type="dxa"/>
                  </w:tcMar>
                  <w:vAlign w:val="center"/>
                </w:tcPr>
                <w:p w14:paraId="266138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379541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7C18663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806A3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西北</w:t>
                  </w:r>
                </w:p>
              </w:tc>
              <w:tc>
                <w:tcPr>
                  <w:tcW w:w="561" w:type="pct"/>
                  <w:tcBorders>
                    <w:tl2br w:val="nil"/>
                    <w:tr2bl w:val="nil"/>
                  </w:tcBorders>
                  <w:noWrap/>
                  <w:tcMar>
                    <w:top w:w="12" w:type="dxa"/>
                    <w:left w:w="12" w:type="dxa"/>
                    <w:right w:w="12" w:type="dxa"/>
                  </w:tcMar>
                  <w:vAlign w:val="center"/>
                </w:tcPr>
                <w:p w14:paraId="2D0D5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2778</w:t>
                  </w:r>
                </w:p>
              </w:tc>
              <w:tc>
                <w:tcPr>
                  <w:tcW w:w="371" w:type="pct"/>
                  <w:tcBorders>
                    <w:tl2br w:val="nil"/>
                    <w:tr2bl w:val="nil"/>
                  </w:tcBorders>
                  <w:noWrap/>
                  <w:tcMar>
                    <w:top w:w="12" w:type="dxa"/>
                    <w:left w:w="12" w:type="dxa"/>
                    <w:right w:w="12" w:type="dxa"/>
                  </w:tcMar>
                  <w:vAlign w:val="center"/>
                </w:tcPr>
                <w:p w14:paraId="01369B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6C7BE6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2AF23E4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19</w:t>
                  </w:r>
                </w:p>
              </w:tc>
              <w:tc>
                <w:tcPr>
                  <w:tcW w:w="1261" w:type="pct"/>
                  <w:tcBorders>
                    <w:tl2br w:val="nil"/>
                    <w:tr2bl w:val="nil"/>
                  </w:tcBorders>
                  <w:noWrap/>
                  <w:tcMar>
                    <w:top w:w="12" w:type="dxa"/>
                    <w:left w:w="12" w:type="dxa"/>
                    <w:right w:w="12" w:type="dxa"/>
                  </w:tcMar>
                  <w:vAlign w:val="center"/>
                </w:tcPr>
                <w:p w14:paraId="1A3E26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石溪源</w:t>
                  </w:r>
                </w:p>
              </w:tc>
              <w:tc>
                <w:tcPr>
                  <w:tcW w:w="358" w:type="pct"/>
                  <w:tcBorders>
                    <w:tl2br w:val="nil"/>
                    <w:tr2bl w:val="nil"/>
                  </w:tcBorders>
                  <w:noWrap/>
                  <w:tcMar>
                    <w:top w:w="12" w:type="dxa"/>
                    <w:left w:w="12" w:type="dxa"/>
                    <w:right w:w="12" w:type="dxa"/>
                  </w:tcMar>
                  <w:vAlign w:val="center"/>
                </w:tcPr>
                <w:p w14:paraId="59BCB0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1964</w:t>
                  </w:r>
                </w:p>
              </w:tc>
              <w:tc>
                <w:tcPr>
                  <w:tcW w:w="358" w:type="pct"/>
                  <w:tcBorders>
                    <w:tl2br w:val="nil"/>
                    <w:tr2bl w:val="nil"/>
                  </w:tcBorders>
                  <w:noWrap/>
                  <w:tcMar>
                    <w:top w:w="12" w:type="dxa"/>
                    <w:left w:w="12" w:type="dxa"/>
                    <w:right w:w="12" w:type="dxa"/>
                  </w:tcMar>
                  <w:vAlign w:val="center"/>
                </w:tcPr>
                <w:p w14:paraId="6EEF03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-14</w:t>
                  </w:r>
                </w:p>
              </w:tc>
              <w:tc>
                <w:tcPr>
                  <w:tcW w:w="483" w:type="pct"/>
                  <w:tcBorders>
                    <w:tl2br w:val="nil"/>
                    <w:tr2bl w:val="nil"/>
                  </w:tcBorders>
                  <w:noWrap/>
                  <w:tcMar>
                    <w:top w:w="12" w:type="dxa"/>
                    <w:left w:w="12" w:type="dxa"/>
                    <w:right w:w="12" w:type="dxa"/>
                  </w:tcMar>
                  <w:vAlign w:val="center"/>
                </w:tcPr>
                <w:p w14:paraId="288BA5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24FAF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3F8FA0B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D73B1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w:t>
                  </w:r>
                </w:p>
              </w:tc>
              <w:tc>
                <w:tcPr>
                  <w:tcW w:w="561" w:type="pct"/>
                  <w:tcBorders>
                    <w:tl2br w:val="nil"/>
                    <w:tr2bl w:val="nil"/>
                  </w:tcBorders>
                  <w:noWrap/>
                  <w:tcMar>
                    <w:top w:w="12" w:type="dxa"/>
                    <w:left w:w="12" w:type="dxa"/>
                    <w:right w:w="12" w:type="dxa"/>
                  </w:tcMar>
                  <w:vAlign w:val="center"/>
                </w:tcPr>
                <w:p w14:paraId="3D941B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1785</w:t>
                  </w:r>
                </w:p>
              </w:tc>
              <w:tc>
                <w:tcPr>
                  <w:tcW w:w="371" w:type="pct"/>
                  <w:tcBorders>
                    <w:tl2br w:val="nil"/>
                    <w:tr2bl w:val="nil"/>
                  </w:tcBorders>
                  <w:noWrap/>
                  <w:tcMar>
                    <w:top w:w="12" w:type="dxa"/>
                    <w:left w:w="12" w:type="dxa"/>
                    <w:right w:w="12" w:type="dxa"/>
                  </w:tcMar>
                  <w:vAlign w:val="center"/>
                </w:tcPr>
                <w:p w14:paraId="58D3F0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150</w:t>
                  </w:r>
                </w:p>
              </w:tc>
            </w:tr>
            <w:tr w14:paraId="09D4FDB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2D6E3FC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20</w:t>
                  </w:r>
                </w:p>
              </w:tc>
              <w:tc>
                <w:tcPr>
                  <w:tcW w:w="1261" w:type="pct"/>
                  <w:tcBorders>
                    <w:tl2br w:val="nil"/>
                    <w:tr2bl w:val="nil"/>
                  </w:tcBorders>
                  <w:noWrap/>
                  <w:tcMar>
                    <w:top w:w="12" w:type="dxa"/>
                    <w:left w:w="12" w:type="dxa"/>
                    <w:right w:w="12" w:type="dxa"/>
                  </w:tcMar>
                  <w:vAlign w:val="center"/>
                </w:tcPr>
                <w:p w14:paraId="5718F7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杨家坞</w:t>
                  </w:r>
                </w:p>
              </w:tc>
              <w:tc>
                <w:tcPr>
                  <w:tcW w:w="358" w:type="pct"/>
                  <w:tcBorders>
                    <w:tl2br w:val="nil"/>
                    <w:tr2bl w:val="nil"/>
                  </w:tcBorders>
                  <w:noWrap/>
                  <w:tcMar>
                    <w:top w:w="12" w:type="dxa"/>
                    <w:left w:w="12" w:type="dxa"/>
                    <w:right w:w="12" w:type="dxa"/>
                  </w:tcMar>
                  <w:vAlign w:val="center"/>
                </w:tcPr>
                <w:p w14:paraId="6E4C5D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-901</w:t>
                  </w:r>
                </w:p>
              </w:tc>
              <w:tc>
                <w:tcPr>
                  <w:tcW w:w="358" w:type="pct"/>
                  <w:tcBorders>
                    <w:tl2br w:val="nil"/>
                    <w:tr2bl w:val="nil"/>
                  </w:tcBorders>
                  <w:noWrap/>
                  <w:tcMar>
                    <w:top w:w="12" w:type="dxa"/>
                    <w:left w:w="12" w:type="dxa"/>
                    <w:right w:w="12" w:type="dxa"/>
                  </w:tcMar>
                  <w:vAlign w:val="center"/>
                </w:tcPr>
                <w:p w14:paraId="724700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878</w:t>
                  </w:r>
                </w:p>
              </w:tc>
              <w:tc>
                <w:tcPr>
                  <w:tcW w:w="483" w:type="pct"/>
                  <w:tcBorders>
                    <w:tl2br w:val="nil"/>
                    <w:tr2bl w:val="nil"/>
                  </w:tcBorders>
                  <w:noWrap/>
                  <w:tcMar>
                    <w:top w:w="12" w:type="dxa"/>
                    <w:left w:w="12" w:type="dxa"/>
                    <w:right w:w="12" w:type="dxa"/>
                  </w:tcMar>
                  <w:vAlign w:val="center"/>
                </w:tcPr>
                <w:p w14:paraId="31B725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01240F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3CB9F68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1FACB8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西北</w:t>
                  </w:r>
                </w:p>
              </w:tc>
              <w:tc>
                <w:tcPr>
                  <w:tcW w:w="561" w:type="pct"/>
                  <w:tcBorders>
                    <w:tl2br w:val="nil"/>
                    <w:tr2bl w:val="nil"/>
                  </w:tcBorders>
                  <w:noWrap/>
                  <w:tcMar>
                    <w:top w:w="12" w:type="dxa"/>
                    <w:left w:w="12" w:type="dxa"/>
                    <w:right w:w="12" w:type="dxa"/>
                  </w:tcMar>
                  <w:vAlign w:val="center"/>
                </w:tcPr>
                <w:p w14:paraId="00FD4D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1308</w:t>
                  </w:r>
                </w:p>
              </w:tc>
              <w:tc>
                <w:tcPr>
                  <w:tcW w:w="371" w:type="pct"/>
                  <w:tcBorders>
                    <w:tl2br w:val="nil"/>
                    <w:tr2bl w:val="nil"/>
                  </w:tcBorders>
                  <w:noWrap/>
                  <w:tcMar>
                    <w:top w:w="12" w:type="dxa"/>
                    <w:left w:w="12" w:type="dxa"/>
                    <w:right w:w="12" w:type="dxa"/>
                  </w:tcMar>
                  <w:vAlign w:val="center"/>
                </w:tcPr>
                <w:p w14:paraId="4994EA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spacing w:val="4"/>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60</w:t>
                  </w:r>
                </w:p>
              </w:tc>
            </w:tr>
            <w:tr w14:paraId="22F85B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34C97C2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w:t>
                  </w:r>
                </w:p>
              </w:tc>
              <w:tc>
                <w:tcPr>
                  <w:tcW w:w="1261" w:type="pct"/>
                  <w:tcBorders>
                    <w:tl2br w:val="nil"/>
                    <w:tr2bl w:val="nil"/>
                  </w:tcBorders>
                  <w:noWrap/>
                  <w:tcMar>
                    <w:top w:w="12" w:type="dxa"/>
                    <w:left w:w="12" w:type="dxa"/>
                    <w:right w:w="12" w:type="dxa"/>
                  </w:tcMar>
                  <w:vAlign w:val="center"/>
                </w:tcPr>
                <w:p w14:paraId="725918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汽摩配产业园宿舍</w:t>
                  </w:r>
                </w:p>
              </w:tc>
              <w:tc>
                <w:tcPr>
                  <w:tcW w:w="358" w:type="pct"/>
                  <w:tcBorders>
                    <w:tl2br w:val="nil"/>
                    <w:tr2bl w:val="nil"/>
                  </w:tcBorders>
                  <w:noWrap/>
                  <w:tcMar>
                    <w:top w:w="12" w:type="dxa"/>
                    <w:left w:w="12" w:type="dxa"/>
                    <w:right w:w="12" w:type="dxa"/>
                  </w:tcMar>
                  <w:vAlign w:val="center"/>
                </w:tcPr>
                <w:p w14:paraId="4E4D32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-729</w:t>
                  </w:r>
                </w:p>
              </w:tc>
              <w:tc>
                <w:tcPr>
                  <w:tcW w:w="358" w:type="pct"/>
                  <w:tcBorders>
                    <w:tl2br w:val="nil"/>
                    <w:tr2bl w:val="nil"/>
                  </w:tcBorders>
                  <w:noWrap/>
                  <w:tcMar>
                    <w:top w:w="12" w:type="dxa"/>
                    <w:left w:w="12" w:type="dxa"/>
                    <w:right w:w="12" w:type="dxa"/>
                  </w:tcMar>
                  <w:vAlign w:val="center"/>
                </w:tcPr>
                <w:p w14:paraId="790959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-418</w:t>
                  </w:r>
                </w:p>
              </w:tc>
              <w:tc>
                <w:tcPr>
                  <w:tcW w:w="483" w:type="pct"/>
                  <w:tcBorders>
                    <w:tl2br w:val="nil"/>
                    <w:tr2bl w:val="nil"/>
                  </w:tcBorders>
                  <w:noWrap/>
                  <w:tcMar>
                    <w:top w:w="12" w:type="dxa"/>
                    <w:left w:w="12" w:type="dxa"/>
                    <w:right w:w="12" w:type="dxa"/>
                  </w:tcMar>
                  <w:vAlign w:val="center"/>
                </w:tcPr>
                <w:p w14:paraId="34E35D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小区</w:t>
                  </w:r>
                </w:p>
              </w:tc>
              <w:tc>
                <w:tcPr>
                  <w:tcW w:w="388" w:type="pct"/>
                  <w:tcBorders>
                    <w:tl2br w:val="nil"/>
                    <w:tr2bl w:val="nil"/>
                  </w:tcBorders>
                  <w:noWrap/>
                  <w:tcMar>
                    <w:top w:w="12" w:type="dxa"/>
                    <w:left w:w="12" w:type="dxa"/>
                    <w:right w:w="12" w:type="dxa"/>
                  </w:tcMar>
                  <w:vAlign w:val="center"/>
                </w:tcPr>
                <w:p w14:paraId="068838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60985FD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11BD53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5132E8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823</w:t>
                  </w:r>
                </w:p>
              </w:tc>
              <w:tc>
                <w:tcPr>
                  <w:tcW w:w="371" w:type="pct"/>
                  <w:tcBorders>
                    <w:tl2br w:val="nil"/>
                    <w:tr2bl w:val="nil"/>
                  </w:tcBorders>
                  <w:noWrap/>
                  <w:tcMar>
                    <w:top w:w="12" w:type="dxa"/>
                    <w:left w:w="12" w:type="dxa"/>
                    <w:right w:w="12" w:type="dxa"/>
                  </w:tcMar>
                  <w:vAlign w:val="center"/>
                </w:tcPr>
                <w:p w14:paraId="044CD96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500</w:t>
                  </w:r>
                </w:p>
              </w:tc>
            </w:tr>
            <w:tr w14:paraId="121C97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4A7AFA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22</w:t>
                  </w:r>
                </w:p>
              </w:tc>
              <w:tc>
                <w:tcPr>
                  <w:tcW w:w="1261" w:type="pct"/>
                  <w:tcBorders>
                    <w:tl2br w:val="nil"/>
                    <w:tr2bl w:val="nil"/>
                  </w:tcBorders>
                  <w:noWrap/>
                  <w:tcMar>
                    <w:top w:w="12" w:type="dxa"/>
                    <w:left w:w="12" w:type="dxa"/>
                    <w:right w:w="12" w:type="dxa"/>
                  </w:tcMar>
                  <w:vAlign w:val="center"/>
                </w:tcPr>
                <w:p w14:paraId="753119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老黎家</w:t>
                  </w:r>
                </w:p>
              </w:tc>
              <w:tc>
                <w:tcPr>
                  <w:tcW w:w="358" w:type="pct"/>
                  <w:tcBorders>
                    <w:tl2br w:val="nil"/>
                    <w:tr2bl w:val="nil"/>
                  </w:tcBorders>
                  <w:noWrap/>
                  <w:tcMar>
                    <w:top w:w="12" w:type="dxa"/>
                    <w:left w:w="12" w:type="dxa"/>
                    <w:right w:w="12" w:type="dxa"/>
                  </w:tcMar>
                  <w:vAlign w:val="center"/>
                </w:tcPr>
                <w:p w14:paraId="17FA0C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-606</w:t>
                  </w:r>
                </w:p>
              </w:tc>
              <w:tc>
                <w:tcPr>
                  <w:tcW w:w="358" w:type="pct"/>
                  <w:tcBorders>
                    <w:tl2br w:val="nil"/>
                    <w:tr2bl w:val="nil"/>
                  </w:tcBorders>
                  <w:noWrap/>
                  <w:tcMar>
                    <w:top w:w="12" w:type="dxa"/>
                    <w:left w:w="12" w:type="dxa"/>
                    <w:right w:w="12" w:type="dxa"/>
                  </w:tcMar>
                  <w:vAlign w:val="center"/>
                </w:tcPr>
                <w:p w14:paraId="16F353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2112</w:t>
                  </w:r>
                </w:p>
              </w:tc>
              <w:tc>
                <w:tcPr>
                  <w:tcW w:w="483" w:type="pct"/>
                  <w:tcBorders>
                    <w:tl2br w:val="nil"/>
                    <w:tr2bl w:val="nil"/>
                  </w:tcBorders>
                  <w:noWrap/>
                  <w:tcMar>
                    <w:top w:w="12" w:type="dxa"/>
                    <w:left w:w="12" w:type="dxa"/>
                    <w:right w:w="12" w:type="dxa"/>
                  </w:tcMar>
                  <w:vAlign w:val="center"/>
                </w:tcPr>
                <w:p w14:paraId="356377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3358F9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79C0FD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2C26AC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西</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7789E9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2309</w:t>
                  </w:r>
                </w:p>
              </w:tc>
              <w:tc>
                <w:tcPr>
                  <w:tcW w:w="371" w:type="pct"/>
                  <w:tcBorders>
                    <w:tl2br w:val="nil"/>
                    <w:tr2bl w:val="nil"/>
                  </w:tcBorders>
                  <w:noWrap/>
                  <w:tcMar>
                    <w:top w:w="12" w:type="dxa"/>
                    <w:left w:w="12" w:type="dxa"/>
                    <w:right w:w="12" w:type="dxa"/>
                  </w:tcMar>
                  <w:vAlign w:val="center"/>
                </w:tcPr>
                <w:p w14:paraId="1599AB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100</w:t>
                  </w:r>
                </w:p>
              </w:tc>
            </w:tr>
            <w:tr w14:paraId="42F14F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332B05C6">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23</w:t>
                  </w:r>
                </w:p>
              </w:tc>
              <w:tc>
                <w:tcPr>
                  <w:tcW w:w="1261" w:type="pct"/>
                  <w:tcBorders>
                    <w:tl2br w:val="nil"/>
                    <w:tr2bl w:val="nil"/>
                  </w:tcBorders>
                  <w:noWrap/>
                  <w:tcMar>
                    <w:top w:w="12" w:type="dxa"/>
                    <w:left w:w="12" w:type="dxa"/>
                    <w:right w:w="12" w:type="dxa"/>
                  </w:tcMar>
                  <w:vAlign w:val="center"/>
                </w:tcPr>
                <w:p w14:paraId="09930F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山里杨家</w:t>
                  </w:r>
                </w:p>
              </w:tc>
              <w:tc>
                <w:tcPr>
                  <w:tcW w:w="358" w:type="pct"/>
                  <w:tcBorders>
                    <w:tl2br w:val="nil"/>
                    <w:tr2bl w:val="nil"/>
                  </w:tcBorders>
                  <w:noWrap/>
                  <w:tcMar>
                    <w:top w:w="12" w:type="dxa"/>
                    <w:left w:w="12" w:type="dxa"/>
                    <w:right w:w="12" w:type="dxa"/>
                  </w:tcMar>
                  <w:vAlign w:val="center"/>
                </w:tcPr>
                <w:p w14:paraId="35CA69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266</w:t>
                  </w:r>
                </w:p>
              </w:tc>
              <w:tc>
                <w:tcPr>
                  <w:tcW w:w="358" w:type="pct"/>
                  <w:tcBorders>
                    <w:tl2br w:val="nil"/>
                    <w:tr2bl w:val="nil"/>
                  </w:tcBorders>
                  <w:noWrap/>
                  <w:tcMar>
                    <w:top w:w="12" w:type="dxa"/>
                    <w:left w:w="12" w:type="dxa"/>
                    <w:right w:w="12" w:type="dxa"/>
                  </w:tcMar>
                  <w:vAlign w:val="center"/>
                </w:tcPr>
                <w:p w14:paraId="70799D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-1723</w:t>
                  </w:r>
                </w:p>
              </w:tc>
              <w:tc>
                <w:tcPr>
                  <w:tcW w:w="483" w:type="pct"/>
                  <w:tcBorders>
                    <w:tl2br w:val="nil"/>
                    <w:tr2bl w:val="nil"/>
                  </w:tcBorders>
                  <w:noWrap/>
                  <w:tcMar>
                    <w:top w:w="12" w:type="dxa"/>
                    <w:left w:w="12" w:type="dxa"/>
                    <w:right w:w="12" w:type="dxa"/>
                  </w:tcMar>
                  <w:vAlign w:val="center"/>
                </w:tcPr>
                <w:p w14:paraId="742372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9DA6A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82166B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2FB5A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6E500C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1851</w:t>
                  </w:r>
                </w:p>
              </w:tc>
              <w:tc>
                <w:tcPr>
                  <w:tcW w:w="371" w:type="pct"/>
                  <w:tcBorders>
                    <w:tl2br w:val="nil"/>
                    <w:tr2bl w:val="nil"/>
                  </w:tcBorders>
                  <w:noWrap/>
                  <w:tcMar>
                    <w:top w:w="12" w:type="dxa"/>
                    <w:left w:w="12" w:type="dxa"/>
                    <w:right w:w="12" w:type="dxa"/>
                  </w:tcMar>
                  <w:vAlign w:val="center"/>
                </w:tcPr>
                <w:p w14:paraId="7D792A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4E91F70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5CEB612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24</w:t>
                  </w:r>
                </w:p>
              </w:tc>
              <w:tc>
                <w:tcPr>
                  <w:tcW w:w="1261" w:type="pct"/>
                  <w:tcBorders>
                    <w:tl2br w:val="nil"/>
                    <w:tr2bl w:val="nil"/>
                  </w:tcBorders>
                  <w:noWrap/>
                  <w:tcMar>
                    <w:top w:w="12" w:type="dxa"/>
                    <w:left w:w="12" w:type="dxa"/>
                    <w:right w:w="12" w:type="dxa"/>
                  </w:tcMar>
                  <w:vAlign w:val="center"/>
                </w:tcPr>
                <w:p w14:paraId="53AA61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范家村</w:t>
                  </w:r>
                </w:p>
              </w:tc>
              <w:tc>
                <w:tcPr>
                  <w:tcW w:w="358" w:type="pct"/>
                  <w:tcBorders>
                    <w:tl2br w:val="nil"/>
                    <w:tr2bl w:val="nil"/>
                  </w:tcBorders>
                  <w:noWrap/>
                  <w:tcMar>
                    <w:top w:w="12" w:type="dxa"/>
                    <w:left w:w="12" w:type="dxa"/>
                    <w:right w:w="12" w:type="dxa"/>
                  </w:tcMar>
                  <w:vAlign w:val="center"/>
                </w:tcPr>
                <w:p w14:paraId="175BAA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-521</w:t>
                  </w:r>
                </w:p>
              </w:tc>
              <w:tc>
                <w:tcPr>
                  <w:tcW w:w="358" w:type="pct"/>
                  <w:tcBorders>
                    <w:tl2br w:val="nil"/>
                    <w:tr2bl w:val="nil"/>
                  </w:tcBorders>
                  <w:noWrap/>
                  <w:tcMar>
                    <w:top w:w="12" w:type="dxa"/>
                    <w:left w:w="12" w:type="dxa"/>
                    <w:right w:w="12" w:type="dxa"/>
                  </w:tcMar>
                  <w:vAlign w:val="center"/>
                </w:tcPr>
                <w:p w14:paraId="4F45D3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1808</w:t>
                  </w:r>
                </w:p>
              </w:tc>
              <w:tc>
                <w:tcPr>
                  <w:tcW w:w="483" w:type="pct"/>
                  <w:tcBorders>
                    <w:tl2br w:val="nil"/>
                    <w:tr2bl w:val="nil"/>
                  </w:tcBorders>
                  <w:noWrap/>
                  <w:tcMar>
                    <w:top w:w="12" w:type="dxa"/>
                    <w:left w:w="12" w:type="dxa"/>
                    <w:right w:w="12" w:type="dxa"/>
                  </w:tcMar>
                  <w:vAlign w:val="center"/>
                </w:tcPr>
                <w:p w14:paraId="5E8589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29D670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585E66C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081A1B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西</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564CFA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2286</w:t>
                  </w:r>
                </w:p>
              </w:tc>
              <w:tc>
                <w:tcPr>
                  <w:tcW w:w="371" w:type="pct"/>
                  <w:tcBorders>
                    <w:tl2br w:val="nil"/>
                    <w:tr2bl w:val="nil"/>
                  </w:tcBorders>
                  <w:noWrap/>
                  <w:tcMar>
                    <w:top w:w="12" w:type="dxa"/>
                    <w:left w:w="12" w:type="dxa"/>
                    <w:right w:w="12" w:type="dxa"/>
                  </w:tcMar>
                  <w:vAlign w:val="center"/>
                </w:tcPr>
                <w:p w14:paraId="69126A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500</w:t>
                  </w:r>
                </w:p>
              </w:tc>
            </w:tr>
            <w:tr w14:paraId="2F9CEC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4CEF4E4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25</w:t>
                  </w:r>
                </w:p>
              </w:tc>
              <w:tc>
                <w:tcPr>
                  <w:tcW w:w="1261" w:type="pct"/>
                  <w:tcBorders>
                    <w:tl2br w:val="nil"/>
                    <w:tr2bl w:val="nil"/>
                  </w:tcBorders>
                  <w:noWrap/>
                  <w:tcMar>
                    <w:top w:w="12" w:type="dxa"/>
                    <w:left w:w="12" w:type="dxa"/>
                    <w:right w:w="12" w:type="dxa"/>
                  </w:tcMar>
                  <w:vAlign w:val="center"/>
                </w:tcPr>
                <w:p w14:paraId="097BAF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程家边村</w:t>
                  </w:r>
                </w:p>
              </w:tc>
              <w:tc>
                <w:tcPr>
                  <w:tcW w:w="358" w:type="pct"/>
                  <w:tcBorders>
                    <w:tl2br w:val="nil"/>
                    <w:tr2bl w:val="nil"/>
                  </w:tcBorders>
                  <w:noWrap/>
                  <w:tcMar>
                    <w:top w:w="12" w:type="dxa"/>
                    <w:left w:w="12" w:type="dxa"/>
                    <w:right w:w="12" w:type="dxa"/>
                  </w:tcMar>
                  <w:vAlign w:val="center"/>
                </w:tcPr>
                <w:p w14:paraId="744C5F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-1600</w:t>
                  </w:r>
                </w:p>
              </w:tc>
              <w:tc>
                <w:tcPr>
                  <w:tcW w:w="358" w:type="pct"/>
                  <w:tcBorders>
                    <w:tl2br w:val="nil"/>
                    <w:tr2bl w:val="nil"/>
                  </w:tcBorders>
                  <w:noWrap/>
                  <w:tcMar>
                    <w:top w:w="12" w:type="dxa"/>
                    <w:left w:w="12" w:type="dxa"/>
                    <w:right w:w="12" w:type="dxa"/>
                  </w:tcMar>
                  <w:vAlign w:val="center"/>
                </w:tcPr>
                <w:p w14:paraId="61B974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-1312</w:t>
                  </w:r>
                </w:p>
              </w:tc>
              <w:tc>
                <w:tcPr>
                  <w:tcW w:w="483" w:type="pct"/>
                  <w:tcBorders>
                    <w:tl2br w:val="nil"/>
                    <w:tr2bl w:val="nil"/>
                  </w:tcBorders>
                  <w:noWrap/>
                  <w:tcMar>
                    <w:top w:w="12" w:type="dxa"/>
                    <w:left w:w="12" w:type="dxa"/>
                    <w:right w:w="12" w:type="dxa"/>
                  </w:tcMar>
                  <w:vAlign w:val="center"/>
                </w:tcPr>
                <w:p w14:paraId="7DE52F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EB7F8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019153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96990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1FD4AB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2126</w:t>
                  </w:r>
                </w:p>
              </w:tc>
              <w:tc>
                <w:tcPr>
                  <w:tcW w:w="371" w:type="pct"/>
                  <w:tcBorders>
                    <w:tl2br w:val="nil"/>
                    <w:tr2bl w:val="nil"/>
                  </w:tcBorders>
                  <w:noWrap/>
                  <w:tcMar>
                    <w:top w:w="12" w:type="dxa"/>
                    <w:left w:w="12" w:type="dxa"/>
                    <w:right w:w="12" w:type="dxa"/>
                  </w:tcMar>
                  <w:vAlign w:val="center"/>
                </w:tcPr>
                <w:p w14:paraId="1D9C84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300</w:t>
                  </w:r>
                </w:p>
              </w:tc>
            </w:tr>
            <w:tr w14:paraId="6DDE8F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4388062">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w:t>
                  </w:r>
                </w:p>
              </w:tc>
              <w:tc>
                <w:tcPr>
                  <w:tcW w:w="1261" w:type="pct"/>
                  <w:tcBorders>
                    <w:tl2br w:val="nil"/>
                    <w:tr2bl w:val="nil"/>
                  </w:tcBorders>
                  <w:noWrap/>
                  <w:tcMar>
                    <w:top w:w="12" w:type="dxa"/>
                    <w:left w:w="12" w:type="dxa"/>
                    <w:right w:w="12" w:type="dxa"/>
                  </w:tcMar>
                  <w:vAlign w:val="center"/>
                </w:tcPr>
                <w:p w14:paraId="421958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西塘畈</w:t>
                  </w:r>
                </w:p>
              </w:tc>
              <w:tc>
                <w:tcPr>
                  <w:tcW w:w="358" w:type="pct"/>
                  <w:tcBorders>
                    <w:tl2br w:val="nil"/>
                    <w:tr2bl w:val="nil"/>
                  </w:tcBorders>
                  <w:noWrap/>
                  <w:tcMar>
                    <w:top w:w="12" w:type="dxa"/>
                    <w:left w:w="12" w:type="dxa"/>
                    <w:right w:w="12" w:type="dxa"/>
                  </w:tcMar>
                  <w:vAlign w:val="center"/>
                </w:tcPr>
                <w:p w14:paraId="30F80A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-2427</w:t>
                  </w:r>
                </w:p>
              </w:tc>
              <w:tc>
                <w:tcPr>
                  <w:tcW w:w="358" w:type="pct"/>
                  <w:tcBorders>
                    <w:tl2br w:val="nil"/>
                    <w:tr2bl w:val="nil"/>
                  </w:tcBorders>
                  <w:noWrap/>
                  <w:tcMar>
                    <w:top w:w="12" w:type="dxa"/>
                    <w:left w:w="12" w:type="dxa"/>
                    <w:right w:w="12" w:type="dxa"/>
                  </w:tcMar>
                  <w:vAlign w:val="center"/>
                </w:tcPr>
                <w:p w14:paraId="0C0103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-860</w:t>
                  </w:r>
                </w:p>
              </w:tc>
              <w:tc>
                <w:tcPr>
                  <w:tcW w:w="483" w:type="pct"/>
                  <w:tcBorders>
                    <w:tl2br w:val="nil"/>
                    <w:tr2bl w:val="nil"/>
                  </w:tcBorders>
                  <w:noWrap/>
                  <w:tcMar>
                    <w:top w:w="12" w:type="dxa"/>
                    <w:left w:w="12" w:type="dxa"/>
                    <w:right w:w="12" w:type="dxa"/>
                  </w:tcMar>
                  <w:vAlign w:val="center"/>
                </w:tcPr>
                <w:p w14:paraId="7EAD54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14D63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7A6BC97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8F47F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11F29C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2517</w:t>
                  </w:r>
                </w:p>
              </w:tc>
              <w:tc>
                <w:tcPr>
                  <w:tcW w:w="371" w:type="pct"/>
                  <w:tcBorders>
                    <w:tl2br w:val="nil"/>
                    <w:tr2bl w:val="nil"/>
                  </w:tcBorders>
                  <w:noWrap/>
                  <w:tcMar>
                    <w:top w:w="12" w:type="dxa"/>
                    <w:left w:w="12" w:type="dxa"/>
                    <w:right w:w="12" w:type="dxa"/>
                  </w:tcMar>
                  <w:vAlign w:val="center"/>
                </w:tcPr>
                <w:p w14:paraId="5B5B23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250</w:t>
                  </w:r>
                </w:p>
              </w:tc>
            </w:tr>
            <w:tr w14:paraId="15FA03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F8085A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27</w:t>
                  </w:r>
                </w:p>
              </w:tc>
              <w:tc>
                <w:tcPr>
                  <w:tcW w:w="1261" w:type="pct"/>
                  <w:tcBorders>
                    <w:tl2br w:val="nil"/>
                    <w:tr2bl w:val="nil"/>
                  </w:tcBorders>
                  <w:noWrap/>
                  <w:tcMar>
                    <w:top w:w="12" w:type="dxa"/>
                    <w:left w:w="12" w:type="dxa"/>
                    <w:right w:w="12" w:type="dxa"/>
                  </w:tcMar>
                  <w:vAlign w:val="center"/>
                </w:tcPr>
                <w:p w14:paraId="1BBE9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杨家井</w:t>
                  </w:r>
                </w:p>
              </w:tc>
              <w:tc>
                <w:tcPr>
                  <w:tcW w:w="358" w:type="pct"/>
                  <w:tcBorders>
                    <w:tl2br w:val="nil"/>
                    <w:tr2bl w:val="nil"/>
                  </w:tcBorders>
                  <w:noWrap/>
                  <w:tcMar>
                    <w:top w:w="12" w:type="dxa"/>
                    <w:left w:w="12" w:type="dxa"/>
                    <w:right w:w="12" w:type="dxa"/>
                  </w:tcMar>
                  <w:vAlign w:val="center"/>
                </w:tcPr>
                <w:p w14:paraId="35D3BF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-1880</w:t>
                  </w:r>
                </w:p>
              </w:tc>
              <w:tc>
                <w:tcPr>
                  <w:tcW w:w="358" w:type="pct"/>
                  <w:tcBorders>
                    <w:tl2br w:val="nil"/>
                    <w:tr2bl w:val="nil"/>
                  </w:tcBorders>
                  <w:noWrap/>
                  <w:tcMar>
                    <w:top w:w="12" w:type="dxa"/>
                    <w:left w:w="12" w:type="dxa"/>
                    <w:right w:w="12" w:type="dxa"/>
                  </w:tcMar>
                  <w:vAlign w:val="center"/>
                </w:tcPr>
                <w:p w14:paraId="192890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-419</w:t>
                  </w:r>
                </w:p>
              </w:tc>
              <w:tc>
                <w:tcPr>
                  <w:tcW w:w="483" w:type="pct"/>
                  <w:tcBorders>
                    <w:tl2br w:val="nil"/>
                    <w:tr2bl w:val="nil"/>
                  </w:tcBorders>
                  <w:noWrap/>
                  <w:tcMar>
                    <w:top w:w="12" w:type="dxa"/>
                    <w:left w:w="12" w:type="dxa"/>
                    <w:right w:w="12" w:type="dxa"/>
                  </w:tcMar>
                  <w:vAlign w:val="center"/>
                </w:tcPr>
                <w:p w14:paraId="6D199C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4D09F8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32E967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2BCF62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5D00C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2148</w:t>
                  </w:r>
                </w:p>
              </w:tc>
              <w:tc>
                <w:tcPr>
                  <w:tcW w:w="371" w:type="pct"/>
                  <w:tcBorders>
                    <w:tl2br w:val="nil"/>
                    <w:tr2bl w:val="nil"/>
                  </w:tcBorders>
                  <w:noWrap/>
                  <w:tcMar>
                    <w:top w:w="12" w:type="dxa"/>
                    <w:left w:w="12" w:type="dxa"/>
                    <w:right w:w="12" w:type="dxa"/>
                  </w:tcMar>
                  <w:vAlign w:val="center"/>
                </w:tcPr>
                <w:p w14:paraId="55DC14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7C696D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3D804087">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28</w:t>
                  </w:r>
                </w:p>
              </w:tc>
              <w:tc>
                <w:tcPr>
                  <w:tcW w:w="1261" w:type="pct"/>
                  <w:tcBorders>
                    <w:tl2br w:val="nil"/>
                    <w:tr2bl w:val="nil"/>
                  </w:tcBorders>
                  <w:noWrap/>
                  <w:tcMar>
                    <w:top w:w="12" w:type="dxa"/>
                    <w:left w:w="12" w:type="dxa"/>
                    <w:right w:w="12" w:type="dxa"/>
                  </w:tcMar>
                  <w:vAlign w:val="center"/>
                </w:tcPr>
                <w:p w14:paraId="4F9FA8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梅冲</w:t>
                  </w:r>
                </w:p>
              </w:tc>
              <w:tc>
                <w:tcPr>
                  <w:tcW w:w="358" w:type="pct"/>
                  <w:tcBorders>
                    <w:tl2br w:val="nil"/>
                    <w:tr2bl w:val="nil"/>
                  </w:tcBorders>
                  <w:noWrap/>
                  <w:tcMar>
                    <w:top w:w="12" w:type="dxa"/>
                    <w:left w:w="12" w:type="dxa"/>
                    <w:right w:w="12" w:type="dxa"/>
                  </w:tcMar>
                  <w:vAlign w:val="center"/>
                </w:tcPr>
                <w:p w14:paraId="0FA187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-551</w:t>
                  </w:r>
                </w:p>
              </w:tc>
              <w:tc>
                <w:tcPr>
                  <w:tcW w:w="358" w:type="pct"/>
                  <w:tcBorders>
                    <w:tl2br w:val="nil"/>
                    <w:tr2bl w:val="nil"/>
                  </w:tcBorders>
                  <w:noWrap/>
                  <w:tcMar>
                    <w:top w:w="12" w:type="dxa"/>
                    <w:left w:w="12" w:type="dxa"/>
                    <w:right w:w="12" w:type="dxa"/>
                  </w:tcMar>
                  <w:vAlign w:val="center"/>
                </w:tcPr>
                <w:p w14:paraId="3437C1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-1317</w:t>
                  </w:r>
                </w:p>
              </w:tc>
              <w:tc>
                <w:tcPr>
                  <w:tcW w:w="483" w:type="pct"/>
                  <w:tcBorders>
                    <w:tl2br w:val="nil"/>
                    <w:tr2bl w:val="nil"/>
                  </w:tcBorders>
                  <w:noWrap/>
                  <w:tcMar>
                    <w:top w:w="12" w:type="dxa"/>
                    <w:left w:w="12" w:type="dxa"/>
                    <w:right w:w="12" w:type="dxa"/>
                  </w:tcMar>
                  <w:vAlign w:val="center"/>
                </w:tcPr>
                <w:p w14:paraId="766EE2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4311F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2E1828A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7F622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西</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6AE0E4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1527</w:t>
                  </w:r>
                </w:p>
              </w:tc>
              <w:tc>
                <w:tcPr>
                  <w:tcW w:w="371" w:type="pct"/>
                  <w:tcBorders>
                    <w:tl2br w:val="nil"/>
                    <w:tr2bl w:val="nil"/>
                  </w:tcBorders>
                  <w:noWrap/>
                  <w:tcMar>
                    <w:top w:w="12" w:type="dxa"/>
                    <w:left w:w="12" w:type="dxa"/>
                    <w:right w:w="12" w:type="dxa"/>
                  </w:tcMar>
                  <w:vAlign w:val="center"/>
                </w:tcPr>
                <w:p w14:paraId="0FF053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19BAFD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32D4824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29</w:t>
                  </w:r>
                </w:p>
              </w:tc>
              <w:tc>
                <w:tcPr>
                  <w:tcW w:w="1261" w:type="pct"/>
                  <w:tcBorders>
                    <w:tl2br w:val="nil"/>
                    <w:tr2bl w:val="nil"/>
                  </w:tcBorders>
                  <w:noWrap/>
                  <w:tcMar>
                    <w:top w:w="12" w:type="dxa"/>
                    <w:left w:w="12" w:type="dxa"/>
                    <w:right w:w="12" w:type="dxa"/>
                  </w:tcMar>
                  <w:vAlign w:val="center"/>
                </w:tcPr>
                <w:p w14:paraId="35D3EA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杨树湖</w:t>
                  </w:r>
                </w:p>
              </w:tc>
              <w:tc>
                <w:tcPr>
                  <w:tcW w:w="358" w:type="pct"/>
                  <w:tcBorders>
                    <w:tl2br w:val="nil"/>
                    <w:tr2bl w:val="nil"/>
                  </w:tcBorders>
                  <w:noWrap/>
                  <w:tcMar>
                    <w:top w:w="12" w:type="dxa"/>
                    <w:left w:w="12" w:type="dxa"/>
                    <w:right w:w="12" w:type="dxa"/>
                  </w:tcMar>
                  <w:vAlign w:val="center"/>
                </w:tcPr>
                <w:p w14:paraId="58910B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1385</w:t>
                  </w:r>
                </w:p>
              </w:tc>
              <w:tc>
                <w:tcPr>
                  <w:tcW w:w="358" w:type="pct"/>
                  <w:tcBorders>
                    <w:tl2br w:val="nil"/>
                    <w:tr2bl w:val="nil"/>
                  </w:tcBorders>
                  <w:noWrap/>
                  <w:tcMar>
                    <w:top w:w="12" w:type="dxa"/>
                    <w:left w:w="12" w:type="dxa"/>
                    <w:right w:w="12" w:type="dxa"/>
                  </w:tcMar>
                  <w:vAlign w:val="center"/>
                </w:tcPr>
                <w:p w14:paraId="799603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-1322</w:t>
                  </w:r>
                </w:p>
              </w:tc>
              <w:tc>
                <w:tcPr>
                  <w:tcW w:w="483" w:type="pct"/>
                  <w:tcBorders>
                    <w:tl2br w:val="nil"/>
                    <w:tr2bl w:val="nil"/>
                  </w:tcBorders>
                  <w:noWrap/>
                  <w:tcMar>
                    <w:top w:w="12" w:type="dxa"/>
                    <w:left w:w="12" w:type="dxa"/>
                    <w:right w:w="12" w:type="dxa"/>
                  </w:tcMar>
                  <w:vAlign w:val="center"/>
                </w:tcPr>
                <w:p w14:paraId="27F10A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50A5E6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5A01CAB2">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1141E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东南</w:t>
                  </w:r>
                </w:p>
              </w:tc>
              <w:tc>
                <w:tcPr>
                  <w:tcW w:w="561" w:type="pct"/>
                  <w:tcBorders>
                    <w:tl2br w:val="nil"/>
                    <w:tr2bl w:val="nil"/>
                  </w:tcBorders>
                  <w:noWrap/>
                  <w:tcMar>
                    <w:top w:w="12" w:type="dxa"/>
                    <w:left w:w="12" w:type="dxa"/>
                    <w:right w:w="12" w:type="dxa"/>
                  </w:tcMar>
                  <w:vAlign w:val="center"/>
                </w:tcPr>
                <w:p w14:paraId="540823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1857</w:t>
                  </w:r>
                </w:p>
              </w:tc>
              <w:tc>
                <w:tcPr>
                  <w:tcW w:w="371" w:type="pct"/>
                  <w:tcBorders>
                    <w:tl2br w:val="nil"/>
                    <w:tr2bl w:val="nil"/>
                  </w:tcBorders>
                  <w:noWrap/>
                  <w:tcMar>
                    <w:top w:w="12" w:type="dxa"/>
                    <w:left w:w="12" w:type="dxa"/>
                    <w:right w:w="12" w:type="dxa"/>
                  </w:tcMar>
                  <w:vAlign w:val="center"/>
                </w:tcPr>
                <w:p w14:paraId="29C5D6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20489F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08F315B9">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30</w:t>
                  </w:r>
                </w:p>
              </w:tc>
              <w:tc>
                <w:tcPr>
                  <w:tcW w:w="1261" w:type="pct"/>
                  <w:tcBorders>
                    <w:tl2br w:val="nil"/>
                    <w:tr2bl w:val="nil"/>
                  </w:tcBorders>
                  <w:noWrap/>
                  <w:tcMar>
                    <w:top w:w="12" w:type="dxa"/>
                    <w:left w:w="12" w:type="dxa"/>
                    <w:right w:w="12" w:type="dxa"/>
                  </w:tcMar>
                  <w:vAlign w:val="center"/>
                </w:tcPr>
                <w:p w14:paraId="4C2569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胡家坞</w:t>
                  </w:r>
                </w:p>
              </w:tc>
              <w:tc>
                <w:tcPr>
                  <w:tcW w:w="358" w:type="pct"/>
                  <w:tcBorders>
                    <w:tl2br w:val="nil"/>
                    <w:tr2bl w:val="nil"/>
                  </w:tcBorders>
                  <w:noWrap/>
                  <w:tcMar>
                    <w:top w:w="12" w:type="dxa"/>
                    <w:left w:w="12" w:type="dxa"/>
                    <w:right w:w="12" w:type="dxa"/>
                  </w:tcMar>
                  <w:vAlign w:val="center"/>
                </w:tcPr>
                <w:p w14:paraId="082320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477</w:t>
                  </w:r>
                </w:p>
              </w:tc>
              <w:tc>
                <w:tcPr>
                  <w:tcW w:w="358" w:type="pct"/>
                  <w:tcBorders>
                    <w:tl2br w:val="nil"/>
                    <w:tr2bl w:val="nil"/>
                  </w:tcBorders>
                  <w:noWrap/>
                  <w:tcMar>
                    <w:top w:w="12" w:type="dxa"/>
                    <w:left w:w="12" w:type="dxa"/>
                    <w:right w:w="12" w:type="dxa"/>
                  </w:tcMar>
                  <w:vAlign w:val="center"/>
                </w:tcPr>
                <w:p w14:paraId="66DCDE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1998</w:t>
                  </w:r>
                </w:p>
              </w:tc>
              <w:tc>
                <w:tcPr>
                  <w:tcW w:w="483" w:type="pct"/>
                  <w:tcBorders>
                    <w:tl2br w:val="nil"/>
                    <w:tr2bl w:val="nil"/>
                  </w:tcBorders>
                  <w:noWrap/>
                  <w:tcMar>
                    <w:top w:w="12" w:type="dxa"/>
                    <w:left w:w="12" w:type="dxa"/>
                    <w:right w:w="12" w:type="dxa"/>
                  </w:tcMar>
                  <w:vAlign w:val="center"/>
                </w:tcPr>
                <w:p w14:paraId="4724EE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C32AC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3D5967E1">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073E5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东</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13C5DC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2129</w:t>
                  </w:r>
                </w:p>
              </w:tc>
              <w:tc>
                <w:tcPr>
                  <w:tcW w:w="371" w:type="pct"/>
                  <w:tcBorders>
                    <w:tl2br w:val="nil"/>
                    <w:tr2bl w:val="nil"/>
                  </w:tcBorders>
                  <w:noWrap/>
                  <w:tcMar>
                    <w:top w:w="12" w:type="dxa"/>
                    <w:left w:w="12" w:type="dxa"/>
                    <w:right w:w="12" w:type="dxa"/>
                  </w:tcMar>
                  <w:vAlign w:val="center"/>
                </w:tcPr>
                <w:p w14:paraId="6CADD1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100</w:t>
                  </w:r>
                </w:p>
              </w:tc>
            </w:tr>
            <w:tr w14:paraId="7A5A724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5FA9751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31</w:t>
                  </w:r>
                </w:p>
              </w:tc>
              <w:tc>
                <w:tcPr>
                  <w:tcW w:w="1261" w:type="pct"/>
                  <w:tcBorders>
                    <w:tl2br w:val="nil"/>
                    <w:tr2bl w:val="nil"/>
                  </w:tcBorders>
                  <w:noWrap/>
                  <w:tcMar>
                    <w:top w:w="12" w:type="dxa"/>
                    <w:left w:w="12" w:type="dxa"/>
                    <w:right w:w="12" w:type="dxa"/>
                  </w:tcMar>
                  <w:vAlign w:val="center"/>
                </w:tcPr>
                <w:p w14:paraId="19AFC8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张家村</w:t>
                  </w:r>
                </w:p>
              </w:tc>
              <w:tc>
                <w:tcPr>
                  <w:tcW w:w="358" w:type="pct"/>
                  <w:tcBorders>
                    <w:tl2br w:val="nil"/>
                    <w:tr2bl w:val="nil"/>
                  </w:tcBorders>
                  <w:noWrap/>
                  <w:tcMar>
                    <w:top w:w="12" w:type="dxa"/>
                    <w:left w:w="12" w:type="dxa"/>
                    <w:right w:w="12" w:type="dxa"/>
                  </w:tcMar>
                  <w:vAlign w:val="center"/>
                </w:tcPr>
                <w:p w14:paraId="284BDC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-270</w:t>
                  </w:r>
                </w:p>
              </w:tc>
              <w:tc>
                <w:tcPr>
                  <w:tcW w:w="358" w:type="pct"/>
                  <w:tcBorders>
                    <w:tl2br w:val="nil"/>
                    <w:tr2bl w:val="nil"/>
                  </w:tcBorders>
                  <w:noWrap/>
                  <w:tcMar>
                    <w:top w:w="12" w:type="dxa"/>
                    <w:left w:w="12" w:type="dxa"/>
                    <w:right w:w="12" w:type="dxa"/>
                  </w:tcMar>
                  <w:vAlign w:val="center"/>
                </w:tcPr>
                <w:p w14:paraId="79E628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-1969</w:t>
                  </w:r>
                </w:p>
              </w:tc>
              <w:tc>
                <w:tcPr>
                  <w:tcW w:w="483" w:type="pct"/>
                  <w:tcBorders>
                    <w:tl2br w:val="nil"/>
                    <w:tr2bl w:val="nil"/>
                  </w:tcBorders>
                  <w:noWrap/>
                  <w:tcMar>
                    <w:top w:w="12" w:type="dxa"/>
                    <w:left w:w="12" w:type="dxa"/>
                    <w:right w:w="12" w:type="dxa"/>
                  </w:tcMar>
                  <w:vAlign w:val="center"/>
                </w:tcPr>
                <w:p w14:paraId="5199A2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5E2522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7E46387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22F0E9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西</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5E29E5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2116</w:t>
                  </w:r>
                </w:p>
              </w:tc>
              <w:tc>
                <w:tcPr>
                  <w:tcW w:w="371" w:type="pct"/>
                  <w:tcBorders>
                    <w:tl2br w:val="nil"/>
                    <w:tr2bl w:val="nil"/>
                  </w:tcBorders>
                  <w:noWrap/>
                  <w:tcMar>
                    <w:top w:w="12" w:type="dxa"/>
                    <w:left w:w="12" w:type="dxa"/>
                    <w:right w:w="12" w:type="dxa"/>
                  </w:tcMar>
                  <w:vAlign w:val="center"/>
                </w:tcPr>
                <w:p w14:paraId="43B922F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300</w:t>
                  </w:r>
                </w:p>
              </w:tc>
            </w:tr>
            <w:tr w14:paraId="06E80D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14A50FD9">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32</w:t>
                  </w:r>
                </w:p>
              </w:tc>
              <w:tc>
                <w:tcPr>
                  <w:tcW w:w="1261" w:type="pct"/>
                  <w:tcBorders>
                    <w:tl2br w:val="nil"/>
                    <w:tr2bl w:val="nil"/>
                  </w:tcBorders>
                  <w:noWrap/>
                  <w:tcMar>
                    <w:top w:w="12" w:type="dxa"/>
                    <w:left w:w="12" w:type="dxa"/>
                    <w:right w:w="12" w:type="dxa"/>
                  </w:tcMar>
                  <w:vAlign w:val="center"/>
                </w:tcPr>
                <w:p w14:paraId="15B95B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新虎山下</w:t>
                  </w:r>
                </w:p>
              </w:tc>
              <w:tc>
                <w:tcPr>
                  <w:tcW w:w="358" w:type="pct"/>
                  <w:tcBorders>
                    <w:tl2br w:val="nil"/>
                    <w:tr2bl w:val="nil"/>
                  </w:tcBorders>
                  <w:noWrap/>
                  <w:tcMar>
                    <w:top w:w="12" w:type="dxa"/>
                    <w:left w:w="12" w:type="dxa"/>
                    <w:right w:w="12" w:type="dxa"/>
                  </w:tcMar>
                  <w:vAlign w:val="center"/>
                </w:tcPr>
                <w:p w14:paraId="583418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643</w:t>
                  </w:r>
                </w:p>
              </w:tc>
              <w:tc>
                <w:tcPr>
                  <w:tcW w:w="358" w:type="pct"/>
                  <w:tcBorders>
                    <w:tl2br w:val="nil"/>
                    <w:tr2bl w:val="nil"/>
                  </w:tcBorders>
                  <w:noWrap/>
                  <w:tcMar>
                    <w:top w:w="12" w:type="dxa"/>
                    <w:left w:w="12" w:type="dxa"/>
                    <w:right w:w="12" w:type="dxa"/>
                  </w:tcMar>
                  <w:vAlign w:val="center"/>
                </w:tcPr>
                <w:p w14:paraId="0F21F3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-539</w:t>
                  </w:r>
                </w:p>
              </w:tc>
              <w:tc>
                <w:tcPr>
                  <w:tcW w:w="483" w:type="pct"/>
                  <w:tcBorders>
                    <w:tl2br w:val="nil"/>
                    <w:tr2bl w:val="nil"/>
                  </w:tcBorders>
                  <w:noWrap/>
                  <w:tcMar>
                    <w:top w:w="12" w:type="dxa"/>
                    <w:left w:w="12" w:type="dxa"/>
                    <w:right w:w="12" w:type="dxa"/>
                  </w:tcMar>
                  <w:vAlign w:val="center"/>
                </w:tcPr>
                <w:p w14:paraId="7D3917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CEAB2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F885745">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6D68B4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东南</w:t>
                  </w:r>
                </w:p>
              </w:tc>
              <w:tc>
                <w:tcPr>
                  <w:tcW w:w="561" w:type="pct"/>
                  <w:tcBorders>
                    <w:tl2br w:val="nil"/>
                    <w:tr2bl w:val="nil"/>
                  </w:tcBorders>
                  <w:noWrap/>
                  <w:tcMar>
                    <w:top w:w="12" w:type="dxa"/>
                    <w:left w:w="12" w:type="dxa"/>
                    <w:right w:w="12" w:type="dxa"/>
                  </w:tcMar>
                  <w:vAlign w:val="center"/>
                </w:tcPr>
                <w:p w14:paraId="602F0E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719</w:t>
                  </w:r>
                </w:p>
              </w:tc>
              <w:tc>
                <w:tcPr>
                  <w:tcW w:w="371" w:type="pct"/>
                  <w:tcBorders>
                    <w:tl2br w:val="nil"/>
                    <w:tr2bl w:val="nil"/>
                  </w:tcBorders>
                  <w:noWrap/>
                  <w:tcMar>
                    <w:top w:w="12" w:type="dxa"/>
                    <w:left w:w="12" w:type="dxa"/>
                    <w:right w:w="12" w:type="dxa"/>
                  </w:tcMar>
                  <w:vAlign w:val="center"/>
                </w:tcPr>
                <w:p w14:paraId="4E02C4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150</w:t>
                  </w:r>
                </w:p>
              </w:tc>
            </w:tr>
            <w:tr w14:paraId="5C6F8D9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C265DF5">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w:t>
                  </w:r>
                </w:p>
              </w:tc>
              <w:tc>
                <w:tcPr>
                  <w:tcW w:w="1261" w:type="pct"/>
                  <w:tcBorders>
                    <w:tl2br w:val="nil"/>
                    <w:tr2bl w:val="nil"/>
                  </w:tcBorders>
                  <w:noWrap/>
                  <w:tcMar>
                    <w:top w:w="12" w:type="dxa"/>
                    <w:left w:w="12" w:type="dxa"/>
                    <w:right w:w="12" w:type="dxa"/>
                  </w:tcMar>
                  <w:vAlign w:val="center"/>
                </w:tcPr>
                <w:p w14:paraId="6028B6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璩家边</w:t>
                  </w:r>
                </w:p>
              </w:tc>
              <w:tc>
                <w:tcPr>
                  <w:tcW w:w="358" w:type="pct"/>
                  <w:tcBorders>
                    <w:tl2br w:val="nil"/>
                    <w:tr2bl w:val="nil"/>
                  </w:tcBorders>
                  <w:noWrap/>
                  <w:tcMar>
                    <w:top w:w="12" w:type="dxa"/>
                    <w:left w:w="12" w:type="dxa"/>
                    <w:right w:w="12" w:type="dxa"/>
                  </w:tcMar>
                  <w:vAlign w:val="center"/>
                </w:tcPr>
                <w:p w14:paraId="535C20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1861</w:t>
                  </w:r>
                </w:p>
              </w:tc>
              <w:tc>
                <w:tcPr>
                  <w:tcW w:w="358" w:type="pct"/>
                  <w:tcBorders>
                    <w:tl2br w:val="nil"/>
                    <w:tr2bl w:val="nil"/>
                  </w:tcBorders>
                  <w:noWrap/>
                  <w:tcMar>
                    <w:top w:w="12" w:type="dxa"/>
                    <w:left w:w="12" w:type="dxa"/>
                    <w:right w:w="12" w:type="dxa"/>
                  </w:tcMar>
                  <w:vAlign w:val="center"/>
                </w:tcPr>
                <w:p w14:paraId="3249DE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-2114</w:t>
                  </w:r>
                </w:p>
              </w:tc>
              <w:tc>
                <w:tcPr>
                  <w:tcW w:w="483" w:type="pct"/>
                  <w:tcBorders>
                    <w:tl2br w:val="nil"/>
                    <w:tr2bl w:val="nil"/>
                  </w:tcBorders>
                  <w:noWrap/>
                  <w:tcMar>
                    <w:top w:w="12" w:type="dxa"/>
                    <w:left w:w="12" w:type="dxa"/>
                    <w:right w:w="12" w:type="dxa"/>
                  </w:tcMar>
                  <w:vAlign w:val="center"/>
                </w:tcPr>
                <w:p w14:paraId="63A861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030FA6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564E6C4B">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5C897C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东南</w:t>
                  </w:r>
                </w:p>
              </w:tc>
              <w:tc>
                <w:tcPr>
                  <w:tcW w:w="561" w:type="pct"/>
                  <w:tcBorders>
                    <w:tl2br w:val="nil"/>
                    <w:tr2bl w:val="nil"/>
                  </w:tcBorders>
                  <w:noWrap/>
                  <w:tcMar>
                    <w:top w:w="12" w:type="dxa"/>
                    <w:left w:w="12" w:type="dxa"/>
                    <w:right w:w="12" w:type="dxa"/>
                  </w:tcMar>
                  <w:vAlign w:val="center"/>
                </w:tcPr>
                <w:p w14:paraId="0C8D02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2854</w:t>
                  </w:r>
                </w:p>
              </w:tc>
              <w:tc>
                <w:tcPr>
                  <w:tcW w:w="371" w:type="pct"/>
                  <w:tcBorders>
                    <w:tl2br w:val="nil"/>
                    <w:tr2bl w:val="nil"/>
                  </w:tcBorders>
                  <w:noWrap/>
                  <w:tcMar>
                    <w:top w:w="12" w:type="dxa"/>
                    <w:left w:w="12" w:type="dxa"/>
                    <w:right w:w="12" w:type="dxa"/>
                  </w:tcMar>
                  <w:vAlign w:val="center"/>
                </w:tcPr>
                <w:p w14:paraId="172A5D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0A7DB11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165FBFE0">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w:t>
                  </w:r>
                </w:p>
              </w:tc>
              <w:tc>
                <w:tcPr>
                  <w:tcW w:w="1261" w:type="pct"/>
                  <w:tcBorders>
                    <w:tl2br w:val="nil"/>
                    <w:tr2bl w:val="nil"/>
                  </w:tcBorders>
                  <w:noWrap/>
                  <w:tcMar>
                    <w:top w:w="12" w:type="dxa"/>
                    <w:left w:w="12" w:type="dxa"/>
                    <w:right w:w="12" w:type="dxa"/>
                  </w:tcMar>
                  <w:vAlign w:val="center"/>
                </w:tcPr>
                <w:p w14:paraId="720F62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刘家</w:t>
                  </w:r>
                </w:p>
              </w:tc>
              <w:tc>
                <w:tcPr>
                  <w:tcW w:w="358" w:type="pct"/>
                  <w:tcBorders>
                    <w:tl2br w:val="nil"/>
                    <w:tr2bl w:val="nil"/>
                  </w:tcBorders>
                  <w:noWrap/>
                  <w:tcMar>
                    <w:top w:w="12" w:type="dxa"/>
                    <w:left w:w="12" w:type="dxa"/>
                    <w:right w:w="12" w:type="dxa"/>
                  </w:tcMar>
                  <w:vAlign w:val="center"/>
                </w:tcPr>
                <w:p w14:paraId="26EC8E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63</w:t>
                  </w:r>
                </w:p>
              </w:tc>
              <w:tc>
                <w:tcPr>
                  <w:tcW w:w="358" w:type="pct"/>
                  <w:tcBorders>
                    <w:tl2br w:val="nil"/>
                    <w:tr2bl w:val="nil"/>
                  </w:tcBorders>
                  <w:noWrap/>
                  <w:tcMar>
                    <w:top w:w="12" w:type="dxa"/>
                    <w:left w:w="12" w:type="dxa"/>
                    <w:right w:w="12" w:type="dxa"/>
                  </w:tcMar>
                  <w:vAlign w:val="center"/>
                </w:tcPr>
                <w:p w14:paraId="78027F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221</w:t>
                  </w:r>
                </w:p>
              </w:tc>
              <w:tc>
                <w:tcPr>
                  <w:tcW w:w="483" w:type="pct"/>
                  <w:tcBorders>
                    <w:tl2br w:val="nil"/>
                    <w:tr2bl w:val="nil"/>
                  </w:tcBorders>
                  <w:noWrap/>
                  <w:tcMar>
                    <w:top w:w="12" w:type="dxa"/>
                    <w:left w:w="12" w:type="dxa"/>
                    <w:right w:w="12" w:type="dxa"/>
                  </w:tcMar>
                  <w:vAlign w:val="center"/>
                </w:tcPr>
                <w:p w14:paraId="04D1E5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5A7D6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E093E0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56C7E9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北</w:t>
                  </w:r>
                </w:p>
              </w:tc>
              <w:tc>
                <w:tcPr>
                  <w:tcW w:w="561" w:type="pct"/>
                  <w:tcBorders>
                    <w:tl2br w:val="nil"/>
                    <w:tr2bl w:val="nil"/>
                  </w:tcBorders>
                  <w:noWrap/>
                  <w:tcMar>
                    <w:top w:w="12" w:type="dxa"/>
                    <w:left w:w="12" w:type="dxa"/>
                    <w:right w:w="12" w:type="dxa"/>
                  </w:tcMar>
                  <w:vAlign w:val="center"/>
                </w:tcPr>
                <w:p w14:paraId="57381F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206</w:t>
                  </w:r>
                </w:p>
              </w:tc>
              <w:tc>
                <w:tcPr>
                  <w:tcW w:w="371" w:type="pct"/>
                  <w:tcBorders>
                    <w:tl2br w:val="nil"/>
                    <w:tr2bl w:val="nil"/>
                  </w:tcBorders>
                  <w:noWrap/>
                  <w:tcMar>
                    <w:top w:w="12" w:type="dxa"/>
                    <w:left w:w="12" w:type="dxa"/>
                    <w:right w:w="12" w:type="dxa"/>
                  </w:tcMar>
                  <w:vAlign w:val="center"/>
                </w:tcPr>
                <w:p w14:paraId="0A4189D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50</w:t>
                  </w:r>
                </w:p>
              </w:tc>
            </w:tr>
            <w:tr w14:paraId="1F38F4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0053CFEC">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35</w:t>
                  </w:r>
                </w:p>
              </w:tc>
              <w:tc>
                <w:tcPr>
                  <w:tcW w:w="1261" w:type="pct"/>
                  <w:tcBorders>
                    <w:tl2br w:val="nil"/>
                    <w:tr2bl w:val="nil"/>
                  </w:tcBorders>
                  <w:noWrap/>
                  <w:tcMar>
                    <w:top w:w="12" w:type="dxa"/>
                    <w:left w:w="12" w:type="dxa"/>
                    <w:right w:w="12" w:type="dxa"/>
                  </w:tcMar>
                  <w:vAlign w:val="center"/>
                </w:tcPr>
                <w:p w14:paraId="05BA3F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虎山下</w:t>
                  </w:r>
                </w:p>
              </w:tc>
              <w:tc>
                <w:tcPr>
                  <w:tcW w:w="358" w:type="pct"/>
                  <w:tcBorders>
                    <w:tl2br w:val="nil"/>
                    <w:tr2bl w:val="nil"/>
                  </w:tcBorders>
                  <w:noWrap/>
                  <w:tcMar>
                    <w:top w:w="12" w:type="dxa"/>
                    <w:left w:w="12" w:type="dxa"/>
                    <w:right w:w="12" w:type="dxa"/>
                  </w:tcMar>
                  <w:vAlign w:val="center"/>
                </w:tcPr>
                <w:p w14:paraId="47A6FD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540</w:t>
                  </w:r>
                </w:p>
              </w:tc>
              <w:tc>
                <w:tcPr>
                  <w:tcW w:w="358" w:type="pct"/>
                  <w:tcBorders>
                    <w:tl2br w:val="nil"/>
                    <w:tr2bl w:val="nil"/>
                  </w:tcBorders>
                  <w:noWrap/>
                  <w:tcMar>
                    <w:top w:w="12" w:type="dxa"/>
                    <w:left w:w="12" w:type="dxa"/>
                    <w:right w:w="12" w:type="dxa"/>
                  </w:tcMar>
                  <w:vAlign w:val="center"/>
                </w:tcPr>
                <w:p w14:paraId="6E60A9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422</w:t>
                  </w:r>
                </w:p>
              </w:tc>
              <w:tc>
                <w:tcPr>
                  <w:tcW w:w="483" w:type="pct"/>
                  <w:tcBorders>
                    <w:tl2br w:val="nil"/>
                    <w:tr2bl w:val="nil"/>
                  </w:tcBorders>
                  <w:noWrap/>
                  <w:tcMar>
                    <w:top w:w="12" w:type="dxa"/>
                    <w:left w:w="12" w:type="dxa"/>
                    <w:right w:w="12" w:type="dxa"/>
                  </w:tcMar>
                  <w:vAlign w:val="center"/>
                </w:tcPr>
                <w:p w14:paraId="3FDF50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0DED8C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4A399573">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357596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东北</w:t>
                  </w:r>
                </w:p>
              </w:tc>
              <w:tc>
                <w:tcPr>
                  <w:tcW w:w="561" w:type="pct"/>
                  <w:tcBorders>
                    <w:tl2br w:val="nil"/>
                    <w:tr2bl w:val="nil"/>
                  </w:tcBorders>
                  <w:noWrap/>
                  <w:tcMar>
                    <w:top w:w="12" w:type="dxa"/>
                    <w:left w:w="12" w:type="dxa"/>
                    <w:right w:w="12" w:type="dxa"/>
                  </w:tcMar>
                  <w:vAlign w:val="center"/>
                </w:tcPr>
                <w:p w14:paraId="721A0B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528</w:t>
                  </w:r>
                </w:p>
              </w:tc>
              <w:tc>
                <w:tcPr>
                  <w:tcW w:w="371" w:type="pct"/>
                  <w:tcBorders>
                    <w:tl2br w:val="nil"/>
                    <w:tr2bl w:val="nil"/>
                  </w:tcBorders>
                  <w:noWrap/>
                  <w:tcMar>
                    <w:top w:w="12" w:type="dxa"/>
                    <w:left w:w="12" w:type="dxa"/>
                    <w:right w:w="12" w:type="dxa"/>
                  </w:tcMar>
                  <w:vAlign w:val="center"/>
                </w:tcPr>
                <w:p w14:paraId="580337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200</w:t>
                  </w:r>
                </w:p>
              </w:tc>
            </w:tr>
            <w:tr w14:paraId="7A5066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4C10D9A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36</w:t>
                  </w:r>
                </w:p>
              </w:tc>
              <w:tc>
                <w:tcPr>
                  <w:tcW w:w="1261" w:type="pct"/>
                  <w:tcBorders>
                    <w:tl2br w:val="nil"/>
                    <w:tr2bl w:val="nil"/>
                  </w:tcBorders>
                  <w:noWrap/>
                  <w:tcMar>
                    <w:top w:w="12" w:type="dxa"/>
                    <w:left w:w="12" w:type="dxa"/>
                    <w:right w:w="12" w:type="dxa"/>
                  </w:tcMar>
                  <w:vAlign w:val="center"/>
                </w:tcPr>
                <w:p w14:paraId="7CBFFA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山里詹家</w:t>
                  </w:r>
                </w:p>
              </w:tc>
              <w:tc>
                <w:tcPr>
                  <w:tcW w:w="358" w:type="pct"/>
                  <w:tcBorders>
                    <w:tl2br w:val="nil"/>
                    <w:tr2bl w:val="nil"/>
                  </w:tcBorders>
                  <w:noWrap/>
                  <w:tcMar>
                    <w:top w:w="12" w:type="dxa"/>
                    <w:left w:w="12" w:type="dxa"/>
                    <w:right w:w="12" w:type="dxa"/>
                  </w:tcMar>
                  <w:vAlign w:val="center"/>
                </w:tcPr>
                <w:p w14:paraId="16B532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930</w:t>
                  </w:r>
                </w:p>
              </w:tc>
              <w:tc>
                <w:tcPr>
                  <w:tcW w:w="358" w:type="pct"/>
                  <w:tcBorders>
                    <w:tl2br w:val="nil"/>
                    <w:tr2bl w:val="nil"/>
                  </w:tcBorders>
                  <w:noWrap/>
                  <w:tcMar>
                    <w:top w:w="12" w:type="dxa"/>
                    <w:left w:w="12" w:type="dxa"/>
                    <w:right w:w="12" w:type="dxa"/>
                  </w:tcMar>
                  <w:vAlign w:val="center"/>
                </w:tcPr>
                <w:p w14:paraId="4B490F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-2234</w:t>
                  </w:r>
                </w:p>
              </w:tc>
              <w:tc>
                <w:tcPr>
                  <w:tcW w:w="483" w:type="pct"/>
                  <w:tcBorders>
                    <w:tl2br w:val="nil"/>
                    <w:tr2bl w:val="nil"/>
                  </w:tcBorders>
                  <w:noWrap/>
                  <w:tcMar>
                    <w:top w:w="12" w:type="dxa"/>
                    <w:left w:w="12" w:type="dxa"/>
                    <w:right w:w="12" w:type="dxa"/>
                  </w:tcMar>
                  <w:vAlign w:val="center"/>
                </w:tcPr>
                <w:p w14:paraId="511EB4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1440D8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7C1122BF">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79CA20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cs="宋体"/>
                      <w:i w:val="0"/>
                      <w:iCs w:val="0"/>
                      <w:color w:val="000000" w:themeColor="text1"/>
                      <w:kern w:val="0"/>
                      <w:sz w:val="21"/>
                      <w:szCs w:val="21"/>
                      <w:u w:val="none"/>
                      <w:lang w:val="en-US" w:eastAsia="zh-CN" w:bidi="ar"/>
                      <w14:textFill>
                        <w14:solidFill>
                          <w14:schemeClr w14:val="tx1"/>
                        </w14:solidFill>
                      </w14:textFill>
                    </w:rPr>
                    <w:t>东</w:t>
                  </w: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南</w:t>
                  </w:r>
                </w:p>
              </w:tc>
              <w:tc>
                <w:tcPr>
                  <w:tcW w:w="561" w:type="pct"/>
                  <w:tcBorders>
                    <w:tl2br w:val="nil"/>
                    <w:tr2bl w:val="nil"/>
                  </w:tcBorders>
                  <w:noWrap/>
                  <w:tcMar>
                    <w:top w:w="12" w:type="dxa"/>
                    <w:left w:w="12" w:type="dxa"/>
                    <w:right w:w="12" w:type="dxa"/>
                  </w:tcMar>
                  <w:vAlign w:val="center"/>
                </w:tcPr>
                <w:p w14:paraId="4D96A6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2493</w:t>
                  </w:r>
                </w:p>
              </w:tc>
              <w:tc>
                <w:tcPr>
                  <w:tcW w:w="371" w:type="pct"/>
                  <w:tcBorders>
                    <w:tl2br w:val="nil"/>
                    <w:tr2bl w:val="nil"/>
                  </w:tcBorders>
                  <w:noWrap/>
                  <w:tcMar>
                    <w:top w:w="12" w:type="dxa"/>
                    <w:left w:w="12" w:type="dxa"/>
                    <w:right w:w="12" w:type="dxa"/>
                  </w:tcMar>
                  <w:vAlign w:val="center"/>
                </w:tcPr>
                <w:p w14:paraId="366148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60</w:t>
                  </w:r>
                </w:p>
              </w:tc>
            </w:tr>
            <w:tr w14:paraId="7BAD7F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1BDDCBD4">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37</w:t>
                  </w:r>
                </w:p>
              </w:tc>
              <w:tc>
                <w:tcPr>
                  <w:tcW w:w="1261" w:type="pct"/>
                  <w:tcBorders>
                    <w:tl2br w:val="nil"/>
                    <w:tr2bl w:val="nil"/>
                  </w:tcBorders>
                  <w:noWrap/>
                  <w:tcMar>
                    <w:top w:w="12" w:type="dxa"/>
                    <w:left w:w="12" w:type="dxa"/>
                    <w:right w:w="12" w:type="dxa"/>
                  </w:tcMar>
                  <w:vAlign w:val="center"/>
                </w:tcPr>
                <w:p w14:paraId="58DE89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三佰分</w:t>
                  </w: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w:t>
                  </w:r>
                </w:p>
              </w:tc>
              <w:tc>
                <w:tcPr>
                  <w:tcW w:w="358" w:type="pct"/>
                  <w:tcBorders>
                    <w:tl2br w:val="nil"/>
                    <w:tr2bl w:val="nil"/>
                  </w:tcBorders>
                  <w:noWrap/>
                  <w:tcMar>
                    <w:top w:w="12" w:type="dxa"/>
                    <w:left w:w="12" w:type="dxa"/>
                    <w:right w:w="12" w:type="dxa"/>
                  </w:tcMar>
                  <w:vAlign w:val="center"/>
                </w:tcPr>
                <w:p w14:paraId="11EEB5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533</w:t>
                  </w:r>
                </w:p>
              </w:tc>
              <w:tc>
                <w:tcPr>
                  <w:tcW w:w="358" w:type="pct"/>
                  <w:tcBorders>
                    <w:tl2br w:val="nil"/>
                    <w:tr2bl w:val="nil"/>
                  </w:tcBorders>
                  <w:noWrap/>
                  <w:tcMar>
                    <w:top w:w="12" w:type="dxa"/>
                    <w:left w:w="12" w:type="dxa"/>
                    <w:right w:w="12" w:type="dxa"/>
                  </w:tcMar>
                  <w:vAlign w:val="center"/>
                </w:tcPr>
                <w:p w14:paraId="387E99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9</w:t>
                  </w:r>
                </w:p>
              </w:tc>
              <w:tc>
                <w:tcPr>
                  <w:tcW w:w="483" w:type="pct"/>
                  <w:tcBorders>
                    <w:tl2br w:val="nil"/>
                    <w:tr2bl w:val="nil"/>
                  </w:tcBorders>
                  <w:noWrap/>
                  <w:tcMar>
                    <w:top w:w="12" w:type="dxa"/>
                    <w:left w:w="12" w:type="dxa"/>
                    <w:right w:w="12" w:type="dxa"/>
                  </w:tcMar>
                  <w:vAlign w:val="center"/>
                </w:tcPr>
                <w:p w14:paraId="7228B0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748376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12A12AEE">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0F8EC7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东</w:t>
                  </w:r>
                </w:p>
              </w:tc>
              <w:tc>
                <w:tcPr>
                  <w:tcW w:w="561" w:type="pct"/>
                  <w:tcBorders>
                    <w:tl2br w:val="nil"/>
                    <w:tr2bl w:val="nil"/>
                  </w:tcBorders>
                  <w:noWrap/>
                  <w:tcMar>
                    <w:top w:w="12" w:type="dxa"/>
                    <w:left w:w="12" w:type="dxa"/>
                    <w:right w:w="12" w:type="dxa"/>
                  </w:tcMar>
                  <w:vAlign w:val="center"/>
                </w:tcPr>
                <w:p w14:paraId="2D4E70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362</w:t>
                  </w:r>
                </w:p>
              </w:tc>
              <w:tc>
                <w:tcPr>
                  <w:tcW w:w="371" w:type="pct"/>
                  <w:tcBorders>
                    <w:tl2br w:val="nil"/>
                    <w:tr2bl w:val="nil"/>
                  </w:tcBorders>
                  <w:noWrap/>
                  <w:tcMar>
                    <w:top w:w="12" w:type="dxa"/>
                    <w:left w:w="12" w:type="dxa"/>
                    <w:right w:w="12" w:type="dxa"/>
                  </w:tcMar>
                  <w:vAlign w:val="center"/>
                </w:tcPr>
                <w:p w14:paraId="2485A5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50</w:t>
                  </w:r>
                </w:p>
              </w:tc>
            </w:tr>
            <w:tr w14:paraId="5BA01B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26" w:type="pct"/>
                  <w:tcBorders>
                    <w:tl2br w:val="nil"/>
                    <w:tr2bl w:val="nil"/>
                  </w:tcBorders>
                  <w:noWrap/>
                  <w:tcMar>
                    <w:top w:w="12" w:type="dxa"/>
                    <w:left w:w="12" w:type="dxa"/>
                    <w:right w:w="12" w:type="dxa"/>
                  </w:tcMar>
                  <w:vAlign w:val="center"/>
                </w:tcPr>
                <w:p w14:paraId="799FDB4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38</w:t>
                  </w:r>
                </w:p>
              </w:tc>
              <w:tc>
                <w:tcPr>
                  <w:tcW w:w="1261" w:type="pct"/>
                  <w:tcBorders>
                    <w:tl2br w:val="nil"/>
                    <w:tr2bl w:val="nil"/>
                  </w:tcBorders>
                  <w:noWrap/>
                  <w:tcMar>
                    <w:top w:w="12" w:type="dxa"/>
                    <w:left w:w="12" w:type="dxa"/>
                    <w:right w:w="12" w:type="dxa"/>
                  </w:tcMar>
                  <w:vAlign w:val="center"/>
                </w:tcPr>
                <w:p w14:paraId="0AE645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唐坂</w:t>
                  </w:r>
                </w:p>
              </w:tc>
              <w:tc>
                <w:tcPr>
                  <w:tcW w:w="358" w:type="pct"/>
                  <w:tcBorders>
                    <w:tl2br w:val="nil"/>
                    <w:tr2bl w:val="nil"/>
                  </w:tcBorders>
                  <w:noWrap/>
                  <w:tcMar>
                    <w:top w:w="12" w:type="dxa"/>
                    <w:left w:w="12" w:type="dxa"/>
                    <w:right w:w="12" w:type="dxa"/>
                  </w:tcMar>
                  <w:vAlign w:val="center"/>
                </w:tcPr>
                <w:p w14:paraId="3D609E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-1048</w:t>
                  </w:r>
                </w:p>
              </w:tc>
              <w:tc>
                <w:tcPr>
                  <w:tcW w:w="358" w:type="pct"/>
                  <w:tcBorders>
                    <w:tl2br w:val="nil"/>
                    <w:tr2bl w:val="nil"/>
                  </w:tcBorders>
                  <w:noWrap/>
                  <w:tcMar>
                    <w:top w:w="12" w:type="dxa"/>
                    <w:left w:w="12" w:type="dxa"/>
                    <w:right w:w="12" w:type="dxa"/>
                  </w:tcMar>
                  <w:vAlign w:val="center"/>
                </w:tcPr>
                <w:p w14:paraId="022CC1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-1347</w:t>
                  </w:r>
                </w:p>
              </w:tc>
              <w:tc>
                <w:tcPr>
                  <w:tcW w:w="483" w:type="pct"/>
                  <w:tcBorders>
                    <w:tl2br w:val="nil"/>
                    <w:tr2bl w:val="nil"/>
                  </w:tcBorders>
                  <w:noWrap/>
                  <w:tcMar>
                    <w:top w:w="12" w:type="dxa"/>
                    <w:left w:w="12" w:type="dxa"/>
                    <w:right w:w="12" w:type="dxa"/>
                  </w:tcMar>
                  <w:vAlign w:val="center"/>
                </w:tcPr>
                <w:p w14:paraId="4A1A93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自然村</w:t>
                  </w:r>
                </w:p>
              </w:tc>
              <w:tc>
                <w:tcPr>
                  <w:tcW w:w="388" w:type="pct"/>
                  <w:tcBorders>
                    <w:tl2br w:val="nil"/>
                    <w:tr2bl w:val="nil"/>
                  </w:tcBorders>
                  <w:noWrap/>
                  <w:tcMar>
                    <w:top w:w="12" w:type="dxa"/>
                    <w:left w:w="12" w:type="dxa"/>
                    <w:right w:w="12" w:type="dxa"/>
                  </w:tcMar>
                  <w:vAlign w:val="center"/>
                </w:tcPr>
                <w:p w14:paraId="662F94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居民</w:t>
                  </w:r>
                </w:p>
              </w:tc>
              <w:tc>
                <w:tcPr>
                  <w:tcW w:w="449" w:type="pct"/>
                  <w:tcBorders>
                    <w:tl2br w:val="nil"/>
                    <w:tr2bl w:val="nil"/>
                  </w:tcBorders>
                  <w:noWrap/>
                  <w:tcMar>
                    <w:top w:w="12" w:type="dxa"/>
                    <w:left w:w="12" w:type="dxa"/>
                    <w:right w:w="12" w:type="dxa"/>
                  </w:tcMar>
                  <w:vAlign w:val="center"/>
                </w:tcPr>
                <w:p w14:paraId="082C9C9A">
                  <w:pPr>
                    <w:keepNext w:val="0"/>
                    <w:keepLines w:val="0"/>
                    <w:pageBreakBefore w:val="0"/>
                    <w:widowControl/>
                    <w:suppressLineNumbers w:val="0"/>
                    <w:shd w:val="clear" w:color="auto" w:fill="auto"/>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二类区</w:t>
                  </w:r>
                </w:p>
              </w:tc>
              <w:tc>
                <w:tcPr>
                  <w:tcW w:w="440" w:type="pct"/>
                  <w:tcBorders>
                    <w:tl2br w:val="nil"/>
                    <w:tr2bl w:val="nil"/>
                  </w:tcBorders>
                  <w:noWrap/>
                  <w:tcMar>
                    <w:top w:w="12" w:type="dxa"/>
                    <w:left w:w="12" w:type="dxa"/>
                    <w:right w:w="12" w:type="dxa"/>
                  </w:tcMar>
                  <w:vAlign w:val="center"/>
                </w:tcPr>
                <w:p w14:paraId="40F45B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宋体" w:hAnsi="宋体" w:eastAsia="宋体" w:cs="宋体"/>
                      <w:i w:val="0"/>
                      <w:iCs w:val="0"/>
                      <w:color w:val="000000" w:themeColor="text1"/>
                      <w:kern w:val="0"/>
                      <w:sz w:val="21"/>
                      <w:szCs w:val="21"/>
                      <w:u w:val="none"/>
                      <w:lang w:val="en-US" w:eastAsia="zh-CN" w:bidi="ar"/>
                      <w14:textFill>
                        <w14:solidFill>
                          <w14:schemeClr w14:val="tx1"/>
                        </w14:solidFill>
                      </w14:textFill>
                    </w:rPr>
                    <w:t>西南</w:t>
                  </w:r>
                </w:p>
              </w:tc>
              <w:tc>
                <w:tcPr>
                  <w:tcW w:w="561" w:type="pct"/>
                  <w:tcBorders>
                    <w:tl2br w:val="nil"/>
                    <w:tr2bl w:val="nil"/>
                  </w:tcBorders>
                  <w:noWrap/>
                  <w:tcMar>
                    <w:top w:w="12" w:type="dxa"/>
                    <w:left w:w="12" w:type="dxa"/>
                    <w:right w:w="12" w:type="dxa"/>
                  </w:tcMar>
                  <w:vAlign w:val="center"/>
                </w:tcPr>
                <w:p w14:paraId="3E6702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1778</w:t>
                  </w:r>
                </w:p>
              </w:tc>
              <w:tc>
                <w:tcPr>
                  <w:tcW w:w="371" w:type="pct"/>
                  <w:tcBorders>
                    <w:tl2br w:val="nil"/>
                    <w:tr2bl w:val="nil"/>
                  </w:tcBorders>
                  <w:noWrap/>
                  <w:tcMar>
                    <w:top w:w="12" w:type="dxa"/>
                    <w:left w:w="12" w:type="dxa"/>
                    <w:right w:w="12" w:type="dxa"/>
                  </w:tcMar>
                  <w:vAlign w:val="center"/>
                </w:tcPr>
                <w:p w14:paraId="754A008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200</w:t>
                  </w:r>
                </w:p>
              </w:tc>
            </w:tr>
          </w:tbl>
          <w:p w14:paraId="6990FD8F">
            <w:pPr>
              <w:pStyle w:val="58"/>
              <w:keepNext w:val="0"/>
              <w:keepLines w:val="0"/>
              <w:pageBreakBefore w:val="0"/>
              <w:widowControl w:val="0"/>
              <w:shd w:val="clear" w:color="auto" w:fill="auto"/>
              <w:kinsoku/>
              <w:wordWrap/>
              <w:overflowPunct/>
              <w:topLinePunct w:val="0"/>
              <w:autoSpaceDE/>
              <w:autoSpaceDN/>
              <w:bidi w:val="0"/>
              <w:adjustRightInd/>
              <w:snapToGrid/>
              <w:spacing w:line="240" w:lineRule="auto"/>
              <w:ind w:firstLine="420" w:firstLineChars="200"/>
              <w:jc w:val="both"/>
              <w:textAlignment w:val="auto"/>
              <w:rPr>
                <w:rFonts w:hint="eastAsia"/>
                <w:color w:val="000000" w:themeColor="text1"/>
                <w:sz w:val="21"/>
                <w:szCs w:val="21"/>
                <w:highlight w:val="none"/>
                <w14:textFill>
                  <w14:solidFill>
                    <w14:schemeClr w14:val="tx1"/>
                  </w14:solidFill>
                </w14:textFill>
              </w:rPr>
            </w:pPr>
            <w:r>
              <w:rPr>
                <w:rFonts w:hint="eastAsia" w:cs="Times New Roman"/>
                <w:b w:val="0"/>
                <w:bCs w:val="0"/>
                <w:color w:val="000000" w:themeColor="text1"/>
                <w:sz w:val="21"/>
                <w:szCs w:val="21"/>
                <w:lang w:val="en-US" w:eastAsia="zh-CN"/>
                <w14:textFill>
                  <w14:solidFill>
                    <w14:schemeClr w14:val="tx1"/>
                  </w14:solidFill>
                </w14:textFill>
              </w:rPr>
              <w:t>注：</w:t>
            </w:r>
            <w:r>
              <w:rPr>
                <w:rFonts w:hint="default" w:ascii="Times New Roman" w:hAnsi="Times New Roman" w:cs="Times New Roman"/>
                <w:b w:val="0"/>
                <w:bCs w:val="0"/>
                <w:color w:val="000000" w:themeColor="text1"/>
                <w:sz w:val="21"/>
                <w:szCs w:val="21"/>
                <w14:textFill>
                  <w14:solidFill>
                    <w14:schemeClr w14:val="tx1"/>
                  </w14:solidFill>
                </w14:textFill>
              </w:rPr>
              <w:t>本次以边界左下角为坐标（0,0）点，原点地理坐标为（东经117°10′8.05</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1</w:t>
            </w:r>
            <w:r>
              <w:rPr>
                <w:rFonts w:hint="default" w:ascii="Times New Roman" w:hAnsi="Times New Roman" w:cs="Times New Roman"/>
                <w:b w:val="0"/>
                <w:bCs w:val="0"/>
                <w:color w:val="000000" w:themeColor="text1"/>
                <w:sz w:val="21"/>
                <w:szCs w:val="21"/>
                <w14:textFill>
                  <w14:solidFill>
                    <w14:schemeClr w14:val="tx1"/>
                  </w14:solidFill>
                </w14:textFill>
              </w:rPr>
              <w:t>″，北纬29°0′34.18</w:t>
            </w:r>
            <w:r>
              <w:rPr>
                <w:rFonts w:hint="default" w:ascii="Times New Roman" w:hAnsi="Times New Roman" w:cs="Times New Roman"/>
                <w:b w:val="0"/>
                <w:bCs w:val="0"/>
                <w:color w:val="000000" w:themeColor="text1"/>
                <w:sz w:val="21"/>
                <w:szCs w:val="21"/>
                <w:lang w:val="en-US" w:eastAsia="zh-CN"/>
                <w14:textFill>
                  <w14:solidFill>
                    <w14:schemeClr w14:val="tx1"/>
                  </w14:solidFill>
                </w14:textFill>
              </w:rPr>
              <w:t>6</w:t>
            </w:r>
            <w:r>
              <w:rPr>
                <w:rFonts w:hint="default" w:ascii="Times New Roman" w:hAnsi="Times New Roman" w:cs="Times New Roman"/>
                <w:b w:val="0"/>
                <w:bCs w:val="0"/>
                <w:color w:val="000000" w:themeColor="text1"/>
                <w:sz w:val="21"/>
                <w:szCs w:val="21"/>
                <w14:textFill>
                  <w14:solidFill>
                    <w14:schemeClr w14:val="tx1"/>
                  </w14:solidFill>
                </w14:textFill>
              </w:rPr>
              <w:t>″）。</w:t>
            </w:r>
          </w:p>
          <w:p w14:paraId="6837FA93">
            <w:pPr>
              <w:pStyle w:val="58"/>
              <w:shd w:val="clear" w:color="auto" w:fill="auto"/>
              <w:ind w:firstLine="482" w:firstLineChars="200"/>
              <w:jc w:val="both"/>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地下水环境</w:t>
            </w:r>
            <w:r>
              <w:rPr>
                <w:rFonts w:hint="eastAsia"/>
                <w:color w:val="000000" w:themeColor="text1"/>
                <w:highlight w:val="none"/>
                <w14:textFill>
                  <w14:solidFill>
                    <w14:schemeClr w14:val="tx1"/>
                  </w14:solidFill>
                </w14:textFill>
              </w:rPr>
              <w:t>保护目标</w:t>
            </w:r>
          </w:p>
          <w:p w14:paraId="34F70D8B">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本项目边界外500米范围内无地下水集中式饮用水水源和热水、矿泉水、温泉等特殊地下水资源。</w:t>
            </w:r>
          </w:p>
          <w:p w14:paraId="0185A339">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color w:val="000000" w:themeColor="text1"/>
                <w:highlight w:val="none"/>
                <w14:textFill>
                  <w14:solidFill>
                    <w14:schemeClr w14:val="tx1"/>
                  </w14:solidFill>
                </w14:textFill>
              </w:rPr>
              <w:t>声环境</w:t>
            </w:r>
            <w:r>
              <w:rPr>
                <w:rFonts w:hint="eastAsia"/>
                <w:color w:val="000000" w:themeColor="text1"/>
                <w:highlight w:val="none"/>
                <w14:textFill>
                  <w14:solidFill>
                    <w14:schemeClr w14:val="tx1"/>
                  </w14:solidFill>
                </w14:textFill>
              </w:rPr>
              <w:t>保护目标</w:t>
            </w:r>
          </w:p>
          <w:p w14:paraId="1BBF430C">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本项目50米范围内无声环境保护目标。</w:t>
            </w:r>
          </w:p>
          <w:p w14:paraId="217CF0E3">
            <w:pPr>
              <w:pStyle w:val="58"/>
              <w:shd w:val="clear" w:color="auto" w:fill="auto"/>
              <w:ind w:firstLine="482"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4、生态环境保护目标</w:t>
            </w:r>
          </w:p>
          <w:p w14:paraId="19D22D2E">
            <w:pPr>
              <w:pStyle w:val="56"/>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项目位于</w:t>
            </w:r>
            <w:r>
              <w:rPr>
                <w:rFonts w:hint="eastAsia"/>
                <w:color w:val="000000" w:themeColor="text1"/>
                <w:highlight w:val="none"/>
                <w:lang w:eastAsia="zh-CN"/>
                <w14:textFill>
                  <w14:solidFill>
                    <w14:schemeClr w14:val="tx1"/>
                  </w14:solidFill>
                </w14:textFill>
              </w:rPr>
              <w:t>江西省乐平市汽摩配小镇C10厂房</w:t>
            </w:r>
            <w:r>
              <w:rPr>
                <w:color w:val="000000" w:themeColor="text1"/>
                <w:highlight w:val="none"/>
                <w14:textFill>
                  <w14:solidFill>
                    <w14:schemeClr w14:val="tx1"/>
                  </w14:solidFill>
                </w14:textFill>
              </w:rPr>
              <w:t>，</w:t>
            </w:r>
            <w:r>
              <w:rPr>
                <w:rFonts w:hint="default"/>
                <w:color w:val="000000" w:themeColor="text1"/>
                <w:highlight w:val="none"/>
                <w14:textFill>
                  <w14:solidFill>
                    <w14:schemeClr w14:val="tx1"/>
                  </w14:solidFill>
                </w14:textFill>
              </w:rPr>
              <w:t>区域生态受人为干扰比较严重，区域没有大型哺乳类野生动物活动，主要分布常见的小型动物，例如老鼠、蛇、昆虫和鸟类。区域内受人类影响，野生动物的活动和种群分布较少。</w:t>
            </w:r>
          </w:p>
        </w:tc>
      </w:tr>
      <w:tr w14:paraId="72A79B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581" w:hRule="atLeast"/>
          <w:jc w:val="center"/>
        </w:trPr>
        <w:tc>
          <w:tcPr>
            <w:tcW w:w="456" w:type="dxa"/>
            <w:noWrap w:val="0"/>
            <w:tcMar>
              <w:left w:w="28" w:type="dxa"/>
              <w:right w:w="28" w:type="dxa"/>
            </w:tcMar>
            <w:vAlign w:val="center"/>
          </w:tcPr>
          <w:p w14:paraId="47E62768">
            <w:pPr>
              <w:pStyle w:val="95"/>
              <w:shd w:val="clear" w:color="auto" w:fill="auto"/>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污染物排放控制标准</w:t>
            </w:r>
          </w:p>
        </w:tc>
        <w:tc>
          <w:tcPr>
            <w:tcW w:w="8063" w:type="dxa"/>
            <w:noWrap w:val="0"/>
            <w:vAlign w:val="center"/>
          </w:tcPr>
          <w:p w14:paraId="3D10185E">
            <w:pPr>
              <w:pStyle w:val="108"/>
              <w:shd w:val="clear" w:color="auto" w:fill="auto"/>
              <w:ind w:firstLine="482"/>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1、废气</w:t>
            </w:r>
          </w:p>
          <w:p w14:paraId="763C4D2A">
            <w:pPr>
              <w:shd w:val="clear" w:color="auto" w:fill="auto"/>
              <w:adjustRightInd w:val="0"/>
              <w:snapToGrid w:val="0"/>
              <w:ind w:firstLine="480"/>
              <w:jc w:val="both"/>
              <w:rPr>
                <w:rFonts w:hint="eastAsia"/>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运营期金属熔化</w:t>
            </w:r>
            <w:r>
              <w:rPr>
                <w:rFonts w:hint="default"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14:textFill>
                  <w14:solidFill>
                    <w14:schemeClr w14:val="tx1"/>
                  </w14:solidFill>
                </w14:textFill>
              </w:rPr>
              <w:t>造型</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/制芯、</w:t>
            </w:r>
            <w:r>
              <w:rPr>
                <w:rFonts w:hint="default" w:ascii="Times New Roman" w:hAnsi="Times New Roman" w:cs="Times New Roman"/>
                <w:color w:val="000000" w:themeColor="text1"/>
                <w:sz w:val="24"/>
                <w:szCs w:val="24"/>
                <w:highlight w:val="none"/>
                <w:lang w:eastAsia="zh-CN"/>
                <w14:textFill>
                  <w14:solidFill>
                    <w14:schemeClr w14:val="tx1"/>
                  </w14:solidFill>
                </w14:textFill>
              </w:rPr>
              <w:t>浇注、</w:t>
            </w:r>
            <w:r>
              <w:rPr>
                <w:rFonts w:hint="default" w:ascii="Times New Roman" w:hAnsi="Times New Roman" w:cs="Times New Roman"/>
                <w:color w:val="000000" w:themeColor="text1"/>
                <w:sz w:val="24"/>
                <w:szCs w:val="24"/>
                <w:highlight w:val="none"/>
                <w14:textFill>
                  <w14:solidFill>
                    <w14:schemeClr w14:val="tx1"/>
                  </w14:solidFill>
                </w14:textFill>
              </w:rPr>
              <w:t>砂处理</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工序</w:t>
            </w:r>
            <w:r>
              <w:rPr>
                <w:rFonts w:hint="default" w:ascii="Times New Roman" w:hAnsi="Times New Roman" w:cs="Times New Roman"/>
                <w:color w:val="000000" w:themeColor="text1"/>
                <w:sz w:val="24"/>
                <w:szCs w:val="24"/>
                <w:highlight w:val="none"/>
                <w14:textFill>
                  <w14:solidFill>
                    <w14:schemeClr w14:val="tx1"/>
                  </w14:solidFill>
                </w14:textFill>
              </w:rPr>
              <w:t>产生</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的</w:t>
            </w:r>
            <w:r>
              <w:rPr>
                <w:rFonts w:hint="default" w:ascii="Times New Roman" w:hAnsi="Times New Roman" w:cs="Times New Roman"/>
                <w:color w:val="000000" w:themeColor="text1"/>
                <w:sz w:val="24"/>
                <w:szCs w:val="24"/>
                <w:highlight w:val="none"/>
                <w14:textFill>
                  <w14:solidFill>
                    <w14:schemeClr w14:val="tx1"/>
                  </w14:solidFill>
                </w14:textFill>
              </w:rPr>
              <w:t>颗粒物有组织排放浓度执行《铸造工业大气污染物排放标准》（GB39726—2020）表1</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相应工序</w:t>
            </w:r>
            <w:r>
              <w:rPr>
                <w:rFonts w:hint="default" w:ascii="Times New Roman" w:hAnsi="Times New Roman" w:cs="Times New Roman"/>
                <w:color w:val="000000" w:themeColor="text1"/>
                <w:sz w:val="24"/>
                <w:szCs w:val="24"/>
                <w:highlight w:val="none"/>
                <w14:textFill>
                  <w14:solidFill>
                    <w14:schemeClr w14:val="tx1"/>
                  </w14:solidFill>
                </w14:textFill>
              </w:rPr>
              <w:t>排放浓度限值</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要求</w:t>
            </w:r>
            <w:r>
              <w:rPr>
                <w:rFonts w:hint="eastAsia"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配料、</w:t>
            </w:r>
            <w:r>
              <w:rPr>
                <w:rFonts w:hint="default" w:ascii="Times New Roman" w:hAnsi="Times New Roman" w:cs="Times New Roman"/>
                <w:color w:val="000000" w:themeColor="text1"/>
                <w:sz w:val="24"/>
                <w:szCs w:val="24"/>
                <w:highlight w:val="none"/>
                <w14:textFill>
                  <w14:solidFill>
                    <w14:schemeClr w14:val="tx1"/>
                  </w14:solidFill>
                </w14:textFill>
              </w:rPr>
              <w:t>造型</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/制芯、</w:t>
            </w:r>
            <w:r>
              <w:rPr>
                <w:rFonts w:hint="default" w:ascii="Times New Roman" w:hAnsi="Times New Roman" w:cs="Times New Roman"/>
                <w:color w:val="000000" w:themeColor="text1"/>
                <w:sz w:val="24"/>
                <w:szCs w:val="24"/>
                <w:highlight w:val="none"/>
                <w:lang w:eastAsia="zh-CN"/>
                <w14:textFill>
                  <w14:solidFill>
                    <w14:schemeClr w14:val="tx1"/>
                  </w14:solidFill>
                </w14:textFill>
              </w:rPr>
              <w:t>浇注</w:t>
            </w:r>
            <w:r>
              <w:rPr>
                <w:rFonts w:hint="default" w:ascii="Times New Roman" w:hAnsi="Times New Roman" w:cs="Times New Roman"/>
                <w:color w:val="000000" w:themeColor="text1"/>
                <w:sz w:val="24"/>
                <w:szCs w:val="24"/>
                <w:highlight w:val="none"/>
                <w14:textFill>
                  <w14:solidFill>
                    <w14:schemeClr w14:val="tx1"/>
                  </w14:solidFill>
                </w14:textFill>
              </w:rPr>
              <w:t>工序</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产生的</w:t>
            </w:r>
            <w:r>
              <w:rPr>
                <w:rFonts w:hint="eastAsia" w:cs="Times New Roman"/>
                <w:color w:val="000000" w:themeColor="text1"/>
                <w:highlight w:val="none"/>
                <w:lang w:val="en-US" w:eastAsia="zh-CN"/>
                <w14:textFill>
                  <w14:solidFill>
                    <w14:schemeClr w14:val="tx1"/>
                  </w14:solidFill>
                </w14:textFill>
              </w:rPr>
              <w:t>TVOC</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default" w:ascii="Times New Roman" w:hAnsi="Times New Roman" w:cs="Times New Roman"/>
                <w:color w:val="000000" w:themeColor="text1"/>
                <w:sz w:val="24"/>
                <w:szCs w:val="24"/>
                <w:highlight w:val="none"/>
                <w:lang w:eastAsia="zh-CN"/>
                <w14:textFill>
                  <w14:solidFill>
                    <w14:schemeClr w14:val="tx1"/>
                  </w14:solidFill>
                </w14:textFill>
              </w:rPr>
              <w:t>甲醛、</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酚类</w:t>
            </w:r>
            <w:r>
              <w:rPr>
                <w:rFonts w:hint="eastAsia" w:cs="Times New Roman"/>
                <w:color w:val="000000" w:themeColor="text1"/>
                <w:highlight w:val="none"/>
                <w:lang w:val="en-US" w:eastAsia="zh-CN"/>
                <w14:textFill>
                  <w14:solidFill>
                    <w14:schemeClr w14:val="tx1"/>
                  </w14:solidFill>
                </w14:textFill>
              </w:rPr>
              <w:t>（以苯酚计）</w:t>
            </w:r>
            <w:r>
              <w:rPr>
                <w:rFonts w:hint="default" w:ascii="Times New Roman" w:hAnsi="Times New Roman" w:cs="Times New Roman"/>
                <w:color w:val="000000" w:themeColor="text1"/>
                <w:sz w:val="24"/>
                <w:szCs w:val="24"/>
                <w:highlight w:val="none"/>
                <w14:textFill>
                  <w14:solidFill>
                    <w14:schemeClr w14:val="tx1"/>
                  </w14:solidFill>
                </w14:textFill>
              </w:rPr>
              <w:t>有组织排放浓度执行《大气污染物综合排放标准》（GB16297-1996）表2中二级标准</w:t>
            </w:r>
            <w:r>
              <w:rPr>
                <w:rFonts w:hint="eastAsia"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粘土砂浇注工序产生的SO</w:t>
            </w:r>
            <w:r>
              <w:rPr>
                <w:rFonts w:hint="default" w:ascii="Times New Roman" w:hAnsi="Times New Roman" w:cs="Times New Roman"/>
                <w:color w:val="000000" w:themeColor="text1"/>
                <w:sz w:val="24"/>
                <w:szCs w:val="24"/>
                <w:highlight w:val="none"/>
                <w:vertAlign w:val="subscript"/>
                <w:lang w:val="en-US" w:eastAsia="zh-CN"/>
                <w14:textFill>
                  <w14:solidFill>
                    <w14:schemeClr w14:val="tx1"/>
                  </w14:solidFill>
                </w14:textFill>
              </w:rPr>
              <w:t>2</w:t>
            </w:r>
            <w:r>
              <w:rPr>
                <w:rFonts w:hint="default" w:ascii="Times New Roman" w:hAnsi="Times New Roman" w:cs="Times New Roman"/>
                <w:color w:val="000000" w:themeColor="text1"/>
                <w:sz w:val="24"/>
                <w:szCs w:val="24"/>
                <w:highlight w:val="none"/>
                <w14:textFill>
                  <w14:solidFill>
                    <w14:schemeClr w14:val="tx1"/>
                  </w14:solidFill>
                </w14:textFill>
              </w:rPr>
              <w:t>有组织排放浓度满足《大气污染物综合排放标准》（GB16297-1996）表2中二级标准</w:t>
            </w:r>
            <w:r>
              <w:rPr>
                <w:rFonts w:hint="eastAsia"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涂装工序产生的漆雾、</w:t>
            </w:r>
            <w:r>
              <w:rPr>
                <w:rFonts w:hint="eastAsia" w:cs="Times New Roman"/>
                <w:color w:val="000000" w:themeColor="text1"/>
                <w:highlight w:val="none"/>
                <w:lang w:val="en-US" w:eastAsia="zh-CN"/>
                <w14:textFill>
                  <w14:solidFill>
                    <w14:schemeClr w14:val="tx1"/>
                  </w14:solidFill>
                </w14:textFill>
              </w:rPr>
              <w:t>TVOC、NMHC</w:t>
            </w:r>
            <w:r>
              <w:rPr>
                <w:rFonts w:hint="default" w:ascii="Times New Roman" w:hAnsi="Times New Roman" w:cs="Times New Roman"/>
                <w:color w:val="000000" w:themeColor="text1"/>
                <w:sz w:val="24"/>
                <w:szCs w:val="24"/>
                <w:highlight w:val="none"/>
                <w14:textFill>
                  <w14:solidFill>
                    <w14:schemeClr w14:val="tx1"/>
                  </w14:solidFill>
                </w14:textFill>
              </w:rPr>
              <w:t>有组织排放浓度执行《铸造工业大气污染物排放标准》（GB39726—2020）表1</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相应工序</w:t>
            </w:r>
            <w:r>
              <w:rPr>
                <w:rFonts w:hint="default" w:ascii="Times New Roman" w:hAnsi="Times New Roman" w:cs="Times New Roman"/>
                <w:color w:val="000000" w:themeColor="text1"/>
                <w:sz w:val="24"/>
                <w:szCs w:val="24"/>
                <w:highlight w:val="none"/>
                <w14:textFill>
                  <w14:solidFill>
                    <w14:schemeClr w14:val="tx1"/>
                  </w14:solidFill>
                </w14:textFill>
              </w:rPr>
              <w:t>排放浓度限值</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要求。</w:t>
            </w:r>
            <w:r>
              <w:rPr>
                <w:rFonts w:hint="default" w:ascii="Times New Roman" w:hAnsi="Times New Roman" w:cs="Times New Roman"/>
                <w:color w:val="000000" w:themeColor="text1"/>
                <w:sz w:val="24"/>
                <w:szCs w:val="24"/>
                <w:highlight w:val="none"/>
                <w14:textFill>
                  <w14:solidFill>
                    <w14:schemeClr w14:val="tx1"/>
                  </w14:solidFill>
                </w14:textFill>
              </w:rPr>
              <w:t>厂界</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外</w:t>
            </w:r>
            <w:r>
              <w:rPr>
                <w:rFonts w:hint="default" w:ascii="Times New Roman" w:hAnsi="Times New Roman" w:cs="Times New Roman"/>
                <w:color w:val="000000" w:themeColor="text1"/>
                <w:sz w:val="24"/>
                <w:szCs w:val="24"/>
                <w:highlight w:val="none"/>
                <w14:textFill>
                  <w14:solidFill>
                    <w14:schemeClr w14:val="tx1"/>
                  </w14:solidFill>
                </w14:textFill>
              </w:rPr>
              <w:t>无组织颗粒物、</w:t>
            </w:r>
            <w:r>
              <w:rPr>
                <w:rFonts w:hint="eastAsia" w:cs="Times New Roman"/>
                <w:color w:val="000000" w:themeColor="text1"/>
                <w:highlight w:val="none"/>
                <w:lang w:val="en-US" w:eastAsia="zh-CN"/>
                <w14:textFill>
                  <w14:solidFill>
                    <w14:schemeClr w14:val="tx1"/>
                  </w14:solidFill>
                </w14:textFill>
              </w:rPr>
              <w:t>TVOC</w:t>
            </w: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酚类</w:t>
            </w:r>
            <w:r>
              <w:rPr>
                <w:rFonts w:hint="eastAsia" w:cs="Times New Roman"/>
                <w:color w:val="000000" w:themeColor="text1"/>
                <w:highlight w:val="none"/>
                <w:lang w:val="en-US" w:eastAsia="zh-CN"/>
                <w14:textFill>
                  <w14:solidFill>
                    <w14:schemeClr w14:val="tx1"/>
                  </w14:solidFill>
                </w14:textFill>
              </w:rPr>
              <w:t>（以苯酚计）</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、甲醛</w:t>
            </w:r>
            <w:r>
              <w:rPr>
                <w:rFonts w:hint="default" w:ascii="Times New Roman" w:hAnsi="Times New Roman" w:cs="Times New Roman"/>
                <w:color w:val="000000" w:themeColor="text1"/>
                <w:sz w:val="24"/>
                <w:szCs w:val="24"/>
                <w:highlight w:val="none"/>
                <w14:textFill>
                  <w14:solidFill>
                    <w14:schemeClr w14:val="tx1"/>
                  </w14:solidFill>
                </w14:textFill>
              </w:rPr>
              <w:t>、二氧化硫</w:t>
            </w: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NMHC</w:t>
            </w:r>
            <w:r>
              <w:rPr>
                <w:rFonts w:hint="default" w:ascii="Times New Roman" w:hAnsi="Times New Roman" w:cs="Times New Roman"/>
                <w:color w:val="000000" w:themeColor="text1"/>
                <w:sz w:val="24"/>
                <w:szCs w:val="24"/>
                <w:highlight w:val="none"/>
                <w14:textFill>
                  <w14:solidFill>
                    <w14:schemeClr w14:val="tx1"/>
                  </w14:solidFill>
                </w14:textFill>
              </w:rPr>
              <w:t>排放浓度满足《大气污染物综合排放标准》（GB16297-1996）表2中无组织排放浓度限值</w:t>
            </w:r>
            <w:r>
              <w:rPr>
                <w:rFonts w:hint="default" w:ascii="Times New Roman" w:hAnsi="Times New Roman"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14:textFill>
                  <w14:solidFill>
                    <w14:schemeClr w14:val="tx1"/>
                  </w14:solidFill>
                </w14:textFill>
              </w:rPr>
              <w:t>厂区内颗粒物、</w:t>
            </w:r>
            <w:r>
              <w:rPr>
                <w:rFonts w:hint="eastAsia" w:cs="Times New Roman"/>
                <w:color w:val="000000" w:themeColor="text1"/>
                <w:highlight w:val="none"/>
                <w:lang w:val="en-US" w:eastAsia="zh-CN"/>
                <w14:textFill>
                  <w14:solidFill>
                    <w14:schemeClr w14:val="tx1"/>
                  </w14:solidFill>
                </w14:textFill>
              </w:rPr>
              <w:t>TVOC</w:t>
            </w:r>
            <w:r>
              <w:rPr>
                <w:rFonts w:hint="default" w:ascii="Times New Roman" w:hAnsi="Times New Roman" w:cs="Times New Roman"/>
                <w:color w:val="000000" w:themeColor="text1"/>
                <w:sz w:val="24"/>
                <w:szCs w:val="24"/>
                <w:highlight w:val="none"/>
                <w14:textFill>
                  <w14:solidFill>
                    <w14:schemeClr w14:val="tx1"/>
                  </w14:solidFill>
                </w14:textFill>
              </w:rPr>
              <w:t>执行《铸造工业大气污染物排放标准》（GB39726—2020）表A.1 厂区内颗粒物、VOCs无组织排放限值</w:t>
            </w:r>
            <w:r>
              <w:rPr>
                <w:rFonts w:hint="eastAsia"/>
                <w:color w:val="000000" w:themeColor="text1"/>
                <w:sz w:val="24"/>
                <w:szCs w:val="24"/>
                <w:highlight w:val="none"/>
                <w14:textFill>
                  <w14:solidFill>
                    <w14:schemeClr w14:val="tx1"/>
                  </w14:solidFill>
                </w14:textFill>
              </w:rPr>
              <w:t>，详见表3-6~8。</w:t>
            </w:r>
          </w:p>
          <w:p w14:paraId="69132B5C">
            <w:pPr>
              <w:keepNext w:val="0"/>
              <w:keepLines w:val="0"/>
              <w:pageBreakBefore w:val="0"/>
              <w:widowControl w:val="0"/>
              <w:shd w:val="clear" w:color="auto" w:fill="auto"/>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b/>
                <w:bCs/>
                <w:color w:val="000000" w:themeColor="text1"/>
                <w:sz w:val="24"/>
                <w:szCs w:val="24"/>
                <w:highlight w:val="none"/>
                <w:vertAlign w:val="superscript"/>
                <w14:textFill>
                  <w14:solidFill>
                    <w14:schemeClr w14:val="tx1"/>
                  </w14:solidFill>
                </w14:textFill>
              </w:rPr>
            </w:pPr>
            <w:r>
              <w:rPr>
                <w:rFonts w:hint="eastAsia" w:ascii="Times New Roman" w:hAnsi="Times New Roman" w:eastAsia="宋体"/>
                <w:b/>
                <w:bCs/>
                <w:color w:val="000000" w:themeColor="text1"/>
                <w:sz w:val="24"/>
                <w:szCs w:val="24"/>
                <w:highlight w:val="none"/>
                <w14:textFill>
                  <w14:solidFill>
                    <w14:schemeClr w14:val="tx1"/>
                  </w14:solidFill>
                </w14:textFill>
              </w:rPr>
              <w:t>表</w:t>
            </w:r>
            <w:r>
              <w:rPr>
                <w:rFonts w:hint="eastAsia" w:ascii="Times New Roman" w:hAnsi="Times New Roman" w:eastAsia="宋体"/>
                <w:b/>
                <w:bCs/>
                <w:color w:val="000000" w:themeColor="text1"/>
                <w:sz w:val="24"/>
                <w:szCs w:val="24"/>
                <w:highlight w:val="none"/>
                <w:lang w:val="en-US" w:eastAsia="zh-CN"/>
                <w14:textFill>
                  <w14:solidFill>
                    <w14:schemeClr w14:val="tx1"/>
                  </w14:solidFill>
                </w14:textFill>
              </w:rPr>
              <w:t>3-6</w:t>
            </w:r>
            <w:r>
              <w:rPr>
                <w:rFonts w:hint="eastAsia" w:ascii="Times New Roman" w:hAnsi="Times New Roman" w:eastAsia="宋体"/>
                <w:b/>
                <w:bCs/>
                <w:color w:val="000000" w:themeColor="text1"/>
                <w:sz w:val="24"/>
                <w:szCs w:val="24"/>
                <w:highlight w:val="none"/>
                <w14:textFill>
                  <w14:solidFill>
                    <w14:schemeClr w14:val="tx1"/>
                  </w14:solidFill>
                </w14:textFill>
              </w:rPr>
              <w:t xml:space="preserve">  </w:t>
            </w:r>
            <w:r>
              <w:rPr>
                <w:rFonts w:hint="eastAsia" w:ascii="Times New Roman" w:hAnsi="Times New Roman" w:eastAsia="宋体"/>
                <w:b/>
                <w:bCs/>
                <w:color w:val="000000" w:themeColor="text1"/>
                <w:sz w:val="24"/>
                <w:szCs w:val="24"/>
                <w:highlight w:val="none"/>
                <w:lang w:eastAsia="zh-CN"/>
                <w14:textFill>
                  <w14:solidFill>
                    <w14:schemeClr w14:val="tx1"/>
                  </w14:solidFill>
                </w14:textFill>
              </w:rPr>
              <w:t>有组织废气污染物</w:t>
            </w:r>
            <w:r>
              <w:rPr>
                <w:rFonts w:hint="eastAsia" w:ascii="Times New Roman" w:hAnsi="Times New Roman" w:eastAsia="宋体"/>
                <w:b/>
                <w:bCs/>
                <w:color w:val="000000" w:themeColor="text1"/>
                <w:sz w:val="24"/>
                <w:szCs w:val="24"/>
                <w:highlight w:val="none"/>
                <w14:textFill>
                  <w14:solidFill>
                    <w14:schemeClr w14:val="tx1"/>
                  </w14:solidFill>
                </w14:textFill>
              </w:rPr>
              <w:t xml:space="preserve">排放标准 </w:t>
            </w:r>
            <w:r>
              <w:rPr>
                <w:rFonts w:ascii="Times New Roman" w:hAnsi="Times New Roman" w:eastAsia="宋体"/>
                <w:b/>
                <w:bCs/>
                <w:color w:val="000000" w:themeColor="text1"/>
                <w:sz w:val="24"/>
                <w:szCs w:val="24"/>
                <w:highlight w:val="none"/>
                <w14:textFill>
                  <w14:solidFill>
                    <w14:schemeClr w14:val="tx1"/>
                  </w14:solidFill>
                </w14:textFill>
              </w:rPr>
              <w:t xml:space="preserve">  </w:t>
            </w:r>
            <w:r>
              <w:rPr>
                <w:rFonts w:hint="eastAsia" w:ascii="Times New Roman" w:hAnsi="Times New Roman" w:eastAsia="宋体"/>
                <w:b/>
                <w:bCs/>
                <w:color w:val="000000" w:themeColor="text1"/>
                <w:sz w:val="24"/>
                <w:szCs w:val="24"/>
                <w:highlight w:val="none"/>
                <w14:textFill>
                  <w14:solidFill>
                    <w14:schemeClr w14:val="tx1"/>
                  </w14:solidFill>
                </w14:textFill>
              </w:rPr>
              <w:t>单位：mg/m</w:t>
            </w:r>
            <w:r>
              <w:rPr>
                <w:rFonts w:hint="eastAsia" w:ascii="Times New Roman" w:hAnsi="Times New Roman" w:eastAsia="宋体"/>
                <w:b/>
                <w:bCs/>
                <w:color w:val="000000" w:themeColor="text1"/>
                <w:sz w:val="24"/>
                <w:szCs w:val="24"/>
                <w:highlight w:val="none"/>
                <w:vertAlign w:val="superscript"/>
                <w14:textFill>
                  <w14:solidFill>
                    <w14:schemeClr w14:val="tx1"/>
                  </w14:solidFill>
                </w14:textFill>
              </w:rPr>
              <w:t>3</w:t>
            </w:r>
          </w:p>
          <w:tbl>
            <w:tblPr>
              <w:tblStyle w:val="32"/>
              <w:tblW w:w="4995"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0"/>
              <w:gridCol w:w="1079"/>
              <w:gridCol w:w="688"/>
              <w:gridCol w:w="1124"/>
              <w:gridCol w:w="1001"/>
              <w:gridCol w:w="2538"/>
            </w:tblGrid>
            <w:tr w14:paraId="1DA8B08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tcBorders>
                    <w:top w:val="single" w:color="auto" w:sz="12" w:space="0"/>
                  </w:tcBorders>
                  <w:noWrap w:val="0"/>
                  <w:vAlign w:val="center"/>
                </w:tcPr>
                <w:p w14:paraId="335996A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排气筒标号及名称</w:t>
                  </w:r>
                </w:p>
              </w:tc>
              <w:tc>
                <w:tcPr>
                  <w:tcW w:w="688" w:type="pct"/>
                  <w:tcBorders>
                    <w:top w:val="single" w:color="auto" w:sz="12" w:space="0"/>
                  </w:tcBorders>
                  <w:noWrap w:val="0"/>
                  <w:vAlign w:val="center"/>
                </w:tcPr>
                <w:p w14:paraId="031AFBC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污染物</w:t>
                  </w:r>
                </w:p>
              </w:tc>
              <w:tc>
                <w:tcPr>
                  <w:tcW w:w="438" w:type="pct"/>
                  <w:tcBorders>
                    <w:top w:val="single" w:color="auto" w:sz="12" w:space="0"/>
                  </w:tcBorders>
                  <w:noWrap w:val="0"/>
                  <w:vAlign w:val="center"/>
                </w:tcPr>
                <w:p w14:paraId="2F9AB93E">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排气筒高度</w:t>
                  </w:r>
                </w:p>
              </w:tc>
              <w:tc>
                <w:tcPr>
                  <w:tcW w:w="716" w:type="pct"/>
                  <w:tcBorders>
                    <w:top w:val="single" w:color="auto" w:sz="12" w:space="0"/>
                  </w:tcBorders>
                  <w:noWrap w:val="0"/>
                  <w:vAlign w:val="center"/>
                </w:tcPr>
                <w:p w14:paraId="63BB86D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最高允许排放浓度（mg/m</w:t>
                  </w:r>
                  <w:r>
                    <w:rPr>
                      <w:rFonts w:hint="default" w:ascii="Times New Roman" w:hAnsi="Times New Roman" w:eastAsia="宋体" w:cs="Times New Roman"/>
                      <w:b w:val="0"/>
                      <w:bCs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bCs w:val="0"/>
                      <w:color w:val="000000" w:themeColor="text1"/>
                      <w:sz w:val="21"/>
                      <w:szCs w:val="21"/>
                      <w:highlight w:val="none"/>
                      <w14:textFill>
                        <w14:solidFill>
                          <w14:schemeClr w14:val="tx1"/>
                        </w14:solidFill>
                      </w14:textFill>
                    </w:rPr>
                    <w:t>）</w:t>
                  </w:r>
                </w:p>
              </w:tc>
              <w:tc>
                <w:tcPr>
                  <w:tcW w:w="638" w:type="pct"/>
                  <w:tcBorders>
                    <w:top w:val="single" w:color="auto" w:sz="12" w:space="0"/>
                  </w:tcBorders>
                  <w:noWrap w:val="0"/>
                  <w:vAlign w:val="center"/>
                </w:tcPr>
                <w:p w14:paraId="6724355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最高允许排放速率（kg/h）</w:t>
                  </w:r>
                </w:p>
              </w:tc>
              <w:tc>
                <w:tcPr>
                  <w:tcW w:w="1618" w:type="pct"/>
                  <w:tcBorders>
                    <w:top w:val="single" w:color="auto" w:sz="12" w:space="0"/>
                  </w:tcBorders>
                  <w:noWrap w:val="0"/>
                  <w:vAlign w:val="center"/>
                </w:tcPr>
                <w:p w14:paraId="486FDBE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t>执行标准</w:t>
                  </w:r>
                </w:p>
              </w:tc>
            </w:tr>
            <w:tr w14:paraId="3C52C1E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noWrap w:val="0"/>
                  <w:vAlign w:val="center"/>
                </w:tcPr>
                <w:p w14:paraId="352F5326">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t>DA001</w:t>
                  </w:r>
                  <w:r>
                    <w:rPr>
                      <w:rStyle w:val="66"/>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t>：熔化废气排放口</w:t>
                  </w:r>
                </w:p>
              </w:tc>
              <w:tc>
                <w:tcPr>
                  <w:tcW w:w="688" w:type="pct"/>
                  <w:noWrap w:val="0"/>
                  <w:vAlign w:val="center"/>
                </w:tcPr>
                <w:p w14:paraId="068448CA">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t>颗粒物</w:t>
                  </w:r>
                </w:p>
              </w:tc>
              <w:tc>
                <w:tcPr>
                  <w:tcW w:w="438" w:type="pct"/>
                  <w:noWrap w:val="0"/>
                  <w:vAlign w:val="center"/>
                </w:tcPr>
                <w:p w14:paraId="576D1C0A">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8</w:t>
                  </w:r>
                </w:p>
              </w:tc>
              <w:tc>
                <w:tcPr>
                  <w:tcW w:w="716" w:type="pct"/>
                  <w:noWrap w:val="0"/>
                  <w:vAlign w:val="center"/>
                </w:tcPr>
                <w:p w14:paraId="3145F67F">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779217F4">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4A29477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GB39726—2020表1中金属熔炼（化）工段排放浓度限值</w:t>
                  </w:r>
                </w:p>
              </w:tc>
            </w:tr>
            <w:tr w14:paraId="1C25755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restart"/>
                  <w:noWrap w:val="0"/>
                  <w:vAlign w:val="center"/>
                </w:tcPr>
                <w:p w14:paraId="03DD793F">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DA002：造型/制芯、浇注废气排放口</w:t>
                  </w:r>
                </w:p>
              </w:tc>
              <w:tc>
                <w:tcPr>
                  <w:tcW w:w="688" w:type="pct"/>
                  <w:noWrap w:val="0"/>
                  <w:vAlign w:val="center"/>
                </w:tcPr>
                <w:p w14:paraId="08E4C408">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p>
              </w:tc>
              <w:tc>
                <w:tcPr>
                  <w:tcW w:w="438" w:type="pct"/>
                  <w:vMerge w:val="restart"/>
                  <w:noWrap w:val="0"/>
                  <w:vAlign w:val="center"/>
                </w:tcPr>
                <w:p w14:paraId="1DC83CBA">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8</w:t>
                  </w:r>
                </w:p>
              </w:tc>
              <w:tc>
                <w:tcPr>
                  <w:tcW w:w="716" w:type="pct"/>
                  <w:noWrap w:val="0"/>
                  <w:vAlign w:val="center"/>
                </w:tcPr>
                <w:p w14:paraId="1FB270E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11C08D2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3FE4C0BC">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GB39726—2020表1中造型</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、制芯、浇注</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工段排放浓度限值</w:t>
                  </w:r>
                </w:p>
              </w:tc>
            </w:tr>
            <w:tr w14:paraId="1D53EA1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2E43A2A6">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88" w:type="pct"/>
                  <w:noWrap w:val="0"/>
                  <w:vAlign w:val="center"/>
                </w:tcPr>
                <w:p w14:paraId="7122421C">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SO</w:t>
                  </w:r>
                  <w:r>
                    <w:rPr>
                      <w:rFonts w:hint="eastAsia" w:cs="Times New Roman"/>
                      <w:i w:val="0"/>
                      <w:iCs w:val="0"/>
                      <w:color w:val="000000" w:themeColor="text1"/>
                      <w:kern w:val="0"/>
                      <w:sz w:val="21"/>
                      <w:szCs w:val="21"/>
                      <w:highlight w:val="none"/>
                      <w:u w:val="none"/>
                      <w:vertAlign w:val="subscript"/>
                      <w:lang w:val="en-US" w:eastAsia="zh-CN" w:bidi="ar"/>
                      <w14:textFill>
                        <w14:solidFill>
                          <w14:schemeClr w14:val="tx1"/>
                        </w14:solidFill>
                      </w14:textFill>
                    </w:rPr>
                    <w:t>2</w:t>
                  </w:r>
                </w:p>
              </w:tc>
              <w:tc>
                <w:tcPr>
                  <w:tcW w:w="438" w:type="pct"/>
                  <w:vMerge w:val="continue"/>
                  <w:noWrap w:val="0"/>
                  <w:vAlign w:val="center"/>
                </w:tcPr>
                <w:p w14:paraId="6B698390">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c>
                <w:tcPr>
                  <w:tcW w:w="716" w:type="pct"/>
                  <w:noWrap w:val="0"/>
                  <w:vAlign w:val="center"/>
                </w:tcPr>
                <w:p w14:paraId="0EDD02A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550</w:t>
                  </w:r>
                </w:p>
              </w:tc>
              <w:tc>
                <w:tcPr>
                  <w:tcW w:w="638" w:type="pct"/>
                  <w:noWrap w:val="0"/>
                  <w:vAlign w:val="center"/>
                </w:tcPr>
                <w:p w14:paraId="14F343A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3.62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restart"/>
                  <w:noWrap w:val="0"/>
                  <w:vAlign w:val="center"/>
                </w:tcPr>
                <w:p w14:paraId="2C65260C">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GB16297-1996表2中二级标准</w:t>
                  </w:r>
                </w:p>
              </w:tc>
            </w:tr>
            <w:tr w14:paraId="788133B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5B654C3D">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14:textFill>
                        <w14:solidFill>
                          <w14:schemeClr w14:val="tx1"/>
                        </w14:solidFill>
                      </w14:textFill>
                    </w:rPr>
                  </w:pPr>
                </w:p>
              </w:tc>
              <w:tc>
                <w:tcPr>
                  <w:tcW w:w="688" w:type="pct"/>
                  <w:noWrap w:val="0"/>
                  <w:vAlign w:val="center"/>
                </w:tcPr>
                <w:p w14:paraId="084D6D33">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酚类（以苯酚计）</w:t>
                  </w:r>
                </w:p>
              </w:tc>
              <w:tc>
                <w:tcPr>
                  <w:tcW w:w="438" w:type="pct"/>
                  <w:vMerge w:val="continue"/>
                  <w:noWrap w:val="0"/>
                  <w:vAlign w:val="center"/>
                </w:tcPr>
                <w:p w14:paraId="593227C5">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6DF9BB1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100</w:t>
                  </w:r>
                </w:p>
              </w:tc>
              <w:tc>
                <w:tcPr>
                  <w:tcW w:w="638" w:type="pct"/>
                  <w:noWrap w:val="0"/>
                  <w:vAlign w:val="center"/>
                </w:tcPr>
                <w:p w14:paraId="234A841E">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0.142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3D04AEF4">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p>
              </w:tc>
            </w:tr>
            <w:tr w14:paraId="42F5DB8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177F2E18">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p>
              </w:tc>
              <w:tc>
                <w:tcPr>
                  <w:tcW w:w="688" w:type="pct"/>
                  <w:noWrap w:val="0"/>
                  <w:vAlign w:val="center"/>
                </w:tcPr>
                <w:p w14:paraId="31B2192C">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甲醛</w:t>
                  </w:r>
                </w:p>
              </w:tc>
              <w:tc>
                <w:tcPr>
                  <w:tcW w:w="438" w:type="pct"/>
                  <w:vMerge w:val="continue"/>
                  <w:noWrap w:val="0"/>
                  <w:vAlign w:val="center"/>
                </w:tcPr>
                <w:p w14:paraId="74F4DD83">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317AB8FD">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25</w:t>
                  </w:r>
                </w:p>
              </w:tc>
              <w:tc>
                <w:tcPr>
                  <w:tcW w:w="638" w:type="pct"/>
                  <w:noWrap w:val="0"/>
                  <w:vAlign w:val="center"/>
                </w:tcPr>
                <w:p w14:paraId="7FF9685D">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0.362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528FD0D0">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p>
              </w:tc>
            </w:tr>
            <w:tr w14:paraId="5338E7A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2A49473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p>
              </w:tc>
              <w:tc>
                <w:tcPr>
                  <w:tcW w:w="688" w:type="pct"/>
                  <w:noWrap w:val="0"/>
                  <w:vAlign w:val="center"/>
                </w:tcPr>
                <w:p w14:paraId="2AD54DA8">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eastAsia" w:cs="Times New Roman"/>
                      <w:b w:val="0"/>
                      <w:bCs w:val="0"/>
                      <w:color w:val="000000" w:themeColor="text1"/>
                      <w:sz w:val="21"/>
                      <w:szCs w:val="21"/>
                      <w:highlight w:val="none"/>
                      <w:lang w:eastAsia="zh-CN"/>
                      <w14:textFill>
                        <w14:solidFill>
                          <w14:schemeClr w14:val="tx1"/>
                        </w14:solidFill>
                      </w14:textFill>
                    </w:rPr>
                    <w:t>TVOC</w:t>
                  </w:r>
                </w:p>
              </w:tc>
              <w:tc>
                <w:tcPr>
                  <w:tcW w:w="438" w:type="pct"/>
                  <w:vMerge w:val="continue"/>
                  <w:noWrap w:val="0"/>
                  <w:vAlign w:val="center"/>
                </w:tcPr>
                <w:p w14:paraId="5509ED46">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3EA4DE4F">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120</w:t>
                  </w:r>
                </w:p>
              </w:tc>
              <w:tc>
                <w:tcPr>
                  <w:tcW w:w="638" w:type="pct"/>
                  <w:noWrap w:val="0"/>
                  <w:vAlign w:val="center"/>
                </w:tcPr>
                <w:p w14:paraId="6709285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14.2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1F1B22DC">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p>
              </w:tc>
            </w:tr>
            <w:tr w14:paraId="0C986BF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noWrap w:val="0"/>
                  <w:vAlign w:val="center"/>
                </w:tcPr>
                <w:p w14:paraId="497DD2E4">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r>
                    <w:rPr>
                      <w:rStyle w:val="65"/>
                      <w:rFonts w:hint="eastAsia" w:ascii="Times New Roman" w:hAnsi="Times New Roman" w:eastAsia="宋体" w:cs="Times New Roman"/>
                      <w:color w:val="000000" w:themeColor="text1"/>
                      <w:sz w:val="21"/>
                      <w:szCs w:val="21"/>
                      <w:highlight w:val="none"/>
                      <w:lang w:val="en-US" w:eastAsia="zh-CN" w:bidi="ar"/>
                      <w14:textFill>
                        <w14:solidFill>
                          <w14:schemeClr w14:val="tx1"/>
                        </w14:solidFill>
                      </w14:textFill>
                    </w:rPr>
                    <w:t>DA003：落砂排放口</w:t>
                  </w:r>
                </w:p>
              </w:tc>
              <w:tc>
                <w:tcPr>
                  <w:tcW w:w="688" w:type="pct"/>
                  <w:noWrap w:val="0"/>
                  <w:vAlign w:val="center"/>
                </w:tcPr>
                <w:p w14:paraId="63ED3805">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p>
              </w:tc>
              <w:tc>
                <w:tcPr>
                  <w:tcW w:w="438" w:type="pct"/>
                  <w:noWrap w:val="0"/>
                  <w:vAlign w:val="center"/>
                </w:tcPr>
                <w:p w14:paraId="77C7017D">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w:t>
                  </w: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w:t>
                  </w:r>
                </w:p>
              </w:tc>
              <w:tc>
                <w:tcPr>
                  <w:tcW w:w="716" w:type="pct"/>
                  <w:noWrap w:val="0"/>
                  <w:vAlign w:val="center"/>
                </w:tcPr>
                <w:p w14:paraId="0F44744B">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208732E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57D8C08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GB39726—2020表1中落砂、清理工段排放浓度限值</w:t>
                  </w:r>
                </w:p>
              </w:tc>
            </w:tr>
            <w:tr w14:paraId="4C81231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restart"/>
                  <w:noWrap w:val="0"/>
                  <w:vAlign w:val="center"/>
                </w:tcPr>
                <w:p w14:paraId="2577F9F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DA00</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1"/>
                      <w:szCs w:val="21"/>
                      <w:highlight w:val="none"/>
                      <w14:textFill>
                        <w14:solidFill>
                          <w14:schemeClr w14:val="tx1"/>
                        </w14:solidFill>
                      </w14:textFill>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树脂砂再生</w:t>
                  </w:r>
                  <w:r>
                    <w:rPr>
                      <w:rFonts w:hint="default" w:ascii="Times New Roman" w:hAnsi="Times New Roman" w:eastAsia="宋体" w:cs="Times New Roman"/>
                      <w:color w:val="000000" w:themeColor="text1"/>
                      <w:sz w:val="21"/>
                      <w:szCs w:val="21"/>
                      <w:highlight w:val="none"/>
                      <w14:textFill>
                        <w14:solidFill>
                          <w14:schemeClr w14:val="tx1"/>
                        </w14:solidFill>
                      </w14:textFill>
                    </w:rPr>
                    <w:t>废气排放口</w:t>
                  </w:r>
                </w:p>
              </w:tc>
              <w:tc>
                <w:tcPr>
                  <w:tcW w:w="688" w:type="pct"/>
                  <w:noWrap w:val="0"/>
                  <w:vAlign w:val="center"/>
                </w:tcPr>
                <w:p w14:paraId="64B802B5">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p>
              </w:tc>
              <w:tc>
                <w:tcPr>
                  <w:tcW w:w="438" w:type="pct"/>
                  <w:vMerge w:val="restart"/>
                  <w:noWrap w:val="0"/>
                  <w:vAlign w:val="center"/>
                </w:tcPr>
                <w:p w14:paraId="231C502C">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18</w:t>
                  </w:r>
                </w:p>
              </w:tc>
              <w:tc>
                <w:tcPr>
                  <w:tcW w:w="716" w:type="pct"/>
                  <w:noWrap w:val="0"/>
                  <w:vAlign w:val="center"/>
                </w:tcPr>
                <w:p w14:paraId="60F2C70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43C4F05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143BA1BA">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GB39726—2020表1中砂处理</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废砂再生工段排放浓度限值</w:t>
                  </w:r>
                </w:p>
              </w:tc>
            </w:tr>
            <w:tr w14:paraId="6535494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100CC702">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p>
              </w:tc>
              <w:tc>
                <w:tcPr>
                  <w:tcW w:w="688" w:type="pct"/>
                  <w:noWrap w:val="0"/>
                  <w:vAlign w:val="center"/>
                </w:tcPr>
                <w:p w14:paraId="0CCF9D18">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cs="Times New Roman"/>
                      <w:i w:val="0"/>
                      <w:iCs w:val="0"/>
                      <w:color w:val="000000" w:themeColor="text1"/>
                      <w:kern w:val="0"/>
                      <w:sz w:val="21"/>
                      <w:szCs w:val="21"/>
                      <w:highlight w:val="none"/>
                      <w:u w:val="none"/>
                      <w:lang w:val="en-US" w:eastAsia="zh-CN" w:bidi="ar"/>
                      <w14:textFill>
                        <w14:solidFill>
                          <w14:schemeClr w14:val="tx1"/>
                        </w14:solidFill>
                      </w14:textFill>
                    </w:rPr>
                    <w:t>酚类（以苯酚计）</w:t>
                  </w:r>
                </w:p>
              </w:tc>
              <w:tc>
                <w:tcPr>
                  <w:tcW w:w="438" w:type="pct"/>
                  <w:vMerge w:val="continue"/>
                  <w:noWrap w:val="0"/>
                  <w:vAlign w:val="center"/>
                </w:tcPr>
                <w:p w14:paraId="5C5D108F">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0F3F6C1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100</w:t>
                  </w:r>
                </w:p>
              </w:tc>
              <w:tc>
                <w:tcPr>
                  <w:tcW w:w="638" w:type="pct"/>
                  <w:noWrap w:val="0"/>
                  <w:vAlign w:val="center"/>
                </w:tcPr>
                <w:p w14:paraId="09221E1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0.142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restart"/>
                  <w:noWrap w:val="0"/>
                  <w:vAlign w:val="center"/>
                </w:tcPr>
                <w:p w14:paraId="7C52FADE">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GB16297-1996表2中二级标准</w:t>
                  </w:r>
                </w:p>
              </w:tc>
            </w:tr>
            <w:tr w14:paraId="2BB81BF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20BADF5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p>
              </w:tc>
              <w:tc>
                <w:tcPr>
                  <w:tcW w:w="688" w:type="pct"/>
                  <w:noWrap w:val="0"/>
                  <w:vAlign w:val="center"/>
                </w:tcPr>
                <w:p w14:paraId="266613D5">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甲醛</w:t>
                  </w:r>
                </w:p>
              </w:tc>
              <w:tc>
                <w:tcPr>
                  <w:tcW w:w="438" w:type="pct"/>
                  <w:vMerge w:val="continue"/>
                  <w:noWrap w:val="0"/>
                  <w:vAlign w:val="center"/>
                </w:tcPr>
                <w:p w14:paraId="2DF018BF">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406CB98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25</w:t>
                  </w:r>
                </w:p>
              </w:tc>
              <w:tc>
                <w:tcPr>
                  <w:tcW w:w="638" w:type="pct"/>
                  <w:noWrap w:val="0"/>
                  <w:vAlign w:val="center"/>
                </w:tcPr>
                <w:p w14:paraId="29F7DF19">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0.362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3E9F35FD">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p>
              </w:tc>
            </w:tr>
            <w:tr w14:paraId="02A9C32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58A8D9EE">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p>
              </w:tc>
              <w:tc>
                <w:tcPr>
                  <w:tcW w:w="688" w:type="pct"/>
                  <w:noWrap w:val="0"/>
                  <w:vAlign w:val="center"/>
                </w:tcPr>
                <w:p w14:paraId="2550580F">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b w:val="0"/>
                      <w:bCs w:val="0"/>
                      <w:color w:val="000000" w:themeColor="text1"/>
                      <w:sz w:val="21"/>
                      <w:szCs w:val="21"/>
                      <w:highlight w:val="none"/>
                      <w:lang w:eastAsia="zh-CN"/>
                      <w14:textFill>
                        <w14:solidFill>
                          <w14:schemeClr w14:val="tx1"/>
                        </w14:solidFill>
                      </w14:textFill>
                    </w:rPr>
                    <w:t>TVOC</w:t>
                  </w:r>
                </w:p>
              </w:tc>
              <w:tc>
                <w:tcPr>
                  <w:tcW w:w="438" w:type="pct"/>
                  <w:vMerge w:val="continue"/>
                  <w:noWrap w:val="0"/>
                  <w:vAlign w:val="center"/>
                </w:tcPr>
                <w:p w14:paraId="2CE3216B">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19680BE2">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120</w:t>
                  </w:r>
                </w:p>
              </w:tc>
              <w:tc>
                <w:tcPr>
                  <w:tcW w:w="638" w:type="pct"/>
                  <w:noWrap w:val="0"/>
                  <w:vAlign w:val="center"/>
                </w:tcPr>
                <w:p w14:paraId="0A51C7CA">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14.2</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130CC93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p>
              </w:tc>
            </w:tr>
            <w:tr w14:paraId="269E932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noWrap w:val="0"/>
                  <w:vAlign w:val="center"/>
                </w:tcPr>
                <w:p w14:paraId="77ED4DEC">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Style w:val="65"/>
                      <w:rFonts w:hint="default" w:ascii="Times New Roman" w:hAnsi="Times New Roman" w:eastAsia="宋体" w:cs="Times New Roman"/>
                      <w:color w:val="000000" w:themeColor="text1"/>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DA00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：粘土砂再生</w:t>
                  </w:r>
                  <w:r>
                    <w:rPr>
                      <w:rFonts w:hint="default" w:ascii="Times New Roman" w:hAnsi="Times New Roman" w:eastAsia="宋体" w:cs="Times New Roman"/>
                      <w:color w:val="000000" w:themeColor="text1"/>
                      <w:sz w:val="21"/>
                      <w:szCs w:val="21"/>
                      <w:highlight w:val="none"/>
                      <w14:textFill>
                        <w14:solidFill>
                          <w14:schemeClr w14:val="tx1"/>
                        </w14:solidFill>
                      </w14:textFill>
                    </w:rPr>
                    <w:t>废气排放口</w:t>
                  </w:r>
                </w:p>
              </w:tc>
              <w:tc>
                <w:tcPr>
                  <w:tcW w:w="688" w:type="pct"/>
                  <w:noWrap w:val="0"/>
                  <w:vAlign w:val="center"/>
                </w:tcPr>
                <w:p w14:paraId="3BF8AAC1">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p>
              </w:tc>
              <w:tc>
                <w:tcPr>
                  <w:tcW w:w="438" w:type="pct"/>
                  <w:noWrap w:val="0"/>
                  <w:vAlign w:val="center"/>
                </w:tcPr>
                <w:p w14:paraId="2AA217D4">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716" w:type="pct"/>
                  <w:noWrap w:val="0"/>
                  <w:vAlign w:val="center"/>
                </w:tcPr>
                <w:p w14:paraId="03B0317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65670E0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089A5604">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GB39726—2020表1中砂处理</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废砂再生工段排放浓度限值</w:t>
                  </w:r>
                </w:p>
              </w:tc>
            </w:tr>
            <w:tr w14:paraId="7353E38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noWrap w:val="0"/>
                  <w:vAlign w:val="center"/>
                </w:tcPr>
                <w:p w14:paraId="5A800707">
                  <w:pPr>
                    <w:pStyle w:val="103"/>
                    <w:keepNext w:val="0"/>
                    <w:keepLines w:val="0"/>
                    <w:pageBreakBefore w:val="0"/>
                    <w:shd w:val="clear" w:color="auto" w:fill="auto"/>
                    <w:kinsoku/>
                    <w:wordWrap/>
                    <w:overflowPunct/>
                    <w:topLinePunct w:val="0"/>
                    <w:bidi w:val="0"/>
                    <w:spacing w:before="0" w:beforeLines="0" w:line="240" w:lineRule="auto"/>
                    <w:ind w:firstLine="0" w:firstLineChars="0"/>
                    <w:jc w:val="center"/>
                    <w:rPr>
                      <w:rFonts w:hint="default" w:ascii="Times New Roman" w:hAnsi="Times New Roman" w:eastAsia="宋体" w:cs="Times New Roman"/>
                      <w:color w:val="000000" w:themeColor="text1"/>
                      <w:kern w:val="2"/>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DA00</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6</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打磨、</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抛丸废气排放口</w:t>
                  </w:r>
                </w:p>
              </w:tc>
              <w:tc>
                <w:tcPr>
                  <w:tcW w:w="688" w:type="pct"/>
                  <w:noWrap w:val="0"/>
                  <w:vAlign w:val="center"/>
                </w:tcPr>
                <w:p w14:paraId="68A8EB68">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p>
              </w:tc>
              <w:tc>
                <w:tcPr>
                  <w:tcW w:w="438" w:type="pct"/>
                  <w:noWrap w:val="0"/>
                  <w:vAlign w:val="center"/>
                </w:tcPr>
                <w:p w14:paraId="5E75BC67">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716" w:type="pct"/>
                  <w:noWrap w:val="0"/>
                  <w:vAlign w:val="center"/>
                </w:tcPr>
                <w:p w14:paraId="71A1FB74">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089F6373">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noWrap w:val="0"/>
                  <w:vAlign w:val="center"/>
                </w:tcPr>
                <w:p w14:paraId="33B865DD">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GB39726—2020表1中</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其他生产工序或设备、设施</w:t>
                  </w: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排放浓度限值</w:t>
                  </w:r>
                </w:p>
              </w:tc>
            </w:tr>
            <w:tr w14:paraId="3B75AFE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restart"/>
                  <w:noWrap w:val="0"/>
                  <w:vAlign w:val="center"/>
                </w:tcPr>
                <w:p w14:paraId="2087B97A">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DA007：涂装废气排放口</w:t>
                  </w:r>
                </w:p>
              </w:tc>
              <w:tc>
                <w:tcPr>
                  <w:tcW w:w="688" w:type="pct"/>
                  <w:noWrap w:val="0"/>
                  <w:vAlign w:val="center"/>
                </w:tcPr>
                <w:p w14:paraId="7A0E2CF2">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颗粒物</w:t>
                  </w:r>
                  <w:r>
                    <w:rPr>
                      <w:rFonts w:hint="default" w:ascii="Times New Roman" w:hAnsi="Times New Roman" w:cs="Times New Roman"/>
                      <w:i w:val="0"/>
                      <w:iCs w:val="0"/>
                      <w:color w:val="000000" w:themeColor="text1"/>
                      <w:kern w:val="0"/>
                      <w:sz w:val="21"/>
                      <w:szCs w:val="21"/>
                      <w:highlight w:val="none"/>
                      <w:u w:val="none"/>
                      <w:lang w:val="en-US" w:eastAsia="zh-CN" w:bidi="ar"/>
                      <w14:textFill>
                        <w14:solidFill>
                          <w14:schemeClr w14:val="tx1"/>
                        </w14:solidFill>
                      </w14:textFill>
                    </w:rPr>
                    <w:t>（漆雾）</w:t>
                  </w:r>
                </w:p>
              </w:tc>
              <w:tc>
                <w:tcPr>
                  <w:tcW w:w="438" w:type="pct"/>
                  <w:vMerge w:val="restart"/>
                  <w:noWrap w:val="0"/>
                  <w:vAlign w:val="center"/>
                </w:tcPr>
                <w:p w14:paraId="4E52FB7F">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cs="Times New Roman"/>
                      <w:i w:val="0"/>
                      <w:iCs w:val="0"/>
                      <w:color w:val="000000" w:themeColor="text1"/>
                      <w:kern w:val="0"/>
                      <w:sz w:val="21"/>
                      <w:szCs w:val="21"/>
                      <w:highlight w:val="none"/>
                      <w:u w:val="none"/>
                      <w:lang w:val="en-US" w:eastAsia="zh-CN" w:bidi="ar"/>
                      <w14:textFill>
                        <w14:solidFill>
                          <w14:schemeClr w14:val="tx1"/>
                        </w14:solidFill>
                      </w14:textFill>
                    </w:rPr>
                    <w:t>18</w:t>
                  </w:r>
                </w:p>
              </w:tc>
              <w:tc>
                <w:tcPr>
                  <w:tcW w:w="716" w:type="pct"/>
                  <w:noWrap w:val="0"/>
                  <w:vAlign w:val="center"/>
                </w:tcPr>
                <w:p w14:paraId="1679EEDE">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30</w:t>
                  </w:r>
                </w:p>
              </w:tc>
              <w:tc>
                <w:tcPr>
                  <w:tcW w:w="638" w:type="pct"/>
                  <w:noWrap w:val="0"/>
                  <w:vAlign w:val="center"/>
                </w:tcPr>
                <w:p w14:paraId="13967CB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restart"/>
                  <w:noWrap w:val="0"/>
                  <w:vAlign w:val="center"/>
                </w:tcPr>
                <w:p w14:paraId="7C2BAAA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GB39726—2020表1</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中表面涂装</w:t>
                  </w:r>
                </w:p>
              </w:tc>
            </w:tr>
            <w:tr w14:paraId="7AB0626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4A5FDD2C">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88" w:type="pct"/>
                  <w:noWrap w:val="0"/>
                  <w:vAlign w:val="center"/>
                </w:tcPr>
                <w:p w14:paraId="2D029FB2">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b w:val="0"/>
                      <w:bCs w:val="0"/>
                      <w:color w:val="000000" w:themeColor="text1"/>
                      <w:sz w:val="21"/>
                      <w:szCs w:val="21"/>
                      <w:highlight w:val="none"/>
                      <w:lang w:eastAsia="zh-CN"/>
                      <w14:textFill>
                        <w14:solidFill>
                          <w14:schemeClr w14:val="tx1"/>
                        </w14:solidFill>
                      </w14:textFill>
                    </w:rPr>
                    <w:t>TVOC</w:t>
                  </w:r>
                </w:p>
              </w:tc>
              <w:tc>
                <w:tcPr>
                  <w:tcW w:w="438" w:type="pct"/>
                  <w:vMerge w:val="continue"/>
                  <w:noWrap w:val="0"/>
                  <w:vAlign w:val="center"/>
                </w:tcPr>
                <w:p w14:paraId="3F10ADF6">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13536A40">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120</w:t>
                  </w:r>
                </w:p>
              </w:tc>
              <w:tc>
                <w:tcPr>
                  <w:tcW w:w="638" w:type="pct"/>
                  <w:noWrap w:val="0"/>
                  <w:vAlign w:val="center"/>
                </w:tcPr>
                <w:p w14:paraId="063E9715">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07337BB7">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r>
            <w:tr w14:paraId="1B5891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899" w:type="pct"/>
                  <w:vMerge w:val="continue"/>
                  <w:noWrap w:val="0"/>
                  <w:vAlign w:val="center"/>
                </w:tcPr>
                <w:p w14:paraId="0561B04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p>
              </w:tc>
              <w:tc>
                <w:tcPr>
                  <w:tcW w:w="688" w:type="pct"/>
                  <w:noWrap w:val="0"/>
                  <w:vAlign w:val="center"/>
                </w:tcPr>
                <w:p w14:paraId="1643AC13">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NMHC</w:t>
                  </w:r>
                </w:p>
              </w:tc>
              <w:tc>
                <w:tcPr>
                  <w:tcW w:w="438" w:type="pct"/>
                  <w:vMerge w:val="continue"/>
                  <w:noWrap w:val="0"/>
                  <w:vAlign w:val="center"/>
                </w:tcPr>
                <w:p w14:paraId="5C59B732">
                  <w:pPr>
                    <w:keepNext w:val="0"/>
                    <w:keepLines w:val="0"/>
                    <w:pageBreakBefore w:val="0"/>
                    <w:widowControl/>
                    <w:suppressLineNumbers w:val="0"/>
                    <w:shd w:val="clear" w:color="auto" w:fill="auto"/>
                    <w:kinsoku/>
                    <w:wordWrap/>
                    <w:overflowPunct/>
                    <w:topLinePunct w:val="0"/>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716" w:type="pct"/>
                  <w:noWrap w:val="0"/>
                  <w:vAlign w:val="center"/>
                </w:tcPr>
                <w:p w14:paraId="1B190BC1">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100</w:t>
                  </w:r>
                </w:p>
              </w:tc>
              <w:tc>
                <w:tcPr>
                  <w:tcW w:w="638" w:type="pct"/>
                  <w:noWrap w:val="0"/>
                  <w:vAlign w:val="center"/>
                </w:tcPr>
                <w:p w14:paraId="5ED6C980">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1618" w:type="pct"/>
                  <w:vMerge w:val="continue"/>
                  <w:noWrap w:val="0"/>
                  <w:vAlign w:val="center"/>
                </w:tcPr>
                <w:p w14:paraId="73AC2A52">
                  <w:pPr>
                    <w:pStyle w:val="39"/>
                    <w:keepNext w:val="0"/>
                    <w:keepLines w:val="0"/>
                    <w:pageBreakBefore w:val="0"/>
                    <w:shd w:val="clear" w:color="auto" w:fill="auto"/>
                    <w:kinsoku/>
                    <w:wordWrap/>
                    <w:overflowPunct/>
                    <w:topLinePunct w:val="0"/>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p>
              </w:tc>
            </w:tr>
          </w:tbl>
          <w:p w14:paraId="51A697B5">
            <w:pPr>
              <w:pStyle w:val="103"/>
              <w:shd w:val="clear" w:color="auto" w:fill="auto"/>
              <w:spacing w:before="0" w:beforeLines="0" w:line="240" w:lineRule="auto"/>
              <w:ind w:firstLine="0" w:firstLineChars="0"/>
              <w:rPr>
                <w:rFonts w:hint="default" w:eastAsia="宋体"/>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注：</w:t>
            </w:r>
            <w:r>
              <w:rPr>
                <w:rFonts w:hint="eastAsia"/>
                <w:color w:val="000000" w:themeColor="text1"/>
                <w:sz w:val="21"/>
                <w:szCs w:val="21"/>
                <w:highlight w:val="none"/>
                <w:lang w:val="en-US" w:eastAsia="zh-CN"/>
                <w14:textFill>
                  <w14:solidFill>
                    <w14:schemeClr w14:val="tx1"/>
                  </w14:solidFill>
                </w14:textFill>
              </w:rPr>
              <w:t>*</w:t>
            </w:r>
            <w:r>
              <w:rPr>
                <w:rFonts w:hint="eastAsia"/>
                <w:color w:val="000000" w:themeColor="text1"/>
                <w:sz w:val="21"/>
                <w:szCs w:val="21"/>
                <w:highlight w:val="none"/>
                <w14:textFill>
                  <w14:solidFill>
                    <w14:schemeClr w14:val="tx1"/>
                  </w14:solidFill>
                </w14:textFill>
              </w:rPr>
              <w:t>根据《大气污染物综合排放标准》（GB16297-1996），某排气筒高度处于表列两高度之间，用内插法计算其最高允许排放速率</w:t>
            </w:r>
            <w:r>
              <w:rPr>
                <w:rFonts w:hint="eastAsia"/>
                <w:color w:val="000000" w:themeColor="text1"/>
                <w:sz w:val="21"/>
                <w:szCs w:val="21"/>
                <w:highlight w:val="none"/>
                <w:lang w:eastAsia="zh-CN"/>
                <w14:textFill>
                  <w14:solidFill>
                    <w14:schemeClr w14:val="tx1"/>
                  </w14:solidFill>
                </w14:textFill>
              </w:rPr>
              <w:t>；根据</w:t>
            </w:r>
            <w:r>
              <w:rPr>
                <w:rFonts w:hint="eastAsia"/>
                <w:color w:val="000000" w:themeColor="text1"/>
                <w:sz w:val="21"/>
                <w:szCs w:val="21"/>
                <w:highlight w:val="none"/>
                <w14:textFill>
                  <w14:solidFill>
                    <w14:schemeClr w14:val="tx1"/>
                  </w14:solidFill>
                </w14:textFill>
              </w:rPr>
              <w:t>《大气污染物综合排放标准》（GB16297-1996）</w:t>
            </w:r>
            <w:r>
              <w:rPr>
                <w:rFonts w:hint="eastAsia"/>
                <w:color w:val="000000" w:themeColor="text1"/>
                <w:sz w:val="21"/>
                <w:szCs w:val="21"/>
                <w:highlight w:val="none"/>
                <w:lang w:eastAsia="zh-CN"/>
                <w14:textFill>
                  <w14:solidFill>
                    <w14:schemeClr w14:val="tx1"/>
                  </w14:solidFill>
                </w14:textFill>
              </w:rPr>
              <w:t>，“排气筒高度除须遵守表列排放速率标准值外，还应高出周围200m半径范围的建筑5m以上，不能达到该要求的排气简，应按其高度对应的表列排放速率标准值严格50%执行。”本项目</w:t>
            </w:r>
            <w:r>
              <w:rPr>
                <w:rFonts w:hint="eastAsia"/>
                <w:color w:val="000000" w:themeColor="text1"/>
                <w:sz w:val="21"/>
                <w:szCs w:val="21"/>
                <w:highlight w:val="none"/>
                <w:lang w:val="en-US" w:eastAsia="zh-CN"/>
                <w14:textFill>
                  <w14:solidFill>
                    <w14:schemeClr w14:val="tx1"/>
                  </w14:solidFill>
                </w14:textFill>
              </w:rPr>
              <w:t>200m范围内最高建筑物为项目厂房，高12m，项目排气筒18m，高出</w:t>
            </w:r>
            <w:r>
              <w:rPr>
                <w:rFonts w:hint="eastAsia"/>
                <w:color w:val="000000" w:themeColor="text1"/>
                <w:sz w:val="21"/>
                <w:szCs w:val="21"/>
                <w:highlight w:val="none"/>
                <w:lang w:eastAsia="zh-CN"/>
                <w14:textFill>
                  <w14:solidFill>
                    <w14:schemeClr w14:val="tx1"/>
                  </w14:solidFill>
                </w14:textFill>
              </w:rPr>
              <w:t>200m半径范围的建筑5m以上，故满足要求。</w:t>
            </w:r>
          </w:p>
          <w:p w14:paraId="442A2B03">
            <w:pPr>
              <w:pStyle w:val="103"/>
              <w:shd w:val="clear" w:color="auto" w:fill="auto"/>
              <w:spacing w:before="0" w:beforeLines="0" w:line="240" w:lineRule="auto"/>
              <w:ind w:firstLine="0" w:firstLineChars="0"/>
              <w:jc w:val="center"/>
              <w:rPr>
                <w:rFonts w:hint="eastAsia"/>
                <w:b/>
                <w:bCs/>
                <w:color w:val="000000" w:themeColor="text1"/>
                <w:highlight w:val="none"/>
                <w14:textFill>
                  <w14:solidFill>
                    <w14:schemeClr w14:val="tx1"/>
                  </w14:solidFill>
                </w14:textFill>
              </w:rPr>
            </w:pPr>
          </w:p>
          <w:p w14:paraId="50B2543C">
            <w:pPr>
              <w:pStyle w:val="103"/>
              <w:shd w:val="clear" w:color="auto" w:fill="auto"/>
              <w:spacing w:before="0" w:beforeLines="0" w:line="240" w:lineRule="auto"/>
              <w:ind w:firstLine="0" w:firstLineChars="0"/>
              <w:jc w:val="center"/>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表3-7 《大气污染物综合排放标准》（GB16297-1996）</w:t>
            </w:r>
          </w:p>
          <w:tbl>
            <w:tblPr>
              <w:tblStyle w:val="32"/>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02"/>
              <w:gridCol w:w="1244"/>
              <w:gridCol w:w="1396"/>
              <w:gridCol w:w="3699"/>
            </w:tblGrid>
            <w:tr w14:paraId="2213CC2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957" w:type="pct"/>
                  <w:vMerge w:val="restart"/>
                  <w:noWrap w:val="0"/>
                  <w:vAlign w:val="center"/>
                </w:tcPr>
                <w:p w14:paraId="2169CAF9">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污染物</w:t>
                  </w:r>
                </w:p>
              </w:tc>
              <w:tc>
                <w:tcPr>
                  <w:tcW w:w="1683" w:type="pct"/>
                  <w:gridSpan w:val="2"/>
                  <w:noWrap w:val="0"/>
                  <w:vAlign w:val="center"/>
                </w:tcPr>
                <w:p w14:paraId="1CD15104">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无组织排放监控浓度限值</w:t>
                  </w:r>
                </w:p>
              </w:tc>
              <w:tc>
                <w:tcPr>
                  <w:tcW w:w="2358" w:type="pct"/>
                  <w:vMerge w:val="restart"/>
                  <w:noWrap w:val="0"/>
                  <w:vAlign w:val="center"/>
                </w:tcPr>
                <w:p w14:paraId="260335E7">
                  <w:pPr>
                    <w:pStyle w:val="103"/>
                    <w:shd w:val="clear" w:color="auto" w:fill="auto"/>
                    <w:spacing w:before="0" w:beforeLines="0" w:line="240" w:lineRule="auto"/>
                    <w:ind w:firstLine="0" w:firstLineChars="0"/>
                    <w:jc w:val="cente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eastAsia="zh-CN"/>
                      <w14:textFill>
                        <w14:solidFill>
                          <w14:schemeClr w14:val="tx1"/>
                        </w14:solidFill>
                      </w14:textFill>
                    </w:rPr>
                    <w:t>执行标准</w:t>
                  </w:r>
                </w:p>
              </w:tc>
            </w:tr>
            <w:tr w14:paraId="15BA70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vMerge w:val="continue"/>
                  <w:noWrap w:val="0"/>
                  <w:vAlign w:val="center"/>
                </w:tcPr>
                <w:p w14:paraId="1A0EDD99">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793" w:type="pct"/>
                  <w:noWrap w:val="0"/>
                  <w:vAlign w:val="center"/>
                </w:tcPr>
                <w:p w14:paraId="6834280C">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监控点</w:t>
                  </w:r>
                </w:p>
              </w:tc>
              <w:tc>
                <w:tcPr>
                  <w:tcW w:w="890" w:type="pct"/>
                  <w:noWrap w:val="0"/>
                  <w:vAlign w:val="center"/>
                </w:tcPr>
                <w:p w14:paraId="21A5B457">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浓度</w:t>
                  </w:r>
                </w:p>
                <w:p w14:paraId="1B56782C">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mg/cm</w:t>
                  </w:r>
                  <w:r>
                    <w:rPr>
                      <w:rFonts w:hint="default" w:ascii="Times New Roman" w:hAnsi="Times New Roman" w:cs="Times New Roman"/>
                      <w:b/>
                      <w:bCs/>
                      <w:color w:val="000000" w:themeColor="text1"/>
                      <w:sz w:val="21"/>
                      <w:szCs w:val="21"/>
                      <w:highlight w:val="none"/>
                      <w:vertAlign w:val="superscript"/>
                      <w14:textFill>
                        <w14:solidFill>
                          <w14:schemeClr w14:val="tx1"/>
                        </w14:solidFill>
                      </w14:textFill>
                    </w:rPr>
                    <w:t>3</w:t>
                  </w:r>
                </w:p>
              </w:tc>
              <w:tc>
                <w:tcPr>
                  <w:tcW w:w="2358" w:type="pct"/>
                  <w:vMerge w:val="continue"/>
                  <w:noWrap w:val="0"/>
                  <w:vAlign w:val="center"/>
                </w:tcPr>
                <w:p w14:paraId="5633DE50">
                  <w:pPr>
                    <w:pStyle w:val="103"/>
                    <w:shd w:val="clear" w:color="auto" w:fill="auto"/>
                    <w:spacing w:before="0" w:beforeLines="0"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r>
            <w:tr w14:paraId="510276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5E2C66C7">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颗粒物</w:t>
                  </w:r>
                </w:p>
              </w:tc>
              <w:tc>
                <w:tcPr>
                  <w:tcW w:w="793" w:type="pct"/>
                  <w:vMerge w:val="restart"/>
                  <w:noWrap w:val="0"/>
                  <w:vAlign w:val="center"/>
                </w:tcPr>
                <w:p w14:paraId="0CEF6C88">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周界外浓度最高点</w:t>
                  </w:r>
                </w:p>
              </w:tc>
              <w:tc>
                <w:tcPr>
                  <w:tcW w:w="890" w:type="pct"/>
                  <w:noWrap w:val="0"/>
                  <w:vAlign w:val="center"/>
                </w:tcPr>
                <w:p w14:paraId="21BA8345">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w:t>
                  </w:r>
                </w:p>
              </w:tc>
              <w:tc>
                <w:tcPr>
                  <w:tcW w:w="2358" w:type="pct"/>
                  <w:vMerge w:val="restart"/>
                  <w:noWrap w:val="0"/>
                  <w:vAlign w:val="center"/>
                </w:tcPr>
                <w:p w14:paraId="40E9813D">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GB16297-1996表2中的无组织排放浓度限值</w:t>
                  </w:r>
                </w:p>
              </w:tc>
            </w:tr>
            <w:tr w14:paraId="2590A8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70739C7A">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b w:val="0"/>
                      <w:bCs w:val="0"/>
                      <w:color w:val="000000" w:themeColor="text1"/>
                      <w:sz w:val="21"/>
                      <w:szCs w:val="21"/>
                      <w:highlight w:val="none"/>
                      <w:lang w:eastAsia="zh-CN"/>
                      <w14:textFill>
                        <w14:solidFill>
                          <w14:schemeClr w14:val="tx1"/>
                        </w14:solidFill>
                      </w14:textFill>
                    </w:rPr>
                    <w:t>TVOC</w:t>
                  </w:r>
                </w:p>
              </w:tc>
              <w:tc>
                <w:tcPr>
                  <w:tcW w:w="793" w:type="pct"/>
                  <w:vMerge w:val="continue"/>
                  <w:noWrap w:val="0"/>
                  <w:vAlign w:val="center"/>
                </w:tcPr>
                <w:p w14:paraId="1C4CD78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890" w:type="pct"/>
                  <w:noWrap w:val="0"/>
                  <w:vAlign w:val="center"/>
                </w:tcPr>
                <w:p w14:paraId="6F1EFD5E">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4</w:t>
                  </w:r>
                </w:p>
              </w:tc>
              <w:tc>
                <w:tcPr>
                  <w:tcW w:w="2358" w:type="pct"/>
                  <w:vMerge w:val="continue"/>
                  <w:noWrap w:val="0"/>
                  <w:vAlign w:val="center"/>
                </w:tcPr>
                <w:p w14:paraId="1AFE2097">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7048DC8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3731450F">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酚类（以苯酚计）</w:t>
                  </w:r>
                </w:p>
              </w:tc>
              <w:tc>
                <w:tcPr>
                  <w:tcW w:w="793" w:type="pct"/>
                  <w:vMerge w:val="continue"/>
                  <w:noWrap w:val="0"/>
                  <w:vAlign w:val="center"/>
                </w:tcPr>
                <w:p w14:paraId="1B97C22B">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890" w:type="pct"/>
                  <w:noWrap w:val="0"/>
                  <w:vAlign w:val="center"/>
                </w:tcPr>
                <w:p w14:paraId="164AE31A">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0.08</w:t>
                  </w:r>
                </w:p>
              </w:tc>
              <w:tc>
                <w:tcPr>
                  <w:tcW w:w="2358" w:type="pct"/>
                  <w:vMerge w:val="continue"/>
                  <w:noWrap w:val="0"/>
                  <w:vAlign w:val="center"/>
                </w:tcPr>
                <w:p w14:paraId="2A58C742">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13B5A3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5A53862B">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甲醛</w:t>
                  </w:r>
                </w:p>
              </w:tc>
              <w:tc>
                <w:tcPr>
                  <w:tcW w:w="793" w:type="pct"/>
                  <w:vMerge w:val="continue"/>
                  <w:noWrap w:val="0"/>
                  <w:vAlign w:val="center"/>
                </w:tcPr>
                <w:p w14:paraId="73C7580E">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890" w:type="pct"/>
                  <w:noWrap w:val="0"/>
                  <w:vAlign w:val="center"/>
                </w:tcPr>
                <w:p w14:paraId="1B987C9F">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0.2</w:t>
                  </w:r>
                </w:p>
              </w:tc>
              <w:tc>
                <w:tcPr>
                  <w:tcW w:w="2358" w:type="pct"/>
                  <w:vMerge w:val="continue"/>
                  <w:noWrap w:val="0"/>
                  <w:vAlign w:val="center"/>
                </w:tcPr>
                <w:p w14:paraId="0B72512F">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p>
              </w:tc>
            </w:tr>
            <w:tr w14:paraId="3DD8B7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5CA6E8EA">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SO</w:t>
                  </w:r>
                  <w:r>
                    <w:rPr>
                      <w:rFonts w:hint="eastAsia" w:cs="Times New Roman"/>
                      <w:color w:val="000000" w:themeColor="text1"/>
                      <w:sz w:val="21"/>
                      <w:szCs w:val="21"/>
                      <w:highlight w:val="none"/>
                      <w:vertAlign w:val="subscript"/>
                      <w:lang w:val="en-US" w:eastAsia="zh-CN"/>
                      <w14:textFill>
                        <w14:solidFill>
                          <w14:schemeClr w14:val="tx1"/>
                        </w14:solidFill>
                      </w14:textFill>
                    </w:rPr>
                    <w:t>2</w:t>
                  </w:r>
                </w:p>
              </w:tc>
              <w:tc>
                <w:tcPr>
                  <w:tcW w:w="793" w:type="pct"/>
                  <w:vMerge w:val="continue"/>
                  <w:noWrap w:val="0"/>
                  <w:vAlign w:val="center"/>
                </w:tcPr>
                <w:p w14:paraId="4DD1D27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890" w:type="pct"/>
                  <w:noWrap w:val="0"/>
                  <w:vAlign w:val="center"/>
                </w:tcPr>
                <w:p w14:paraId="7771D192">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0.4</w:t>
                  </w:r>
                </w:p>
              </w:tc>
              <w:tc>
                <w:tcPr>
                  <w:tcW w:w="2358" w:type="pct"/>
                  <w:vMerge w:val="continue"/>
                  <w:noWrap w:val="0"/>
                  <w:vAlign w:val="center"/>
                </w:tcPr>
                <w:p w14:paraId="6CFCB357">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59C668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57" w:type="pct"/>
                  <w:noWrap w:val="0"/>
                  <w:vAlign w:val="center"/>
                </w:tcPr>
                <w:p w14:paraId="48D70E14">
                  <w:pPr>
                    <w:pStyle w:val="103"/>
                    <w:shd w:val="clear" w:color="auto" w:fill="auto"/>
                    <w:spacing w:before="0" w:beforeLines="0"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14:textFill>
                        <w14:solidFill>
                          <w14:schemeClr w14:val="tx1"/>
                        </w14:solidFill>
                      </w14:textFill>
                    </w:rPr>
                    <w:t>NMHC</w:t>
                  </w:r>
                </w:p>
              </w:tc>
              <w:tc>
                <w:tcPr>
                  <w:tcW w:w="793" w:type="pct"/>
                  <w:vMerge w:val="continue"/>
                  <w:noWrap w:val="0"/>
                  <w:vAlign w:val="center"/>
                </w:tcPr>
                <w:p w14:paraId="5C472A57">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890" w:type="pct"/>
                  <w:noWrap w:val="0"/>
                  <w:vAlign w:val="center"/>
                </w:tcPr>
                <w:p w14:paraId="603D4800">
                  <w:pPr>
                    <w:pStyle w:val="103"/>
                    <w:shd w:val="clear" w:color="auto" w:fill="auto"/>
                    <w:spacing w:before="0" w:beforeLines="0"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w:t>
                  </w:r>
                </w:p>
              </w:tc>
              <w:tc>
                <w:tcPr>
                  <w:tcW w:w="2358" w:type="pct"/>
                  <w:vMerge w:val="continue"/>
                  <w:noWrap w:val="0"/>
                  <w:vAlign w:val="center"/>
                </w:tcPr>
                <w:p w14:paraId="7E72DFF8">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bl>
          <w:p w14:paraId="3BAC27E4">
            <w:pPr>
              <w:pStyle w:val="103"/>
              <w:shd w:val="clear" w:color="auto" w:fill="auto"/>
              <w:spacing w:before="0" w:beforeLines="0" w:line="240" w:lineRule="auto"/>
              <w:ind w:firstLine="0" w:firstLineChars="0"/>
              <w:jc w:val="center"/>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表</w:t>
            </w:r>
            <w:r>
              <w:rPr>
                <w:rFonts w:hint="eastAsia"/>
                <w:b/>
                <w:bCs/>
                <w:color w:val="000000" w:themeColor="text1"/>
                <w:highlight w:val="none"/>
                <w:lang w:val="en-US" w:eastAsia="zh-CN"/>
                <w14:textFill>
                  <w14:solidFill>
                    <w14:schemeClr w14:val="tx1"/>
                  </w14:solidFill>
                </w14:textFill>
              </w:rPr>
              <w:t>3-8</w:t>
            </w:r>
            <w:r>
              <w:rPr>
                <w:rFonts w:hint="eastAsia"/>
                <w:b/>
                <w:bCs/>
                <w:color w:val="000000" w:themeColor="text1"/>
                <w:highlight w:val="none"/>
                <w14:textFill>
                  <w14:solidFill>
                    <w14:schemeClr w14:val="tx1"/>
                  </w14:solidFill>
                </w14:textFill>
              </w:rPr>
              <w:t>《铸造工业大气污染物排放标准》（GB39726-2020）表A.1厂区内颗粒物、VOCs无组织排放限值 单位：（mg/m</w:t>
            </w:r>
            <w:r>
              <w:rPr>
                <w:rFonts w:hint="eastAsia"/>
                <w:b/>
                <w:bCs/>
                <w:color w:val="000000" w:themeColor="text1"/>
                <w:highlight w:val="none"/>
                <w:vertAlign w:val="superscript"/>
                <w14:textFill>
                  <w14:solidFill>
                    <w14:schemeClr w14:val="tx1"/>
                  </w14:solidFill>
                </w14:textFill>
              </w:rPr>
              <w:t>3</w:t>
            </w:r>
            <w:r>
              <w:rPr>
                <w:rFonts w:hint="eastAsia"/>
                <w:b/>
                <w:bCs/>
                <w:color w:val="000000" w:themeColor="text1"/>
                <w:highlight w:val="none"/>
                <w14:textFill>
                  <w14:solidFill>
                    <w14:schemeClr w14:val="tx1"/>
                  </w14:solidFill>
                </w14:textFill>
              </w:rPr>
              <w:t>）</w:t>
            </w:r>
          </w:p>
          <w:tbl>
            <w:tblPr>
              <w:tblStyle w:val="32"/>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53"/>
              <w:gridCol w:w="1288"/>
              <w:gridCol w:w="2640"/>
              <w:gridCol w:w="2463"/>
            </w:tblGrid>
            <w:tr w14:paraId="76CCF1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6" w:type="pct"/>
                  <w:noWrap w:val="0"/>
                  <w:vAlign w:val="center"/>
                </w:tcPr>
                <w:p w14:paraId="1296E41D">
                  <w:pPr>
                    <w:pStyle w:val="103"/>
                    <w:shd w:val="clear" w:color="auto" w:fill="auto"/>
                    <w:spacing w:before="0" w:beforeLines="0" w:line="240" w:lineRule="auto"/>
                    <w:ind w:firstLine="0" w:firstLineChars="0"/>
                    <w:jc w:val="center"/>
                    <w:rPr>
                      <w:rFonts w:hint="eastAsia"/>
                      <w:b/>
                      <w:bCs/>
                      <w:color w:val="000000" w:themeColor="text1"/>
                      <w:sz w:val="21"/>
                      <w:szCs w:val="21"/>
                      <w:highlight w:val="none"/>
                      <w14:textFill>
                        <w14:solidFill>
                          <w14:schemeClr w14:val="tx1"/>
                        </w14:solidFill>
                      </w14:textFill>
                    </w:rPr>
                  </w:pPr>
                  <w:r>
                    <w:rPr>
                      <w:rFonts w:hint="eastAsia"/>
                      <w:b/>
                      <w:bCs/>
                      <w:color w:val="000000" w:themeColor="text1"/>
                      <w:sz w:val="21"/>
                      <w:szCs w:val="21"/>
                      <w:highlight w:val="none"/>
                      <w14:textFill>
                        <w14:solidFill>
                          <w14:schemeClr w14:val="tx1"/>
                        </w14:solidFill>
                      </w14:textFill>
                    </w:rPr>
                    <w:t>污染物项目</w:t>
                  </w:r>
                </w:p>
              </w:tc>
              <w:tc>
                <w:tcPr>
                  <w:tcW w:w="821" w:type="pct"/>
                  <w:noWrap w:val="0"/>
                  <w:vAlign w:val="center"/>
                </w:tcPr>
                <w:p w14:paraId="545B2E65">
                  <w:pPr>
                    <w:pStyle w:val="103"/>
                    <w:shd w:val="clear" w:color="auto" w:fill="auto"/>
                    <w:spacing w:before="0" w:beforeLines="0" w:line="240" w:lineRule="auto"/>
                    <w:ind w:firstLine="0" w:firstLineChars="0"/>
                    <w:jc w:val="center"/>
                    <w:rPr>
                      <w:rFonts w:hint="eastAsia"/>
                      <w:b/>
                      <w:bCs/>
                      <w:color w:val="000000" w:themeColor="text1"/>
                      <w:sz w:val="21"/>
                      <w:szCs w:val="21"/>
                      <w:highlight w:val="none"/>
                      <w14:textFill>
                        <w14:solidFill>
                          <w14:schemeClr w14:val="tx1"/>
                        </w14:solidFill>
                      </w14:textFill>
                    </w:rPr>
                  </w:pPr>
                  <w:r>
                    <w:rPr>
                      <w:rFonts w:hint="eastAsia"/>
                      <w:b/>
                      <w:bCs/>
                      <w:color w:val="000000" w:themeColor="text1"/>
                      <w:sz w:val="21"/>
                      <w:szCs w:val="21"/>
                      <w:highlight w:val="none"/>
                      <w14:textFill>
                        <w14:solidFill>
                          <w14:schemeClr w14:val="tx1"/>
                        </w14:solidFill>
                      </w14:textFill>
                    </w:rPr>
                    <w:t>排放限值</w:t>
                  </w:r>
                </w:p>
              </w:tc>
              <w:tc>
                <w:tcPr>
                  <w:tcW w:w="1682" w:type="pct"/>
                  <w:noWrap w:val="0"/>
                  <w:vAlign w:val="center"/>
                </w:tcPr>
                <w:p w14:paraId="21B10366">
                  <w:pPr>
                    <w:pStyle w:val="103"/>
                    <w:shd w:val="clear" w:color="auto" w:fill="auto"/>
                    <w:spacing w:before="0" w:beforeLines="0" w:line="240" w:lineRule="auto"/>
                    <w:ind w:firstLine="0" w:firstLineChars="0"/>
                    <w:jc w:val="center"/>
                    <w:rPr>
                      <w:rFonts w:hint="eastAsia"/>
                      <w:b/>
                      <w:bCs/>
                      <w:color w:val="000000" w:themeColor="text1"/>
                      <w:sz w:val="21"/>
                      <w:szCs w:val="21"/>
                      <w:highlight w:val="none"/>
                      <w14:textFill>
                        <w14:solidFill>
                          <w14:schemeClr w14:val="tx1"/>
                        </w14:solidFill>
                      </w14:textFill>
                    </w:rPr>
                  </w:pPr>
                  <w:r>
                    <w:rPr>
                      <w:rFonts w:hint="eastAsia"/>
                      <w:b/>
                      <w:bCs/>
                      <w:color w:val="000000" w:themeColor="text1"/>
                      <w:sz w:val="21"/>
                      <w:szCs w:val="21"/>
                      <w:highlight w:val="none"/>
                      <w14:textFill>
                        <w14:solidFill>
                          <w14:schemeClr w14:val="tx1"/>
                        </w14:solidFill>
                      </w14:textFill>
                    </w:rPr>
                    <w:t>限值含义</w:t>
                  </w:r>
                </w:p>
              </w:tc>
              <w:tc>
                <w:tcPr>
                  <w:tcW w:w="1569" w:type="pct"/>
                  <w:noWrap w:val="0"/>
                  <w:vAlign w:val="center"/>
                </w:tcPr>
                <w:p w14:paraId="60B61BFD">
                  <w:pPr>
                    <w:pStyle w:val="103"/>
                    <w:shd w:val="clear" w:color="auto" w:fill="auto"/>
                    <w:spacing w:before="0" w:beforeLines="0" w:line="240" w:lineRule="auto"/>
                    <w:ind w:firstLine="0" w:firstLineChars="0"/>
                    <w:jc w:val="center"/>
                    <w:rPr>
                      <w:rFonts w:hint="eastAsia"/>
                      <w:b/>
                      <w:bCs/>
                      <w:color w:val="000000" w:themeColor="text1"/>
                      <w:sz w:val="21"/>
                      <w:szCs w:val="21"/>
                      <w:highlight w:val="none"/>
                      <w14:textFill>
                        <w14:solidFill>
                          <w14:schemeClr w14:val="tx1"/>
                        </w14:solidFill>
                      </w14:textFill>
                    </w:rPr>
                  </w:pPr>
                  <w:r>
                    <w:rPr>
                      <w:rFonts w:hint="eastAsia"/>
                      <w:b/>
                      <w:bCs/>
                      <w:color w:val="000000" w:themeColor="text1"/>
                      <w:sz w:val="21"/>
                      <w:szCs w:val="21"/>
                      <w:highlight w:val="none"/>
                      <w14:textFill>
                        <w14:solidFill>
                          <w14:schemeClr w14:val="tx1"/>
                        </w14:solidFill>
                      </w14:textFill>
                    </w:rPr>
                    <w:t>无组织排放监控位置</w:t>
                  </w:r>
                </w:p>
              </w:tc>
            </w:tr>
            <w:tr w14:paraId="17C70F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6" w:type="pct"/>
                  <w:noWrap w:val="0"/>
                  <w:vAlign w:val="center"/>
                </w:tcPr>
                <w:p w14:paraId="1CAAB199">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颗粒物</w:t>
                  </w:r>
                </w:p>
              </w:tc>
              <w:tc>
                <w:tcPr>
                  <w:tcW w:w="821" w:type="pct"/>
                  <w:noWrap w:val="0"/>
                  <w:vAlign w:val="center"/>
                </w:tcPr>
                <w:p w14:paraId="780F7368">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5</w:t>
                  </w:r>
                </w:p>
              </w:tc>
              <w:tc>
                <w:tcPr>
                  <w:tcW w:w="1682" w:type="pct"/>
                  <w:noWrap w:val="0"/>
                  <w:vAlign w:val="center"/>
                </w:tcPr>
                <w:p w14:paraId="68A3F67A">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监控点处1h平均浓度值</w:t>
                  </w:r>
                </w:p>
              </w:tc>
              <w:tc>
                <w:tcPr>
                  <w:tcW w:w="1569" w:type="pct"/>
                  <w:vMerge w:val="restart"/>
                  <w:noWrap w:val="0"/>
                  <w:vAlign w:val="center"/>
                </w:tcPr>
                <w:p w14:paraId="640E9305">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在厂房外设置监控点</w:t>
                  </w:r>
                </w:p>
              </w:tc>
            </w:tr>
            <w:tr w14:paraId="1179ED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6" w:type="pct"/>
                  <w:vMerge w:val="restart"/>
                  <w:noWrap w:val="0"/>
                  <w:vAlign w:val="center"/>
                </w:tcPr>
                <w:p w14:paraId="5054842B">
                  <w:pPr>
                    <w:pStyle w:val="103"/>
                    <w:shd w:val="clear" w:color="auto" w:fill="auto"/>
                    <w:spacing w:before="0" w:beforeLines="0"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NMHC</w:t>
                  </w:r>
                </w:p>
              </w:tc>
              <w:tc>
                <w:tcPr>
                  <w:tcW w:w="821" w:type="pct"/>
                  <w:noWrap w:val="0"/>
                  <w:vAlign w:val="center"/>
                </w:tcPr>
                <w:p w14:paraId="72DFA273">
                  <w:pPr>
                    <w:pStyle w:val="103"/>
                    <w:shd w:val="clear" w:color="auto" w:fill="auto"/>
                    <w:spacing w:before="0" w:beforeLines="0"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10</w:t>
                  </w:r>
                </w:p>
              </w:tc>
              <w:tc>
                <w:tcPr>
                  <w:tcW w:w="1682" w:type="pct"/>
                  <w:noWrap w:val="0"/>
                  <w:vAlign w:val="center"/>
                </w:tcPr>
                <w:p w14:paraId="306BC1FD">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监控点处1h平均浓度值</w:t>
                  </w:r>
                </w:p>
              </w:tc>
              <w:tc>
                <w:tcPr>
                  <w:tcW w:w="1569" w:type="pct"/>
                  <w:vMerge w:val="continue"/>
                  <w:noWrap w:val="0"/>
                  <w:vAlign w:val="center"/>
                </w:tcPr>
                <w:p w14:paraId="7E8E428C">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p>
              </w:tc>
            </w:tr>
            <w:tr w14:paraId="4859326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26" w:type="pct"/>
                  <w:vMerge w:val="continue"/>
                  <w:noWrap w:val="0"/>
                  <w:vAlign w:val="center"/>
                </w:tcPr>
                <w:p w14:paraId="6EE8F4F9">
                  <w:pPr>
                    <w:pStyle w:val="103"/>
                    <w:shd w:val="clear" w:color="auto" w:fill="auto"/>
                    <w:spacing w:before="0" w:beforeLines="0" w:line="240" w:lineRule="auto"/>
                    <w:ind w:firstLine="0" w:firstLineChars="0"/>
                    <w:jc w:val="center"/>
                    <w:rPr>
                      <w:color w:val="000000" w:themeColor="text1"/>
                      <w:sz w:val="21"/>
                      <w:szCs w:val="21"/>
                      <w:highlight w:val="none"/>
                      <w14:textFill>
                        <w14:solidFill>
                          <w14:schemeClr w14:val="tx1"/>
                        </w14:solidFill>
                      </w14:textFill>
                    </w:rPr>
                  </w:pPr>
                </w:p>
              </w:tc>
              <w:tc>
                <w:tcPr>
                  <w:tcW w:w="821" w:type="pct"/>
                  <w:noWrap w:val="0"/>
                  <w:vAlign w:val="center"/>
                </w:tcPr>
                <w:p w14:paraId="1FBE1AFC">
                  <w:pPr>
                    <w:pStyle w:val="103"/>
                    <w:shd w:val="clear" w:color="auto" w:fill="auto"/>
                    <w:spacing w:before="0" w:beforeLines="0" w:line="240" w:lineRule="auto"/>
                    <w:ind w:firstLine="0" w:firstLineChars="0"/>
                    <w:jc w:val="center"/>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30</w:t>
                  </w:r>
                </w:p>
              </w:tc>
              <w:tc>
                <w:tcPr>
                  <w:tcW w:w="1682" w:type="pct"/>
                  <w:noWrap w:val="0"/>
                  <w:vAlign w:val="center"/>
                </w:tcPr>
                <w:p w14:paraId="7B4FF357">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监控点处任意一次浓度值</w:t>
                  </w:r>
                </w:p>
              </w:tc>
              <w:tc>
                <w:tcPr>
                  <w:tcW w:w="1569" w:type="pct"/>
                  <w:vMerge w:val="continue"/>
                  <w:noWrap w:val="0"/>
                  <w:vAlign w:val="center"/>
                </w:tcPr>
                <w:p w14:paraId="3C3FD847">
                  <w:pPr>
                    <w:pStyle w:val="103"/>
                    <w:shd w:val="clear" w:color="auto" w:fill="auto"/>
                    <w:spacing w:before="0" w:beforeLines="0" w:line="240" w:lineRule="auto"/>
                    <w:ind w:firstLine="0" w:firstLineChars="0"/>
                    <w:jc w:val="center"/>
                    <w:rPr>
                      <w:rFonts w:hint="eastAsia"/>
                      <w:color w:val="000000" w:themeColor="text1"/>
                      <w:sz w:val="21"/>
                      <w:szCs w:val="21"/>
                      <w:highlight w:val="none"/>
                      <w14:textFill>
                        <w14:solidFill>
                          <w14:schemeClr w14:val="tx1"/>
                        </w14:solidFill>
                      </w14:textFill>
                    </w:rPr>
                  </w:pPr>
                </w:p>
              </w:tc>
            </w:tr>
          </w:tbl>
          <w:p w14:paraId="7E80AF31">
            <w:pPr>
              <w:pStyle w:val="103"/>
              <w:shd w:val="clear" w:color="auto" w:fill="auto"/>
              <w:spacing w:before="0" w:beforeLines="0"/>
              <w:ind w:firstLine="482"/>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2、废水</w:t>
            </w:r>
          </w:p>
          <w:p w14:paraId="1514E891">
            <w:pPr>
              <w:pStyle w:val="39"/>
              <w:shd w:val="clear" w:color="auto" w:fill="auto"/>
              <w:adjustRightInd/>
              <w:spacing w:line="360" w:lineRule="auto"/>
              <w:ind w:firstLine="480" w:firstLineChars="200"/>
              <w:jc w:val="both"/>
              <w:rPr>
                <w:rFonts w:hint="default" w:ascii="Times New Roman" w:hAnsi="Times New Roman" w:eastAsia="宋体"/>
                <w:color w:val="000000" w:themeColor="text1"/>
                <w:kern w:val="0"/>
                <w:szCs w:val="20"/>
                <w:highlight w:val="none"/>
                <w14:textFill>
                  <w14:solidFill>
                    <w14:schemeClr w14:val="tx1"/>
                  </w14:solidFill>
                </w14:textFill>
              </w:rPr>
            </w:pPr>
            <w:r>
              <w:rPr>
                <w:rFonts w:hint="default" w:ascii="Times New Roman" w:hAnsi="Times New Roman" w:eastAsia="宋体"/>
                <w:color w:val="000000" w:themeColor="text1"/>
                <w:kern w:val="0"/>
                <w:szCs w:val="20"/>
                <w:highlight w:val="none"/>
                <w14:textFill>
                  <w14:solidFill>
                    <w14:schemeClr w14:val="tx1"/>
                  </w14:solidFill>
                </w14:textFill>
              </w:rPr>
              <w:t>本项目外排废水主要为生活污水，</w:t>
            </w:r>
            <w:r>
              <w:rPr>
                <w:rFonts w:hint="default" w:ascii="Times New Roman" w:hAnsi="Times New Roman" w:eastAsia="宋体"/>
                <w:color w:val="000000" w:themeColor="text1"/>
                <w:szCs w:val="21"/>
                <w:highlight w:val="none"/>
                <w14:textFill>
                  <w14:solidFill>
                    <w14:schemeClr w14:val="tx1"/>
                  </w14:solidFill>
                </w14:textFill>
              </w:rPr>
              <w:t>生活污水</w:t>
            </w:r>
            <w:r>
              <w:rPr>
                <w:rFonts w:ascii="Times New Roman" w:hAnsi="Times New Roman" w:eastAsia="宋体"/>
                <w:color w:val="000000" w:themeColor="text1"/>
                <w:szCs w:val="21"/>
                <w:highlight w:val="none"/>
                <w14:textFill>
                  <w14:solidFill>
                    <w14:schemeClr w14:val="tx1"/>
                  </w14:solidFill>
                </w14:textFill>
              </w:rPr>
              <w:t>近期</w:t>
            </w:r>
            <w:r>
              <w:rPr>
                <w:rFonts w:hint="default" w:ascii="Times New Roman" w:hAnsi="Times New Roman" w:eastAsia="宋体"/>
                <w:color w:val="000000" w:themeColor="text1"/>
                <w:szCs w:val="21"/>
                <w:highlight w:val="none"/>
                <w14:textFill>
                  <w14:solidFill>
                    <w14:schemeClr w14:val="tx1"/>
                  </w14:solidFill>
                </w14:textFill>
              </w:rPr>
              <w:t>经隔油池+化粪池+一体化污水处理设施处理，达到《污水综合排放标准》（GB8978-1996）表4中一级标准后排入园区管网</w:t>
            </w:r>
            <w:r>
              <w:rPr>
                <w:rFonts w:ascii="Times New Roman" w:hAnsi="Times New Roman" w:eastAsia="宋体"/>
                <w:color w:val="000000" w:themeColor="text1"/>
                <w:szCs w:val="21"/>
                <w:highlight w:val="none"/>
                <w14:textFill>
                  <w14:solidFill>
                    <w14:schemeClr w14:val="tx1"/>
                  </w14:solidFill>
                </w14:textFill>
              </w:rPr>
              <w:t>，最终排入乐安河</w:t>
            </w:r>
            <w:r>
              <w:rPr>
                <w:rFonts w:hint="default" w:ascii="Times New Roman" w:hAnsi="Times New Roman" w:eastAsia="宋体"/>
                <w:color w:val="000000" w:themeColor="text1"/>
                <w:szCs w:val="21"/>
                <w:highlight w:val="none"/>
                <w14:textFill>
                  <w14:solidFill>
                    <w14:schemeClr w14:val="tx1"/>
                  </w14:solidFill>
                </w14:textFill>
              </w:rPr>
              <w:t>；远期待金山工业园污水处理厂正式投运后，排入金山工业园污水处理厂，处理达到《城镇污水处理厂污染物排放标准》（GB18918-2002）一级A标准后外排至乐安河</w:t>
            </w:r>
            <w:r>
              <w:rPr>
                <w:rFonts w:hint="default" w:ascii="Times New Roman" w:hAnsi="Times New Roman" w:eastAsia="宋体"/>
                <w:color w:val="000000" w:themeColor="text1"/>
                <w:kern w:val="0"/>
                <w:szCs w:val="20"/>
                <w:highlight w:val="none"/>
                <w14:textFill>
                  <w14:solidFill>
                    <w14:schemeClr w14:val="tx1"/>
                  </w14:solidFill>
                </w14:textFill>
              </w:rPr>
              <w:t>。</w:t>
            </w:r>
          </w:p>
          <w:p w14:paraId="1FB76195">
            <w:pPr>
              <w:pStyle w:val="39"/>
              <w:shd w:val="clear" w:color="auto" w:fill="auto"/>
              <w:adjustRightInd/>
              <w:jc w:val="center"/>
              <w:rPr>
                <w:rFonts w:hint="default" w:ascii="Times New Roman" w:hAnsi="Times New Roman" w:eastAsia="宋体"/>
                <w:b/>
                <w:color w:val="000000" w:themeColor="text1"/>
                <w:szCs w:val="24"/>
                <w:highlight w:val="none"/>
                <w14:textFill>
                  <w14:solidFill>
                    <w14:schemeClr w14:val="tx1"/>
                  </w14:solidFill>
                </w14:textFill>
              </w:rPr>
            </w:pPr>
            <w:r>
              <w:rPr>
                <w:rFonts w:hint="default" w:ascii="Times New Roman" w:hAnsi="Times New Roman" w:eastAsia="宋体"/>
                <w:b/>
                <w:color w:val="000000" w:themeColor="text1"/>
                <w:szCs w:val="24"/>
                <w:highlight w:val="none"/>
                <w14:textFill>
                  <w14:solidFill>
                    <w14:schemeClr w14:val="tx1"/>
                  </w14:solidFill>
                </w14:textFill>
              </w:rPr>
              <w:t>表3-</w:t>
            </w:r>
            <w:r>
              <w:rPr>
                <w:rFonts w:ascii="Times New Roman" w:hAnsi="Times New Roman" w:eastAsia="宋体"/>
                <w:b/>
                <w:color w:val="000000" w:themeColor="text1"/>
                <w:szCs w:val="24"/>
                <w:highlight w:val="none"/>
                <w14:textFill>
                  <w14:solidFill>
                    <w14:schemeClr w14:val="tx1"/>
                  </w14:solidFill>
                </w14:textFill>
              </w:rPr>
              <w:t>9</w:t>
            </w:r>
            <w:r>
              <w:rPr>
                <w:rFonts w:hint="default" w:ascii="Times New Roman" w:hAnsi="Times New Roman" w:eastAsia="宋体"/>
                <w:b/>
                <w:color w:val="000000" w:themeColor="text1"/>
                <w:szCs w:val="24"/>
                <w:highlight w:val="none"/>
                <w14:textFill>
                  <w14:solidFill>
                    <w14:schemeClr w14:val="tx1"/>
                  </w14:solidFill>
                </w14:textFill>
              </w:rPr>
              <w:t xml:space="preserve"> </w:t>
            </w:r>
            <w:r>
              <w:rPr>
                <w:rFonts w:ascii="Times New Roman" w:hAnsi="Times New Roman" w:eastAsia="宋体"/>
                <w:b/>
                <w:color w:val="000000" w:themeColor="text1"/>
                <w:szCs w:val="24"/>
                <w:highlight w:val="none"/>
                <w14:textFill>
                  <w14:solidFill>
                    <w14:schemeClr w14:val="tx1"/>
                  </w14:solidFill>
                </w14:textFill>
              </w:rPr>
              <w:t>近期</w:t>
            </w:r>
            <w:r>
              <w:rPr>
                <w:rFonts w:hint="default" w:ascii="Times New Roman" w:hAnsi="Times New Roman" w:eastAsia="宋体"/>
                <w:b/>
                <w:color w:val="000000" w:themeColor="text1"/>
                <w:szCs w:val="24"/>
                <w:highlight w:val="none"/>
                <w14:textFill>
                  <w14:solidFill>
                    <w14:schemeClr w14:val="tx1"/>
                  </w14:solidFill>
                </w14:textFill>
              </w:rPr>
              <w:t>废水污染物排放标准</w:t>
            </w:r>
          </w:p>
          <w:tbl>
            <w:tblPr>
              <w:tblStyle w:val="32"/>
              <w:tblW w:w="7925"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245"/>
              <w:gridCol w:w="615"/>
              <w:gridCol w:w="737"/>
              <w:gridCol w:w="837"/>
              <w:gridCol w:w="538"/>
              <w:gridCol w:w="612"/>
              <w:gridCol w:w="600"/>
              <w:gridCol w:w="741"/>
            </w:tblGrid>
            <w:tr w14:paraId="3059C3A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2046" w:type="pct"/>
                  <w:noWrap w:val="0"/>
                  <w:vAlign w:val="center"/>
                </w:tcPr>
                <w:p w14:paraId="1B88B0CB">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污染物</w:t>
                  </w:r>
                </w:p>
              </w:tc>
              <w:tc>
                <w:tcPr>
                  <w:tcW w:w="388" w:type="pct"/>
                  <w:noWrap w:val="0"/>
                  <w:vAlign w:val="center"/>
                </w:tcPr>
                <w:p w14:paraId="25624659">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pH</w:t>
                  </w:r>
                </w:p>
              </w:tc>
              <w:tc>
                <w:tcPr>
                  <w:tcW w:w="465" w:type="pct"/>
                  <w:noWrap w:val="0"/>
                  <w:vAlign w:val="center"/>
                </w:tcPr>
                <w:p w14:paraId="153F1947">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COD</w:t>
                  </w:r>
                </w:p>
              </w:tc>
              <w:tc>
                <w:tcPr>
                  <w:tcW w:w="528" w:type="pct"/>
                  <w:noWrap w:val="0"/>
                  <w:vAlign w:val="center"/>
                </w:tcPr>
                <w:p w14:paraId="2867B982">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BOD</w:t>
                  </w:r>
                  <w:r>
                    <w:rPr>
                      <w:color w:val="000000" w:themeColor="text1"/>
                      <w:spacing w:val="8"/>
                      <w:sz w:val="21"/>
                      <w:szCs w:val="21"/>
                      <w:highlight w:val="none"/>
                      <w:vertAlign w:val="subscript"/>
                      <w14:textFill>
                        <w14:solidFill>
                          <w14:schemeClr w14:val="tx1"/>
                        </w14:solidFill>
                      </w14:textFill>
                    </w:rPr>
                    <w:t>5</w:t>
                  </w:r>
                </w:p>
              </w:tc>
              <w:tc>
                <w:tcPr>
                  <w:tcW w:w="339" w:type="pct"/>
                  <w:noWrap w:val="0"/>
                  <w:vAlign w:val="center"/>
                </w:tcPr>
                <w:p w14:paraId="4B523074">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SS</w:t>
                  </w:r>
                </w:p>
              </w:tc>
              <w:tc>
                <w:tcPr>
                  <w:tcW w:w="386" w:type="pct"/>
                  <w:noWrap w:val="0"/>
                  <w:vAlign w:val="center"/>
                </w:tcPr>
                <w:p w14:paraId="10121C0B">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氨氮</w:t>
                  </w:r>
                </w:p>
              </w:tc>
              <w:tc>
                <w:tcPr>
                  <w:tcW w:w="378" w:type="pct"/>
                  <w:noWrap w:val="0"/>
                  <w:vAlign w:val="center"/>
                </w:tcPr>
                <w:p w14:paraId="23EA0B8F">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总磷</w:t>
                  </w:r>
                </w:p>
              </w:tc>
              <w:tc>
                <w:tcPr>
                  <w:tcW w:w="467" w:type="pct"/>
                  <w:noWrap w:val="0"/>
                  <w:vAlign w:val="center"/>
                </w:tcPr>
                <w:p w14:paraId="59BD89F0">
                  <w:pPr>
                    <w:shd w:val="clear" w:color="auto" w:fill="auto"/>
                    <w:spacing w:line="240" w:lineRule="auto"/>
                    <w:ind w:firstLine="0" w:firstLineChars="0"/>
                    <w:jc w:val="center"/>
                    <w:rPr>
                      <w:rFonts w:hint="eastAsia" w:eastAsia="宋体"/>
                      <w:color w:val="000000" w:themeColor="text1"/>
                      <w:spacing w:val="8"/>
                      <w:sz w:val="21"/>
                      <w:szCs w:val="21"/>
                      <w:highlight w:val="none"/>
                      <w:lang w:eastAsia="zh-CN"/>
                      <w14:textFill>
                        <w14:solidFill>
                          <w14:schemeClr w14:val="tx1"/>
                        </w14:solidFill>
                      </w14:textFill>
                    </w:rPr>
                  </w:pPr>
                  <w:r>
                    <w:rPr>
                      <w:rFonts w:hint="eastAsia"/>
                      <w:color w:val="000000" w:themeColor="text1"/>
                      <w:spacing w:val="8"/>
                      <w:sz w:val="21"/>
                      <w:szCs w:val="21"/>
                      <w:highlight w:val="none"/>
                      <w:lang w:eastAsia="zh-CN"/>
                      <w14:textFill>
                        <w14:solidFill>
                          <w14:schemeClr w14:val="tx1"/>
                        </w14:solidFill>
                      </w14:textFill>
                    </w:rPr>
                    <w:t>动植物油</w:t>
                  </w:r>
                </w:p>
              </w:tc>
            </w:tr>
            <w:tr w14:paraId="49D6342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046" w:type="pct"/>
                  <w:noWrap w:val="0"/>
                  <w:vAlign w:val="center"/>
                </w:tcPr>
                <w:p w14:paraId="252518F0">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《污水综合排放标准》（GB8978-1996）表4一级标准</w:t>
                  </w:r>
                </w:p>
              </w:tc>
              <w:tc>
                <w:tcPr>
                  <w:tcW w:w="388" w:type="pct"/>
                  <w:noWrap w:val="0"/>
                  <w:vAlign w:val="center"/>
                </w:tcPr>
                <w:p w14:paraId="14F9A23D">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6~9</w:t>
                  </w:r>
                </w:p>
              </w:tc>
              <w:tc>
                <w:tcPr>
                  <w:tcW w:w="465" w:type="pct"/>
                  <w:noWrap w:val="0"/>
                  <w:vAlign w:val="center"/>
                </w:tcPr>
                <w:p w14:paraId="340EFABD">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100</w:t>
                  </w:r>
                </w:p>
              </w:tc>
              <w:tc>
                <w:tcPr>
                  <w:tcW w:w="528" w:type="pct"/>
                  <w:noWrap w:val="0"/>
                  <w:vAlign w:val="center"/>
                </w:tcPr>
                <w:p w14:paraId="637BBA4A">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20</w:t>
                  </w:r>
                </w:p>
              </w:tc>
              <w:tc>
                <w:tcPr>
                  <w:tcW w:w="339" w:type="pct"/>
                  <w:noWrap w:val="0"/>
                  <w:vAlign w:val="center"/>
                </w:tcPr>
                <w:p w14:paraId="36728A15">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70</w:t>
                  </w:r>
                </w:p>
              </w:tc>
              <w:tc>
                <w:tcPr>
                  <w:tcW w:w="386" w:type="pct"/>
                  <w:noWrap w:val="0"/>
                  <w:vAlign w:val="center"/>
                </w:tcPr>
                <w:p w14:paraId="6EA9820A">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15</w:t>
                  </w:r>
                </w:p>
              </w:tc>
              <w:tc>
                <w:tcPr>
                  <w:tcW w:w="378" w:type="pct"/>
                  <w:noWrap w:val="0"/>
                  <w:vAlign w:val="center"/>
                </w:tcPr>
                <w:p w14:paraId="54D3FF0B">
                  <w:pPr>
                    <w:shd w:val="clear" w:color="auto" w:fill="auto"/>
                    <w:spacing w:line="240" w:lineRule="auto"/>
                    <w:ind w:firstLine="0" w:firstLineChars="0"/>
                    <w:jc w:val="center"/>
                    <w:rPr>
                      <w:color w:val="000000" w:themeColor="text1"/>
                      <w:spacing w:val="8"/>
                      <w:sz w:val="21"/>
                      <w:szCs w:val="21"/>
                      <w:highlight w:val="none"/>
                      <w14:textFill>
                        <w14:solidFill>
                          <w14:schemeClr w14:val="tx1"/>
                        </w14:solidFill>
                      </w14:textFill>
                    </w:rPr>
                  </w:pPr>
                  <w:r>
                    <w:rPr>
                      <w:color w:val="000000" w:themeColor="text1"/>
                      <w:spacing w:val="8"/>
                      <w:sz w:val="21"/>
                      <w:szCs w:val="21"/>
                      <w:highlight w:val="none"/>
                      <w14:textFill>
                        <w14:solidFill>
                          <w14:schemeClr w14:val="tx1"/>
                        </w14:solidFill>
                      </w14:textFill>
                    </w:rPr>
                    <w:t>8</w:t>
                  </w:r>
                </w:p>
              </w:tc>
              <w:tc>
                <w:tcPr>
                  <w:tcW w:w="467" w:type="pct"/>
                  <w:noWrap w:val="0"/>
                  <w:vAlign w:val="center"/>
                </w:tcPr>
                <w:p w14:paraId="581B7C4B">
                  <w:pPr>
                    <w:shd w:val="clear" w:color="auto" w:fill="auto"/>
                    <w:spacing w:line="240" w:lineRule="auto"/>
                    <w:ind w:firstLine="0" w:firstLineChars="0"/>
                    <w:jc w:val="center"/>
                    <w:rPr>
                      <w:rFonts w:hint="default" w:eastAsia="宋体"/>
                      <w:color w:val="000000" w:themeColor="text1"/>
                      <w:spacing w:val="8"/>
                      <w:sz w:val="21"/>
                      <w:szCs w:val="21"/>
                      <w:highlight w:val="none"/>
                      <w:lang w:val="en-US" w:eastAsia="zh-CN"/>
                      <w14:textFill>
                        <w14:solidFill>
                          <w14:schemeClr w14:val="tx1"/>
                        </w14:solidFill>
                      </w14:textFill>
                    </w:rPr>
                  </w:pPr>
                  <w:r>
                    <w:rPr>
                      <w:rFonts w:hint="eastAsia"/>
                      <w:color w:val="000000" w:themeColor="text1"/>
                      <w:spacing w:val="8"/>
                      <w:sz w:val="21"/>
                      <w:szCs w:val="21"/>
                      <w:highlight w:val="none"/>
                      <w:lang w:val="en-US" w:eastAsia="zh-CN"/>
                      <w14:textFill>
                        <w14:solidFill>
                          <w14:schemeClr w14:val="tx1"/>
                        </w14:solidFill>
                      </w14:textFill>
                    </w:rPr>
                    <w:t>10</w:t>
                  </w:r>
                </w:p>
              </w:tc>
            </w:tr>
          </w:tbl>
          <w:p w14:paraId="203F7DBB">
            <w:pPr>
              <w:widowControl/>
              <w:shd w:val="clear" w:color="auto" w:fill="auto"/>
              <w:spacing w:line="240" w:lineRule="auto"/>
              <w:ind w:firstLine="0" w:firstLineChars="0"/>
              <w:rPr>
                <w:color w:val="000000" w:themeColor="text1"/>
                <w:kern w:val="0"/>
                <w:sz w:val="21"/>
                <w:szCs w:val="21"/>
                <w:highlight w:val="none"/>
                <w14:textFill>
                  <w14:solidFill>
                    <w14:schemeClr w14:val="tx1"/>
                  </w14:solidFill>
                </w14:textFill>
              </w:rPr>
            </w:pPr>
            <w:r>
              <w:rPr>
                <w:color w:val="000000" w:themeColor="text1"/>
                <w:kern w:val="0"/>
                <w:sz w:val="21"/>
                <w:szCs w:val="21"/>
                <w:highlight w:val="none"/>
                <w14:textFill>
                  <w14:solidFill>
                    <w14:schemeClr w14:val="tx1"/>
                  </w14:solidFill>
                </w14:textFill>
              </w:rPr>
              <w:t>注：总磷执行《污水排入城镇下水道水质标准》（GB/T31962-2015）中B级标准。</w:t>
            </w:r>
          </w:p>
          <w:p w14:paraId="4194B257">
            <w:pPr>
              <w:pStyle w:val="142"/>
              <w:shd w:val="clear" w:color="auto" w:fill="auto"/>
              <w:spacing w:line="240" w:lineRule="auto"/>
              <w:ind w:firstLine="0" w:firstLineChars="0"/>
              <w:jc w:val="center"/>
              <w:rPr>
                <w:b/>
                <w:color w:val="000000" w:themeColor="text1"/>
                <w:highlight w:val="none"/>
                <w14:textFill>
                  <w14:solidFill>
                    <w14:schemeClr w14:val="tx1"/>
                  </w14:solidFill>
                </w14:textFill>
              </w:rPr>
            </w:pPr>
            <w:r>
              <w:rPr>
                <w:b/>
                <w:color w:val="000000" w:themeColor="text1"/>
                <w:highlight w:val="none"/>
                <w14:textFill>
                  <w14:solidFill>
                    <w14:schemeClr w14:val="tx1"/>
                  </w14:solidFill>
                </w14:textFill>
              </w:rPr>
              <w:t>表</w:t>
            </w:r>
            <w:r>
              <w:rPr>
                <w:rFonts w:hint="eastAsia"/>
                <w:b/>
                <w:color w:val="000000" w:themeColor="text1"/>
                <w:highlight w:val="none"/>
                <w14:textFill>
                  <w14:solidFill>
                    <w14:schemeClr w14:val="tx1"/>
                  </w14:solidFill>
                </w14:textFill>
              </w:rPr>
              <w:t>3-10</w:t>
            </w:r>
            <w:r>
              <w:rPr>
                <w:b/>
                <w:color w:val="000000" w:themeColor="text1"/>
                <w:highlight w:val="none"/>
                <w14:textFill>
                  <w14:solidFill>
                    <w14:schemeClr w14:val="tx1"/>
                  </w14:solidFill>
                </w14:textFill>
              </w:rPr>
              <w:t xml:space="preserve">  </w:t>
            </w:r>
            <w:r>
              <w:rPr>
                <w:rFonts w:hint="eastAsia"/>
                <w:b/>
                <w:color w:val="000000" w:themeColor="text1"/>
                <w:highlight w:val="none"/>
                <w14:textFill>
                  <w14:solidFill>
                    <w14:schemeClr w14:val="tx1"/>
                  </w14:solidFill>
                </w14:textFill>
              </w:rPr>
              <w:t>远期</w:t>
            </w:r>
            <w:r>
              <w:rPr>
                <w:b/>
                <w:color w:val="000000" w:themeColor="text1"/>
                <w:highlight w:val="none"/>
                <w14:textFill>
                  <w14:solidFill>
                    <w14:schemeClr w14:val="tx1"/>
                  </w14:solidFill>
                </w14:textFill>
              </w:rPr>
              <w:t>废水污染物排放标准</w:t>
            </w:r>
          </w:p>
          <w:tbl>
            <w:tblPr>
              <w:tblStyle w:val="32"/>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42"/>
              <w:gridCol w:w="4005"/>
              <w:gridCol w:w="1276"/>
              <w:gridCol w:w="1721"/>
            </w:tblGrid>
            <w:tr w14:paraId="669D00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30102D34">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序号</w:t>
                  </w:r>
                </w:p>
              </w:tc>
              <w:tc>
                <w:tcPr>
                  <w:tcW w:w="3365" w:type="pct"/>
                  <w:gridSpan w:val="2"/>
                  <w:noWrap w:val="0"/>
                  <w:vAlign w:val="center"/>
                </w:tcPr>
                <w:p w14:paraId="1E8C9AF1">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污染物</w:t>
                  </w:r>
                </w:p>
              </w:tc>
              <w:tc>
                <w:tcPr>
                  <w:tcW w:w="1097" w:type="pct"/>
                  <w:tcBorders>
                    <w:right w:val="nil"/>
                  </w:tcBorders>
                  <w:noWrap w:val="0"/>
                  <w:vAlign w:val="center"/>
                </w:tcPr>
                <w:p w14:paraId="42BBF021">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标准限值</w:t>
                  </w:r>
                </w:p>
              </w:tc>
            </w:tr>
            <w:tr w14:paraId="7121B8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20E30719">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1</w:t>
                  </w:r>
                </w:p>
              </w:tc>
              <w:tc>
                <w:tcPr>
                  <w:tcW w:w="2552" w:type="pct"/>
                  <w:vMerge w:val="restart"/>
                  <w:tcBorders>
                    <w:right w:val="single" w:color="auto" w:sz="4" w:space="0"/>
                  </w:tcBorders>
                  <w:noWrap w:val="0"/>
                  <w:vAlign w:val="center"/>
                </w:tcPr>
                <w:p w14:paraId="63A46523">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金山工业园污水处理厂</w:t>
                  </w:r>
                  <w:r>
                    <w:rPr>
                      <w:rFonts w:hint="eastAsia"/>
                      <w:bCs/>
                      <w:color w:val="000000" w:themeColor="text1"/>
                      <w:sz w:val="21"/>
                      <w:szCs w:val="21"/>
                      <w:highlight w:val="none"/>
                      <w14:textFill>
                        <w14:solidFill>
                          <w14:schemeClr w14:val="tx1"/>
                        </w14:solidFill>
                      </w14:textFill>
                    </w:rPr>
                    <w:t>接管标准</w:t>
                  </w:r>
                </w:p>
              </w:tc>
              <w:tc>
                <w:tcPr>
                  <w:tcW w:w="812" w:type="pct"/>
                  <w:tcBorders>
                    <w:left w:val="single" w:color="auto" w:sz="4" w:space="0"/>
                  </w:tcBorders>
                  <w:noWrap w:val="0"/>
                  <w:vAlign w:val="center"/>
                </w:tcPr>
                <w:p w14:paraId="1FD845DA">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COD</w:t>
                  </w:r>
                  <w:r>
                    <w:rPr>
                      <w:rFonts w:hint="eastAsia"/>
                      <w:bCs/>
                      <w:color w:val="000000" w:themeColor="text1"/>
                      <w:sz w:val="21"/>
                      <w:szCs w:val="21"/>
                      <w:highlight w:val="none"/>
                      <w:vertAlign w:val="subscript"/>
                      <w14:textFill>
                        <w14:solidFill>
                          <w14:schemeClr w14:val="tx1"/>
                        </w14:solidFill>
                      </w14:textFill>
                    </w:rPr>
                    <w:t>C</w:t>
                  </w:r>
                  <w:r>
                    <w:rPr>
                      <w:bCs/>
                      <w:color w:val="000000" w:themeColor="text1"/>
                      <w:sz w:val="21"/>
                      <w:szCs w:val="21"/>
                      <w:highlight w:val="none"/>
                      <w:vertAlign w:val="subscript"/>
                      <w14:textFill>
                        <w14:solidFill>
                          <w14:schemeClr w14:val="tx1"/>
                        </w14:solidFill>
                      </w14:textFill>
                    </w:rPr>
                    <w:t>r</w:t>
                  </w:r>
                </w:p>
              </w:tc>
              <w:tc>
                <w:tcPr>
                  <w:tcW w:w="1097" w:type="pct"/>
                  <w:noWrap w:val="0"/>
                  <w:vAlign w:val="center"/>
                </w:tcPr>
                <w:p w14:paraId="03A164BA">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500</w:t>
                  </w:r>
                </w:p>
              </w:tc>
            </w:tr>
            <w:tr w14:paraId="0AE6E50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47B47D5A">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2</w:t>
                  </w:r>
                </w:p>
              </w:tc>
              <w:tc>
                <w:tcPr>
                  <w:tcW w:w="2552" w:type="pct"/>
                  <w:vMerge w:val="continue"/>
                  <w:tcBorders>
                    <w:right w:val="single" w:color="auto" w:sz="4" w:space="0"/>
                  </w:tcBorders>
                  <w:noWrap w:val="0"/>
                  <w:vAlign w:val="center"/>
                </w:tcPr>
                <w:p w14:paraId="32D0B731">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62F8C967">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SS</w:t>
                  </w:r>
                </w:p>
              </w:tc>
              <w:tc>
                <w:tcPr>
                  <w:tcW w:w="1097" w:type="pct"/>
                  <w:noWrap w:val="0"/>
                  <w:vAlign w:val="center"/>
                </w:tcPr>
                <w:p w14:paraId="3B684FAB">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400</w:t>
                  </w:r>
                </w:p>
              </w:tc>
            </w:tr>
            <w:tr w14:paraId="28FC79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146E24E3">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3</w:t>
                  </w:r>
                </w:p>
              </w:tc>
              <w:tc>
                <w:tcPr>
                  <w:tcW w:w="2552" w:type="pct"/>
                  <w:vMerge w:val="continue"/>
                  <w:tcBorders>
                    <w:right w:val="single" w:color="auto" w:sz="4" w:space="0"/>
                  </w:tcBorders>
                  <w:noWrap w:val="0"/>
                  <w:vAlign w:val="center"/>
                </w:tcPr>
                <w:p w14:paraId="14E4DA6B">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6A6E324B">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氨氮</w:t>
                  </w:r>
                </w:p>
              </w:tc>
              <w:tc>
                <w:tcPr>
                  <w:tcW w:w="1097" w:type="pct"/>
                  <w:noWrap w:val="0"/>
                  <w:vAlign w:val="center"/>
                </w:tcPr>
                <w:p w14:paraId="21C9E15F">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w:t>
                  </w:r>
                </w:p>
              </w:tc>
            </w:tr>
            <w:tr w14:paraId="43C9C59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7968C164">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4</w:t>
                  </w:r>
                </w:p>
              </w:tc>
              <w:tc>
                <w:tcPr>
                  <w:tcW w:w="2552" w:type="pct"/>
                  <w:vMerge w:val="continue"/>
                  <w:tcBorders>
                    <w:right w:val="single" w:color="auto" w:sz="4" w:space="0"/>
                  </w:tcBorders>
                  <w:noWrap w:val="0"/>
                  <w:vAlign w:val="center"/>
                </w:tcPr>
                <w:p w14:paraId="7E5B2699">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1E434D0D">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TP</w:t>
                  </w:r>
                </w:p>
              </w:tc>
              <w:tc>
                <w:tcPr>
                  <w:tcW w:w="1097" w:type="pct"/>
                  <w:noWrap w:val="0"/>
                  <w:vAlign w:val="center"/>
                </w:tcPr>
                <w:p w14:paraId="767A4915">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8</w:t>
                  </w:r>
                </w:p>
              </w:tc>
            </w:tr>
            <w:tr w14:paraId="5020FDE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0BC1DAF2">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6</w:t>
                  </w:r>
                </w:p>
              </w:tc>
              <w:tc>
                <w:tcPr>
                  <w:tcW w:w="2552" w:type="pct"/>
                  <w:vMerge w:val="continue"/>
                  <w:tcBorders>
                    <w:right w:val="single" w:color="auto" w:sz="4" w:space="0"/>
                  </w:tcBorders>
                  <w:noWrap w:val="0"/>
                  <w:vAlign w:val="center"/>
                </w:tcPr>
                <w:p w14:paraId="6CEA5168">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3CF53FB2">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BOD</w:t>
                  </w:r>
                  <w:r>
                    <w:rPr>
                      <w:rFonts w:hint="eastAsia"/>
                      <w:bCs/>
                      <w:color w:val="000000" w:themeColor="text1"/>
                      <w:sz w:val="21"/>
                      <w:szCs w:val="21"/>
                      <w:highlight w:val="none"/>
                      <w:vertAlign w:val="subscript"/>
                      <w14:textFill>
                        <w14:solidFill>
                          <w14:schemeClr w14:val="tx1"/>
                        </w14:solidFill>
                      </w14:textFill>
                    </w:rPr>
                    <w:t>5</w:t>
                  </w:r>
                </w:p>
              </w:tc>
              <w:tc>
                <w:tcPr>
                  <w:tcW w:w="1097" w:type="pct"/>
                  <w:noWrap w:val="0"/>
                  <w:vAlign w:val="center"/>
                </w:tcPr>
                <w:p w14:paraId="03F8CEBF">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300</w:t>
                  </w:r>
                </w:p>
              </w:tc>
            </w:tr>
            <w:tr w14:paraId="72C752C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2374DD83">
                  <w:pPr>
                    <w:shd w:val="clear" w:color="auto" w:fill="auto"/>
                    <w:spacing w:line="240" w:lineRule="auto"/>
                    <w:ind w:firstLine="0" w:firstLineChars="0"/>
                    <w:jc w:val="center"/>
                    <w:rPr>
                      <w:rFonts w:hint="eastAsia"/>
                      <w:bCs/>
                      <w:color w:val="000000" w:themeColor="text1"/>
                      <w:kern w:val="2"/>
                      <w:sz w:val="21"/>
                      <w:szCs w:val="21"/>
                      <w:highlight w:val="none"/>
                      <w:lang w:val="en-US" w:eastAsia="zh-CN" w:bidi="ar-SA"/>
                      <w14:textFill>
                        <w14:solidFill>
                          <w14:schemeClr w14:val="tx1"/>
                        </w14:solidFill>
                      </w14:textFill>
                    </w:rPr>
                  </w:pPr>
                  <w:r>
                    <w:rPr>
                      <w:rFonts w:hint="eastAsia"/>
                      <w:bCs/>
                      <w:color w:val="000000" w:themeColor="text1"/>
                      <w:sz w:val="21"/>
                      <w:szCs w:val="21"/>
                      <w:highlight w:val="none"/>
                      <w14:textFill>
                        <w14:solidFill>
                          <w14:schemeClr w14:val="tx1"/>
                        </w14:solidFill>
                      </w14:textFill>
                    </w:rPr>
                    <w:t>7</w:t>
                  </w:r>
                </w:p>
              </w:tc>
              <w:tc>
                <w:tcPr>
                  <w:tcW w:w="2552" w:type="pct"/>
                  <w:vMerge w:val="continue"/>
                  <w:tcBorders>
                    <w:right w:val="single" w:color="auto" w:sz="4" w:space="0"/>
                  </w:tcBorders>
                  <w:noWrap w:val="0"/>
                  <w:vAlign w:val="center"/>
                </w:tcPr>
                <w:p w14:paraId="4FBB7DB0">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0CB3F9DA">
                  <w:pPr>
                    <w:shd w:val="clear" w:color="auto" w:fill="auto"/>
                    <w:spacing w:line="240" w:lineRule="auto"/>
                    <w:ind w:firstLine="0" w:firstLineChars="0"/>
                    <w:jc w:val="center"/>
                    <w:rPr>
                      <w:rFonts w:hint="eastAsia" w:eastAsia="宋体"/>
                      <w:bCs/>
                      <w:color w:val="000000" w:themeColor="text1"/>
                      <w:sz w:val="21"/>
                      <w:szCs w:val="21"/>
                      <w:highlight w:val="none"/>
                      <w:lang w:eastAsia="zh-CN"/>
                      <w14:textFill>
                        <w14:solidFill>
                          <w14:schemeClr w14:val="tx1"/>
                        </w14:solidFill>
                      </w14:textFill>
                    </w:rPr>
                  </w:pPr>
                  <w:r>
                    <w:rPr>
                      <w:rFonts w:hint="eastAsia"/>
                      <w:bCs/>
                      <w:color w:val="000000" w:themeColor="text1"/>
                      <w:sz w:val="21"/>
                      <w:szCs w:val="21"/>
                      <w:highlight w:val="none"/>
                      <w:lang w:eastAsia="zh-CN"/>
                      <w14:textFill>
                        <w14:solidFill>
                          <w14:schemeClr w14:val="tx1"/>
                        </w14:solidFill>
                      </w14:textFill>
                    </w:rPr>
                    <w:t>动植物油</w:t>
                  </w:r>
                </w:p>
              </w:tc>
              <w:tc>
                <w:tcPr>
                  <w:tcW w:w="1097" w:type="pct"/>
                  <w:noWrap w:val="0"/>
                  <w:vAlign w:val="center"/>
                </w:tcPr>
                <w:p w14:paraId="29D760A7">
                  <w:pPr>
                    <w:shd w:val="clear" w:color="auto" w:fill="auto"/>
                    <w:spacing w:line="240" w:lineRule="auto"/>
                    <w:ind w:firstLine="0" w:firstLineChars="0"/>
                    <w:jc w:val="center"/>
                    <w:rPr>
                      <w:rFonts w:hint="default" w:eastAsia="宋体"/>
                      <w:bCs/>
                      <w:color w:val="000000" w:themeColor="text1"/>
                      <w:sz w:val="21"/>
                      <w:szCs w:val="21"/>
                      <w:highlight w:val="none"/>
                      <w:lang w:val="en-US" w:eastAsia="zh-CN"/>
                      <w14:textFill>
                        <w14:solidFill>
                          <w14:schemeClr w14:val="tx1"/>
                        </w14:solidFill>
                      </w14:textFill>
                    </w:rPr>
                  </w:pPr>
                  <w:r>
                    <w:rPr>
                      <w:rFonts w:hint="eastAsia"/>
                      <w:bCs/>
                      <w:color w:val="000000" w:themeColor="text1"/>
                      <w:sz w:val="21"/>
                      <w:szCs w:val="21"/>
                      <w:highlight w:val="none"/>
                      <w:lang w:val="en-US" w:eastAsia="zh-CN"/>
                      <w14:textFill>
                        <w14:solidFill>
                          <w14:schemeClr w14:val="tx1"/>
                        </w14:solidFill>
                      </w14:textFill>
                    </w:rPr>
                    <w:t>100</w:t>
                  </w:r>
                </w:p>
              </w:tc>
            </w:tr>
            <w:tr w14:paraId="01C1C6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PrEx>
              <w:trPr>
                <w:trHeight w:val="272" w:hRule="atLeast"/>
              </w:trPr>
              <w:tc>
                <w:tcPr>
                  <w:tcW w:w="537" w:type="pct"/>
                  <w:noWrap w:val="0"/>
                  <w:vAlign w:val="center"/>
                </w:tcPr>
                <w:p w14:paraId="01D45FE0">
                  <w:pPr>
                    <w:shd w:val="clear" w:color="auto" w:fill="auto"/>
                    <w:spacing w:line="240" w:lineRule="auto"/>
                    <w:ind w:firstLine="0" w:firstLineChars="0"/>
                    <w:jc w:val="center"/>
                    <w:rPr>
                      <w:bCs/>
                      <w:color w:val="000000" w:themeColor="text1"/>
                      <w:kern w:val="2"/>
                      <w:sz w:val="21"/>
                      <w:szCs w:val="21"/>
                      <w:highlight w:val="none"/>
                      <w:lang w:val="en-US" w:eastAsia="zh-CN" w:bidi="ar-SA"/>
                      <w14:textFill>
                        <w14:solidFill>
                          <w14:schemeClr w14:val="tx1"/>
                        </w14:solidFill>
                      </w14:textFill>
                    </w:rPr>
                  </w:pPr>
                  <w:r>
                    <w:rPr>
                      <w:rFonts w:hint="eastAsia"/>
                      <w:bCs/>
                      <w:color w:val="000000" w:themeColor="text1"/>
                      <w:sz w:val="21"/>
                      <w:szCs w:val="21"/>
                      <w:highlight w:val="none"/>
                      <w14:textFill>
                        <w14:solidFill>
                          <w14:schemeClr w14:val="tx1"/>
                        </w14:solidFill>
                      </w14:textFill>
                    </w:rPr>
                    <w:t>8</w:t>
                  </w:r>
                </w:p>
              </w:tc>
              <w:tc>
                <w:tcPr>
                  <w:tcW w:w="2552" w:type="pct"/>
                  <w:vMerge w:val="restart"/>
                  <w:tcBorders>
                    <w:right w:val="single" w:color="auto" w:sz="4" w:space="0"/>
                  </w:tcBorders>
                  <w:noWrap w:val="0"/>
                  <w:vAlign w:val="center"/>
                </w:tcPr>
                <w:p w14:paraId="0C5FCF47">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《城镇污水处理厂污染物排放标准》（GB18918-2002）一级A标准</w:t>
                  </w:r>
                </w:p>
              </w:tc>
              <w:tc>
                <w:tcPr>
                  <w:tcW w:w="812" w:type="pct"/>
                  <w:tcBorders>
                    <w:left w:val="single" w:color="auto" w:sz="4" w:space="0"/>
                  </w:tcBorders>
                  <w:noWrap w:val="0"/>
                  <w:vAlign w:val="center"/>
                </w:tcPr>
                <w:p w14:paraId="23501E0C">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COD</w:t>
                  </w:r>
                  <w:r>
                    <w:rPr>
                      <w:rFonts w:hint="eastAsia"/>
                      <w:bCs/>
                      <w:color w:val="000000" w:themeColor="text1"/>
                      <w:sz w:val="21"/>
                      <w:szCs w:val="21"/>
                      <w:highlight w:val="none"/>
                      <w:vertAlign w:val="subscript"/>
                      <w14:textFill>
                        <w14:solidFill>
                          <w14:schemeClr w14:val="tx1"/>
                        </w14:solidFill>
                      </w14:textFill>
                    </w:rPr>
                    <w:t>C</w:t>
                  </w:r>
                  <w:r>
                    <w:rPr>
                      <w:bCs/>
                      <w:color w:val="000000" w:themeColor="text1"/>
                      <w:sz w:val="21"/>
                      <w:szCs w:val="21"/>
                      <w:highlight w:val="none"/>
                      <w:vertAlign w:val="subscript"/>
                      <w14:textFill>
                        <w14:solidFill>
                          <w14:schemeClr w14:val="tx1"/>
                        </w14:solidFill>
                      </w14:textFill>
                    </w:rPr>
                    <w:t>r</w:t>
                  </w:r>
                </w:p>
              </w:tc>
              <w:tc>
                <w:tcPr>
                  <w:tcW w:w="1097" w:type="pct"/>
                  <w:noWrap w:val="0"/>
                  <w:vAlign w:val="center"/>
                </w:tcPr>
                <w:p w14:paraId="756AF09B">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50</w:t>
                  </w:r>
                </w:p>
              </w:tc>
            </w:tr>
            <w:tr w14:paraId="2621F1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0B8CE6E1">
                  <w:pPr>
                    <w:shd w:val="clear" w:color="auto" w:fill="auto"/>
                    <w:spacing w:line="240" w:lineRule="auto"/>
                    <w:ind w:firstLine="0" w:firstLineChars="0"/>
                    <w:jc w:val="center"/>
                    <w:rPr>
                      <w:bCs/>
                      <w:color w:val="000000" w:themeColor="text1"/>
                      <w:kern w:val="2"/>
                      <w:sz w:val="21"/>
                      <w:szCs w:val="21"/>
                      <w:highlight w:val="none"/>
                      <w:lang w:val="en-US" w:eastAsia="zh-CN" w:bidi="ar-SA"/>
                      <w14:textFill>
                        <w14:solidFill>
                          <w14:schemeClr w14:val="tx1"/>
                        </w14:solidFill>
                      </w14:textFill>
                    </w:rPr>
                  </w:pPr>
                  <w:r>
                    <w:rPr>
                      <w:rFonts w:hint="eastAsia"/>
                      <w:bCs/>
                      <w:color w:val="000000" w:themeColor="text1"/>
                      <w:sz w:val="21"/>
                      <w:szCs w:val="21"/>
                      <w:highlight w:val="none"/>
                      <w14:textFill>
                        <w14:solidFill>
                          <w14:schemeClr w14:val="tx1"/>
                        </w14:solidFill>
                      </w14:textFill>
                    </w:rPr>
                    <w:t>9</w:t>
                  </w:r>
                </w:p>
              </w:tc>
              <w:tc>
                <w:tcPr>
                  <w:tcW w:w="2552" w:type="pct"/>
                  <w:vMerge w:val="continue"/>
                  <w:tcBorders>
                    <w:right w:val="single" w:color="auto" w:sz="4" w:space="0"/>
                  </w:tcBorders>
                  <w:noWrap w:val="0"/>
                  <w:vAlign w:val="center"/>
                </w:tcPr>
                <w:p w14:paraId="37F142D5">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550E50E4">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SS</w:t>
                  </w:r>
                </w:p>
              </w:tc>
              <w:tc>
                <w:tcPr>
                  <w:tcW w:w="1097" w:type="pct"/>
                  <w:noWrap w:val="0"/>
                  <w:vAlign w:val="center"/>
                </w:tcPr>
                <w:p w14:paraId="3146A3FD">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10</w:t>
                  </w:r>
                </w:p>
              </w:tc>
            </w:tr>
            <w:tr w14:paraId="2539C25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3568148A">
                  <w:pPr>
                    <w:shd w:val="clear" w:color="auto" w:fill="auto"/>
                    <w:spacing w:line="240" w:lineRule="auto"/>
                    <w:ind w:firstLine="0" w:firstLineChars="0"/>
                    <w:jc w:val="center"/>
                    <w:rPr>
                      <w:bCs/>
                      <w:color w:val="000000" w:themeColor="text1"/>
                      <w:kern w:val="2"/>
                      <w:sz w:val="21"/>
                      <w:szCs w:val="21"/>
                      <w:highlight w:val="none"/>
                      <w:lang w:val="en-US" w:eastAsia="zh-CN" w:bidi="ar-SA"/>
                      <w14:textFill>
                        <w14:solidFill>
                          <w14:schemeClr w14:val="tx1"/>
                        </w14:solidFill>
                      </w14:textFill>
                    </w:rPr>
                  </w:pPr>
                  <w:r>
                    <w:rPr>
                      <w:rFonts w:hint="eastAsia"/>
                      <w:bCs/>
                      <w:color w:val="000000" w:themeColor="text1"/>
                      <w:sz w:val="21"/>
                      <w:szCs w:val="21"/>
                      <w:highlight w:val="none"/>
                      <w14:textFill>
                        <w14:solidFill>
                          <w14:schemeClr w14:val="tx1"/>
                        </w14:solidFill>
                      </w14:textFill>
                    </w:rPr>
                    <w:t>10</w:t>
                  </w:r>
                </w:p>
              </w:tc>
              <w:tc>
                <w:tcPr>
                  <w:tcW w:w="2552" w:type="pct"/>
                  <w:vMerge w:val="continue"/>
                  <w:tcBorders>
                    <w:right w:val="single" w:color="auto" w:sz="4" w:space="0"/>
                  </w:tcBorders>
                  <w:noWrap w:val="0"/>
                  <w:vAlign w:val="center"/>
                </w:tcPr>
                <w:p w14:paraId="2A6B2E83">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19CDD650">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氨氮</w:t>
                  </w:r>
                </w:p>
              </w:tc>
              <w:tc>
                <w:tcPr>
                  <w:tcW w:w="1097" w:type="pct"/>
                  <w:noWrap w:val="0"/>
                  <w:vAlign w:val="center"/>
                </w:tcPr>
                <w:p w14:paraId="78560DAF">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5</w:t>
                  </w:r>
                </w:p>
              </w:tc>
            </w:tr>
            <w:tr w14:paraId="75F3C34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59445B10">
                  <w:pPr>
                    <w:shd w:val="clear" w:color="auto" w:fill="auto"/>
                    <w:spacing w:line="240" w:lineRule="auto"/>
                    <w:ind w:firstLine="0" w:firstLineChars="0"/>
                    <w:jc w:val="center"/>
                    <w:rPr>
                      <w:rFonts w:hint="default" w:eastAsia="宋体"/>
                      <w:bCs/>
                      <w:color w:val="000000" w:themeColor="text1"/>
                      <w:kern w:val="2"/>
                      <w:sz w:val="21"/>
                      <w:szCs w:val="21"/>
                      <w:highlight w:val="none"/>
                      <w:lang w:val="en-US" w:eastAsia="zh-CN" w:bidi="ar-SA"/>
                      <w14:textFill>
                        <w14:solidFill>
                          <w14:schemeClr w14:val="tx1"/>
                        </w14:solidFill>
                      </w14:textFill>
                    </w:rPr>
                  </w:pPr>
                  <w:r>
                    <w:rPr>
                      <w:rFonts w:hint="eastAsia"/>
                      <w:bCs/>
                      <w:color w:val="000000" w:themeColor="text1"/>
                      <w:sz w:val="21"/>
                      <w:szCs w:val="21"/>
                      <w:highlight w:val="none"/>
                      <w:lang w:val="en-US" w:eastAsia="zh-CN"/>
                      <w14:textFill>
                        <w14:solidFill>
                          <w14:schemeClr w14:val="tx1"/>
                        </w14:solidFill>
                      </w14:textFill>
                    </w:rPr>
                    <w:t>11</w:t>
                  </w:r>
                </w:p>
              </w:tc>
              <w:tc>
                <w:tcPr>
                  <w:tcW w:w="2552" w:type="pct"/>
                  <w:vMerge w:val="continue"/>
                  <w:tcBorders>
                    <w:right w:val="single" w:color="auto" w:sz="4" w:space="0"/>
                  </w:tcBorders>
                  <w:noWrap w:val="0"/>
                  <w:vAlign w:val="center"/>
                </w:tcPr>
                <w:p w14:paraId="3F564F01">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1652F918">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TP</w:t>
                  </w:r>
                </w:p>
              </w:tc>
              <w:tc>
                <w:tcPr>
                  <w:tcW w:w="1097" w:type="pct"/>
                  <w:noWrap w:val="0"/>
                  <w:vAlign w:val="center"/>
                </w:tcPr>
                <w:p w14:paraId="7DEEAA3B">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0.5</w:t>
                  </w:r>
                </w:p>
              </w:tc>
            </w:tr>
            <w:tr w14:paraId="678A7FA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4425D3F1">
                  <w:pPr>
                    <w:shd w:val="clear" w:color="auto" w:fill="auto"/>
                    <w:spacing w:line="240" w:lineRule="auto"/>
                    <w:ind w:firstLine="0" w:firstLineChars="0"/>
                    <w:jc w:val="center"/>
                    <w:rPr>
                      <w:rFonts w:hint="default" w:eastAsia="宋体"/>
                      <w:bCs/>
                      <w:color w:val="000000" w:themeColor="text1"/>
                      <w:sz w:val="21"/>
                      <w:szCs w:val="21"/>
                      <w:highlight w:val="none"/>
                      <w:lang w:val="en-US" w:eastAsia="zh-CN"/>
                      <w14:textFill>
                        <w14:solidFill>
                          <w14:schemeClr w14:val="tx1"/>
                        </w14:solidFill>
                      </w14:textFill>
                    </w:rPr>
                  </w:pPr>
                  <w:r>
                    <w:rPr>
                      <w:rFonts w:hint="eastAsia"/>
                      <w:bCs/>
                      <w:color w:val="000000" w:themeColor="text1"/>
                      <w:sz w:val="21"/>
                      <w:szCs w:val="21"/>
                      <w:highlight w:val="none"/>
                      <w:lang w:val="en-US" w:eastAsia="zh-CN"/>
                      <w14:textFill>
                        <w14:solidFill>
                          <w14:schemeClr w14:val="tx1"/>
                        </w14:solidFill>
                      </w14:textFill>
                    </w:rPr>
                    <w:t>12</w:t>
                  </w:r>
                </w:p>
              </w:tc>
              <w:tc>
                <w:tcPr>
                  <w:tcW w:w="2552" w:type="pct"/>
                  <w:vMerge w:val="continue"/>
                  <w:tcBorders>
                    <w:right w:val="single" w:color="auto" w:sz="4" w:space="0"/>
                  </w:tcBorders>
                  <w:noWrap w:val="0"/>
                  <w:vAlign w:val="center"/>
                </w:tcPr>
                <w:p w14:paraId="0146CB9D">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10960F0A">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BOD</w:t>
                  </w:r>
                  <w:r>
                    <w:rPr>
                      <w:rFonts w:hint="eastAsia"/>
                      <w:bCs/>
                      <w:color w:val="000000" w:themeColor="text1"/>
                      <w:sz w:val="21"/>
                      <w:szCs w:val="21"/>
                      <w:highlight w:val="none"/>
                      <w:vertAlign w:val="subscript"/>
                      <w14:textFill>
                        <w14:solidFill>
                          <w14:schemeClr w14:val="tx1"/>
                        </w14:solidFill>
                      </w14:textFill>
                    </w:rPr>
                    <w:t>5</w:t>
                  </w:r>
                </w:p>
              </w:tc>
              <w:tc>
                <w:tcPr>
                  <w:tcW w:w="1097" w:type="pct"/>
                  <w:noWrap w:val="0"/>
                  <w:vAlign w:val="center"/>
                </w:tcPr>
                <w:p w14:paraId="79ABFCDB">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14:textFill>
                        <w14:solidFill>
                          <w14:schemeClr w14:val="tx1"/>
                        </w14:solidFill>
                      </w14:textFill>
                    </w:rPr>
                    <w:t>10</w:t>
                  </w:r>
                </w:p>
              </w:tc>
            </w:tr>
            <w:tr w14:paraId="5325F5E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72" w:hRule="atLeast"/>
              </w:trPr>
              <w:tc>
                <w:tcPr>
                  <w:tcW w:w="537" w:type="pct"/>
                  <w:noWrap w:val="0"/>
                  <w:vAlign w:val="center"/>
                </w:tcPr>
                <w:p w14:paraId="32769C12">
                  <w:pPr>
                    <w:shd w:val="clear" w:color="auto" w:fill="auto"/>
                    <w:spacing w:line="240" w:lineRule="auto"/>
                    <w:ind w:firstLine="0" w:firstLineChars="0"/>
                    <w:jc w:val="center"/>
                    <w:rPr>
                      <w:rFonts w:hint="default" w:eastAsia="宋体"/>
                      <w:bCs/>
                      <w:color w:val="000000" w:themeColor="text1"/>
                      <w:sz w:val="21"/>
                      <w:szCs w:val="21"/>
                      <w:highlight w:val="none"/>
                      <w:lang w:val="en-US" w:eastAsia="zh-CN"/>
                      <w14:textFill>
                        <w14:solidFill>
                          <w14:schemeClr w14:val="tx1"/>
                        </w14:solidFill>
                      </w14:textFill>
                    </w:rPr>
                  </w:pPr>
                  <w:r>
                    <w:rPr>
                      <w:rFonts w:hint="eastAsia"/>
                      <w:bCs/>
                      <w:color w:val="000000" w:themeColor="text1"/>
                      <w:sz w:val="21"/>
                      <w:szCs w:val="21"/>
                      <w:highlight w:val="none"/>
                      <w:lang w:val="en-US" w:eastAsia="zh-CN"/>
                      <w14:textFill>
                        <w14:solidFill>
                          <w14:schemeClr w14:val="tx1"/>
                        </w14:solidFill>
                      </w14:textFill>
                    </w:rPr>
                    <w:t>13</w:t>
                  </w:r>
                </w:p>
              </w:tc>
              <w:tc>
                <w:tcPr>
                  <w:tcW w:w="2552" w:type="pct"/>
                  <w:vMerge w:val="continue"/>
                  <w:tcBorders>
                    <w:right w:val="single" w:color="auto" w:sz="4" w:space="0"/>
                  </w:tcBorders>
                  <w:noWrap w:val="0"/>
                  <w:vAlign w:val="center"/>
                </w:tcPr>
                <w:p w14:paraId="7482C994">
                  <w:pPr>
                    <w:shd w:val="clear" w:color="auto" w:fill="auto"/>
                    <w:spacing w:line="240" w:lineRule="auto"/>
                    <w:ind w:firstLine="0" w:firstLineChars="0"/>
                    <w:jc w:val="center"/>
                    <w:rPr>
                      <w:bCs/>
                      <w:color w:val="000000" w:themeColor="text1"/>
                      <w:sz w:val="21"/>
                      <w:szCs w:val="21"/>
                      <w:highlight w:val="none"/>
                      <w14:textFill>
                        <w14:solidFill>
                          <w14:schemeClr w14:val="tx1"/>
                        </w14:solidFill>
                      </w14:textFill>
                    </w:rPr>
                  </w:pPr>
                </w:p>
              </w:tc>
              <w:tc>
                <w:tcPr>
                  <w:tcW w:w="812" w:type="pct"/>
                  <w:tcBorders>
                    <w:left w:val="single" w:color="auto" w:sz="4" w:space="0"/>
                  </w:tcBorders>
                  <w:noWrap w:val="0"/>
                  <w:vAlign w:val="center"/>
                </w:tcPr>
                <w:p w14:paraId="1FAD2C0B">
                  <w:pPr>
                    <w:shd w:val="clear" w:color="auto" w:fill="auto"/>
                    <w:spacing w:line="240" w:lineRule="auto"/>
                    <w:ind w:firstLine="0" w:firstLineChars="0"/>
                    <w:jc w:val="center"/>
                    <w:rPr>
                      <w:rFonts w:hint="eastAsia"/>
                      <w:bCs/>
                      <w:color w:val="000000" w:themeColor="text1"/>
                      <w:sz w:val="21"/>
                      <w:szCs w:val="21"/>
                      <w:highlight w:val="none"/>
                      <w14:textFill>
                        <w14:solidFill>
                          <w14:schemeClr w14:val="tx1"/>
                        </w14:solidFill>
                      </w14:textFill>
                    </w:rPr>
                  </w:pPr>
                  <w:r>
                    <w:rPr>
                      <w:rFonts w:hint="eastAsia"/>
                      <w:bCs/>
                      <w:color w:val="000000" w:themeColor="text1"/>
                      <w:sz w:val="21"/>
                      <w:szCs w:val="21"/>
                      <w:highlight w:val="none"/>
                      <w:lang w:eastAsia="zh-CN"/>
                      <w14:textFill>
                        <w14:solidFill>
                          <w14:schemeClr w14:val="tx1"/>
                        </w14:solidFill>
                      </w14:textFill>
                    </w:rPr>
                    <w:t>动植物油</w:t>
                  </w:r>
                </w:p>
              </w:tc>
              <w:tc>
                <w:tcPr>
                  <w:tcW w:w="1097" w:type="pct"/>
                  <w:noWrap w:val="0"/>
                  <w:vAlign w:val="center"/>
                </w:tcPr>
                <w:p w14:paraId="134877EC">
                  <w:pPr>
                    <w:shd w:val="clear" w:color="auto" w:fill="auto"/>
                    <w:spacing w:line="240" w:lineRule="auto"/>
                    <w:ind w:firstLine="0" w:firstLineChars="0"/>
                    <w:jc w:val="center"/>
                    <w:rPr>
                      <w:rFonts w:hint="default" w:eastAsia="宋体"/>
                      <w:bCs/>
                      <w:color w:val="000000" w:themeColor="text1"/>
                      <w:sz w:val="21"/>
                      <w:szCs w:val="21"/>
                      <w:highlight w:val="none"/>
                      <w:lang w:val="en-US" w:eastAsia="zh-CN"/>
                      <w14:textFill>
                        <w14:solidFill>
                          <w14:schemeClr w14:val="tx1"/>
                        </w14:solidFill>
                      </w14:textFill>
                    </w:rPr>
                  </w:pPr>
                  <w:r>
                    <w:rPr>
                      <w:rFonts w:hint="eastAsia"/>
                      <w:bCs/>
                      <w:color w:val="000000" w:themeColor="text1"/>
                      <w:sz w:val="21"/>
                      <w:szCs w:val="21"/>
                      <w:highlight w:val="none"/>
                      <w:lang w:val="en-US" w:eastAsia="zh-CN"/>
                      <w14:textFill>
                        <w14:solidFill>
                          <w14:schemeClr w14:val="tx1"/>
                        </w14:solidFill>
                      </w14:textFill>
                    </w:rPr>
                    <w:t>1</w:t>
                  </w:r>
                </w:p>
              </w:tc>
            </w:tr>
          </w:tbl>
          <w:p w14:paraId="6BDBB94A">
            <w:pPr>
              <w:pStyle w:val="103"/>
              <w:shd w:val="clear" w:color="auto" w:fill="auto"/>
              <w:spacing w:before="0" w:beforeLines="0"/>
              <w:ind w:firstLine="482"/>
              <w:rPr>
                <w:b/>
                <w:bCs/>
                <w:color w:val="000000" w:themeColor="text1"/>
                <w:highlight w:val="none"/>
                <w14:textFill>
                  <w14:solidFill>
                    <w14:schemeClr w14:val="tx1"/>
                  </w14:solidFill>
                </w14:textFill>
              </w:rPr>
            </w:pPr>
            <w:r>
              <w:rPr>
                <w:b/>
                <w:bCs/>
                <w:color w:val="000000" w:themeColor="text1"/>
                <w:highlight w:val="none"/>
                <w14:textFill>
                  <w14:solidFill>
                    <w14:schemeClr w14:val="tx1"/>
                  </w14:solidFill>
                </w14:textFill>
              </w:rPr>
              <w:t>3、噪声</w:t>
            </w:r>
          </w:p>
          <w:p w14:paraId="62262115">
            <w:pPr>
              <w:pStyle w:val="108"/>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营运期噪声执行《工业企业厂界环境噪声排放标准》（GB12348-2008）3类标准，标准限值见表3-11。</w:t>
            </w:r>
          </w:p>
          <w:p w14:paraId="65E1B5DC">
            <w:pPr>
              <w:pStyle w:val="106"/>
              <w:shd w:val="clear" w:color="auto" w:fill="auto"/>
              <w:spacing w:before="156"/>
              <w:rPr>
                <w:color w:val="000000" w:themeColor="text1"/>
                <w:szCs w:val="24"/>
                <w:highlight w:val="none"/>
                <w14:textFill>
                  <w14:solidFill>
                    <w14:schemeClr w14:val="tx1"/>
                  </w14:solidFill>
                </w14:textFill>
              </w:rPr>
            </w:pPr>
            <w:r>
              <w:rPr>
                <w:color w:val="000000" w:themeColor="text1"/>
                <w:szCs w:val="24"/>
                <w:highlight w:val="none"/>
                <w14:textFill>
                  <w14:solidFill>
                    <w14:schemeClr w14:val="tx1"/>
                  </w14:solidFill>
                </w14:textFill>
              </w:rPr>
              <w:t>表</w:t>
            </w:r>
            <w:r>
              <w:rPr>
                <w:rFonts w:hint="eastAsia"/>
                <w:color w:val="000000" w:themeColor="text1"/>
                <w:szCs w:val="24"/>
                <w:highlight w:val="none"/>
                <w14:textFill>
                  <w14:solidFill>
                    <w14:schemeClr w14:val="tx1"/>
                  </w14:solidFill>
                </w14:textFill>
              </w:rPr>
              <w:t>3-11</w:t>
            </w:r>
            <w:r>
              <w:rPr>
                <w:color w:val="000000" w:themeColor="text1"/>
                <w:szCs w:val="24"/>
                <w:highlight w:val="none"/>
                <w14:textFill>
                  <w14:solidFill>
                    <w14:schemeClr w14:val="tx1"/>
                  </w14:solidFill>
                </w14:textFill>
              </w:rPr>
              <w:t xml:space="preserve"> 工业企业厂界环境噪声排放标准   单位：dB（A）</w:t>
            </w:r>
          </w:p>
          <w:tbl>
            <w:tblPr>
              <w:tblStyle w:val="3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71"/>
              <w:gridCol w:w="2138"/>
              <w:gridCol w:w="2138"/>
              <w:gridCol w:w="1797"/>
            </w:tblGrid>
            <w:tr w14:paraId="1B4D38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1129" w:type="pct"/>
                  <w:noWrap w:val="0"/>
                  <w:vAlign w:val="center"/>
                </w:tcPr>
                <w:p w14:paraId="3D6244CA">
                  <w:pPr>
                    <w:pStyle w:val="121"/>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类别</w:t>
                  </w:r>
                </w:p>
              </w:tc>
              <w:tc>
                <w:tcPr>
                  <w:tcW w:w="1362" w:type="pct"/>
                  <w:noWrap w:val="0"/>
                  <w:vAlign w:val="center"/>
                </w:tcPr>
                <w:p w14:paraId="1C52FFD8">
                  <w:pPr>
                    <w:pStyle w:val="121"/>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昼间</w:t>
                  </w:r>
                </w:p>
              </w:tc>
              <w:tc>
                <w:tcPr>
                  <w:tcW w:w="1362" w:type="pct"/>
                  <w:noWrap w:val="0"/>
                  <w:vAlign w:val="center"/>
                </w:tcPr>
                <w:p w14:paraId="7E53677D">
                  <w:pPr>
                    <w:pStyle w:val="121"/>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夜间</w:t>
                  </w:r>
                </w:p>
              </w:tc>
              <w:tc>
                <w:tcPr>
                  <w:tcW w:w="1145" w:type="pct"/>
                  <w:noWrap w:val="0"/>
                  <w:vAlign w:val="center"/>
                </w:tcPr>
                <w:p w14:paraId="63AA19BC">
                  <w:pPr>
                    <w:pStyle w:val="121"/>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备注</w:t>
                  </w:r>
                </w:p>
              </w:tc>
            </w:tr>
            <w:tr w14:paraId="317F51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129" w:type="pct"/>
                  <w:noWrap w:val="0"/>
                  <w:vAlign w:val="center"/>
                </w:tcPr>
                <w:p w14:paraId="23774FEB">
                  <w:pPr>
                    <w:pStyle w:val="121"/>
                    <w:shd w:val="clear" w:color="auto" w:fil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厂界噪声</w:t>
                  </w:r>
                </w:p>
              </w:tc>
              <w:tc>
                <w:tcPr>
                  <w:tcW w:w="1362" w:type="pct"/>
                  <w:noWrap w:val="0"/>
                  <w:vAlign w:val="center"/>
                </w:tcPr>
                <w:p w14:paraId="695CF112">
                  <w:pPr>
                    <w:pStyle w:val="121"/>
                    <w:shd w:val="clear" w:color="auto" w:fill="auto"/>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65</w:t>
                  </w:r>
                </w:p>
              </w:tc>
              <w:tc>
                <w:tcPr>
                  <w:tcW w:w="1362" w:type="pct"/>
                  <w:noWrap w:val="0"/>
                  <w:vAlign w:val="center"/>
                </w:tcPr>
                <w:p w14:paraId="443796C9">
                  <w:pPr>
                    <w:pStyle w:val="121"/>
                    <w:shd w:val="clear" w:color="auto" w:fill="auto"/>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55</w:t>
                  </w:r>
                </w:p>
              </w:tc>
              <w:tc>
                <w:tcPr>
                  <w:tcW w:w="1145" w:type="pct"/>
                  <w:noWrap w:val="0"/>
                  <w:vAlign w:val="center"/>
                </w:tcPr>
                <w:p w14:paraId="44BCCC06">
                  <w:pPr>
                    <w:pStyle w:val="121"/>
                    <w:shd w:val="clear" w:color="auto" w:fill="auto"/>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color w:val="000000" w:themeColor="text1"/>
                      <w:highlight w:val="none"/>
                      <w14:textFill>
                        <w14:solidFill>
                          <w14:schemeClr w14:val="tx1"/>
                        </w14:solidFill>
                      </w14:textFill>
                    </w:rPr>
                    <w:t>类标准</w:t>
                  </w:r>
                </w:p>
              </w:tc>
            </w:tr>
          </w:tbl>
          <w:p w14:paraId="71AE60CD">
            <w:pPr>
              <w:pStyle w:val="103"/>
              <w:shd w:val="clear" w:color="auto" w:fill="auto"/>
              <w:spacing w:before="0" w:beforeLines="0"/>
              <w:ind w:firstLine="482"/>
              <w:rPr>
                <w:rFonts w:hint="eastAsia"/>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4、固体废物</w:t>
            </w:r>
          </w:p>
          <w:p w14:paraId="2FE5CC0A">
            <w:pPr>
              <w:pStyle w:val="93"/>
              <w:shd w:val="clear" w:color="auto" w:fill="auto"/>
              <w:spacing w:line="360" w:lineRule="auto"/>
              <w:ind w:firstLine="480" w:firstLineChars="200"/>
              <w:rPr>
                <w:color w:val="000000" w:themeColor="text1"/>
                <w:highlight w:val="none"/>
                <w14:textFill>
                  <w14:solidFill>
                    <w14:schemeClr w14:val="tx1"/>
                  </w14:solidFill>
                </w14:textFill>
              </w:rPr>
            </w:pPr>
            <w:r>
              <w:rPr>
                <w:rFonts w:hint="eastAsia"/>
                <w:color w:val="000000" w:themeColor="text1"/>
                <w:sz w:val="24"/>
                <w:szCs w:val="24"/>
                <w:highlight w:val="none"/>
                <w14:textFill>
                  <w14:solidFill>
                    <w14:schemeClr w14:val="tx1"/>
                  </w14:solidFill>
                </w14:textFill>
              </w:rPr>
              <w:t>项目产生的一般固体废物暂存要满足防渗漏、防雨淋、防扬尘等要求；危险废物执行《危险废物贮存污染控制标准》（GB18597-2023）中要求。</w:t>
            </w:r>
          </w:p>
        </w:tc>
      </w:tr>
      <w:tr w14:paraId="3C0123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330" w:hRule="atLeast"/>
          <w:jc w:val="center"/>
        </w:trPr>
        <w:tc>
          <w:tcPr>
            <w:tcW w:w="456" w:type="dxa"/>
            <w:noWrap w:val="0"/>
            <w:vAlign w:val="center"/>
          </w:tcPr>
          <w:p w14:paraId="151D9B89">
            <w:pPr>
              <w:pStyle w:val="95"/>
              <w:shd w:val="clear" w:color="auto" w:fill="auto"/>
              <w:rPr>
                <w:color w:val="000000" w:themeColor="text1"/>
                <w:sz w:val="2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总量控制指标</w:t>
            </w:r>
          </w:p>
        </w:tc>
        <w:tc>
          <w:tcPr>
            <w:tcW w:w="8063" w:type="dxa"/>
            <w:noWrap w:val="0"/>
            <w:vAlign w:val="center"/>
          </w:tcPr>
          <w:p w14:paraId="5C072F0A">
            <w:pPr>
              <w:shd w:val="clear" w:color="auto" w:fill="auto"/>
              <w:ind w:firstLine="480"/>
              <w:jc w:val="both"/>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根据《江西省人民政府关于印发江西省</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十</w:t>
            </w:r>
            <w:r>
              <w:rPr>
                <w:rFonts w:hint="eastAsia"/>
                <w:color w:val="000000" w:themeColor="text1"/>
                <w:highlight w:val="none"/>
                <w14:textFill>
                  <w14:solidFill>
                    <w14:schemeClr w14:val="tx1"/>
                  </w14:solidFill>
                </w14:textFill>
              </w:rPr>
              <w:t>四</w:t>
            </w:r>
            <w:r>
              <w:rPr>
                <w:color w:val="000000" w:themeColor="text1"/>
                <w:highlight w:val="none"/>
                <w14:textFill>
                  <w14:solidFill>
                    <w14:schemeClr w14:val="tx1"/>
                  </w14:solidFill>
                </w14:textFill>
              </w:rPr>
              <w:t>五</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节能减排综合工作方案的通知》，</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十</w:t>
            </w:r>
            <w:r>
              <w:rPr>
                <w:rFonts w:hint="eastAsia"/>
                <w:color w:val="000000" w:themeColor="text1"/>
                <w:highlight w:val="none"/>
                <w14:textFill>
                  <w14:solidFill>
                    <w14:schemeClr w14:val="tx1"/>
                  </w14:solidFill>
                </w14:textFill>
              </w:rPr>
              <w:t>四</w:t>
            </w:r>
            <w:r>
              <w:rPr>
                <w:color w:val="000000" w:themeColor="text1"/>
                <w:highlight w:val="none"/>
                <w14:textFill>
                  <w14:solidFill>
                    <w14:schemeClr w14:val="tx1"/>
                  </w14:solidFill>
                </w14:textFill>
              </w:rPr>
              <w:t>五</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期间全省对COD、NH</w:t>
            </w:r>
            <w:r>
              <w:rPr>
                <w:color w:val="000000" w:themeColor="text1"/>
                <w:highlight w:val="none"/>
                <w:vertAlign w:val="subscript"/>
                <w14:textFill>
                  <w14:solidFill>
                    <w14:schemeClr w14:val="tx1"/>
                  </w14:solidFill>
                </w14:textFill>
              </w:rPr>
              <w:t>3</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VOCs</w:t>
            </w:r>
            <w:r>
              <w:rPr>
                <w:color w:val="000000" w:themeColor="text1"/>
                <w:highlight w:val="none"/>
                <w14:textFill>
                  <w14:solidFill>
                    <w14:schemeClr w14:val="tx1"/>
                  </w14:solidFill>
                </w14:textFill>
              </w:rPr>
              <w:t>、NO</w:t>
            </w:r>
            <w:r>
              <w:rPr>
                <w:color w:val="000000" w:themeColor="text1"/>
                <w:highlight w:val="none"/>
                <w:vertAlign w:val="subscript"/>
                <w14:textFill>
                  <w14:solidFill>
                    <w14:schemeClr w14:val="tx1"/>
                  </w14:solidFill>
                </w14:textFill>
              </w:rPr>
              <w:t>X</w:t>
            </w:r>
            <w:r>
              <w:rPr>
                <w:color w:val="000000" w:themeColor="text1"/>
                <w:highlight w:val="none"/>
                <w14:textFill>
                  <w14:solidFill>
                    <w14:schemeClr w14:val="tx1"/>
                  </w14:solidFill>
                </w14:textFill>
              </w:rPr>
              <w:t>排放实行总量控制和计划管理。</w:t>
            </w:r>
          </w:p>
          <w:p w14:paraId="128F509C">
            <w:pPr>
              <w:shd w:val="clear" w:color="auto" w:fill="auto"/>
              <w:ind w:firstLine="48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根据工程分析可知，本项目总量控制指标主要为COD、NH</w:t>
            </w:r>
            <w:r>
              <w:rPr>
                <w:color w:val="000000" w:themeColor="text1"/>
                <w:highlight w:val="none"/>
                <w:vertAlign w:val="subscript"/>
                <w14:textFill>
                  <w14:solidFill>
                    <w14:schemeClr w14:val="tx1"/>
                  </w14:solidFill>
                </w14:textFill>
              </w:rPr>
              <w:t>3</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VOCs。</w:t>
            </w:r>
          </w:p>
          <w:p w14:paraId="294ED44E">
            <w:pPr>
              <w:shd w:val="clear" w:color="auto" w:fill="auto"/>
              <w:ind w:firstLine="48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项目废水主要为生活污水</w:t>
            </w:r>
            <w:r>
              <w:rPr>
                <w:rFonts w:hint="eastAsia"/>
                <w:color w:val="000000" w:themeColor="text1"/>
                <w:highlight w:val="none"/>
                <w14:textFill>
                  <w14:solidFill>
                    <w14:schemeClr w14:val="tx1"/>
                  </w14:solidFill>
                </w14:textFill>
              </w:rPr>
              <w:t>。污水处理厂建成之前，项目废水经隔油池+化粪池和一体化污水处理设施处理达</w:t>
            </w:r>
            <w:r>
              <w:rPr>
                <w:color w:val="000000" w:themeColor="text1"/>
                <w:highlight w:val="none"/>
                <w14:textFill>
                  <w14:solidFill>
                    <w14:schemeClr w14:val="tx1"/>
                  </w14:solidFill>
                </w14:textFill>
              </w:rPr>
              <w:t>《污水综合排放标准》（GB8978-1996）</w:t>
            </w:r>
            <w:r>
              <w:rPr>
                <w:rFonts w:hint="eastAsia"/>
                <w:color w:val="000000" w:themeColor="text1"/>
                <w:highlight w:val="none"/>
                <w14:textFill>
                  <w14:solidFill>
                    <w14:schemeClr w14:val="tx1"/>
                  </w14:solidFill>
                </w14:textFill>
              </w:rPr>
              <w:t>表4</w:t>
            </w:r>
            <w:r>
              <w:rPr>
                <w:color w:val="000000" w:themeColor="text1"/>
                <w:highlight w:val="none"/>
                <w14:textFill>
                  <w14:solidFill>
                    <w14:schemeClr w14:val="tx1"/>
                  </w14:solidFill>
                </w14:textFill>
              </w:rPr>
              <w:t>中一级标准</w:t>
            </w:r>
            <w:r>
              <w:rPr>
                <w:rFonts w:hint="eastAsia"/>
                <w:color w:val="000000" w:themeColor="text1"/>
                <w:highlight w:val="none"/>
                <w14:textFill>
                  <w14:solidFill>
                    <w14:schemeClr w14:val="tx1"/>
                  </w14:solidFill>
                </w14:textFill>
              </w:rPr>
              <w:t>后排入乐安河，项目污水排放量为</w:t>
            </w:r>
            <w:r>
              <w:rPr>
                <w:rFonts w:hint="eastAsia"/>
                <w:color w:val="000000" w:themeColor="text1"/>
                <w:highlight w:val="none"/>
                <w:lang w:val="en-US" w:eastAsia="zh-CN"/>
                <w14:textFill>
                  <w14:solidFill>
                    <w14:schemeClr w14:val="tx1"/>
                  </w14:solidFill>
                </w14:textFill>
              </w:rPr>
              <w:t>1584</w:t>
            </w:r>
            <w:r>
              <w:rPr>
                <w:color w:val="000000" w:themeColor="text1"/>
                <w:highlight w:val="none"/>
                <w14:textFill>
                  <w14:solidFill>
                    <w14:schemeClr w14:val="tx1"/>
                  </w14:solidFill>
                </w14:textFill>
              </w:rPr>
              <w:t>m</w:t>
            </w:r>
            <w:r>
              <w:rPr>
                <w:color w:val="000000" w:themeColor="text1"/>
                <w:highlight w:val="none"/>
                <w:vertAlign w:val="superscript"/>
                <w14:textFill>
                  <w14:solidFill>
                    <w14:schemeClr w14:val="tx1"/>
                  </w14:solidFill>
                </w14:textFill>
              </w:rPr>
              <w:t>3</w:t>
            </w:r>
            <w:r>
              <w:rPr>
                <w:color w:val="000000" w:themeColor="text1"/>
                <w:highlight w:val="none"/>
                <w14:textFill>
                  <w14:solidFill>
                    <w14:schemeClr w14:val="tx1"/>
                  </w14:solidFill>
                </w14:textFill>
              </w:rPr>
              <w:t>/a</w:t>
            </w:r>
            <w:r>
              <w:rPr>
                <w:rFonts w:hint="eastAsia"/>
                <w:color w:val="000000" w:themeColor="text1"/>
                <w:highlight w:val="none"/>
                <w14:textFill>
                  <w14:solidFill>
                    <w14:schemeClr w14:val="tx1"/>
                  </w14:solidFill>
                </w14:textFill>
              </w:rPr>
              <w:t>。</w:t>
            </w:r>
          </w:p>
          <w:p w14:paraId="2AE2977F">
            <w:pPr>
              <w:shd w:val="clear" w:color="auto" w:fill="auto"/>
              <w:ind w:firstLine="48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COD总量控制指标为：</w:t>
            </w:r>
            <w:r>
              <w:rPr>
                <w:rFonts w:hint="eastAsia"/>
                <w:color w:val="000000" w:themeColor="text1"/>
                <w:highlight w:val="none"/>
                <w:lang w:val="en-US" w:eastAsia="zh-CN"/>
                <w14:textFill>
                  <w14:solidFill>
                    <w14:schemeClr w14:val="tx1"/>
                  </w14:solidFill>
                </w14:textFill>
              </w:rPr>
              <w:t>1584</w:t>
            </w:r>
            <w:r>
              <w:rPr>
                <w:color w:val="000000" w:themeColor="text1"/>
                <w:highlight w:val="none"/>
                <w14:textFill>
                  <w14:solidFill>
                    <w14:schemeClr w14:val="tx1"/>
                  </w14:solidFill>
                </w14:textFill>
              </w:rPr>
              <w:t>×100÷1000000</w:t>
            </w:r>
            <w:r>
              <w:rPr>
                <w:rFonts w:hint="default" w:ascii="Times New Roman" w:hAnsi="Times New Roman" w:cs="Times New Roman"/>
                <w:color w:val="000000" w:themeColor="text1"/>
                <w:highlight w:val="none"/>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0.158</w:t>
            </w:r>
            <w:r>
              <w:rPr>
                <w:color w:val="000000" w:themeColor="text1"/>
                <w:highlight w:val="none"/>
                <w14:textFill>
                  <w14:solidFill>
                    <w14:schemeClr w14:val="tx1"/>
                  </w14:solidFill>
                </w14:textFill>
              </w:rPr>
              <w:t>t/a</w:t>
            </w:r>
          </w:p>
          <w:p w14:paraId="42EFEAC7">
            <w:pPr>
              <w:shd w:val="clear" w:color="auto" w:fill="auto"/>
              <w:ind w:firstLine="480"/>
              <w:rPr>
                <w:rFonts w:hint="eastAsia"/>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NH</w:t>
            </w:r>
            <w:r>
              <w:rPr>
                <w:color w:val="000000" w:themeColor="text1"/>
                <w:highlight w:val="none"/>
                <w:vertAlign w:val="subscript"/>
                <w14:textFill>
                  <w14:solidFill>
                    <w14:schemeClr w14:val="tx1"/>
                  </w14:solidFill>
                </w14:textFill>
              </w:rPr>
              <w:t>3</w:t>
            </w:r>
            <w:r>
              <w:rPr>
                <w:color w:val="000000" w:themeColor="text1"/>
                <w:highlight w:val="none"/>
                <w14:textFill>
                  <w14:solidFill>
                    <w14:schemeClr w14:val="tx1"/>
                  </w14:solidFill>
                </w14:textFill>
              </w:rPr>
              <w:t>-N总量控制指标为：</w:t>
            </w:r>
            <w:r>
              <w:rPr>
                <w:rFonts w:hint="eastAsia"/>
                <w:color w:val="000000" w:themeColor="text1"/>
                <w:highlight w:val="none"/>
                <w:lang w:val="en-US" w:eastAsia="zh-CN"/>
                <w14:textFill>
                  <w14:solidFill>
                    <w14:schemeClr w14:val="tx1"/>
                  </w14:solidFill>
                </w14:textFill>
              </w:rPr>
              <w:t>1584</w:t>
            </w:r>
            <w:r>
              <w:rPr>
                <w:color w:val="000000" w:themeColor="text1"/>
                <w:highlight w:val="none"/>
                <w14:textFill>
                  <w14:solidFill>
                    <w14:schemeClr w14:val="tx1"/>
                  </w14:solidFill>
                </w14:textFill>
              </w:rPr>
              <w:t>×15÷1000000</w:t>
            </w:r>
            <w:r>
              <w:rPr>
                <w:rFonts w:hint="default" w:ascii="Times New Roman" w:hAnsi="Times New Roman" w:cs="Times New Roman"/>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0.</w:t>
            </w:r>
            <w:r>
              <w:rPr>
                <w:rFonts w:hint="eastAsia"/>
                <w:color w:val="000000" w:themeColor="text1"/>
                <w:highlight w:val="none"/>
                <w:lang w:val="en-US" w:eastAsia="zh-CN"/>
                <w14:textFill>
                  <w14:solidFill>
                    <w14:schemeClr w14:val="tx1"/>
                  </w14:solidFill>
                </w14:textFill>
              </w:rPr>
              <w:t>024</w:t>
            </w:r>
            <w:r>
              <w:rPr>
                <w:rFonts w:hint="eastAsia"/>
                <w:color w:val="000000" w:themeColor="text1"/>
                <w:highlight w:val="none"/>
                <w14:textFill>
                  <w14:solidFill>
                    <w14:schemeClr w14:val="tx1"/>
                  </w14:solidFill>
                </w14:textFill>
              </w:rPr>
              <w:t>t</w:t>
            </w:r>
            <w:r>
              <w:rPr>
                <w:color w:val="000000" w:themeColor="text1"/>
                <w:highlight w:val="none"/>
                <w14:textFill>
                  <w14:solidFill>
                    <w14:schemeClr w14:val="tx1"/>
                  </w14:solidFill>
                </w14:textFill>
              </w:rPr>
              <w:t>/a。</w:t>
            </w:r>
          </w:p>
          <w:p w14:paraId="101F1578">
            <w:pPr>
              <w:pStyle w:val="108"/>
              <w:shd w:val="clear" w:color="auto" w:fill="auto"/>
              <w:rPr>
                <w:rFonts w:hint="eastAsia" w:eastAsia="宋体"/>
                <w:color w:val="000000" w:themeColor="text1"/>
                <w:highlight w:val="none"/>
                <w:lang w:eastAsia="zh-CN"/>
                <w14:textFill>
                  <w14:solidFill>
                    <w14:schemeClr w14:val="tx1"/>
                  </w14:solidFill>
                </w14:textFill>
              </w:rPr>
            </w:pPr>
            <w:r>
              <w:rPr>
                <w:rFonts w:hint="eastAsia"/>
                <w:color w:val="000000" w:themeColor="text1"/>
                <w:highlight w:val="none"/>
                <w14:textFill>
                  <w14:solidFill>
                    <w14:schemeClr w14:val="tx1"/>
                  </w14:solidFill>
                </w14:textFill>
              </w:rPr>
              <w:t>VOCs</w:t>
            </w:r>
            <w:r>
              <w:rPr>
                <w:color w:val="000000" w:themeColor="text1"/>
                <w:highlight w:val="none"/>
                <w14:textFill>
                  <w14:solidFill>
                    <w14:schemeClr w14:val="tx1"/>
                  </w14:solidFill>
                </w14:textFill>
              </w:rPr>
              <w:t>总量控制指标为：</w:t>
            </w:r>
            <w:r>
              <w:rPr>
                <w:rFonts w:hint="eastAsia"/>
                <w:color w:val="000000" w:themeColor="text1"/>
                <w:highlight w:val="none"/>
                <w14:textFill>
                  <w14:solidFill>
                    <w14:schemeClr w14:val="tx1"/>
                  </w14:solidFill>
                </w14:textFill>
              </w:rPr>
              <w:t>1.5</w:t>
            </w:r>
            <w:r>
              <w:rPr>
                <w:rFonts w:hint="eastAsia"/>
                <w:color w:val="000000" w:themeColor="text1"/>
                <w:highlight w:val="none"/>
                <w:lang w:val="en-US" w:eastAsia="zh-CN"/>
                <w14:textFill>
                  <w14:solidFill>
                    <w14:schemeClr w14:val="tx1"/>
                  </w14:solidFill>
                </w14:textFill>
              </w:rPr>
              <w:t>07</w:t>
            </w:r>
            <w:r>
              <w:rPr>
                <w:rFonts w:hint="eastAsia"/>
                <w:color w:val="000000" w:themeColor="text1"/>
                <w:highlight w:val="none"/>
                <w14:textFill>
                  <w14:solidFill>
                    <w14:schemeClr w14:val="tx1"/>
                  </w14:solidFill>
                </w14:textFill>
              </w:rPr>
              <w:t>t</w:t>
            </w:r>
            <w:r>
              <w:rPr>
                <w:color w:val="000000" w:themeColor="text1"/>
                <w:highlight w:val="none"/>
                <w14:textFill>
                  <w14:solidFill>
                    <w14:schemeClr w14:val="tx1"/>
                  </w14:solidFill>
                </w14:textFill>
              </w:rPr>
              <w:t>/a</w:t>
            </w:r>
            <w:r>
              <w:rPr>
                <w:rFonts w:hint="eastAsia"/>
                <w:color w:val="000000" w:themeColor="text1"/>
                <w:highlight w:val="none"/>
                <w:lang w:eastAsia="zh-CN"/>
                <w14:textFill>
                  <w14:solidFill>
                    <w14:schemeClr w14:val="tx1"/>
                  </w14:solidFill>
                </w14:textFill>
              </w:rPr>
              <w:t>。</w:t>
            </w:r>
          </w:p>
          <w:p w14:paraId="39883ACE">
            <w:pPr>
              <w:pStyle w:val="108"/>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污水处理厂建成之后，</w:t>
            </w:r>
            <w:r>
              <w:rPr>
                <w:color w:val="000000" w:themeColor="text1"/>
                <w:highlight w:val="none"/>
                <w14:textFill>
                  <w14:solidFill>
                    <w14:schemeClr w14:val="tx1"/>
                  </w14:solidFill>
                </w14:textFill>
              </w:rPr>
              <w:t>项目产生的</w:t>
            </w:r>
            <w:r>
              <w:rPr>
                <w:rFonts w:hint="eastAsia"/>
                <w:color w:val="000000" w:themeColor="text1"/>
                <w:highlight w:val="none"/>
                <w14:textFill>
                  <w14:solidFill>
                    <w14:schemeClr w14:val="tx1"/>
                  </w14:solidFill>
                </w14:textFill>
              </w:rPr>
              <w:t>生活</w:t>
            </w:r>
            <w:r>
              <w:rPr>
                <w:color w:val="000000" w:themeColor="text1"/>
                <w:highlight w:val="none"/>
                <w14:textFill>
                  <w14:solidFill>
                    <w14:schemeClr w14:val="tx1"/>
                  </w14:solidFill>
                </w14:textFill>
              </w:rPr>
              <w:t>污水</w:t>
            </w:r>
            <w:r>
              <w:rPr>
                <w:rFonts w:hint="eastAsia"/>
                <w:color w:val="000000" w:themeColor="text1"/>
                <w:highlight w:val="none"/>
                <w14:textFill>
                  <w14:solidFill>
                    <w14:schemeClr w14:val="tx1"/>
                  </w14:solidFill>
                </w14:textFill>
              </w:rPr>
              <w:t>经隔油池+化粪池+一体化污水处理设施</w:t>
            </w:r>
            <w:r>
              <w:rPr>
                <w:color w:val="000000" w:themeColor="text1"/>
                <w:highlight w:val="none"/>
                <w14:textFill>
                  <w14:solidFill>
                    <w14:schemeClr w14:val="tx1"/>
                  </w14:solidFill>
                </w14:textFill>
              </w:rPr>
              <w:t>处理后</w:t>
            </w:r>
            <w:r>
              <w:rPr>
                <w:rFonts w:hint="eastAsia"/>
                <w:color w:val="000000" w:themeColor="text1"/>
                <w:highlight w:val="none"/>
                <w14:textFill>
                  <w14:solidFill>
                    <w14:schemeClr w14:val="tx1"/>
                  </w14:solidFill>
                </w14:textFill>
              </w:rPr>
              <w:t>接入污水处理厂</w:t>
            </w:r>
            <w:r>
              <w:rPr>
                <w:color w:val="000000" w:themeColor="text1"/>
                <w:highlight w:val="none"/>
                <w14:textFill>
                  <w14:solidFill>
                    <w14:schemeClr w14:val="tx1"/>
                  </w14:solidFill>
                </w14:textFill>
              </w:rPr>
              <w:t>进一步处理达标排放，总量纳入污水处理厂排放总量指标范围，不需另行申请。</w:t>
            </w:r>
          </w:p>
        </w:tc>
      </w:tr>
    </w:tbl>
    <w:p w14:paraId="2C61EF76">
      <w:pPr>
        <w:shd w:val="clear" w:color="auto" w:fill="auto"/>
        <w:ind w:firstLine="0" w:firstLineChars="0"/>
        <w:rPr>
          <w:color w:val="000000" w:themeColor="text1"/>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2DA131CD">
      <w:pPr>
        <w:pStyle w:val="2"/>
        <w:shd w:val="clear" w:color="auto" w:fill="auto"/>
        <w:rPr>
          <w:color w:val="000000" w:themeColor="text1"/>
          <w:highlight w:val="none"/>
          <w14:textFill>
            <w14:solidFill>
              <w14:schemeClr w14:val="tx1"/>
            </w14:solidFill>
          </w14:textFill>
        </w:rPr>
      </w:pPr>
      <w:bookmarkStart w:id="3" w:name="_Toc23718"/>
      <w:r>
        <w:rPr>
          <w:rFonts w:hint="eastAsia"/>
          <w:color w:val="000000" w:themeColor="text1"/>
          <w:highlight w:val="none"/>
          <w14:textFill>
            <w14:solidFill>
              <w14:schemeClr w14:val="tx1"/>
            </w14:solidFill>
          </w14:textFill>
        </w:rPr>
        <w:t>四、</w:t>
      </w:r>
      <w:r>
        <w:rPr>
          <w:color w:val="000000" w:themeColor="text1"/>
          <w:highlight w:val="none"/>
          <w14:textFill>
            <w14:solidFill>
              <w14:schemeClr w14:val="tx1"/>
            </w14:solidFill>
          </w14:textFill>
        </w:rPr>
        <w:t>环境影响和保护措施</w:t>
      </w:r>
      <w:bookmarkEnd w:id="3"/>
    </w:p>
    <w:tbl>
      <w:tblPr>
        <w:tblStyle w:val="3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04"/>
        <w:gridCol w:w="13570"/>
      </w:tblGrid>
      <w:tr w14:paraId="6EB385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213" w:type="pct"/>
            <w:noWrap w:val="0"/>
            <w:vAlign w:val="center"/>
          </w:tcPr>
          <w:p w14:paraId="40987E69">
            <w:pPr>
              <w:pStyle w:val="95"/>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施工期环境保护措施</w:t>
            </w:r>
          </w:p>
        </w:tc>
        <w:tc>
          <w:tcPr>
            <w:tcW w:w="4786" w:type="pct"/>
            <w:noWrap w:val="0"/>
            <w:vAlign w:val="center"/>
          </w:tcPr>
          <w:p w14:paraId="6EDC3806">
            <w:pPr>
              <w:shd w:val="clear" w:color="auto" w:fill="auto"/>
              <w:ind w:firstLine="482"/>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1、施工期环境影响分析</w:t>
            </w:r>
          </w:p>
          <w:p w14:paraId="727565C0">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本项目厂房已由乐平永泰智能产业运营有限公司建设完成</w:t>
            </w:r>
            <w:r>
              <w:rPr>
                <w:rFonts w:hint="default" w:ascii="Times New Roman" w:hAnsi="Times New Roman" w:cs="Times New Roman"/>
                <w:color w:val="000000" w:themeColor="text1"/>
                <w:highlight w:val="none"/>
                <w14:textFill>
                  <w14:solidFill>
                    <w14:schemeClr w14:val="tx1"/>
                  </w14:solidFill>
                </w14:textFill>
              </w:rPr>
              <w:t>，主要进行设备安装，项目建设启动后，主要有厂房室内装修和设备安装等阶段，将产生少量的扬尘、噪声和固体废物等污染物，采取的主要防治措施如下：</w:t>
            </w:r>
          </w:p>
          <w:p w14:paraId="2994F595">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（1）施工期大气污染物防治措施</w:t>
            </w:r>
          </w:p>
          <w:p w14:paraId="58B925CA">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扬尘污染主要产生于施工和汽车运输中，因施工面多、线长，对其全部控制难度较大，主要应从加强施工管理着手，提倡文明施工，如施工时减少粉状物料的露天堆放量和时间，余土做到合理堆放，物料运输不堆尖、不满出车厢，车厢加盖，中速平稳行驶，防止沿途散失和尘土飞扬等。</w:t>
            </w:r>
          </w:p>
          <w:p w14:paraId="0F1BE8EB">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（2）施工期噪声污染防治措施</w:t>
            </w:r>
          </w:p>
          <w:p w14:paraId="7F74B714">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噪声主要来源于施工设备和汽车运输，其控制应从规范施工秩序着手，对产生高噪声设备尽量安排在白天使用，深夜不使用噪声设备。汽车晚间运输尽量用灯光示警，禁鸣喇叭。此外，对产生噪声的施工设备加强维护和维修工作，亦对噪声有良好作用。</w:t>
            </w:r>
          </w:p>
          <w:p w14:paraId="2A3F40CE">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（3）施工期水环境污染防治措施</w:t>
            </w:r>
          </w:p>
          <w:p w14:paraId="277E4189">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应尽量减少物料流失、撒落和溢流，以减少施工废水中污染物的产生量，在施工现场建造临时性沉淀池，施工废水经沉淀处理后可循环利用的，要尽量循环利用，不能够循环利用的量由于很少，可采取分片浇洒场地的办法消减；施工期员工租用民房，不产生生活污水。</w:t>
            </w:r>
          </w:p>
          <w:p w14:paraId="3D36159B">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（4）固体废物处置措施</w:t>
            </w:r>
          </w:p>
          <w:p w14:paraId="7156A618">
            <w:pPr>
              <w:shd w:val="clear" w:color="auto" w:fill="auto"/>
              <w:ind w:firstLine="480"/>
              <w:jc w:val="both"/>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对建筑垃圾，可回收利用的应尽量回收。不能回收的应及时清运，防止因长期堆放产生扬尘等污染。生活垃圾应定点堆放，定期清运，严禁乱堆乱扔。</w:t>
            </w:r>
          </w:p>
        </w:tc>
      </w:tr>
      <w:tr w14:paraId="0121F0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02" w:hRule="atLeast"/>
        </w:trPr>
        <w:tc>
          <w:tcPr>
            <w:tcW w:w="213" w:type="pct"/>
            <w:noWrap w:val="0"/>
            <w:vAlign w:val="center"/>
          </w:tcPr>
          <w:p w14:paraId="7786553D">
            <w:pPr>
              <w:pStyle w:val="95"/>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运营期环境影响和保护措施</w:t>
            </w:r>
          </w:p>
        </w:tc>
        <w:tc>
          <w:tcPr>
            <w:tcW w:w="4786" w:type="pct"/>
            <w:noWrap w:val="0"/>
            <w:vAlign w:val="top"/>
          </w:tcPr>
          <w:p w14:paraId="2BCC337A">
            <w:pPr>
              <w:pStyle w:val="58"/>
              <w:numPr>
                <w:ilvl w:val="0"/>
                <w:numId w:val="9"/>
              </w:numPr>
              <w:shd w:val="clear" w:color="auto" w:fill="auto"/>
              <w:ind w:firstLine="482" w:firstLineChars="20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废气</w:t>
            </w:r>
          </w:p>
          <w:p w14:paraId="51D187AC">
            <w:pPr>
              <w:pStyle w:val="108"/>
              <w:shd w:val="clear" w:color="auto" w:fill="auto"/>
              <w:jc w:val="both"/>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本项目运营期产生的废气主要为金属熔化废气、造型废气、浇注废气、砂处理废气、</w:t>
            </w:r>
            <w:r>
              <w:rPr>
                <w:rFonts w:hint="default" w:ascii="Times New Roman" w:hAnsi="Times New Roman" w:cs="Times New Roman"/>
                <w:color w:val="000000" w:themeColor="text1"/>
                <w:highlight w:val="none"/>
                <w:lang w:val="en-US" w:eastAsia="zh-CN"/>
                <w14:textFill>
                  <w14:solidFill>
                    <w14:schemeClr w14:val="tx1"/>
                  </w14:solidFill>
                </w14:textFill>
              </w:rPr>
              <w:t>抛丸</w:t>
            </w:r>
            <w:r>
              <w:rPr>
                <w:rFonts w:hint="default" w:ascii="Times New Roman" w:hAnsi="Times New Roman" w:cs="Times New Roman"/>
                <w:color w:val="000000" w:themeColor="text1"/>
                <w:highlight w:val="none"/>
                <w14:textFill>
                  <w14:solidFill>
                    <w14:schemeClr w14:val="tx1"/>
                  </w14:solidFill>
                </w14:textFill>
              </w:rPr>
              <w:t>废气、打磨废气、落砂粉尘</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冷却废气、</w:t>
            </w:r>
            <w:r>
              <w:rPr>
                <w:rFonts w:hint="default" w:ascii="Times New Roman" w:hAnsi="Times New Roman" w:cs="Times New Roman"/>
                <w:color w:val="000000" w:themeColor="text1"/>
                <w:highlight w:val="none"/>
                <w:lang w:val="en-US" w:eastAsia="zh-CN"/>
                <w14:textFill>
                  <w14:solidFill>
                    <w14:schemeClr w14:val="tx1"/>
                  </w14:solidFill>
                </w14:textFill>
              </w:rPr>
              <w:t>涂装废气</w:t>
            </w:r>
            <w:r>
              <w:rPr>
                <w:rFonts w:hint="default" w:ascii="Times New Roman" w:hAnsi="Times New Roman" w:cs="Times New Roman"/>
                <w:color w:val="000000" w:themeColor="text1"/>
                <w:highlight w:val="none"/>
                <w:lang w:eastAsia="zh-CN"/>
                <w14:textFill>
                  <w14:solidFill>
                    <w14:schemeClr w14:val="tx1"/>
                  </w14:solidFill>
                </w14:textFill>
              </w:rPr>
              <w:t>，详见大气环境影响专题报告。</w:t>
            </w:r>
          </w:p>
          <w:p w14:paraId="0223586B">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二、废水</w:t>
            </w:r>
          </w:p>
          <w:p w14:paraId="04C2E64D">
            <w:pPr>
              <w:shd w:val="clear" w:color="auto" w:fill="auto"/>
              <w:adjustRightInd w:val="0"/>
              <w:snapToGrid w:val="0"/>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1、源强核算</w:t>
            </w:r>
          </w:p>
          <w:p w14:paraId="3A0C62A2">
            <w:pPr>
              <w:shd w:val="clear" w:color="auto" w:fill="auto"/>
              <w:snapToGrid w:val="0"/>
              <w:spacing w:line="240" w:lineRule="auto"/>
              <w:ind w:firstLine="0" w:firstLineChars="0"/>
              <w:jc w:val="center"/>
              <w:rPr>
                <w:rFonts w:hint="default" w:ascii="Times New Roman" w:hAnsi="Times New Roman" w:cs="Times New Roman"/>
                <w:b/>
                <w:bCs/>
                <w:color w:val="000000" w:themeColor="text1"/>
                <w:szCs w:val="21"/>
                <w:highlight w:val="none"/>
                <w14:textFill>
                  <w14:solidFill>
                    <w14:schemeClr w14:val="tx1"/>
                  </w14:solidFill>
                </w14:textFill>
              </w:rPr>
            </w:pPr>
            <w:r>
              <w:rPr>
                <w:rFonts w:hint="default" w:ascii="Times New Roman" w:hAnsi="Times New Roman" w:cs="Times New Roman"/>
                <w:b/>
                <w:bCs/>
                <w:color w:val="000000" w:themeColor="text1"/>
                <w:szCs w:val="21"/>
                <w:highlight w:val="none"/>
                <w:lang w:bidi="ar"/>
                <w14:textFill>
                  <w14:solidFill>
                    <w14:schemeClr w14:val="tx1"/>
                  </w14:solidFill>
                </w14:textFill>
              </w:rPr>
              <w:t>表4-</w:t>
            </w:r>
            <w:r>
              <w:rPr>
                <w:rFonts w:hint="default" w:ascii="Times New Roman" w:hAnsi="Times New Roman" w:cs="Times New Roman"/>
                <w:b/>
                <w:bCs/>
                <w:color w:val="000000" w:themeColor="text1"/>
                <w:szCs w:val="21"/>
                <w:highlight w:val="none"/>
                <w:lang w:val="en-US" w:eastAsia="zh-CN" w:bidi="ar"/>
                <w14:textFill>
                  <w14:solidFill>
                    <w14:schemeClr w14:val="tx1"/>
                  </w14:solidFill>
                </w14:textFill>
              </w:rPr>
              <w:t>1</w:t>
            </w:r>
            <w:r>
              <w:rPr>
                <w:rFonts w:hint="default" w:ascii="Times New Roman" w:hAnsi="Times New Roman" w:cs="Times New Roman"/>
                <w:b/>
                <w:bCs/>
                <w:color w:val="000000" w:themeColor="text1"/>
                <w:szCs w:val="21"/>
                <w:highlight w:val="none"/>
                <w:lang w:bidi="ar"/>
                <w14:textFill>
                  <w14:solidFill>
                    <w14:schemeClr w14:val="tx1"/>
                  </w14:solidFill>
                </w14:textFill>
              </w:rPr>
              <w:t xml:space="preserve"> 废水污染源产生、排放汇总表</w:t>
            </w:r>
          </w:p>
          <w:tbl>
            <w:tblPr>
              <w:tblStyle w:val="32"/>
              <w:tblW w:w="4992"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76"/>
              <w:gridCol w:w="576"/>
              <w:gridCol w:w="832"/>
              <w:gridCol w:w="539"/>
              <w:gridCol w:w="672"/>
              <w:gridCol w:w="726"/>
              <w:gridCol w:w="606"/>
              <w:gridCol w:w="667"/>
              <w:gridCol w:w="459"/>
              <w:gridCol w:w="531"/>
              <w:gridCol w:w="504"/>
              <w:gridCol w:w="654"/>
              <w:gridCol w:w="763"/>
              <w:gridCol w:w="491"/>
              <w:gridCol w:w="616"/>
              <w:gridCol w:w="910"/>
              <w:gridCol w:w="715"/>
              <w:gridCol w:w="803"/>
              <w:gridCol w:w="1025"/>
              <w:gridCol w:w="668"/>
            </w:tblGrid>
            <w:tr w14:paraId="4ABCDB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49" w:hRule="atLeast"/>
                <w:jc w:val="center"/>
              </w:trPr>
              <w:tc>
                <w:tcPr>
                  <w:tcW w:w="216" w:type="pct"/>
                  <w:vMerge w:val="restart"/>
                  <w:noWrap w:val="0"/>
                  <w:vAlign w:val="center"/>
                </w:tcPr>
                <w:p w14:paraId="6D70C8D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产排污环节</w:t>
                  </w:r>
                </w:p>
              </w:tc>
              <w:tc>
                <w:tcPr>
                  <w:tcW w:w="216" w:type="pct"/>
                  <w:vMerge w:val="restart"/>
                  <w:noWrap w:val="0"/>
                  <w:vAlign w:val="center"/>
                </w:tcPr>
                <w:p w14:paraId="1066A45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类别</w:t>
                  </w:r>
                </w:p>
              </w:tc>
              <w:tc>
                <w:tcPr>
                  <w:tcW w:w="312" w:type="pct"/>
                  <w:vMerge w:val="restart"/>
                  <w:noWrap w:val="0"/>
                  <w:vAlign w:val="center"/>
                </w:tcPr>
                <w:p w14:paraId="723A023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污染物</w:t>
                  </w:r>
                </w:p>
                <w:p w14:paraId="3E6B84E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种类</w:t>
                  </w:r>
                </w:p>
              </w:tc>
              <w:tc>
                <w:tcPr>
                  <w:tcW w:w="726" w:type="pct"/>
                  <w:gridSpan w:val="3"/>
                  <w:noWrap w:val="0"/>
                  <w:vAlign w:val="center"/>
                </w:tcPr>
                <w:p w14:paraId="4CF7DB9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污染物产生量和浓度</w:t>
                  </w:r>
                </w:p>
              </w:tc>
              <w:tc>
                <w:tcPr>
                  <w:tcW w:w="848" w:type="pct"/>
                  <w:gridSpan w:val="4"/>
                  <w:noWrap w:val="0"/>
                  <w:vAlign w:val="center"/>
                </w:tcPr>
                <w:p w14:paraId="3FE84FF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污染治理设施</w:t>
                  </w:r>
                </w:p>
              </w:tc>
              <w:tc>
                <w:tcPr>
                  <w:tcW w:w="720" w:type="pct"/>
                  <w:gridSpan w:val="3"/>
                  <w:noWrap w:val="0"/>
                  <w:vAlign w:val="center"/>
                </w:tcPr>
                <w:p w14:paraId="3FB0D83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污染物排放量和浓度</w:t>
                  </w:r>
                </w:p>
              </w:tc>
              <w:tc>
                <w:tcPr>
                  <w:tcW w:w="1710" w:type="pct"/>
                  <w:gridSpan w:val="6"/>
                  <w:noWrap w:val="0"/>
                  <w:vAlign w:val="center"/>
                </w:tcPr>
                <w:p w14:paraId="1B054EA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排放口基本情况</w:t>
                  </w:r>
                </w:p>
              </w:tc>
              <w:tc>
                <w:tcPr>
                  <w:tcW w:w="250" w:type="pct"/>
                  <w:noWrap w:val="0"/>
                  <w:vAlign w:val="center"/>
                </w:tcPr>
                <w:p w14:paraId="545DC44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排放标准</w:t>
                  </w:r>
                </w:p>
              </w:tc>
            </w:tr>
            <w:tr w14:paraId="04CB56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16" w:type="pct"/>
                  <w:vMerge w:val="continue"/>
                  <w:noWrap w:val="0"/>
                  <w:vAlign w:val="center"/>
                </w:tcPr>
                <w:p w14:paraId="0803B0C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16" w:type="pct"/>
                  <w:vMerge w:val="continue"/>
                  <w:noWrap w:val="0"/>
                  <w:vAlign w:val="center"/>
                </w:tcPr>
                <w:p w14:paraId="5B827DC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12" w:type="pct"/>
                  <w:vMerge w:val="continue"/>
                  <w:noWrap w:val="0"/>
                  <w:vAlign w:val="center"/>
                </w:tcPr>
                <w:p w14:paraId="62F12C7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02" w:type="pct"/>
                  <w:noWrap w:val="0"/>
                  <w:vAlign w:val="center"/>
                </w:tcPr>
                <w:p w14:paraId="29BE35B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废水量</w:t>
                  </w:r>
                </w:p>
              </w:tc>
              <w:tc>
                <w:tcPr>
                  <w:tcW w:w="252" w:type="pct"/>
                  <w:noWrap w:val="0"/>
                  <w:vAlign w:val="center"/>
                </w:tcPr>
                <w:p w14:paraId="37A3DD7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产生浓度</w:t>
                  </w:r>
                </w:p>
              </w:tc>
              <w:tc>
                <w:tcPr>
                  <w:tcW w:w="272" w:type="pct"/>
                  <w:noWrap w:val="0"/>
                  <w:vAlign w:val="center"/>
                </w:tcPr>
                <w:p w14:paraId="458108E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产生量</w:t>
                  </w:r>
                </w:p>
              </w:tc>
              <w:tc>
                <w:tcPr>
                  <w:tcW w:w="227" w:type="pct"/>
                  <w:noWrap w:val="0"/>
                  <w:vAlign w:val="center"/>
                </w:tcPr>
                <w:p w14:paraId="3DEF1F4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处理能力</w:t>
                  </w:r>
                </w:p>
              </w:tc>
              <w:tc>
                <w:tcPr>
                  <w:tcW w:w="250" w:type="pct"/>
                  <w:vMerge w:val="restart"/>
                  <w:noWrap w:val="0"/>
                  <w:vAlign w:val="center"/>
                </w:tcPr>
                <w:p w14:paraId="395455F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主要治理工艺</w:t>
                  </w:r>
                </w:p>
              </w:tc>
              <w:tc>
                <w:tcPr>
                  <w:tcW w:w="172" w:type="pct"/>
                  <w:noWrap w:val="0"/>
                  <w:vAlign w:val="center"/>
                </w:tcPr>
                <w:p w14:paraId="6725A19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去除效率</w:t>
                  </w:r>
                </w:p>
              </w:tc>
              <w:tc>
                <w:tcPr>
                  <w:tcW w:w="199" w:type="pct"/>
                  <w:vMerge w:val="restart"/>
                  <w:noWrap w:val="0"/>
                  <w:vAlign w:val="center"/>
                </w:tcPr>
                <w:p w14:paraId="5208ECF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是否可行技术</w:t>
                  </w:r>
                </w:p>
              </w:tc>
              <w:tc>
                <w:tcPr>
                  <w:tcW w:w="189" w:type="pct"/>
                  <w:noWrap w:val="0"/>
                  <w:vAlign w:val="center"/>
                </w:tcPr>
                <w:p w14:paraId="5C649FA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废水量</w:t>
                  </w:r>
                </w:p>
              </w:tc>
              <w:tc>
                <w:tcPr>
                  <w:tcW w:w="245" w:type="pct"/>
                  <w:noWrap w:val="0"/>
                  <w:vAlign w:val="center"/>
                </w:tcPr>
                <w:p w14:paraId="7111C13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排放浓度</w:t>
                  </w:r>
                </w:p>
              </w:tc>
              <w:tc>
                <w:tcPr>
                  <w:tcW w:w="286" w:type="pct"/>
                  <w:noWrap w:val="0"/>
                  <w:vAlign w:val="center"/>
                </w:tcPr>
                <w:p w14:paraId="022DEDF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排放量</w:t>
                  </w:r>
                </w:p>
              </w:tc>
              <w:tc>
                <w:tcPr>
                  <w:tcW w:w="184" w:type="pct"/>
                  <w:noWrap w:val="0"/>
                  <w:vAlign w:val="center"/>
                </w:tcPr>
                <w:p w14:paraId="6B12F87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pacing w:val="-10"/>
                      <w:sz w:val="21"/>
                      <w:szCs w:val="21"/>
                      <w:highlight w:val="none"/>
                      <w14:textFill>
                        <w14:solidFill>
                          <w14:schemeClr w14:val="tx1"/>
                        </w14:solidFill>
                      </w14:textFill>
                    </w:rPr>
                  </w:pPr>
                  <w:r>
                    <w:rPr>
                      <w:rFonts w:hint="default" w:ascii="Times New Roman" w:hAnsi="Times New Roman" w:cs="Times New Roman"/>
                      <w:b/>
                      <w:bCs/>
                      <w:color w:val="000000" w:themeColor="text1"/>
                      <w:spacing w:val="-10"/>
                      <w:sz w:val="21"/>
                      <w:szCs w:val="21"/>
                      <w:highlight w:val="none"/>
                      <w14:textFill>
                        <w14:solidFill>
                          <w14:schemeClr w14:val="tx1"/>
                        </w14:solidFill>
                      </w14:textFill>
                    </w:rPr>
                    <w:t>排放</w:t>
                  </w:r>
                </w:p>
                <w:p w14:paraId="4D536FB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pacing w:val="-10"/>
                      <w:sz w:val="21"/>
                      <w:szCs w:val="21"/>
                      <w:highlight w:val="none"/>
                      <w14:textFill>
                        <w14:solidFill>
                          <w14:schemeClr w14:val="tx1"/>
                        </w14:solidFill>
                      </w14:textFill>
                    </w:rPr>
                  </w:pPr>
                  <w:r>
                    <w:rPr>
                      <w:rFonts w:hint="default" w:ascii="Times New Roman" w:hAnsi="Times New Roman" w:cs="Times New Roman"/>
                      <w:b/>
                      <w:bCs/>
                      <w:color w:val="000000" w:themeColor="text1"/>
                      <w:spacing w:val="-10"/>
                      <w:sz w:val="21"/>
                      <w:szCs w:val="21"/>
                      <w:highlight w:val="none"/>
                      <w14:textFill>
                        <w14:solidFill>
                          <w14:schemeClr w14:val="tx1"/>
                        </w14:solidFill>
                      </w14:textFill>
                    </w:rPr>
                    <w:t>方式</w:t>
                  </w:r>
                </w:p>
              </w:tc>
              <w:tc>
                <w:tcPr>
                  <w:tcW w:w="231" w:type="pct"/>
                  <w:noWrap w:val="0"/>
                  <w:vAlign w:val="center"/>
                </w:tcPr>
                <w:p w14:paraId="33DC6E8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排放去向</w:t>
                  </w:r>
                </w:p>
              </w:tc>
              <w:tc>
                <w:tcPr>
                  <w:tcW w:w="341" w:type="pct"/>
                  <w:noWrap w:val="0"/>
                  <w:vAlign w:val="center"/>
                </w:tcPr>
                <w:p w14:paraId="01D3029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排放规律</w:t>
                  </w:r>
                </w:p>
              </w:tc>
              <w:tc>
                <w:tcPr>
                  <w:tcW w:w="268" w:type="pct"/>
                  <w:noWrap w:val="0"/>
                  <w:vAlign w:val="center"/>
                </w:tcPr>
                <w:p w14:paraId="002AC72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排放编号及名称</w:t>
                  </w:r>
                </w:p>
              </w:tc>
              <w:tc>
                <w:tcPr>
                  <w:tcW w:w="301" w:type="pct"/>
                  <w:noWrap w:val="0"/>
                  <w:vAlign w:val="center"/>
                </w:tcPr>
                <w:p w14:paraId="10C1CF3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排放类型</w:t>
                  </w:r>
                </w:p>
              </w:tc>
              <w:tc>
                <w:tcPr>
                  <w:tcW w:w="384" w:type="pct"/>
                  <w:noWrap w:val="0"/>
                  <w:vAlign w:val="center"/>
                </w:tcPr>
                <w:p w14:paraId="022368E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地理</w:t>
                  </w:r>
                </w:p>
                <w:p w14:paraId="6AC46ED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坐标</w:t>
                  </w:r>
                </w:p>
              </w:tc>
              <w:tc>
                <w:tcPr>
                  <w:tcW w:w="250" w:type="pct"/>
                  <w:vMerge w:val="restart"/>
                  <w:noWrap w:val="0"/>
                  <w:vAlign w:val="center"/>
                </w:tcPr>
                <w:p w14:paraId="333947A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浓度</w:t>
                  </w:r>
                </w:p>
                <w:p w14:paraId="2F33A08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mg/L</w:t>
                  </w:r>
                </w:p>
              </w:tc>
            </w:tr>
            <w:tr w14:paraId="6D9B020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216" w:type="pct"/>
                  <w:vMerge w:val="continue"/>
                  <w:noWrap w:val="0"/>
                  <w:vAlign w:val="center"/>
                </w:tcPr>
                <w:p w14:paraId="60DE7DE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34EE5F1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vMerge w:val="continue"/>
                  <w:noWrap w:val="0"/>
                  <w:vAlign w:val="center"/>
                </w:tcPr>
                <w:p w14:paraId="5B36019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02" w:type="pct"/>
                  <w:noWrap w:val="0"/>
                  <w:vAlign w:val="center"/>
                </w:tcPr>
                <w:p w14:paraId="7DC7E7D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w:t>
                  </w:r>
                  <w:r>
                    <w:rPr>
                      <w:rFonts w:hint="default" w:ascii="Times New Roman" w:hAnsi="Times New Roman"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b/>
                      <w:bCs/>
                      <w:color w:val="000000" w:themeColor="text1"/>
                      <w:sz w:val="21"/>
                      <w:szCs w:val="21"/>
                      <w:highlight w:val="none"/>
                      <w14:textFill>
                        <w14:solidFill>
                          <w14:schemeClr w14:val="tx1"/>
                        </w14:solidFill>
                      </w14:textFill>
                    </w:rPr>
                    <w:t>/a</w:t>
                  </w:r>
                </w:p>
              </w:tc>
              <w:tc>
                <w:tcPr>
                  <w:tcW w:w="252" w:type="pct"/>
                  <w:noWrap w:val="0"/>
                  <w:vAlign w:val="center"/>
                </w:tcPr>
                <w:p w14:paraId="6A31F7B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mg/l</w:t>
                  </w:r>
                </w:p>
              </w:tc>
              <w:tc>
                <w:tcPr>
                  <w:tcW w:w="272" w:type="pct"/>
                  <w:noWrap w:val="0"/>
                  <w:vAlign w:val="center"/>
                </w:tcPr>
                <w:p w14:paraId="527544E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t/a</w:t>
                  </w:r>
                </w:p>
              </w:tc>
              <w:tc>
                <w:tcPr>
                  <w:tcW w:w="227" w:type="pct"/>
                  <w:noWrap w:val="0"/>
                  <w:vAlign w:val="center"/>
                </w:tcPr>
                <w:p w14:paraId="6DBD5FF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w:t>
                  </w:r>
                  <w:r>
                    <w:rPr>
                      <w:rFonts w:hint="default" w:ascii="Times New Roman" w:hAnsi="Times New Roman"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b/>
                      <w:bCs/>
                      <w:color w:val="000000" w:themeColor="text1"/>
                      <w:sz w:val="21"/>
                      <w:szCs w:val="21"/>
                      <w:highlight w:val="none"/>
                      <w14:textFill>
                        <w14:solidFill>
                          <w14:schemeClr w14:val="tx1"/>
                        </w14:solidFill>
                      </w14:textFill>
                    </w:rPr>
                    <w:t>/h</w:t>
                  </w:r>
                </w:p>
              </w:tc>
              <w:tc>
                <w:tcPr>
                  <w:tcW w:w="250" w:type="pct"/>
                  <w:vMerge w:val="continue"/>
                  <w:noWrap w:val="0"/>
                  <w:vAlign w:val="center"/>
                </w:tcPr>
                <w:p w14:paraId="20F5A43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172" w:type="pct"/>
                  <w:noWrap w:val="0"/>
                  <w:vAlign w:val="center"/>
                </w:tcPr>
                <w:p w14:paraId="2347651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199" w:type="pct"/>
                  <w:vMerge w:val="continue"/>
                  <w:noWrap w:val="0"/>
                  <w:vAlign w:val="center"/>
                </w:tcPr>
                <w:p w14:paraId="66E2965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noWrap w:val="0"/>
                  <w:vAlign w:val="center"/>
                </w:tcPr>
                <w:p w14:paraId="0750625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w:t>
                  </w:r>
                  <w:r>
                    <w:rPr>
                      <w:rFonts w:hint="default" w:ascii="Times New Roman" w:hAnsi="Times New Roman"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b/>
                      <w:bCs/>
                      <w:color w:val="000000" w:themeColor="text1"/>
                      <w:sz w:val="21"/>
                      <w:szCs w:val="21"/>
                      <w:highlight w:val="none"/>
                      <w14:textFill>
                        <w14:solidFill>
                          <w14:schemeClr w14:val="tx1"/>
                        </w14:solidFill>
                      </w14:textFill>
                    </w:rPr>
                    <w:t>/a</w:t>
                  </w:r>
                </w:p>
              </w:tc>
              <w:tc>
                <w:tcPr>
                  <w:tcW w:w="245" w:type="pct"/>
                  <w:noWrap w:val="0"/>
                  <w:vAlign w:val="center"/>
                </w:tcPr>
                <w:p w14:paraId="503E6F4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mg/l</w:t>
                  </w:r>
                </w:p>
              </w:tc>
              <w:tc>
                <w:tcPr>
                  <w:tcW w:w="286" w:type="pct"/>
                  <w:noWrap w:val="0"/>
                  <w:vAlign w:val="center"/>
                </w:tcPr>
                <w:p w14:paraId="2E94A47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t/a</w:t>
                  </w:r>
                </w:p>
              </w:tc>
              <w:tc>
                <w:tcPr>
                  <w:tcW w:w="184" w:type="pct"/>
                  <w:noWrap w:val="0"/>
                  <w:vAlign w:val="center"/>
                </w:tcPr>
                <w:p w14:paraId="5230E6E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231" w:type="pct"/>
                  <w:noWrap w:val="0"/>
                  <w:vAlign w:val="center"/>
                </w:tcPr>
                <w:p w14:paraId="48781B4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341" w:type="pct"/>
                  <w:noWrap w:val="0"/>
                  <w:vAlign w:val="center"/>
                </w:tcPr>
                <w:p w14:paraId="39E8C3F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268" w:type="pct"/>
                  <w:noWrap w:val="0"/>
                  <w:vAlign w:val="center"/>
                </w:tcPr>
                <w:p w14:paraId="7FF8F9D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301" w:type="pct"/>
                  <w:noWrap w:val="0"/>
                  <w:vAlign w:val="center"/>
                </w:tcPr>
                <w:p w14:paraId="1F7D887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384" w:type="pct"/>
                  <w:noWrap w:val="0"/>
                  <w:vAlign w:val="center"/>
                </w:tcPr>
                <w:p w14:paraId="6831390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w:t>
                  </w:r>
                </w:p>
              </w:tc>
              <w:tc>
                <w:tcPr>
                  <w:tcW w:w="250" w:type="pct"/>
                  <w:vMerge w:val="continue"/>
                  <w:noWrap w:val="0"/>
                  <w:vAlign w:val="center"/>
                </w:tcPr>
                <w:p w14:paraId="099B4EC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r>
            <w:tr w14:paraId="21B7F3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4" w:hRule="atLeast"/>
                <w:jc w:val="center"/>
              </w:trPr>
              <w:tc>
                <w:tcPr>
                  <w:tcW w:w="216" w:type="pct"/>
                  <w:vMerge w:val="restart"/>
                  <w:noWrap w:val="0"/>
                  <w:vAlign w:val="center"/>
                </w:tcPr>
                <w:p w14:paraId="7EBC29BA">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员工生活</w:t>
                  </w:r>
                </w:p>
              </w:tc>
              <w:tc>
                <w:tcPr>
                  <w:tcW w:w="216" w:type="pct"/>
                  <w:vMerge w:val="restart"/>
                  <w:noWrap w:val="0"/>
                  <w:vAlign w:val="center"/>
                </w:tcPr>
                <w:p w14:paraId="759429C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生活污水</w:t>
                  </w:r>
                </w:p>
              </w:tc>
              <w:tc>
                <w:tcPr>
                  <w:tcW w:w="312" w:type="pct"/>
                  <w:noWrap w:val="0"/>
                  <w:vAlign w:val="center"/>
                </w:tcPr>
                <w:p w14:paraId="3AD4E50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pH</w:t>
                  </w:r>
                </w:p>
              </w:tc>
              <w:tc>
                <w:tcPr>
                  <w:tcW w:w="202" w:type="pct"/>
                  <w:vMerge w:val="restart"/>
                  <w:noWrap w:val="0"/>
                  <w:vAlign w:val="center"/>
                </w:tcPr>
                <w:p w14:paraId="36816B07">
                  <w:pPr>
                    <w:shd w:val="clear" w:color="auto" w:fill="auto"/>
                    <w:adjustRightInd w:val="0"/>
                    <w:spacing w:line="240" w:lineRule="auto"/>
                    <w:ind w:firstLine="0" w:firstLineChars="0"/>
                    <w:jc w:val="cente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1584</w:t>
                  </w:r>
                </w:p>
              </w:tc>
              <w:tc>
                <w:tcPr>
                  <w:tcW w:w="252" w:type="pct"/>
                  <w:noWrap w:val="0"/>
                  <w:vAlign w:val="center"/>
                </w:tcPr>
                <w:p w14:paraId="07CA661E">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6~9</w:t>
                  </w:r>
                </w:p>
              </w:tc>
              <w:tc>
                <w:tcPr>
                  <w:tcW w:w="272" w:type="pct"/>
                  <w:noWrap w:val="0"/>
                  <w:vAlign w:val="center"/>
                </w:tcPr>
                <w:p w14:paraId="0D65B37C">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w:t>
                  </w:r>
                </w:p>
              </w:tc>
              <w:tc>
                <w:tcPr>
                  <w:tcW w:w="227" w:type="pct"/>
                  <w:vMerge w:val="restart"/>
                  <w:noWrap w:val="0"/>
                  <w:vAlign w:val="center"/>
                </w:tcPr>
                <w:p w14:paraId="42BEC284">
                  <w:pPr>
                    <w:shd w:val="clear" w:color="auto" w:fill="auto"/>
                    <w:adjustRightInd w:val="0"/>
                    <w:spacing w:line="240" w:lineRule="auto"/>
                    <w:ind w:firstLine="0" w:firstLineChars="0"/>
                    <w:jc w:val="cente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w:t>
                  </w:r>
                </w:p>
              </w:tc>
              <w:tc>
                <w:tcPr>
                  <w:tcW w:w="250" w:type="pct"/>
                  <w:vMerge w:val="restart"/>
                  <w:noWrap w:val="0"/>
                  <w:vAlign w:val="center"/>
                </w:tcPr>
                <w:p w14:paraId="64383FB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隔油池+化粪池+一体化污水处理设施（接管前）</w:t>
                  </w:r>
                </w:p>
              </w:tc>
              <w:tc>
                <w:tcPr>
                  <w:tcW w:w="172" w:type="pct"/>
                  <w:noWrap w:val="0"/>
                  <w:vAlign w:val="center"/>
                </w:tcPr>
                <w:p w14:paraId="21555C87">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w:t>
                  </w:r>
                </w:p>
              </w:tc>
              <w:tc>
                <w:tcPr>
                  <w:tcW w:w="199" w:type="pct"/>
                  <w:vMerge w:val="restart"/>
                  <w:noWrap w:val="0"/>
                  <w:vAlign w:val="center"/>
                </w:tcPr>
                <w:p w14:paraId="4D86633F">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是</w:t>
                  </w:r>
                </w:p>
              </w:tc>
              <w:tc>
                <w:tcPr>
                  <w:tcW w:w="189" w:type="pct"/>
                  <w:vMerge w:val="restart"/>
                  <w:noWrap w:val="0"/>
                  <w:vAlign w:val="center"/>
                </w:tcPr>
                <w:p w14:paraId="4934ED7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1584</w:t>
                  </w:r>
                </w:p>
              </w:tc>
              <w:tc>
                <w:tcPr>
                  <w:tcW w:w="245" w:type="pct"/>
                  <w:noWrap w:val="0"/>
                  <w:vAlign w:val="center"/>
                </w:tcPr>
                <w:p w14:paraId="6F03440C">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6~9</w:t>
                  </w:r>
                </w:p>
              </w:tc>
              <w:tc>
                <w:tcPr>
                  <w:tcW w:w="286" w:type="pct"/>
                  <w:noWrap w:val="0"/>
                  <w:vAlign w:val="center"/>
                </w:tcPr>
                <w:p w14:paraId="6EFE1AD5">
                  <w:pPr>
                    <w:widowControl/>
                    <w:shd w:val="clear" w:color="auto" w:fill="auto"/>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w:t>
                  </w:r>
                </w:p>
              </w:tc>
              <w:tc>
                <w:tcPr>
                  <w:tcW w:w="184" w:type="pct"/>
                  <w:vMerge w:val="restart"/>
                  <w:noWrap w:val="0"/>
                  <w:vAlign w:val="center"/>
                </w:tcPr>
                <w:p w14:paraId="2FA637A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间接排放</w:t>
                  </w:r>
                </w:p>
              </w:tc>
              <w:tc>
                <w:tcPr>
                  <w:tcW w:w="231" w:type="pct"/>
                  <w:vMerge w:val="restart"/>
                  <w:noWrap w:val="0"/>
                  <w:vAlign w:val="center"/>
                </w:tcPr>
                <w:p w14:paraId="6D15D79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园区管网</w:t>
                  </w:r>
                </w:p>
              </w:tc>
              <w:tc>
                <w:tcPr>
                  <w:tcW w:w="341" w:type="pct"/>
                  <w:vMerge w:val="restart"/>
                  <w:noWrap w:val="0"/>
                  <w:vAlign w:val="center"/>
                </w:tcPr>
                <w:p w14:paraId="191FC88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间断排放，排放期间流量不稳定，但有周期性规律</w:t>
                  </w:r>
                </w:p>
              </w:tc>
              <w:tc>
                <w:tcPr>
                  <w:tcW w:w="268" w:type="pct"/>
                  <w:vMerge w:val="restart"/>
                  <w:noWrap w:val="0"/>
                  <w:vAlign w:val="center"/>
                </w:tcPr>
                <w:p w14:paraId="575CBAA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生活污水企业排放口</w:t>
                  </w:r>
                </w:p>
              </w:tc>
              <w:tc>
                <w:tcPr>
                  <w:tcW w:w="301" w:type="pct"/>
                  <w:vMerge w:val="restart"/>
                  <w:noWrap w:val="0"/>
                  <w:vAlign w:val="center"/>
                </w:tcPr>
                <w:p w14:paraId="6651A20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一般排放口</w:t>
                  </w:r>
                </w:p>
              </w:tc>
              <w:tc>
                <w:tcPr>
                  <w:tcW w:w="384" w:type="pct"/>
                  <w:vMerge w:val="restart"/>
                  <w:noWrap w:val="0"/>
                  <w:vAlign w:val="center"/>
                </w:tcPr>
                <w:p w14:paraId="76F6B52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E117°10′14.879″，N29°0′36.58</w:t>
                  </w: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6</w:t>
                  </w:r>
                  <w:r>
                    <w:rPr>
                      <w:rFonts w:hint="default" w:ascii="Times New Roman" w:hAnsi="Times New Roman" w:cs="Times New Roman"/>
                      <w:bCs/>
                      <w:color w:val="000000" w:themeColor="text1"/>
                      <w:sz w:val="21"/>
                      <w:szCs w:val="21"/>
                      <w:highlight w:val="none"/>
                      <w14:textFill>
                        <w14:solidFill>
                          <w14:schemeClr w14:val="tx1"/>
                        </w14:solidFill>
                      </w14:textFill>
                    </w:rPr>
                    <w:t>″</w:t>
                  </w:r>
                </w:p>
              </w:tc>
              <w:tc>
                <w:tcPr>
                  <w:tcW w:w="250" w:type="pct"/>
                  <w:noWrap w:val="0"/>
                  <w:vAlign w:val="center"/>
                </w:tcPr>
                <w:p w14:paraId="39279868">
                  <w:pPr>
                    <w:pStyle w:val="16"/>
                    <w:shd w:val="clear" w:color="auto" w:fill="auto"/>
                    <w:tabs>
                      <w:tab w:val="left" w:pos="420"/>
                      <w:tab w:val="left" w:pos="870"/>
                      <w:tab w:val="left" w:pos="3150"/>
                    </w:tabs>
                    <w:spacing w:before="0" w:beforeAutospacing="0" w:after="0" w:line="240" w:lineRule="auto"/>
                    <w:ind w:left="0" w:leftChars="0"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bidi="ar"/>
                      <w14:textFill>
                        <w14:solidFill>
                          <w14:schemeClr w14:val="tx1"/>
                        </w14:solidFill>
                      </w14:textFill>
                    </w:rPr>
                    <w:t>6~9</w:t>
                  </w:r>
                </w:p>
              </w:tc>
            </w:tr>
            <w:tr w14:paraId="1510C27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16" w:type="pct"/>
                  <w:vMerge w:val="continue"/>
                  <w:noWrap w:val="0"/>
                  <w:vAlign w:val="center"/>
                </w:tcPr>
                <w:p w14:paraId="536897B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5DCFB3F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327BCB2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COD</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Cr</w:t>
                  </w:r>
                </w:p>
              </w:tc>
              <w:tc>
                <w:tcPr>
                  <w:tcW w:w="202" w:type="pct"/>
                  <w:vMerge w:val="continue"/>
                  <w:noWrap w:val="0"/>
                  <w:vAlign w:val="center"/>
                </w:tcPr>
                <w:p w14:paraId="4ECA9B6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5AE9B4BF">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250</w:t>
                  </w:r>
                </w:p>
              </w:tc>
              <w:tc>
                <w:tcPr>
                  <w:tcW w:w="726" w:type="dxa"/>
                  <w:noWrap w:val="0"/>
                  <w:vAlign w:val="center"/>
                </w:tcPr>
                <w:p w14:paraId="54B6FEA4">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0.3960</w:t>
                  </w:r>
                </w:p>
              </w:tc>
              <w:tc>
                <w:tcPr>
                  <w:tcW w:w="227" w:type="pct"/>
                  <w:vMerge w:val="continue"/>
                  <w:noWrap w:val="0"/>
                  <w:vAlign w:val="center"/>
                </w:tcPr>
                <w:p w14:paraId="7191E99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1EEF78E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26D119B6">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80</w:t>
                  </w:r>
                </w:p>
              </w:tc>
              <w:tc>
                <w:tcPr>
                  <w:tcW w:w="199" w:type="pct"/>
                  <w:vMerge w:val="continue"/>
                  <w:noWrap w:val="0"/>
                  <w:vAlign w:val="center"/>
                </w:tcPr>
                <w:p w14:paraId="42982BC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6264D95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526A8309">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50</w:t>
                  </w:r>
                </w:p>
              </w:tc>
              <w:tc>
                <w:tcPr>
                  <w:tcW w:w="763" w:type="dxa"/>
                  <w:noWrap w:val="0"/>
                  <w:vAlign w:val="center"/>
                </w:tcPr>
                <w:p w14:paraId="0DB32198">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0.0792</w:t>
                  </w:r>
                </w:p>
              </w:tc>
              <w:tc>
                <w:tcPr>
                  <w:tcW w:w="184" w:type="pct"/>
                  <w:vMerge w:val="continue"/>
                  <w:noWrap w:val="0"/>
                  <w:vAlign w:val="center"/>
                </w:tcPr>
                <w:p w14:paraId="08510BF7">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3149296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5AAD326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52C6536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506BC5C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6B264FC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3CD2A4A9">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100</w:t>
                  </w:r>
                </w:p>
              </w:tc>
            </w:tr>
            <w:tr w14:paraId="141D0C7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216" w:type="pct"/>
                  <w:vMerge w:val="continue"/>
                  <w:noWrap w:val="0"/>
                  <w:vAlign w:val="center"/>
                </w:tcPr>
                <w:p w14:paraId="121E36E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38FB014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0D2E7AD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BOD</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5</w:t>
                  </w:r>
                </w:p>
              </w:tc>
              <w:tc>
                <w:tcPr>
                  <w:tcW w:w="202" w:type="pct"/>
                  <w:vMerge w:val="continue"/>
                  <w:noWrap w:val="0"/>
                  <w:vAlign w:val="center"/>
                </w:tcPr>
                <w:p w14:paraId="0B9B95B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6826C774">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150</w:t>
                  </w:r>
                </w:p>
              </w:tc>
              <w:tc>
                <w:tcPr>
                  <w:tcW w:w="726" w:type="dxa"/>
                  <w:noWrap w:val="0"/>
                  <w:vAlign w:val="center"/>
                </w:tcPr>
                <w:p w14:paraId="2B5B8B55">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0.2376</w:t>
                  </w:r>
                </w:p>
              </w:tc>
              <w:tc>
                <w:tcPr>
                  <w:tcW w:w="227" w:type="pct"/>
                  <w:vMerge w:val="continue"/>
                  <w:noWrap w:val="0"/>
                  <w:vAlign w:val="center"/>
                </w:tcPr>
                <w:p w14:paraId="165B99F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7F7524AF">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4DE23A3D">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90</w:t>
                  </w:r>
                </w:p>
              </w:tc>
              <w:tc>
                <w:tcPr>
                  <w:tcW w:w="199" w:type="pct"/>
                  <w:vMerge w:val="continue"/>
                  <w:noWrap w:val="0"/>
                  <w:vAlign w:val="center"/>
                </w:tcPr>
                <w:p w14:paraId="7C4E121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38F0643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65C0651C">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15</w:t>
                  </w:r>
                </w:p>
              </w:tc>
              <w:tc>
                <w:tcPr>
                  <w:tcW w:w="763" w:type="dxa"/>
                  <w:noWrap w:val="0"/>
                  <w:vAlign w:val="center"/>
                </w:tcPr>
                <w:p w14:paraId="44B46F86">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0.0238</w:t>
                  </w:r>
                </w:p>
              </w:tc>
              <w:tc>
                <w:tcPr>
                  <w:tcW w:w="184" w:type="pct"/>
                  <w:vMerge w:val="continue"/>
                  <w:noWrap w:val="0"/>
                  <w:vAlign w:val="center"/>
                </w:tcPr>
                <w:p w14:paraId="52356C5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08F01AF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272AFD2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3EBDF67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7ACF381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429B79F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5AF578BF">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20</w:t>
                  </w:r>
                </w:p>
              </w:tc>
            </w:tr>
            <w:tr w14:paraId="323CDF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16" w:type="pct"/>
                  <w:vMerge w:val="continue"/>
                  <w:noWrap w:val="0"/>
                  <w:vAlign w:val="center"/>
                </w:tcPr>
                <w:p w14:paraId="4C8855C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78E536AF">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12842EF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SS</w:t>
                  </w:r>
                </w:p>
              </w:tc>
              <w:tc>
                <w:tcPr>
                  <w:tcW w:w="202" w:type="pct"/>
                  <w:vMerge w:val="continue"/>
                  <w:noWrap w:val="0"/>
                  <w:vAlign w:val="center"/>
                </w:tcPr>
                <w:p w14:paraId="098D27F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761A1CD0">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200</w:t>
                  </w:r>
                </w:p>
              </w:tc>
              <w:tc>
                <w:tcPr>
                  <w:tcW w:w="726" w:type="dxa"/>
                  <w:noWrap w:val="0"/>
                  <w:vAlign w:val="center"/>
                </w:tcPr>
                <w:p w14:paraId="5D3DF9F6">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0.3168</w:t>
                  </w:r>
                </w:p>
              </w:tc>
              <w:tc>
                <w:tcPr>
                  <w:tcW w:w="227" w:type="pct"/>
                  <w:vMerge w:val="continue"/>
                  <w:noWrap w:val="0"/>
                  <w:vAlign w:val="center"/>
                </w:tcPr>
                <w:p w14:paraId="2249899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09D92FC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73F44C56">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80</w:t>
                  </w:r>
                </w:p>
              </w:tc>
              <w:tc>
                <w:tcPr>
                  <w:tcW w:w="199" w:type="pct"/>
                  <w:vMerge w:val="continue"/>
                  <w:noWrap w:val="0"/>
                  <w:vAlign w:val="center"/>
                </w:tcPr>
                <w:p w14:paraId="6A192A4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12AC4DA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1360F969">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40</w:t>
                  </w:r>
                </w:p>
              </w:tc>
              <w:tc>
                <w:tcPr>
                  <w:tcW w:w="763" w:type="dxa"/>
                  <w:noWrap w:val="0"/>
                  <w:vAlign w:val="center"/>
                </w:tcPr>
                <w:p w14:paraId="31CE8D03">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0.0634</w:t>
                  </w:r>
                </w:p>
              </w:tc>
              <w:tc>
                <w:tcPr>
                  <w:tcW w:w="184" w:type="pct"/>
                  <w:vMerge w:val="continue"/>
                  <w:noWrap w:val="0"/>
                  <w:vAlign w:val="center"/>
                </w:tcPr>
                <w:p w14:paraId="2D6463F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371A34D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1C264A0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3552EE4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22B9702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2F43968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7C408B0A">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70</w:t>
                  </w:r>
                </w:p>
              </w:tc>
            </w:tr>
            <w:tr w14:paraId="3EDDD4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216" w:type="pct"/>
                  <w:vMerge w:val="continue"/>
                  <w:noWrap w:val="0"/>
                  <w:vAlign w:val="center"/>
                </w:tcPr>
                <w:p w14:paraId="04D8BBC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389A9B0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0F5FB805">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NH</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bCs/>
                      <w:color w:val="000000" w:themeColor="text1"/>
                      <w:sz w:val="21"/>
                      <w:szCs w:val="21"/>
                      <w:highlight w:val="none"/>
                      <w14:textFill>
                        <w14:solidFill>
                          <w14:schemeClr w14:val="tx1"/>
                        </w14:solidFill>
                      </w14:textFill>
                    </w:rPr>
                    <w:t>-N</w:t>
                  </w:r>
                </w:p>
              </w:tc>
              <w:tc>
                <w:tcPr>
                  <w:tcW w:w="202" w:type="pct"/>
                  <w:vMerge w:val="continue"/>
                  <w:noWrap w:val="0"/>
                  <w:vAlign w:val="center"/>
                </w:tcPr>
                <w:p w14:paraId="2FD7BD5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23FD68B7">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25</w:t>
                  </w:r>
                </w:p>
              </w:tc>
              <w:tc>
                <w:tcPr>
                  <w:tcW w:w="726" w:type="dxa"/>
                  <w:noWrap w:val="0"/>
                  <w:vAlign w:val="center"/>
                </w:tcPr>
                <w:p w14:paraId="180CDE7A">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0.0396</w:t>
                  </w:r>
                </w:p>
              </w:tc>
              <w:tc>
                <w:tcPr>
                  <w:tcW w:w="227" w:type="pct"/>
                  <w:vMerge w:val="continue"/>
                  <w:noWrap w:val="0"/>
                  <w:vAlign w:val="center"/>
                </w:tcPr>
                <w:p w14:paraId="3E0B2F5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3E68A55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183C335E">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60</w:t>
                  </w:r>
                </w:p>
              </w:tc>
              <w:tc>
                <w:tcPr>
                  <w:tcW w:w="199" w:type="pct"/>
                  <w:vMerge w:val="continue"/>
                  <w:noWrap w:val="0"/>
                  <w:vAlign w:val="center"/>
                </w:tcPr>
                <w:p w14:paraId="44DAD5D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1CAF143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613B7120">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10</w:t>
                  </w:r>
                </w:p>
              </w:tc>
              <w:tc>
                <w:tcPr>
                  <w:tcW w:w="763" w:type="dxa"/>
                  <w:noWrap w:val="0"/>
                  <w:vAlign w:val="center"/>
                </w:tcPr>
                <w:p w14:paraId="18525FE7">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0.0158</w:t>
                  </w:r>
                </w:p>
              </w:tc>
              <w:tc>
                <w:tcPr>
                  <w:tcW w:w="184" w:type="pct"/>
                  <w:vMerge w:val="continue"/>
                  <w:noWrap w:val="0"/>
                  <w:vAlign w:val="center"/>
                </w:tcPr>
                <w:p w14:paraId="10A1EB4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13759CA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3D454207">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33EBC73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15349EE7">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56EDBAE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625381C3">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15</w:t>
                  </w:r>
                </w:p>
              </w:tc>
            </w:tr>
            <w:tr w14:paraId="3D52C9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3D29B45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4C7A71F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14A94F5A">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TP</w:t>
                  </w:r>
                </w:p>
              </w:tc>
              <w:tc>
                <w:tcPr>
                  <w:tcW w:w="202" w:type="pct"/>
                  <w:vMerge w:val="continue"/>
                  <w:noWrap w:val="0"/>
                  <w:vAlign w:val="center"/>
                </w:tcPr>
                <w:p w14:paraId="64544C9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316C1544">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4</w:t>
                  </w:r>
                </w:p>
              </w:tc>
              <w:tc>
                <w:tcPr>
                  <w:tcW w:w="726" w:type="dxa"/>
                  <w:noWrap w:val="0"/>
                  <w:vAlign w:val="center"/>
                </w:tcPr>
                <w:p w14:paraId="5209398F">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0.0063</w:t>
                  </w:r>
                </w:p>
              </w:tc>
              <w:tc>
                <w:tcPr>
                  <w:tcW w:w="227" w:type="pct"/>
                  <w:vMerge w:val="continue"/>
                  <w:noWrap w:val="0"/>
                  <w:vAlign w:val="center"/>
                </w:tcPr>
                <w:p w14:paraId="0FF7C47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3EC4B76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33500309">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0</w:t>
                  </w:r>
                </w:p>
              </w:tc>
              <w:tc>
                <w:tcPr>
                  <w:tcW w:w="199" w:type="pct"/>
                  <w:vMerge w:val="continue"/>
                  <w:noWrap w:val="0"/>
                  <w:vAlign w:val="center"/>
                </w:tcPr>
                <w:p w14:paraId="36719AC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6716457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34B64813">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4</w:t>
                  </w:r>
                </w:p>
              </w:tc>
              <w:tc>
                <w:tcPr>
                  <w:tcW w:w="763" w:type="dxa"/>
                  <w:noWrap w:val="0"/>
                  <w:vAlign w:val="center"/>
                </w:tcPr>
                <w:p w14:paraId="5713F399">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0.0063</w:t>
                  </w:r>
                </w:p>
              </w:tc>
              <w:tc>
                <w:tcPr>
                  <w:tcW w:w="184" w:type="pct"/>
                  <w:vMerge w:val="continue"/>
                  <w:noWrap w:val="0"/>
                  <w:vAlign w:val="center"/>
                </w:tcPr>
                <w:p w14:paraId="7E84F35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0C23440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515AB06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46CF02E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6E9C1E7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3BFD597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27C74243">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8</w:t>
                  </w:r>
                </w:p>
              </w:tc>
            </w:tr>
            <w:tr w14:paraId="61F7E6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5C7C789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27D0F37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3545BA3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动植物油</w:t>
                  </w:r>
                </w:p>
              </w:tc>
              <w:tc>
                <w:tcPr>
                  <w:tcW w:w="202" w:type="pct"/>
                  <w:vMerge w:val="continue"/>
                  <w:noWrap w:val="0"/>
                  <w:vAlign w:val="center"/>
                </w:tcPr>
                <w:p w14:paraId="0B2640AA">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2273EEF8">
                  <w:pPr>
                    <w:widowControl/>
                    <w:shd w:val="clear" w:color="auto" w:fill="auto"/>
                    <w:spacing w:line="240" w:lineRule="auto"/>
                    <w:ind w:firstLine="0" w:firstLineChars="0"/>
                    <w:jc w:val="center"/>
                    <w:textAlignment w:val="top"/>
                    <w:rPr>
                      <w:rFonts w:hint="default" w:ascii="Times New Roman" w:hAnsi="Times New Roman"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30</w:t>
                  </w:r>
                </w:p>
              </w:tc>
              <w:tc>
                <w:tcPr>
                  <w:tcW w:w="726" w:type="dxa"/>
                  <w:noWrap w:val="0"/>
                  <w:vAlign w:val="center"/>
                </w:tcPr>
                <w:p w14:paraId="1F84FC8A">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0.0475</w:t>
                  </w:r>
                </w:p>
              </w:tc>
              <w:tc>
                <w:tcPr>
                  <w:tcW w:w="227" w:type="pct"/>
                  <w:vMerge w:val="continue"/>
                  <w:noWrap w:val="0"/>
                  <w:vAlign w:val="center"/>
                </w:tcPr>
                <w:p w14:paraId="1AEED00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3A63EE0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7809AF71">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90</w:t>
                  </w:r>
                </w:p>
              </w:tc>
              <w:tc>
                <w:tcPr>
                  <w:tcW w:w="199" w:type="pct"/>
                  <w:vMerge w:val="continue"/>
                  <w:noWrap w:val="0"/>
                  <w:vAlign w:val="center"/>
                </w:tcPr>
                <w:p w14:paraId="76A6F85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37AE80C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01655940">
                  <w:pPr>
                    <w:widowControl/>
                    <w:shd w:val="clear" w:color="auto" w:fill="auto"/>
                    <w:spacing w:line="240" w:lineRule="auto"/>
                    <w:ind w:firstLine="0" w:firstLineChars="0"/>
                    <w:jc w:val="center"/>
                    <w:textAlignment w:val="top"/>
                    <w:rPr>
                      <w:rFonts w:hint="default" w:ascii="Times New Roman" w:hAnsi="Times New Roman"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3</w:t>
                  </w:r>
                </w:p>
              </w:tc>
              <w:tc>
                <w:tcPr>
                  <w:tcW w:w="763" w:type="dxa"/>
                  <w:noWrap w:val="0"/>
                  <w:vAlign w:val="center"/>
                </w:tcPr>
                <w:p w14:paraId="67370990">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0.0048</w:t>
                  </w:r>
                </w:p>
              </w:tc>
              <w:tc>
                <w:tcPr>
                  <w:tcW w:w="184" w:type="pct"/>
                  <w:vMerge w:val="continue"/>
                  <w:noWrap w:val="0"/>
                  <w:vAlign w:val="center"/>
                </w:tcPr>
                <w:p w14:paraId="491C2C2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6B24B56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5D4A5EE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74BAB9C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069A33D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3EEE011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3AD94943">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10</w:t>
                  </w:r>
                </w:p>
              </w:tc>
            </w:tr>
            <w:tr w14:paraId="30DFE26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restart"/>
                  <w:noWrap w:val="0"/>
                  <w:vAlign w:val="center"/>
                </w:tcPr>
                <w:p w14:paraId="363C459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员工生活</w:t>
                  </w:r>
                </w:p>
              </w:tc>
              <w:tc>
                <w:tcPr>
                  <w:tcW w:w="216" w:type="pct"/>
                  <w:vMerge w:val="restart"/>
                  <w:noWrap w:val="0"/>
                  <w:vAlign w:val="center"/>
                </w:tcPr>
                <w:p w14:paraId="466B3FE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生活污水</w:t>
                  </w:r>
                </w:p>
              </w:tc>
              <w:tc>
                <w:tcPr>
                  <w:tcW w:w="312" w:type="pct"/>
                  <w:noWrap w:val="0"/>
                  <w:vAlign w:val="center"/>
                </w:tcPr>
                <w:p w14:paraId="3E3BA65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pH</w:t>
                  </w:r>
                </w:p>
              </w:tc>
              <w:tc>
                <w:tcPr>
                  <w:tcW w:w="202" w:type="pct"/>
                  <w:vMerge w:val="restart"/>
                  <w:noWrap w:val="0"/>
                  <w:vAlign w:val="center"/>
                </w:tcPr>
                <w:p w14:paraId="63F3E54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1584</w:t>
                  </w:r>
                </w:p>
              </w:tc>
              <w:tc>
                <w:tcPr>
                  <w:tcW w:w="252" w:type="pct"/>
                  <w:noWrap w:val="0"/>
                  <w:vAlign w:val="center"/>
                </w:tcPr>
                <w:p w14:paraId="0FB5C23C">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6~9</w:t>
                  </w:r>
                </w:p>
              </w:tc>
              <w:tc>
                <w:tcPr>
                  <w:tcW w:w="726" w:type="dxa"/>
                  <w:noWrap w:val="0"/>
                  <w:vAlign w:val="center"/>
                </w:tcPr>
                <w:p w14:paraId="5E2F038E">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w:t>
                  </w:r>
                </w:p>
              </w:tc>
              <w:tc>
                <w:tcPr>
                  <w:tcW w:w="227" w:type="pct"/>
                  <w:vMerge w:val="restart"/>
                  <w:noWrap w:val="0"/>
                  <w:vAlign w:val="center"/>
                </w:tcPr>
                <w:p w14:paraId="3D0BDFF1">
                  <w:pPr>
                    <w:shd w:val="clear" w:color="auto" w:fill="auto"/>
                    <w:adjustRightInd w:val="0"/>
                    <w:spacing w:line="240" w:lineRule="auto"/>
                    <w:ind w:firstLine="0" w:firstLineChars="0"/>
                    <w:jc w:val="center"/>
                    <w:rPr>
                      <w:rFonts w:hint="default" w:ascii="Times New Roman" w:hAnsi="Times New Roman" w:eastAsia="宋体" w:cs="Times New Roman"/>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w:t>
                  </w:r>
                </w:p>
              </w:tc>
              <w:tc>
                <w:tcPr>
                  <w:tcW w:w="250" w:type="pct"/>
                  <w:vMerge w:val="restart"/>
                  <w:noWrap w:val="0"/>
                  <w:vAlign w:val="center"/>
                </w:tcPr>
                <w:p w14:paraId="244DE0E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隔油池+化粪池+一体化污水处理设施（接管后）</w:t>
                  </w:r>
                </w:p>
              </w:tc>
              <w:tc>
                <w:tcPr>
                  <w:tcW w:w="172" w:type="pct"/>
                  <w:noWrap w:val="0"/>
                  <w:vAlign w:val="center"/>
                </w:tcPr>
                <w:p w14:paraId="1CF96433">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w:t>
                  </w:r>
                </w:p>
              </w:tc>
              <w:tc>
                <w:tcPr>
                  <w:tcW w:w="199" w:type="pct"/>
                  <w:vMerge w:val="restart"/>
                  <w:noWrap w:val="0"/>
                  <w:vAlign w:val="center"/>
                </w:tcPr>
                <w:p w14:paraId="033CE47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是</w:t>
                  </w:r>
                </w:p>
              </w:tc>
              <w:tc>
                <w:tcPr>
                  <w:tcW w:w="189" w:type="pct"/>
                  <w:vMerge w:val="restart"/>
                  <w:noWrap w:val="0"/>
                  <w:vAlign w:val="center"/>
                </w:tcPr>
                <w:p w14:paraId="03B98D8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1584</w:t>
                  </w:r>
                </w:p>
              </w:tc>
              <w:tc>
                <w:tcPr>
                  <w:tcW w:w="245" w:type="pct"/>
                  <w:noWrap w:val="0"/>
                  <w:vAlign w:val="center"/>
                </w:tcPr>
                <w:p w14:paraId="4EB539EC">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6~9</w:t>
                  </w:r>
                </w:p>
              </w:tc>
              <w:tc>
                <w:tcPr>
                  <w:tcW w:w="286" w:type="pct"/>
                  <w:noWrap w:val="0"/>
                  <w:vAlign w:val="center"/>
                </w:tcPr>
                <w:p w14:paraId="2F76F2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w:t>
                  </w:r>
                </w:p>
              </w:tc>
              <w:tc>
                <w:tcPr>
                  <w:tcW w:w="184" w:type="pct"/>
                  <w:vMerge w:val="restart"/>
                  <w:noWrap w:val="0"/>
                  <w:vAlign w:val="center"/>
                </w:tcPr>
                <w:p w14:paraId="0E78FC8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间接排放</w:t>
                  </w:r>
                </w:p>
              </w:tc>
              <w:tc>
                <w:tcPr>
                  <w:tcW w:w="231" w:type="pct"/>
                  <w:vMerge w:val="restart"/>
                  <w:noWrap w:val="0"/>
                  <w:vAlign w:val="center"/>
                </w:tcPr>
                <w:p w14:paraId="55F10DE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园区管网</w:t>
                  </w:r>
                </w:p>
              </w:tc>
              <w:tc>
                <w:tcPr>
                  <w:tcW w:w="341" w:type="pct"/>
                  <w:vMerge w:val="restart"/>
                  <w:noWrap w:val="0"/>
                  <w:vAlign w:val="center"/>
                </w:tcPr>
                <w:p w14:paraId="2D4DF9A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间断排放，排放期间流量不稳定，但有周期性规律</w:t>
                  </w:r>
                </w:p>
              </w:tc>
              <w:tc>
                <w:tcPr>
                  <w:tcW w:w="268" w:type="pct"/>
                  <w:vMerge w:val="restart"/>
                  <w:noWrap w:val="0"/>
                  <w:vAlign w:val="center"/>
                </w:tcPr>
                <w:p w14:paraId="78398AF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生活污水企业排放口</w:t>
                  </w:r>
                </w:p>
              </w:tc>
              <w:tc>
                <w:tcPr>
                  <w:tcW w:w="301" w:type="pct"/>
                  <w:vMerge w:val="restart"/>
                  <w:noWrap w:val="0"/>
                  <w:vAlign w:val="center"/>
                </w:tcPr>
                <w:p w14:paraId="17A4C8F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一般排放口</w:t>
                  </w:r>
                </w:p>
              </w:tc>
              <w:tc>
                <w:tcPr>
                  <w:tcW w:w="384" w:type="pct"/>
                  <w:vMerge w:val="restart"/>
                  <w:noWrap w:val="0"/>
                  <w:vAlign w:val="center"/>
                </w:tcPr>
                <w:p w14:paraId="513F0F7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E117°10′14.879″，N29°0′36.58</w:t>
                  </w: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6</w:t>
                  </w:r>
                  <w:r>
                    <w:rPr>
                      <w:rFonts w:hint="default" w:ascii="Times New Roman" w:hAnsi="Times New Roman" w:cs="Times New Roman"/>
                      <w:bCs/>
                      <w:color w:val="000000" w:themeColor="text1"/>
                      <w:sz w:val="21"/>
                      <w:szCs w:val="21"/>
                      <w:highlight w:val="none"/>
                      <w14:textFill>
                        <w14:solidFill>
                          <w14:schemeClr w14:val="tx1"/>
                        </w14:solidFill>
                      </w14:textFill>
                    </w:rPr>
                    <w:t>″</w:t>
                  </w:r>
                </w:p>
              </w:tc>
              <w:tc>
                <w:tcPr>
                  <w:tcW w:w="250" w:type="pct"/>
                  <w:noWrap w:val="0"/>
                  <w:vAlign w:val="center"/>
                </w:tcPr>
                <w:p w14:paraId="37D66E0C">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6~9</w:t>
                  </w:r>
                </w:p>
              </w:tc>
            </w:tr>
            <w:tr w14:paraId="7077DC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3D43CB8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2011D8B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164E5EC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COD</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Cr</w:t>
                  </w:r>
                </w:p>
              </w:tc>
              <w:tc>
                <w:tcPr>
                  <w:tcW w:w="202" w:type="pct"/>
                  <w:vMerge w:val="continue"/>
                  <w:noWrap w:val="0"/>
                  <w:vAlign w:val="center"/>
                </w:tcPr>
                <w:p w14:paraId="3BB6301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3606DAF4">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250</w:t>
                  </w:r>
                </w:p>
              </w:tc>
              <w:tc>
                <w:tcPr>
                  <w:tcW w:w="726" w:type="dxa"/>
                  <w:noWrap w:val="0"/>
                  <w:vAlign w:val="center"/>
                </w:tcPr>
                <w:p w14:paraId="386B36AF">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0.3960</w:t>
                  </w:r>
                </w:p>
              </w:tc>
              <w:tc>
                <w:tcPr>
                  <w:tcW w:w="227" w:type="pct"/>
                  <w:vMerge w:val="continue"/>
                  <w:noWrap w:val="0"/>
                  <w:vAlign w:val="center"/>
                </w:tcPr>
                <w:p w14:paraId="6CCBA7A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2A8949E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4EBCA671">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20</w:t>
                  </w:r>
                </w:p>
              </w:tc>
              <w:tc>
                <w:tcPr>
                  <w:tcW w:w="199" w:type="pct"/>
                  <w:vMerge w:val="continue"/>
                  <w:noWrap w:val="0"/>
                  <w:vAlign w:val="center"/>
                </w:tcPr>
                <w:p w14:paraId="72AF0A7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15A7A84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760C12F5">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200</w:t>
                  </w:r>
                </w:p>
              </w:tc>
              <w:tc>
                <w:tcPr>
                  <w:tcW w:w="763" w:type="dxa"/>
                  <w:noWrap w:val="0"/>
                  <w:vAlign w:val="center"/>
                </w:tcPr>
                <w:p w14:paraId="69DD1B29">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0.3168</w:t>
                  </w:r>
                </w:p>
              </w:tc>
              <w:tc>
                <w:tcPr>
                  <w:tcW w:w="184" w:type="pct"/>
                  <w:vMerge w:val="continue"/>
                  <w:noWrap w:val="0"/>
                  <w:vAlign w:val="center"/>
                </w:tcPr>
                <w:p w14:paraId="34A0701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66FF116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5F938640">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44050B65">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290815D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320B109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0204428C">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500</w:t>
                  </w:r>
                </w:p>
              </w:tc>
            </w:tr>
            <w:tr w14:paraId="1E65ED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045B028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5F95B03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3042A13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BOD</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5</w:t>
                  </w:r>
                </w:p>
              </w:tc>
              <w:tc>
                <w:tcPr>
                  <w:tcW w:w="202" w:type="pct"/>
                  <w:vMerge w:val="continue"/>
                  <w:noWrap w:val="0"/>
                  <w:vAlign w:val="center"/>
                </w:tcPr>
                <w:p w14:paraId="629E391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72D9672F">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150</w:t>
                  </w:r>
                </w:p>
              </w:tc>
              <w:tc>
                <w:tcPr>
                  <w:tcW w:w="726" w:type="dxa"/>
                  <w:noWrap w:val="0"/>
                  <w:vAlign w:val="center"/>
                </w:tcPr>
                <w:p w14:paraId="1F03B792">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0.2376</w:t>
                  </w:r>
                </w:p>
              </w:tc>
              <w:tc>
                <w:tcPr>
                  <w:tcW w:w="227" w:type="pct"/>
                  <w:vMerge w:val="continue"/>
                  <w:noWrap w:val="0"/>
                  <w:vAlign w:val="center"/>
                </w:tcPr>
                <w:p w14:paraId="076FCCB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01436A9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6008C939">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20</w:t>
                  </w:r>
                </w:p>
              </w:tc>
              <w:tc>
                <w:tcPr>
                  <w:tcW w:w="199" w:type="pct"/>
                  <w:vMerge w:val="continue"/>
                  <w:noWrap w:val="0"/>
                  <w:vAlign w:val="center"/>
                </w:tcPr>
                <w:p w14:paraId="2D33A60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7BDE047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7698C4D9">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120</w:t>
                  </w:r>
                </w:p>
              </w:tc>
              <w:tc>
                <w:tcPr>
                  <w:tcW w:w="763" w:type="dxa"/>
                  <w:noWrap w:val="0"/>
                  <w:vAlign w:val="center"/>
                </w:tcPr>
                <w:p w14:paraId="5756687F">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0.1901</w:t>
                  </w:r>
                </w:p>
              </w:tc>
              <w:tc>
                <w:tcPr>
                  <w:tcW w:w="184" w:type="pct"/>
                  <w:vMerge w:val="continue"/>
                  <w:noWrap w:val="0"/>
                  <w:vAlign w:val="center"/>
                </w:tcPr>
                <w:p w14:paraId="3D01662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17EB90BF">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437649F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6C24603B">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2B2C01F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6066F832">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1B351962">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300</w:t>
                  </w:r>
                </w:p>
              </w:tc>
            </w:tr>
            <w:tr w14:paraId="10BB18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3A8C997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42F7896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60183B0B">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SS</w:t>
                  </w:r>
                </w:p>
              </w:tc>
              <w:tc>
                <w:tcPr>
                  <w:tcW w:w="202" w:type="pct"/>
                  <w:vMerge w:val="continue"/>
                  <w:noWrap w:val="0"/>
                  <w:vAlign w:val="center"/>
                </w:tcPr>
                <w:p w14:paraId="42E221A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53B7024B">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200</w:t>
                  </w:r>
                </w:p>
              </w:tc>
              <w:tc>
                <w:tcPr>
                  <w:tcW w:w="726" w:type="dxa"/>
                  <w:noWrap w:val="0"/>
                  <w:vAlign w:val="center"/>
                </w:tcPr>
                <w:p w14:paraId="0B4B9AE9">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0.3168</w:t>
                  </w:r>
                </w:p>
              </w:tc>
              <w:tc>
                <w:tcPr>
                  <w:tcW w:w="227" w:type="pct"/>
                  <w:vMerge w:val="continue"/>
                  <w:noWrap w:val="0"/>
                  <w:vAlign w:val="center"/>
                </w:tcPr>
                <w:p w14:paraId="6A5B2D1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429443C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6DD65837">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30</w:t>
                  </w:r>
                </w:p>
              </w:tc>
              <w:tc>
                <w:tcPr>
                  <w:tcW w:w="199" w:type="pct"/>
                  <w:vMerge w:val="continue"/>
                  <w:noWrap w:val="0"/>
                  <w:vAlign w:val="center"/>
                </w:tcPr>
                <w:p w14:paraId="3BD51630">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39F01A8F">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68382EFF">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140</w:t>
                  </w:r>
                </w:p>
              </w:tc>
              <w:tc>
                <w:tcPr>
                  <w:tcW w:w="763" w:type="dxa"/>
                  <w:noWrap w:val="0"/>
                  <w:vAlign w:val="center"/>
                </w:tcPr>
                <w:p w14:paraId="07F51FEF">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0.2218</w:t>
                  </w:r>
                </w:p>
              </w:tc>
              <w:tc>
                <w:tcPr>
                  <w:tcW w:w="184" w:type="pct"/>
                  <w:vMerge w:val="continue"/>
                  <w:noWrap w:val="0"/>
                  <w:vAlign w:val="center"/>
                </w:tcPr>
                <w:p w14:paraId="45E36E3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5A6F1AE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626E769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0EEB111C">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0B5A21C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5F95AA2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7CB52B7F">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400</w:t>
                  </w:r>
                </w:p>
              </w:tc>
            </w:tr>
            <w:tr w14:paraId="7C40B77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13E1062D">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7025171C">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051C753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NH</w:t>
                  </w:r>
                  <w:r>
                    <w:rPr>
                      <w:rFonts w:hint="default" w:ascii="Times New Roman" w:hAnsi="Times New Roman" w:cs="Times New Roman"/>
                      <w:bCs/>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bCs/>
                      <w:color w:val="000000" w:themeColor="text1"/>
                      <w:sz w:val="21"/>
                      <w:szCs w:val="21"/>
                      <w:highlight w:val="none"/>
                      <w14:textFill>
                        <w14:solidFill>
                          <w14:schemeClr w14:val="tx1"/>
                        </w14:solidFill>
                      </w14:textFill>
                    </w:rPr>
                    <w:t>-N</w:t>
                  </w:r>
                </w:p>
              </w:tc>
              <w:tc>
                <w:tcPr>
                  <w:tcW w:w="202" w:type="pct"/>
                  <w:vMerge w:val="continue"/>
                  <w:noWrap w:val="0"/>
                  <w:vAlign w:val="center"/>
                </w:tcPr>
                <w:p w14:paraId="74797EA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13133CD1">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25</w:t>
                  </w:r>
                </w:p>
              </w:tc>
              <w:tc>
                <w:tcPr>
                  <w:tcW w:w="726" w:type="dxa"/>
                  <w:noWrap w:val="0"/>
                  <w:vAlign w:val="center"/>
                </w:tcPr>
                <w:p w14:paraId="7522D7F2">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0.0396</w:t>
                  </w:r>
                </w:p>
              </w:tc>
              <w:tc>
                <w:tcPr>
                  <w:tcW w:w="227" w:type="pct"/>
                  <w:vMerge w:val="continue"/>
                  <w:noWrap w:val="0"/>
                  <w:vAlign w:val="center"/>
                </w:tcPr>
                <w:p w14:paraId="73056AC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4EABC07E">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06FB1D47">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10</w:t>
                  </w:r>
                </w:p>
              </w:tc>
              <w:tc>
                <w:tcPr>
                  <w:tcW w:w="199" w:type="pct"/>
                  <w:vMerge w:val="continue"/>
                  <w:noWrap w:val="0"/>
                  <w:vAlign w:val="center"/>
                </w:tcPr>
                <w:p w14:paraId="0D6B870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159A914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32B7A8E2">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22.5</w:t>
                  </w:r>
                </w:p>
              </w:tc>
              <w:tc>
                <w:tcPr>
                  <w:tcW w:w="763" w:type="dxa"/>
                  <w:noWrap w:val="0"/>
                  <w:vAlign w:val="center"/>
                </w:tcPr>
                <w:p w14:paraId="15982E87">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0.0356</w:t>
                  </w:r>
                </w:p>
              </w:tc>
              <w:tc>
                <w:tcPr>
                  <w:tcW w:w="184" w:type="pct"/>
                  <w:vMerge w:val="continue"/>
                  <w:noWrap w:val="0"/>
                  <w:vAlign w:val="center"/>
                </w:tcPr>
                <w:p w14:paraId="737E409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484B3D7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73C6021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655B3B99">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3F572084">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60F3EF9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4ABE7DE6">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r>
            <w:tr w14:paraId="71A104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2CDEA9F7">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5099395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1EC0F7E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TP</w:t>
                  </w:r>
                </w:p>
              </w:tc>
              <w:tc>
                <w:tcPr>
                  <w:tcW w:w="202" w:type="pct"/>
                  <w:vMerge w:val="continue"/>
                  <w:noWrap w:val="0"/>
                  <w:vAlign w:val="center"/>
                </w:tcPr>
                <w:p w14:paraId="411363D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2A2BD3C0">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4</w:t>
                  </w:r>
                </w:p>
              </w:tc>
              <w:tc>
                <w:tcPr>
                  <w:tcW w:w="726" w:type="dxa"/>
                  <w:noWrap w:val="0"/>
                  <w:vAlign w:val="center"/>
                </w:tcPr>
                <w:p w14:paraId="10E18EE5">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0.0063</w:t>
                  </w:r>
                </w:p>
              </w:tc>
              <w:tc>
                <w:tcPr>
                  <w:tcW w:w="227" w:type="pct"/>
                  <w:vMerge w:val="continue"/>
                  <w:noWrap w:val="0"/>
                  <w:vAlign w:val="center"/>
                </w:tcPr>
                <w:p w14:paraId="443417F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01C18DF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4F5D0695">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0</w:t>
                  </w:r>
                </w:p>
              </w:tc>
              <w:tc>
                <w:tcPr>
                  <w:tcW w:w="199" w:type="pct"/>
                  <w:vMerge w:val="continue"/>
                  <w:noWrap w:val="0"/>
                  <w:vAlign w:val="center"/>
                </w:tcPr>
                <w:p w14:paraId="09EB496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35C332B9">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64BFB8E8">
                  <w:pPr>
                    <w:widowControl/>
                    <w:shd w:val="clear" w:color="auto" w:fill="auto"/>
                    <w:spacing w:line="240" w:lineRule="auto"/>
                    <w:ind w:firstLine="0" w:firstLineChars="0"/>
                    <w:jc w:val="center"/>
                    <w:textAlignment w:val="top"/>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4</w:t>
                  </w:r>
                </w:p>
              </w:tc>
              <w:tc>
                <w:tcPr>
                  <w:tcW w:w="763" w:type="dxa"/>
                  <w:noWrap w:val="0"/>
                  <w:vAlign w:val="center"/>
                </w:tcPr>
                <w:p w14:paraId="15B571DC">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0.0063</w:t>
                  </w:r>
                </w:p>
              </w:tc>
              <w:tc>
                <w:tcPr>
                  <w:tcW w:w="184" w:type="pct"/>
                  <w:vMerge w:val="continue"/>
                  <w:noWrap w:val="0"/>
                  <w:vAlign w:val="center"/>
                </w:tcPr>
                <w:p w14:paraId="245B0CF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7A3A4C8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4F850CA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086DFF2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2768755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6855736A">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131CEB05">
                  <w:pPr>
                    <w:shd w:val="clear" w:color="auto" w:fill="auto"/>
                    <w:adjustRightIn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8</w:t>
                  </w:r>
                </w:p>
              </w:tc>
            </w:tr>
            <w:tr w14:paraId="5D2FA32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3" w:hRule="atLeast"/>
                <w:jc w:val="center"/>
              </w:trPr>
              <w:tc>
                <w:tcPr>
                  <w:tcW w:w="216" w:type="pct"/>
                  <w:vMerge w:val="continue"/>
                  <w:noWrap w:val="0"/>
                  <w:vAlign w:val="center"/>
                </w:tcPr>
                <w:p w14:paraId="07C4024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16" w:type="pct"/>
                  <w:vMerge w:val="continue"/>
                  <w:noWrap w:val="0"/>
                  <w:vAlign w:val="center"/>
                </w:tcPr>
                <w:p w14:paraId="569806C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312" w:type="pct"/>
                  <w:noWrap w:val="0"/>
                  <w:vAlign w:val="center"/>
                </w:tcPr>
                <w:p w14:paraId="1D503384">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动植物油</w:t>
                  </w:r>
                </w:p>
              </w:tc>
              <w:tc>
                <w:tcPr>
                  <w:tcW w:w="202" w:type="pct"/>
                  <w:vMerge w:val="continue"/>
                  <w:noWrap w:val="0"/>
                  <w:vAlign w:val="center"/>
                </w:tcPr>
                <w:p w14:paraId="012A74B6">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2" w:type="pct"/>
                  <w:noWrap w:val="0"/>
                  <w:vAlign w:val="center"/>
                </w:tcPr>
                <w:p w14:paraId="13F713B7">
                  <w:pPr>
                    <w:widowControl/>
                    <w:shd w:val="clear" w:color="auto" w:fill="auto"/>
                    <w:spacing w:line="240" w:lineRule="auto"/>
                    <w:ind w:firstLine="0" w:firstLineChars="0"/>
                    <w:jc w:val="center"/>
                    <w:textAlignment w:val="top"/>
                    <w:rPr>
                      <w:rFonts w:hint="default" w:ascii="Times New Roman" w:hAnsi="Times New Roman"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30</w:t>
                  </w:r>
                </w:p>
              </w:tc>
              <w:tc>
                <w:tcPr>
                  <w:tcW w:w="726" w:type="dxa"/>
                  <w:noWrap w:val="0"/>
                  <w:vAlign w:val="center"/>
                </w:tcPr>
                <w:p w14:paraId="016E4DE7">
                  <w:pPr>
                    <w:widowControl/>
                    <w:shd w:val="clear" w:color="auto" w:fill="auto"/>
                    <w:spacing w:line="240" w:lineRule="auto"/>
                    <w:ind w:firstLine="0" w:firstLineChars="0"/>
                    <w:jc w:val="center"/>
                    <w:textAlignment w:val="top"/>
                    <w:rPr>
                      <w:rFonts w:hint="default" w:ascii="Times New Roman" w:hAnsi="Times New Roman" w:eastAsia="宋体"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t>0.0475</w:t>
                  </w:r>
                </w:p>
              </w:tc>
              <w:tc>
                <w:tcPr>
                  <w:tcW w:w="227" w:type="pct"/>
                  <w:vMerge w:val="continue"/>
                  <w:noWrap w:val="0"/>
                  <w:vAlign w:val="center"/>
                </w:tcPr>
                <w:p w14:paraId="1E264988">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50" w:type="pct"/>
                  <w:vMerge w:val="continue"/>
                  <w:noWrap w:val="0"/>
                  <w:vAlign w:val="center"/>
                </w:tcPr>
                <w:p w14:paraId="6960CF41">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72" w:type="pct"/>
                  <w:noWrap w:val="0"/>
                  <w:vAlign w:val="center"/>
                </w:tcPr>
                <w:p w14:paraId="6714EEBF">
                  <w:pPr>
                    <w:widowControl/>
                    <w:shd w:val="clear" w:color="auto" w:fill="auto"/>
                    <w:spacing w:line="240" w:lineRule="auto"/>
                    <w:ind w:firstLine="0" w:firstLineChars="0"/>
                    <w:jc w:val="center"/>
                    <w:textAlignment w:val="center"/>
                    <w:rPr>
                      <w:rFonts w:hint="default" w:ascii="Times New Roman" w:hAnsi="Times New Roman" w:cs="Times New Roman"/>
                      <w:bCs/>
                      <w:color w:val="000000" w:themeColor="text1"/>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highlight w:val="none"/>
                      <w:lang w:bidi="ar"/>
                      <w14:textFill>
                        <w14:solidFill>
                          <w14:schemeClr w14:val="tx1"/>
                        </w14:solidFill>
                      </w14:textFill>
                    </w:rPr>
                    <w:t>90</w:t>
                  </w:r>
                </w:p>
              </w:tc>
              <w:tc>
                <w:tcPr>
                  <w:tcW w:w="199" w:type="pct"/>
                  <w:vMerge w:val="continue"/>
                  <w:noWrap w:val="0"/>
                  <w:vAlign w:val="center"/>
                </w:tcPr>
                <w:p w14:paraId="5EE1E282">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189" w:type="pct"/>
                  <w:vMerge w:val="continue"/>
                  <w:noWrap w:val="0"/>
                  <w:vAlign w:val="center"/>
                </w:tcPr>
                <w:p w14:paraId="4C8FA423">
                  <w:pPr>
                    <w:shd w:val="clear" w:color="auto" w:fill="auto"/>
                    <w:adjustRightInd w:val="0"/>
                    <w:spacing w:line="240" w:lineRule="auto"/>
                    <w:ind w:firstLine="0" w:firstLineChars="0"/>
                    <w:jc w:val="center"/>
                    <w:rPr>
                      <w:rFonts w:hint="default" w:ascii="Times New Roman" w:hAnsi="Times New Roman" w:cs="Times New Roman"/>
                      <w:bCs/>
                      <w:color w:val="000000" w:themeColor="text1"/>
                      <w:sz w:val="21"/>
                      <w:szCs w:val="21"/>
                      <w:highlight w:val="none"/>
                      <w14:textFill>
                        <w14:solidFill>
                          <w14:schemeClr w14:val="tx1"/>
                        </w14:solidFill>
                      </w14:textFill>
                    </w:rPr>
                  </w:pPr>
                </w:p>
              </w:tc>
              <w:tc>
                <w:tcPr>
                  <w:tcW w:w="245" w:type="pct"/>
                  <w:noWrap w:val="0"/>
                  <w:vAlign w:val="center"/>
                </w:tcPr>
                <w:p w14:paraId="6AB30616">
                  <w:pPr>
                    <w:widowControl/>
                    <w:shd w:val="clear" w:color="auto" w:fill="auto"/>
                    <w:spacing w:line="240" w:lineRule="auto"/>
                    <w:ind w:firstLine="0" w:firstLineChars="0"/>
                    <w:jc w:val="center"/>
                    <w:textAlignment w:val="top"/>
                    <w:rPr>
                      <w:rFonts w:hint="default" w:ascii="Times New Roman" w:hAnsi="Times New Roman" w:cs="Times New Roman"/>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3</w:t>
                  </w:r>
                </w:p>
              </w:tc>
              <w:tc>
                <w:tcPr>
                  <w:tcW w:w="763" w:type="dxa"/>
                  <w:noWrap w:val="0"/>
                  <w:vAlign w:val="center"/>
                </w:tcPr>
                <w:p w14:paraId="1EC67B19">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0.0048</w:t>
                  </w:r>
                </w:p>
              </w:tc>
              <w:tc>
                <w:tcPr>
                  <w:tcW w:w="184" w:type="pct"/>
                  <w:vMerge w:val="continue"/>
                  <w:noWrap w:val="0"/>
                  <w:vAlign w:val="center"/>
                </w:tcPr>
                <w:p w14:paraId="53C6C84D">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31" w:type="pct"/>
                  <w:vMerge w:val="continue"/>
                  <w:noWrap w:val="0"/>
                  <w:vAlign w:val="center"/>
                </w:tcPr>
                <w:p w14:paraId="6B4DEA11">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41" w:type="pct"/>
                  <w:vMerge w:val="continue"/>
                  <w:noWrap w:val="0"/>
                  <w:vAlign w:val="center"/>
                </w:tcPr>
                <w:p w14:paraId="2A8E63B6">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68" w:type="pct"/>
                  <w:vMerge w:val="continue"/>
                  <w:noWrap w:val="0"/>
                  <w:vAlign w:val="center"/>
                </w:tcPr>
                <w:p w14:paraId="3CF4AFC3">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01" w:type="pct"/>
                  <w:vMerge w:val="continue"/>
                  <w:noWrap w:val="0"/>
                  <w:vAlign w:val="center"/>
                </w:tcPr>
                <w:p w14:paraId="59D699AE">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4" w:type="pct"/>
                  <w:vMerge w:val="continue"/>
                  <w:noWrap w:val="0"/>
                  <w:vAlign w:val="center"/>
                </w:tcPr>
                <w:p w14:paraId="628852F8">
                  <w:pPr>
                    <w:shd w:val="clear" w:color="auto" w:fill="auto"/>
                    <w:adjustRightIn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250" w:type="pct"/>
                  <w:noWrap w:val="0"/>
                  <w:vAlign w:val="center"/>
                </w:tcPr>
                <w:p w14:paraId="22FF9186">
                  <w:pPr>
                    <w:shd w:val="clear" w:color="auto" w:fill="auto"/>
                    <w:adjustRightInd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10</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0</w:t>
                  </w:r>
                </w:p>
              </w:tc>
            </w:tr>
          </w:tbl>
          <w:p w14:paraId="58D869CF">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废水污染源强计算过程：</w:t>
            </w:r>
          </w:p>
          <w:p w14:paraId="586A3F98">
            <w:pPr>
              <w:shd w:val="clear" w:color="auto" w:fill="auto"/>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本项目用水主要为生活用水、中频炉冷却水、</w:t>
            </w:r>
            <w:r>
              <w:rPr>
                <w:rFonts w:hint="default" w:ascii="Times New Roman" w:hAnsi="Times New Roman" w:cs="Times New Roman"/>
                <w:color w:val="000000" w:themeColor="text1"/>
                <w:highlight w:val="none"/>
                <w:lang w:val="en-US" w:eastAsia="zh-CN"/>
                <w14:textFill>
                  <w14:solidFill>
                    <w14:schemeClr w14:val="tx1"/>
                  </w14:solidFill>
                </w14:textFill>
              </w:rPr>
              <w:t>粘土砂</w:t>
            </w:r>
            <w:r>
              <w:rPr>
                <w:rFonts w:hint="default" w:ascii="Times New Roman" w:hAnsi="Times New Roman" w:cs="Times New Roman"/>
                <w:color w:val="000000" w:themeColor="text1"/>
                <w:highlight w:val="none"/>
                <w14:textFill>
                  <w14:solidFill>
                    <w14:schemeClr w14:val="tx1"/>
                  </w14:solidFill>
                </w14:textFill>
              </w:rPr>
              <w:t>配置用水</w:t>
            </w:r>
            <w:r>
              <w:rPr>
                <w:rFonts w:hint="eastAsia" w:cs="Times New Roman"/>
                <w:color w:val="000000" w:themeColor="text1"/>
                <w:highlight w:val="none"/>
                <w:lang w:eastAsia="zh-CN"/>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乳化</w:t>
            </w:r>
            <w:r>
              <w:rPr>
                <w:rFonts w:hint="default" w:ascii="Times New Roman" w:hAnsi="Times New Roman" w:cs="Times New Roman"/>
                <w:color w:val="000000" w:themeColor="text1"/>
                <w:highlight w:val="none"/>
                <w:lang w:val="en-US" w:eastAsia="zh-CN"/>
                <w14:textFill>
                  <w14:solidFill>
                    <w14:schemeClr w14:val="tx1"/>
                  </w14:solidFill>
                </w14:textFill>
              </w:rPr>
              <w:t>液配水</w:t>
            </w:r>
            <w:r>
              <w:rPr>
                <w:rFonts w:hint="eastAsia" w:ascii="Times New Roman" w:hAnsi="Times New Roman"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水性丙烯酸聚氨酯面漆调配水、</w:t>
            </w:r>
            <w:r>
              <w:rPr>
                <w:rFonts w:hint="eastAsia" w:ascii="Times New Roman" w:hAnsi="Times New Roman" w:cs="Times New Roman"/>
                <w:color w:val="000000" w:themeColor="text1"/>
                <w:highlight w:val="none"/>
                <w:lang w:val="en-US" w:eastAsia="zh-CN"/>
                <w14:textFill>
                  <w14:solidFill>
                    <w14:schemeClr w14:val="tx1"/>
                  </w14:solidFill>
                </w14:textFill>
              </w:rPr>
              <w:t>水帘柜用水</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外购脱模剂无需配水，项目无需设备清洗和地面清洗</w:t>
            </w:r>
            <w:r>
              <w:rPr>
                <w:rFonts w:hint="default" w:ascii="Times New Roman" w:hAnsi="Times New Roman" w:cs="Times New Roman"/>
                <w:color w:val="000000" w:themeColor="text1"/>
                <w:highlight w:val="none"/>
                <w14:textFill>
                  <w14:solidFill>
                    <w14:schemeClr w14:val="tx1"/>
                  </w14:solidFill>
                </w14:textFill>
              </w:rPr>
              <w:t>。中频炉冷却水</w:t>
            </w:r>
            <w:r>
              <w:rPr>
                <w:rFonts w:hint="eastAsia" w:ascii="Times New Roman" w:hAnsi="Times New Roman" w:cs="Times New Roman"/>
                <w:color w:val="000000" w:themeColor="text1"/>
                <w:highlight w:val="none"/>
                <w:lang w:val="en-US" w:eastAsia="zh-CN"/>
                <w14:textFill>
                  <w14:solidFill>
                    <w14:schemeClr w14:val="tx1"/>
                  </w14:solidFill>
                </w14:textFill>
              </w:rPr>
              <w:t>循环使用不外排</w:t>
            </w:r>
            <w:r>
              <w:rPr>
                <w:rFonts w:hint="eastAsia" w:cs="Times New Roman"/>
                <w:color w:val="000000" w:themeColor="text1"/>
                <w:highlight w:val="none"/>
                <w:lang w:val="en-US" w:eastAsia="zh-CN"/>
                <w14:textFill>
                  <w14:solidFill>
                    <w14:schemeClr w14:val="tx1"/>
                  </w14:solidFill>
                </w14:textFill>
              </w:rPr>
              <w:t>，定期在循环水系统内添加阻垢剂和杀菌剂，预防管道设备的腐蚀，从而保持冷却系统的最佳运行状态</w:t>
            </w:r>
            <w:r>
              <w:rPr>
                <w:rFonts w:hint="eastAsia" w:ascii="Times New Roman" w:hAnsi="Times New Roman" w:cs="Times New Roman"/>
                <w:color w:val="000000" w:themeColor="text1"/>
                <w:highlight w:val="none"/>
                <w:lang w:val="en-US"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粘土砂</w:t>
            </w:r>
            <w:r>
              <w:rPr>
                <w:rFonts w:hint="default" w:ascii="Times New Roman" w:hAnsi="Times New Roman" w:cs="Times New Roman"/>
                <w:color w:val="000000" w:themeColor="text1"/>
                <w:highlight w:val="none"/>
                <w14:textFill>
                  <w14:solidFill>
                    <w14:schemeClr w14:val="tx1"/>
                  </w14:solidFill>
                </w14:textFill>
              </w:rPr>
              <w:t>配置用水</w:t>
            </w:r>
            <w:r>
              <w:rPr>
                <w:rFonts w:hint="eastAsia" w:ascii="Times New Roman" w:hAnsi="Times New Roman" w:cs="Times New Roman"/>
                <w:color w:val="000000" w:themeColor="text1"/>
                <w:highlight w:val="none"/>
                <w:lang w:val="en-US" w:eastAsia="zh-CN"/>
                <w14:textFill>
                  <w14:solidFill>
                    <w14:schemeClr w14:val="tx1"/>
                  </w14:solidFill>
                </w14:textFill>
              </w:rPr>
              <w:t>均在粘土砂浇注工序蒸发，不产生废水；</w:t>
            </w:r>
            <w:r>
              <w:rPr>
                <w:rFonts w:hint="eastAsia" w:cs="Times New Roman"/>
                <w:color w:val="000000" w:themeColor="text1"/>
                <w:highlight w:val="none"/>
                <w:lang w:val="en-US" w:eastAsia="zh-CN"/>
                <w14:textFill>
                  <w14:solidFill>
                    <w14:schemeClr w14:val="tx1"/>
                  </w14:solidFill>
                </w14:textFill>
              </w:rPr>
              <w:t>水性丙烯酸聚氨酯面漆调配水全部蒸发损耗；</w:t>
            </w:r>
            <w:r>
              <w:rPr>
                <w:rFonts w:hint="eastAsia" w:ascii="Times New Roman" w:hAnsi="Times New Roman" w:cs="Times New Roman"/>
                <w:color w:val="000000" w:themeColor="text1"/>
                <w:highlight w:val="none"/>
                <w:lang w:val="en-US" w:eastAsia="zh-CN"/>
                <w14:textFill>
                  <w14:solidFill>
                    <w14:schemeClr w14:val="tx1"/>
                  </w14:solidFill>
                </w14:textFill>
              </w:rPr>
              <w:t>乳化</w:t>
            </w:r>
            <w:r>
              <w:rPr>
                <w:rFonts w:hint="default" w:ascii="Times New Roman" w:hAnsi="Times New Roman" w:cs="Times New Roman"/>
                <w:color w:val="000000" w:themeColor="text1"/>
                <w:highlight w:val="none"/>
                <w:lang w:val="en-US" w:eastAsia="zh-CN"/>
                <w14:textFill>
                  <w14:solidFill>
                    <w14:schemeClr w14:val="tx1"/>
                  </w14:solidFill>
                </w14:textFill>
              </w:rPr>
              <w:t>液配水</w:t>
            </w:r>
            <w:r>
              <w:rPr>
                <w:rFonts w:hint="eastAsia" w:ascii="Times New Roman" w:hAnsi="Times New Roman" w:cs="Times New Roman"/>
                <w:color w:val="000000" w:themeColor="text1"/>
                <w:highlight w:val="none"/>
                <w:lang w:val="en-US" w:eastAsia="zh-CN"/>
                <w14:textFill>
                  <w14:solidFill>
                    <w14:schemeClr w14:val="tx1"/>
                  </w14:solidFill>
                </w14:textFill>
              </w:rPr>
              <w:t>、水帘柜用水均循环使用定期更换，更换后的废液作为危险废物委托有资质单位处置，不产生废水。本项目产生废水主要为生活用水产生的生活污水，外排废水源强计算如下：</w:t>
            </w:r>
          </w:p>
          <w:p w14:paraId="31554929">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（1）生活污水</w:t>
            </w:r>
          </w:p>
          <w:p w14:paraId="768B8F12">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根据企业提供的资料，本项目员工</w:t>
            </w:r>
            <w:r>
              <w:rPr>
                <w:rFonts w:hint="default" w:ascii="Times New Roman" w:hAnsi="Times New Roman" w:cs="Times New Roman"/>
                <w:color w:val="000000" w:themeColor="text1"/>
                <w:highlight w:val="none"/>
                <w:lang w:val="en-US" w:eastAsia="zh-CN"/>
                <w14:textFill>
                  <w14:solidFill>
                    <w14:schemeClr w14:val="tx1"/>
                  </w14:solidFill>
                </w14:textFill>
              </w:rPr>
              <w:t>60</w:t>
            </w:r>
            <w:r>
              <w:rPr>
                <w:rFonts w:hint="default" w:ascii="Times New Roman" w:hAnsi="Times New Roman" w:cs="Times New Roman"/>
                <w:color w:val="000000" w:themeColor="text1"/>
                <w:highlight w:val="none"/>
                <w14:textFill>
                  <w14:solidFill>
                    <w14:schemeClr w14:val="tx1"/>
                  </w14:solidFill>
                </w14:textFill>
              </w:rPr>
              <w:t>人，员工食堂就餐，无住宿，根据《江西省城市生活用水定额》（DB36/T 419-2017），员工生活用水量按照100L/（人•d）计，年工作330天，则员工生活用水量为</w:t>
            </w:r>
            <w:r>
              <w:rPr>
                <w:rFonts w:hint="default" w:ascii="Times New Roman" w:hAnsi="Times New Roman"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/d，</w:t>
            </w:r>
            <w:r>
              <w:rPr>
                <w:rFonts w:hint="default" w:ascii="Times New Roman" w:hAnsi="Times New Roman" w:cs="Times New Roman"/>
                <w:color w:val="000000" w:themeColor="text1"/>
                <w:highlight w:val="none"/>
                <w:lang w:val="en-US" w:eastAsia="zh-CN"/>
                <w14:textFill>
                  <w14:solidFill>
                    <w14:schemeClr w14:val="tx1"/>
                  </w14:solidFill>
                </w14:textFill>
              </w:rPr>
              <w:t>1980</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/a，产污系数以80%计，生活污水量</w:t>
            </w:r>
            <w:r>
              <w:rPr>
                <w:rFonts w:hint="default" w:ascii="Times New Roman" w:hAnsi="Times New Roman" w:cs="Times New Roman"/>
                <w:color w:val="000000" w:themeColor="text1"/>
                <w:highlight w:val="none"/>
                <w:lang w:val="en-US" w:eastAsia="zh-CN"/>
                <w14:textFill>
                  <w14:solidFill>
                    <w14:schemeClr w14:val="tx1"/>
                  </w14:solidFill>
                </w14:textFill>
              </w:rPr>
              <w:t>4.8</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/d，</w:t>
            </w:r>
            <w:r>
              <w:rPr>
                <w:rFonts w:hint="default" w:ascii="Times New Roman" w:hAnsi="Times New Roman" w:cs="Times New Roman"/>
                <w:color w:val="000000" w:themeColor="text1"/>
                <w:highlight w:val="none"/>
                <w:lang w:val="en-US" w:eastAsia="zh-CN"/>
                <w14:textFill>
                  <w14:solidFill>
                    <w14:schemeClr w14:val="tx1"/>
                  </w14:solidFill>
                </w14:textFill>
              </w:rPr>
              <w:t>1584</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/a。水质简单，一般浓度为：COD：250mg/L，BOD</w:t>
            </w:r>
            <w:r>
              <w:rPr>
                <w:rFonts w:hint="default" w:ascii="Times New Roman" w:hAnsi="Times New Roman" w:cs="Times New Roman"/>
                <w:color w:val="000000" w:themeColor="text1"/>
                <w:highlight w:val="none"/>
                <w:vertAlign w:val="subscript"/>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：150mg/L，SS：200mg/L，氨氮：25mg/L，TP：4mg/L、动植物油：30mg/L。</w:t>
            </w:r>
          </w:p>
          <w:p w14:paraId="20D51426">
            <w:pPr>
              <w:shd w:val="clear" w:color="auto" w:fill="auto"/>
              <w:ind w:firstLine="480"/>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生活污水近期经隔油池+化粪池+一体化污水处理设施</w:t>
            </w:r>
            <w:r>
              <w:rPr>
                <w:rFonts w:hint="default" w:ascii="Times New Roman" w:hAnsi="Times New Roman" w:cs="Times New Roman"/>
                <w:color w:val="000000" w:themeColor="text1"/>
                <w:szCs w:val="22"/>
                <w:highlight w:val="none"/>
                <w14:textFill>
                  <w14:solidFill>
                    <w14:schemeClr w14:val="tx1"/>
                  </w14:solidFill>
                </w14:textFill>
              </w:rPr>
              <w:t>（</w:t>
            </w:r>
            <w:r>
              <w:rPr>
                <w:rFonts w:hint="default" w:ascii="Times New Roman" w:hAnsi="Times New Roman" w:cs="Times New Roman"/>
                <w:color w:val="000000" w:themeColor="text1"/>
                <w:szCs w:val="20"/>
                <w:highlight w:val="none"/>
                <w:lang w:bidi="ar"/>
                <w14:textFill>
                  <w14:solidFill>
                    <w14:schemeClr w14:val="tx1"/>
                  </w14:solidFill>
                </w14:textFill>
              </w:rPr>
              <w:t>A/O生物处理工艺</w:t>
            </w:r>
            <w:r>
              <w:rPr>
                <w:rFonts w:hint="default" w:ascii="Times New Roman" w:hAnsi="Times New Roman" w:cs="Times New Roman"/>
                <w:color w:val="000000" w:themeColor="text1"/>
                <w:szCs w:val="22"/>
                <w:highlight w:val="none"/>
                <w14:textFill>
                  <w14:solidFill>
                    <w14:schemeClr w14:val="tx1"/>
                  </w14:solidFill>
                </w14:textFill>
              </w:rPr>
              <w:t>）处</w:t>
            </w:r>
            <w:r>
              <w:rPr>
                <w:rFonts w:hint="default" w:ascii="Times New Roman" w:hAnsi="Times New Roman" w:cs="Times New Roman"/>
                <w:color w:val="000000" w:themeColor="text1"/>
                <w:highlight w:val="none"/>
                <w14:textFill>
                  <w14:solidFill>
                    <w14:schemeClr w14:val="tx1"/>
                  </w14:solidFill>
                </w14:textFill>
              </w:rPr>
              <w:t>理达到《污水综合排放标准》（GB8978-1996）表4中一级标准后排入园区管网，最终排入乐安河；远期待金山工业园污水处理厂正式投运后，经隔油池+化粪池+一体化污水处理设施处理后排入金山工业园污水处理厂，处理达到《城镇污水处理厂污染物排放标准》（GB18918-2002）一级A标准后外排至乐安河。</w:t>
            </w:r>
          </w:p>
          <w:p w14:paraId="7FBCF49A">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2、废水治理设施技术可行性分析</w:t>
            </w:r>
          </w:p>
          <w:p w14:paraId="6F90CC90">
            <w:pPr>
              <w:keepNext w:val="0"/>
              <w:keepLines w:val="0"/>
              <w:pageBreakBefore w:val="0"/>
              <w:widowControl w:val="0"/>
              <w:shd w:val="clear" w:color="auto" w:fill="auto"/>
              <w:kinsoku/>
              <w:wordWrap/>
              <w:overflowPunct/>
              <w:topLinePunct w:val="0"/>
              <w:autoSpaceDE/>
              <w:autoSpaceDN/>
              <w:bidi w:val="0"/>
              <w:adjustRightInd/>
              <w:snapToGrid/>
              <w:ind w:left="0" w:leftChars="0" w:firstLine="480" w:firstLineChars="200"/>
              <w:jc w:val="both"/>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根据“《排污许可证申请与核发技术规范 总则》（HJ 942-2018）中4.5.3.1”，废水二级处理可行技术为“A/O、A2/O、SBR、活性污泥法、生物接触氧化”等。</w:t>
            </w:r>
          </w:p>
          <w:p w14:paraId="5DEB4AFB">
            <w:pPr>
              <w:keepNext w:val="0"/>
              <w:keepLines w:val="0"/>
              <w:pageBreakBefore w:val="0"/>
              <w:widowControl w:val="0"/>
              <w:shd w:val="clear" w:color="auto" w:fill="auto"/>
              <w:kinsoku/>
              <w:wordWrap/>
              <w:overflowPunct/>
              <w:topLinePunct w:val="0"/>
              <w:autoSpaceDE/>
              <w:autoSpaceDN/>
              <w:bidi w:val="0"/>
              <w:adjustRightInd/>
              <w:snapToGrid/>
              <w:ind w:left="0" w:leftChars="0" w:firstLine="480" w:firstLineChars="200"/>
              <w:textAlignment w:va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隔油池是利用油与水的比重差异，分离去除污水中颗粒较大的悬浮油的一种处理构筑物，能有效去除生活污水中的动植物油，属于可行性技术；生活污水处理工艺为隔油池+化粪池+一体化污水处理设施，化粪池是一种利用沉淀和厌氧发酵的原理，去除生活污水中悬浮性有机物的处理设施，属于初级的过渡性生活处理构筑物，可有效处理粪便等，属于可行性技术。</w:t>
            </w:r>
            <w:r>
              <w:rPr>
                <w:rFonts w:hint="eastAsia" w:cs="Times New Roman"/>
                <w:color w:val="000000" w:themeColor="text1"/>
                <w:highlight w:val="none"/>
                <w:lang w:val="en-US" w:eastAsia="zh-CN"/>
                <w14:textFill>
                  <w14:solidFill>
                    <w14:schemeClr w14:val="tx1"/>
                  </w14:solidFill>
                </w14:textFill>
              </w:rPr>
              <w:t>根据</w:t>
            </w:r>
            <w:r>
              <w:rPr>
                <w:rFonts w:hint="default" w:ascii="Times New Roman" w:hAnsi="Times New Roman" w:cs="Times New Roman"/>
                <w:color w:val="000000" w:themeColor="text1"/>
                <w:highlight w:val="none"/>
                <w14:textFill>
                  <w14:solidFill>
                    <w14:schemeClr w14:val="tx1"/>
                  </w14:solidFill>
                </w14:textFill>
              </w:rPr>
              <w:t>《排污许可证申请与核发技术规范 总则》（HJ 942-2018）一体化污水处理设施（</w:t>
            </w:r>
            <w:r>
              <w:rPr>
                <w:rFonts w:hint="eastAsia" w:cs="Times New Roman"/>
                <w:color w:val="000000" w:themeColor="text1"/>
                <w:highlight w:val="none"/>
                <w:lang w:val="en-US" w:eastAsia="zh-CN"/>
                <w14:textFill>
                  <w14:solidFill>
                    <w14:schemeClr w14:val="tx1"/>
                  </w14:solidFill>
                </w14:textFill>
              </w:rPr>
              <w:t>采用</w:t>
            </w:r>
            <w:r>
              <w:rPr>
                <w:rFonts w:hint="default" w:ascii="Times New Roman" w:hAnsi="Times New Roman" w:cs="Times New Roman"/>
                <w:color w:val="000000" w:themeColor="text1"/>
                <w:highlight w:val="none"/>
                <w14:textFill>
                  <w14:solidFill>
                    <w14:schemeClr w14:val="tx1"/>
                  </w14:solidFill>
                </w14:textFill>
              </w:rPr>
              <w:t>A/O生物处理工艺）</w:t>
            </w:r>
            <w:r>
              <w:rPr>
                <w:rFonts w:hint="eastAsia" w:cs="Times New Roman"/>
                <w:color w:val="000000" w:themeColor="text1"/>
                <w:highlight w:val="none"/>
                <w:lang w:val="en-US" w:eastAsia="zh-CN"/>
                <w14:textFill>
                  <w14:solidFill>
                    <w14:schemeClr w14:val="tx1"/>
                  </w14:solidFill>
                </w14:textFill>
              </w:rPr>
              <w:t>属于废水二级处理可行技术。</w:t>
            </w:r>
          </w:p>
          <w:p w14:paraId="654BD7BF">
            <w:pPr>
              <w:pStyle w:val="16"/>
              <w:keepNext w:val="0"/>
              <w:keepLines w:val="0"/>
              <w:pageBreakBefore w:val="0"/>
              <w:widowControl w:val="0"/>
              <w:shd w:val="clear" w:color="auto" w:fill="auto"/>
              <w:kinsoku/>
              <w:wordWrap/>
              <w:overflowPunct/>
              <w:topLinePunct w:val="0"/>
              <w:autoSpaceDE/>
              <w:autoSpaceDN/>
              <w:bidi w:val="0"/>
              <w:adjustRightInd/>
              <w:snapToGrid/>
              <w:spacing w:before="0" w:beforeAutospacing="0" w:after="0"/>
              <w:ind w:left="0" w:leftChars="0" w:firstLine="480" w:firstLineChars="200"/>
              <w:textAlignment w:va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项目生活污水处理工艺流程图如下：</w:t>
            </w:r>
          </w:p>
          <w:p w14:paraId="00760D69">
            <w:pPr>
              <w:shd w:val="clear" w:color="auto" w:fill="auto"/>
              <w:ind w:firstLine="480"/>
              <w:jc w:val="center"/>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object>
                <v:shape id="_x0000_i1030" o:spt="75" type="#_x0000_t75" style="height:138.7pt;width:550.9pt;" o:ole="t" filled="f" o:preferrelative="t" stroked="f" coordsize="21600,21600">
                  <v:path/>
                  <v:fill on="f" focussize="0,0"/>
                  <v:stroke on="f"/>
                  <v:imagedata r:id="rId24" o:title=""/>
                  <o:lock v:ext="edit" aspectratio="f"/>
                  <w10:wrap type="none"/>
                  <w10:anchorlock/>
                </v:shape>
                <o:OLEObject Type="Embed" ProgID="Visio.Drawing.15" ShapeID="_x0000_i1030" DrawAspect="Content" ObjectID="_1468075730" r:id="rId23">
                  <o:LockedField>false</o:LockedField>
                </o:OLEObject>
              </w:object>
            </w:r>
          </w:p>
          <w:p w14:paraId="3826AF7B">
            <w:pPr>
              <w:shd w:val="clear" w:color="auto" w:fill="auto"/>
              <w:ind w:firstLine="482"/>
              <w:jc w:val="center"/>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图4-1 项目污水处理工艺流程图</w:t>
            </w:r>
          </w:p>
          <w:p w14:paraId="582194E3">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工艺流程说明：</w:t>
            </w:r>
          </w:p>
          <w:p w14:paraId="1B5DB8D6">
            <w:pPr>
              <w:pStyle w:val="16"/>
              <w:shd w:val="clear" w:color="auto" w:fill="auto"/>
              <w:spacing w:before="0" w:beforeAutospacing="0" w:after="0"/>
              <w:ind w:left="0" w:leftChars="0"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污水进隔油池+化粪池进行预处理。污水经化粪池后流入进入调节池，调节池是作为污水水量调节和均质的构筑物。由于污水排放具有时段不均匀性、时变化系数较大的特点，要使生化处理系统较均衡地运行，尽量减少其冲击负荷的影响，以达到理想的处理效果，则需设调节池，对污水水量进行调节并均质，使调节池污水提升泵始终按平均处理水量向生化系统供水。资料统计，调节池有效容积按4-6倍平均小时处理量计算。</w:t>
            </w:r>
          </w:p>
          <w:p w14:paraId="436557F8">
            <w:pPr>
              <w:pStyle w:val="16"/>
              <w:shd w:val="clear" w:color="auto" w:fill="auto"/>
              <w:spacing w:before="0" w:beforeAutospacing="0" w:after="0"/>
              <w:ind w:left="0" w:leftChars="0"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调节池污水经提升泵提升后进入沉淀池，沉淀分离油及水中的悬浮物，污泥进入污泥池，出水进入厌氧池。</w:t>
            </w:r>
          </w:p>
          <w:p w14:paraId="7FDB93F8">
            <w:pPr>
              <w:pStyle w:val="16"/>
              <w:shd w:val="clear" w:color="auto" w:fill="auto"/>
              <w:spacing w:before="0" w:beforeAutospacing="0" w:after="0"/>
              <w:ind w:left="0" w:leftChars="0"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厌氧池中设置立体弹性填料，作为细菌载体，比表面积大、附着微生物量多，从而可增加其处理能力。出水自流进入生物接触氧化池，经过好氧曝气去除有机物和色度；污水经生物接触氧化池后自流进入二沉池，废水经二沉池处理达标后排入园区管网。</w:t>
            </w:r>
          </w:p>
          <w:p w14:paraId="178E9CFA">
            <w:pPr>
              <w:pStyle w:val="16"/>
              <w:shd w:val="clear" w:color="auto" w:fill="auto"/>
              <w:spacing w:before="0" w:beforeAutospacing="0" w:after="0"/>
              <w:ind w:left="0" w:leftChars="0"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厌氧池、沉淀池的污泥自流至污泥池，污泥在污泥池内进行浓缩，压滤液回流至调节池进行再处理。污泥用泵打入板框压滤机压滤，压滤液返回调节池再处理，压滤后的污泥外运垃圾处理厂处理。</w:t>
            </w:r>
          </w:p>
          <w:p w14:paraId="3AA5E244">
            <w:pPr>
              <w:shd w:val="clear" w:color="auto" w:fill="auto"/>
              <w:adjustRightInd w:val="0"/>
              <w:ind w:firstLine="482"/>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3、废水排放口基本情况及监测要求</w:t>
            </w:r>
          </w:p>
          <w:p w14:paraId="790EAF57">
            <w:pPr>
              <w:shd w:val="clear" w:color="auto" w:fill="auto"/>
              <w:adjustRightInd w:val="0"/>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根据《排污单位自行监测技术指南总则》（HJ819-2017）、《排污许可证申请与核发技术规范 金属铸造工业》（HJ1115-2020）和《排污单位自行监测技术指南 金属铸造工业》（HJ1251—2022），结合项目运营期间污染物排放特点，制定本项目的污染源监测计划，建设单位需保证按监测计划实施。监测分析方法按照现行国家、部颁标准和有关规定执行。本项目废水污染源监测计划见表4-</w:t>
            </w:r>
            <w:r>
              <w:rPr>
                <w:rFonts w:hint="default" w:ascii="Times New Roman" w:hAnsi="Times New Roman"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w:t>
            </w:r>
          </w:p>
          <w:p w14:paraId="1ADE8BDF">
            <w:pPr>
              <w:pStyle w:val="86"/>
              <w:numPr>
                <w:ilvl w:val="0"/>
                <w:numId w:val="0"/>
              </w:numPr>
              <w:shd w:val="clear" w:color="auto" w:fill="auto"/>
              <w:ind w:left="420"/>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表4-</w:t>
            </w:r>
            <w:r>
              <w:rPr>
                <w:rFonts w:hint="default" w:ascii="Times New Roman" w:hAnsi="Times New Roman" w:cs="Times New Roman"/>
                <w:color w:val="000000" w:themeColor="text1"/>
                <w:sz w:val="24"/>
                <w:highlight w:val="none"/>
                <w:lang w:val="en-US" w:eastAsia="zh-CN"/>
                <w14:textFill>
                  <w14:solidFill>
                    <w14:schemeClr w14:val="tx1"/>
                  </w14:solidFill>
                </w14:textFill>
              </w:rPr>
              <w:t xml:space="preserve">2 </w:t>
            </w:r>
            <w:r>
              <w:rPr>
                <w:rFonts w:hint="default" w:ascii="Times New Roman" w:hAnsi="Times New Roman" w:cs="Times New Roman"/>
                <w:color w:val="000000" w:themeColor="text1"/>
                <w:sz w:val="24"/>
                <w:highlight w:val="none"/>
                <w14:textFill>
                  <w14:solidFill>
                    <w14:schemeClr w14:val="tx1"/>
                  </w14:solidFill>
                </w14:textFill>
              </w:rPr>
              <w:t>废水排放口基本要求</w:t>
            </w:r>
          </w:p>
          <w:tbl>
            <w:tblPr>
              <w:tblStyle w:val="32"/>
              <w:tblW w:w="4997" w:type="pct"/>
              <w:tblInd w:w="0" w:type="dxa"/>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90"/>
              <w:gridCol w:w="978"/>
              <w:gridCol w:w="2479"/>
              <w:gridCol w:w="1264"/>
              <w:gridCol w:w="1424"/>
              <w:gridCol w:w="1312"/>
              <w:gridCol w:w="1496"/>
              <w:gridCol w:w="1061"/>
              <w:gridCol w:w="2242"/>
            </w:tblGrid>
            <w:tr w14:paraId="0C7F1F89">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08" w:type="pct"/>
                  <w:tcBorders>
                    <w:top w:val="single" w:color="auto" w:sz="12" w:space="0"/>
                  </w:tcBorders>
                  <w:noWrap w:val="0"/>
                  <w:vAlign w:val="center"/>
                </w:tcPr>
                <w:p w14:paraId="38B6908B">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产排污环节</w:t>
                  </w:r>
                </w:p>
              </w:tc>
              <w:tc>
                <w:tcPr>
                  <w:tcW w:w="366" w:type="pct"/>
                  <w:tcBorders>
                    <w:top w:val="single" w:color="auto" w:sz="12" w:space="0"/>
                  </w:tcBorders>
                  <w:noWrap w:val="0"/>
                  <w:vAlign w:val="center"/>
                </w:tcPr>
                <w:p w14:paraId="78722E46">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类别</w:t>
                  </w:r>
                </w:p>
              </w:tc>
              <w:tc>
                <w:tcPr>
                  <w:tcW w:w="928" w:type="pct"/>
                  <w:tcBorders>
                    <w:top w:val="single" w:color="auto" w:sz="12" w:space="0"/>
                  </w:tcBorders>
                  <w:noWrap w:val="0"/>
                  <w:vAlign w:val="center"/>
                </w:tcPr>
                <w:p w14:paraId="40CCFE8D">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污染物种类</w:t>
                  </w:r>
                </w:p>
              </w:tc>
              <w:tc>
                <w:tcPr>
                  <w:tcW w:w="473" w:type="pct"/>
                  <w:tcBorders>
                    <w:top w:val="single" w:color="auto" w:sz="12" w:space="0"/>
                  </w:tcBorders>
                  <w:noWrap w:val="0"/>
                  <w:vAlign w:val="center"/>
                </w:tcPr>
                <w:p w14:paraId="7DF36215">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排放</w:t>
                  </w:r>
                </w:p>
                <w:p w14:paraId="2CCB9ABE">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方式</w:t>
                  </w:r>
                </w:p>
              </w:tc>
              <w:tc>
                <w:tcPr>
                  <w:tcW w:w="533" w:type="pct"/>
                  <w:tcBorders>
                    <w:top w:val="single" w:color="auto" w:sz="12" w:space="0"/>
                  </w:tcBorders>
                  <w:noWrap w:val="0"/>
                  <w:vAlign w:val="center"/>
                </w:tcPr>
                <w:p w14:paraId="1FACD1CD">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排放去向</w:t>
                  </w:r>
                </w:p>
              </w:tc>
              <w:tc>
                <w:tcPr>
                  <w:tcW w:w="491" w:type="pct"/>
                  <w:tcBorders>
                    <w:top w:val="single" w:color="auto" w:sz="12" w:space="0"/>
                  </w:tcBorders>
                  <w:noWrap w:val="0"/>
                  <w:vAlign w:val="center"/>
                </w:tcPr>
                <w:p w14:paraId="5D608A35">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排放</w:t>
                  </w:r>
                </w:p>
                <w:p w14:paraId="46C608FE">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规律</w:t>
                  </w:r>
                </w:p>
              </w:tc>
              <w:tc>
                <w:tcPr>
                  <w:tcW w:w="560" w:type="pct"/>
                  <w:tcBorders>
                    <w:top w:val="single" w:color="auto" w:sz="12" w:space="0"/>
                  </w:tcBorders>
                  <w:noWrap w:val="0"/>
                  <w:vAlign w:val="center"/>
                </w:tcPr>
                <w:p w14:paraId="7954D7DB">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排放编号</w:t>
                  </w:r>
                </w:p>
                <w:p w14:paraId="65AAE8D9">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及名称</w:t>
                  </w:r>
                </w:p>
              </w:tc>
              <w:tc>
                <w:tcPr>
                  <w:tcW w:w="397" w:type="pct"/>
                  <w:tcBorders>
                    <w:top w:val="single" w:color="auto" w:sz="12" w:space="0"/>
                  </w:tcBorders>
                  <w:noWrap w:val="0"/>
                  <w:vAlign w:val="center"/>
                </w:tcPr>
                <w:p w14:paraId="6D564DCC">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排放</w:t>
                  </w:r>
                </w:p>
                <w:p w14:paraId="6BADD857">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类型</w:t>
                  </w:r>
                </w:p>
              </w:tc>
              <w:tc>
                <w:tcPr>
                  <w:tcW w:w="839" w:type="pct"/>
                  <w:tcBorders>
                    <w:top w:val="single" w:color="auto" w:sz="12" w:space="0"/>
                  </w:tcBorders>
                  <w:noWrap w:val="0"/>
                  <w:vAlign w:val="center"/>
                </w:tcPr>
                <w:p w14:paraId="21007EA8">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地理</w:t>
                  </w:r>
                </w:p>
                <w:p w14:paraId="7063C0F0">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坐标</w:t>
                  </w:r>
                </w:p>
              </w:tc>
            </w:tr>
            <w:tr w14:paraId="1EB1E6C6">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08" w:type="pct"/>
                  <w:noWrap w:val="0"/>
                  <w:vAlign w:val="center"/>
                </w:tcPr>
                <w:p w14:paraId="36E1564F">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生活污水</w:t>
                  </w:r>
                </w:p>
              </w:tc>
              <w:tc>
                <w:tcPr>
                  <w:tcW w:w="366" w:type="pct"/>
                  <w:noWrap w:val="0"/>
                  <w:vAlign w:val="center"/>
                </w:tcPr>
                <w:p w14:paraId="3883FE76">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生活污水</w:t>
                  </w:r>
                </w:p>
              </w:tc>
              <w:tc>
                <w:tcPr>
                  <w:tcW w:w="928" w:type="pct"/>
                  <w:noWrap w:val="0"/>
                  <w:vAlign w:val="center"/>
                </w:tcPr>
                <w:p w14:paraId="0383D043">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pH、CODcr、BOD</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5</w:t>
                  </w:r>
                  <w:r>
                    <w:rPr>
                      <w:rFonts w:hint="default" w:ascii="Times New Roman" w:hAnsi="Times New Roman" w:cs="Times New Roman"/>
                      <w:color w:val="000000" w:themeColor="text1"/>
                      <w:sz w:val="21"/>
                      <w:szCs w:val="21"/>
                      <w:highlight w:val="none"/>
                      <w14:textFill>
                        <w14:solidFill>
                          <w14:schemeClr w14:val="tx1"/>
                        </w14:solidFill>
                      </w14:textFill>
                    </w:rPr>
                    <w:t>、SS、NH</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-N</w:t>
                  </w:r>
                  <w:r>
                    <w:rPr>
                      <w:rStyle w:val="38"/>
                      <w:rFonts w:hint="default" w:ascii="Times New Roman" w:hAnsi="Times New Roman" w:cs="Times New Roman"/>
                      <w:color w:val="000000" w:themeColor="text1"/>
                      <w:sz w:val="21"/>
                      <w:szCs w:val="21"/>
                      <w:highlight w:val="none"/>
                      <w14:textFill>
                        <w14:solidFill>
                          <w14:schemeClr w14:val="tx1"/>
                        </w14:solidFill>
                      </w14:textFill>
                    </w:rPr>
                    <w:t>、TP、动植物油</w:t>
                  </w:r>
                </w:p>
              </w:tc>
              <w:tc>
                <w:tcPr>
                  <w:tcW w:w="473" w:type="pct"/>
                  <w:noWrap w:val="0"/>
                  <w:vAlign w:val="center"/>
                </w:tcPr>
                <w:p w14:paraId="30F6DD23">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直接排放（接管前）</w:t>
                  </w:r>
                </w:p>
              </w:tc>
              <w:tc>
                <w:tcPr>
                  <w:tcW w:w="533" w:type="pct"/>
                  <w:noWrap w:val="0"/>
                  <w:vAlign w:val="center"/>
                </w:tcPr>
                <w:p w14:paraId="0C93AC4A">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乐安河</w:t>
                  </w:r>
                </w:p>
              </w:tc>
              <w:tc>
                <w:tcPr>
                  <w:tcW w:w="491" w:type="pct"/>
                  <w:noWrap w:val="0"/>
                  <w:vAlign w:val="center"/>
                </w:tcPr>
                <w:p w14:paraId="3C3F20A4">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不规律间断排放</w:t>
                  </w:r>
                </w:p>
              </w:tc>
              <w:tc>
                <w:tcPr>
                  <w:tcW w:w="560" w:type="pct"/>
                  <w:noWrap w:val="0"/>
                  <w:vAlign w:val="center"/>
                </w:tcPr>
                <w:p w14:paraId="2C00F86C">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DW001综合废水排放口</w:t>
                  </w:r>
                </w:p>
              </w:tc>
              <w:tc>
                <w:tcPr>
                  <w:tcW w:w="397" w:type="pct"/>
                  <w:noWrap w:val="0"/>
                  <w:vAlign w:val="center"/>
                </w:tcPr>
                <w:p w14:paraId="68E082C4">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综合废水</w:t>
                  </w:r>
                </w:p>
              </w:tc>
              <w:tc>
                <w:tcPr>
                  <w:tcW w:w="839" w:type="pct"/>
                  <w:noWrap w:val="0"/>
                  <w:vAlign w:val="center"/>
                </w:tcPr>
                <w:p w14:paraId="11B581BE">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E117°10′14.879″，N29°0′36.58</w:t>
                  </w: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6</w:t>
                  </w:r>
                  <w:r>
                    <w:rPr>
                      <w:rFonts w:hint="default" w:ascii="Times New Roman" w:hAnsi="Times New Roman" w:cs="Times New Roman"/>
                      <w:bCs/>
                      <w:color w:val="000000" w:themeColor="text1"/>
                      <w:sz w:val="21"/>
                      <w:szCs w:val="21"/>
                      <w:highlight w:val="none"/>
                      <w14:textFill>
                        <w14:solidFill>
                          <w14:schemeClr w14:val="tx1"/>
                        </w14:solidFill>
                      </w14:textFill>
                    </w:rPr>
                    <w:t>″</w:t>
                  </w:r>
                </w:p>
              </w:tc>
            </w:tr>
            <w:tr w14:paraId="72FEF1F6">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408" w:type="pct"/>
                  <w:tcBorders>
                    <w:bottom w:val="single" w:color="auto" w:sz="12" w:space="0"/>
                  </w:tcBorders>
                  <w:noWrap w:val="0"/>
                  <w:vAlign w:val="center"/>
                </w:tcPr>
                <w:p w14:paraId="706AACEF">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生活污水</w:t>
                  </w:r>
                </w:p>
              </w:tc>
              <w:tc>
                <w:tcPr>
                  <w:tcW w:w="366" w:type="pct"/>
                  <w:tcBorders>
                    <w:bottom w:val="single" w:color="auto" w:sz="12" w:space="0"/>
                  </w:tcBorders>
                  <w:noWrap w:val="0"/>
                  <w:vAlign w:val="center"/>
                </w:tcPr>
                <w:p w14:paraId="72886E0E">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生活污水</w:t>
                  </w:r>
                </w:p>
              </w:tc>
              <w:tc>
                <w:tcPr>
                  <w:tcW w:w="928" w:type="pct"/>
                  <w:tcBorders>
                    <w:bottom w:val="single" w:color="auto" w:sz="12" w:space="0"/>
                  </w:tcBorders>
                  <w:noWrap w:val="0"/>
                  <w:vAlign w:val="center"/>
                </w:tcPr>
                <w:p w14:paraId="5A7D0F4C">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pH、CODcr、BOD</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5</w:t>
                  </w:r>
                  <w:r>
                    <w:rPr>
                      <w:rFonts w:hint="default" w:ascii="Times New Roman" w:hAnsi="Times New Roman" w:cs="Times New Roman"/>
                      <w:color w:val="000000" w:themeColor="text1"/>
                      <w:sz w:val="21"/>
                      <w:szCs w:val="21"/>
                      <w:highlight w:val="none"/>
                      <w14:textFill>
                        <w14:solidFill>
                          <w14:schemeClr w14:val="tx1"/>
                        </w14:solidFill>
                      </w14:textFill>
                    </w:rPr>
                    <w:t>、SS、NH</w:t>
                  </w:r>
                  <w:r>
                    <w:rPr>
                      <w:rFonts w:hint="default" w:ascii="Times New Roman" w:hAnsi="Times New Roman" w:cs="Times New Roman"/>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color w:val="000000" w:themeColor="text1"/>
                      <w:sz w:val="21"/>
                      <w:szCs w:val="21"/>
                      <w:highlight w:val="none"/>
                      <w14:textFill>
                        <w14:solidFill>
                          <w14:schemeClr w14:val="tx1"/>
                        </w14:solidFill>
                      </w14:textFill>
                    </w:rPr>
                    <w:t>-N</w:t>
                  </w:r>
                  <w:r>
                    <w:rPr>
                      <w:rStyle w:val="38"/>
                      <w:rFonts w:hint="default" w:ascii="Times New Roman" w:hAnsi="Times New Roman" w:cs="Times New Roman"/>
                      <w:color w:val="000000" w:themeColor="text1"/>
                      <w:sz w:val="21"/>
                      <w:szCs w:val="21"/>
                      <w:highlight w:val="none"/>
                      <w14:textFill>
                        <w14:solidFill>
                          <w14:schemeClr w14:val="tx1"/>
                        </w14:solidFill>
                      </w14:textFill>
                    </w:rPr>
                    <w:t>、TP、动植物油</w:t>
                  </w:r>
                </w:p>
              </w:tc>
              <w:tc>
                <w:tcPr>
                  <w:tcW w:w="473" w:type="pct"/>
                  <w:tcBorders>
                    <w:bottom w:val="single" w:color="auto" w:sz="12" w:space="0"/>
                  </w:tcBorders>
                  <w:noWrap w:val="0"/>
                  <w:vAlign w:val="center"/>
                </w:tcPr>
                <w:p w14:paraId="101A2DF5">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间接排放（接管后）</w:t>
                  </w:r>
                </w:p>
              </w:tc>
              <w:tc>
                <w:tcPr>
                  <w:tcW w:w="533" w:type="pct"/>
                  <w:tcBorders>
                    <w:bottom w:val="single" w:color="auto" w:sz="12" w:space="0"/>
                  </w:tcBorders>
                  <w:noWrap w:val="0"/>
                  <w:vAlign w:val="center"/>
                </w:tcPr>
                <w:p w14:paraId="2A3AECEF">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金山工业园污水处理厂</w:t>
                  </w:r>
                </w:p>
              </w:tc>
              <w:tc>
                <w:tcPr>
                  <w:tcW w:w="491" w:type="pct"/>
                  <w:tcBorders>
                    <w:bottom w:val="single" w:color="auto" w:sz="12" w:space="0"/>
                  </w:tcBorders>
                  <w:noWrap w:val="0"/>
                  <w:vAlign w:val="center"/>
                </w:tcPr>
                <w:p w14:paraId="14FDB417">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不规律间断排放</w:t>
                  </w:r>
                </w:p>
              </w:tc>
              <w:tc>
                <w:tcPr>
                  <w:tcW w:w="560" w:type="pct"/>
                  <w:tcBorders>
                    <w:bottom w:val="single" w:color="auto" w:sz="12" w:space="0"/>
                  </w:tcBorders>
                  <w:noWrap w:val="0"/>
                  <w:vAlign w:val="center"/>
                </w:tcPr>
                <w:p w14:paraId="350AF36F">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DW001综合废水排放口</w:t>
                  </w:r>
                </w:p>
              </w:tc>
              <w:tc>
                <w:tcPr>
                  <w:tcW w:w="397" w:type="pct"/>
                  <w:tcBorders>
                    <w:bottom w:val="single" w:color="auto" w:sz="12" w:space="0"/>
                  </w:tcBorders>
                  <w:noWrap w:val="0"/>
                  <w:vAlign w:val="center"/>
                </w:tcPr>
                <w:p w14:paraId="63A23AE7">
                  <w:pPr>
                    <w:pStyle w:val="124"/>
                    <w:shd w:val="clear" w:color="auto" w:fill="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综合废水</w:t>
                  </w:r>
                </w:p>
              </w:tc>
              <w:tc>
                <w:tcPr>
                  <w:tcW w:w="839" w:type="pct"/>
                  <w:tcBorders>
                    <w:bottom w:val="single" w:color="auto" w:sz="12" w:space="0"/>
                  </w:tcBorders>
                  <w:noWrap w:val="0"/>
                  <w:vAlign w:val="center"/>
                </w:tcPr>
                <w:p w14:paraId="635F0402">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highlight w:val="none"/>
                      <w14:textFill>
                        <w14:solidFill>
                          <w14:schemeClr w14:val="tx1"/>
                        </w14:solidFill>
                      </w14:textFill>
                    </w:rPr>
                    <w:t>E117°10′14.879″，N29°0′36.58</w:t>
                  </w:r>
                  <w:r>
                    <w:rPr>
                      <w:rFonts w:hint="default" w:ascii="Times New Roman" w:hAnsi="Times New Roman" w:cs="Times New Roman"/>
                      <w:bCs/>
                      <w:color w:val="000000" w:themeColor="text1"/>
                      <w:sz w:val="21"/>
                      <w:szCs w:val="21"/>
                      <w:highlight w:val="none"/>
                      <w:lang w:val="en-US" w:eastAsia="zh-CN"/>
                      <w14:textFill>
                        <w14:solidFill>
                          <w14:schemeClr w14:val="tx1"/>
                        </w14:solidFill>
                      </w14:textFill>
                    </w:rPr>
                    <w:t>6</w:t>
                  </w:r>
                  <w:r>
                    <w:rPr>
                      <w:rFonts w:hint="default" w:ascii="Times New Roman" w:hAnsi="Times New Roman" w:cs="Times New Roman"/>
                      <w:bCs/>
                      <w:color w:val="000000" w:themeColor="text1"/>
                      <w:sz w:val="21"/>
                      <w:szCs w:val="21"/>
                      <w:highlight w:val="none"/>
                      <w14:textFill>
                        <w14:solidFill>
                          <w14:schemeClr w14:val="tx1"/>
                        </w14:solidFill>
                      </w14:textFill>
                    </w:rPr>
                    <w:t>″</w:t>
                  </w:r>
                </w:p>
              </w:tc>
            </w:tr>
          </w:tbl>
          <w:p w14:paraId="665AB8CF">
            <w:pPr>
              <w:pStyle w:val="86"/>
              <w:numPr>
                <w:ilvl w:val="0"/>
                <w:numId w:val="0"/>
              </w:numPr>
              <w:shd w:val="clear" w:color="auto" w:fill="auto"/>
              <w:ind w:left="420"/>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表4-</w:t>
            </w:r>
            <w:r>
              <w:rPr>
                <w:rFonts w:hint="default" w:ascii="Times New Roman" w:hAnsi="Times New Roman" w:cs="Times New Roman"/>
                <w:color w:val="000000" w:themeColor="text1"/>
                <w:sz w:val="24"/>
                <w:highlight w:val="none"/>
                <w:lang w:val="en-US" w:eastAsia="zh-CN"/>
                <w14:textFill>
                  <w14:solidFill>
                    <w14:schemeClr w14:val="tx1"/>
                  </w14:solidFill>
                </w14:textFill>
              </w:rPr>
              <w:t>3</w:t>
            </w:r>
            <w:r>
              <w:rPr>
                <w:rFonts w:hint="default" w:ascii="Times New Roman" w:hAnsi="Times New Roman" w:cs="Times New Roman"/>
                <w:color w:val="000000" w:themeColor="text1"/>
                <w:sz w:val="24"/>
                <w:highlight w:val="none"/>
                <w14:textFill>
                  <w14:solidFill>
                    <w14:schemeClr w14:val="tx1"/>
                  </w14:solidFill>
                </w14:textFill>
              </w:rPr>
              <w:t xml:space="preserve"> 项目废水监测计划及记录信息表</w:t>
            </w:r>
          </w:p>
          <w:tbl>
            <w:tblPr>
              <w:tblStyle w:val="32"/>
              <w:tblW w:w="4997" w:type="pct"/>
              <w:tblInd w:w="0" w:type="dxa"/>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56"/>
              <w:gridCol w:w="1002"/>
              <w:gridCol w:w="1525"/>
              <w:gridCol w:w="1002"/>
              <w:gridCol w:w="978"/>
              <w:gridCol w:w="1512"/>
              <w:gridCol w:w="892"/>
              <w:gridCol w:w="914"/>
              <w:gridCol w:w="1189"/>
              <w:gridCol w:w="1237"/>
              <w:gridCol w:w="2439"/>
            </w:tblGrid>
            <w:tr w14:paraId="16CE6321">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46" w:type="pct"/>
                  <w:tcBorders>
                    <w:top w:val="single" w:color="auto" w:sz="12" w:space="0"/>
                  </w:tcBorders>
                  <w:noWrap w:val="0"/>
                  <w:vAlign w:val="center"/>
                </w:tcPr>
                <w:p w14:paraId="5FD6C5E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序号</w:t>
                  </w:r>
                </w:p>
              </w:tc>
              <w:tc>
                <w:tcPr>
                  <w:tcW w:w="375" w:type="pct"/>
                  <w:tcBorders>
                    <w:top w:val="single" w:color="auto" w:sz="12" w:space="0"/>
                  </w:tcBorders>
                  <w:noWrap w:val="0"/>
                  <w:vAlign w:val="center"/>
                </w:tcPr>
                <w:p w14:paraId="00A19BD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排放口编号</w:t>
                  </w:r>
                </w:p>
              </w:tc>
              <w:tc>
                <w:tcPr>
                  <w:tcW w:w="571" w:type="pct"/>
                  <w:tcBorders>
                    <w:top w:val="single" w:color="auto" w:sz="12" w:space="0"/>
                  </w:tcBorders>
                  <w:noWrap w:val="0"/>
                  <w:vAlign w:val="center"/>
                </w:tcPr>
                <w:p w14:paraId="6E4D66A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污染物</w:t>
                  </w:r>
                </w:p>
                <w:p w14:paraId="635CBA9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名称</w:t>
                  </w:r>
                </w:p>
              </w:tc>
              <w:tc>
                <w:tcPr>
                  <w:tcW w:w="375" w:type="pct"/>
                  <w:tcBorders>
                    <w:top w:val="single" w:color="auto" w:sz="12" w:space="0"/>
                  </w:tcBorders>
                  <w:noWrap w:val="0"/>
                  <w:vAlign w:val="center"/>
                </w:tcPr>
                <w:p w14:paraId="3CB8DC47">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监测设施</w:t>
                  </w:r>
                </w:p>
              </w:tc>
              <w:tc>
                <w:tcPr>
                  <w:tcW w:w="366" w:type="pct"/>
                  <w:tcBorders>
                    <w:top w:val="single" w:color="auto" w:sz="12" w:space="0"/>
                  </w:tcBorders>
                  <w:noWrap w:val="0"/>
                  <w:vAlign w:val="center"/>
                </w:tcPr>
                <w:p w14:paraId="62B5E35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自动监测设施安装位置</w:t>
                  </w:r>
                </w:p>
              </w:tc>
              <w:tc>
                <w:tcPr>
                  <w:tcW w:w="566" w:type="pct"/>
                  <w:tcBorders>
                    <w:top w:val="single" w:color="auto" w:sz="12" w:space="0"/>
                  </w:tcBorders>
                  <w:noWrap w:val="0"/>
                  <w:vAlign w:val="center"/>
                </w:tcPr>
                <w:p w14:paraId="02B17AA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自动监测设施的安装、运行、维护等相关管理要求</w:t>
                  </w:r>
                </w:p>
              </w:tc>
              <w:tc>
                <w:tcPr>
                  <w:tcW w:w="334" w:type="pct"/>
                  <w:tcBorders>
                    <w:top w:val="single" w:color="auto" w:sz="12" w:space="0"/>
                  </w:tcBorders>
                  <w:noWrap w:val="0"/>
                  <w:vAlign w:val="center"/>
                </w:tcPr>
                <w:p w14:paraId="48B7373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自动监测是否联网</w:t>
                  </w:r>
                </w:p>
              </w:tc>
              <w:tc>
                <w:tcPr>
                  <w:tcW w:w="342" w:type="pct"/>
                  <w:tcBorders>
                    <w:top w:val="single" w:color="auto" w:sz="12" w:space="0"/>
                  </w:tcBorders>
                  <w:noWrap w:val="0"/>
                  <w:vAlign w:val="center"/>
                </w:tcPr>
                <w:p w14:paraId="401DDDE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自动监测仪器名称</w:t>
                  </w:r>
                </w:p>
              </w:tc>
              <w:tc>
                <w:tcPr>
                  <w:tcW w:w="445" w:type="pct"/>
                  <w:tcBorders>
                    <w:top w:val="single" w:color="auto" w:sz="12" w:space="0"/>
                  </w:tcBorders>
                  <w:noWrap w:val="0"/>
                  <w:vAlign w:val="center"/>
                </w:tcPr>
                <w:p w14:paraId="6F0920F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手工监测采样方法及个数</w:t>
                  </w:r>
                </w:p>
              </w:tc>
              <w:tc>
                <w:tcPr>
                  <w:tcW w:w="463" w:type="pct"/>
                  <w:tcBorders>
                    <w:top w:val="single" w:color="auto" w:sz="12" w:space="0"/>
                  </w:tcBorders>
                  <w:noWrap w:val="0"/>
                  <w:vAlign w:val="center"/>
                </w:tcPr>
                <w:p w14:paraId="0CD344B3">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手工监测频次</w:t>
                  </w:r>
                </w:p>
              </w:tc>
              <w:tc>
                <w:tcPr>
                  <w:tcW w:w="913" w:type="pct"/>
                  <w:tcBorders>
                    <w:top w:val="single" w:color="auto" w:sz="12" w:space="0"/>
                  </w:tcBorders>
                  <w:noWrap w:val="0"/>
                  <w:vAlign w:val="center"/>
                </w:tcPr>
                <w:p w14:paraId="3BF9D49B">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手工测定方法</w:t>
                  </w:r>
                </w:p>
              </w:tc>
            </w:tr>
            <w:tr w14:paraId="5F0C5FA4">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46" w:type="pct"/>
                  <w:vMerge w:val="restart"/>
                  <w:noWrap w:val="0"/>
                  <w:vAlign w:val="center"/>
                </w:tcPr>
                <w:p w14:paraId="343BF84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w:t>
                  </w:r>
                </w:p>
              </w:tc>
              <w:tc>
                <w:tcPr>
                  <w:tcW w:w="375" w:type="pct"/>
                  <w:vMerge w:val="restart"/>
                  <w:noWrap w:val="0"/>
                  <w:vAlign w:val="center"/>
                </w:tcPr>
                <w:p w14:paraId="6C29623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废水总排口</w:t>
                  </w:r>
                </w:p>
              </w:tc>
              <w:tc>
                <w:tcPr>
                  <w:tcW w:w="571" w:type="pct"/>
                  <w:noWrap w:val="0"/>
                  <w:vAlign w:val="center"/>
                </w:tcPr>
                <w:p w14:paraId="05ED77A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pH</w:t>
                  </w:r>
                </w:p>
              </w:tc>
              <w:tc>
                <w:tcPr>
                  <w:tcW w:w="375" w:type="pct"/>
                  <w:vMerge w:val="restart"/>
                  <w:noWrap w:val="0"/>
                  <w:vAlign w:val="center"/>
                </w:tcPr>
                <w:p w14:paraId="44336DE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□自动</w:t>
                  </w:r>
                </w:p>
                <w:p w14:paraId="1FCA445D">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√手工</w:t>
                  </w:r>
                </w:p>
              </w:tc>
              <w:tc>
                <w:tcPr>
                  <w:tcW w:w="366" w:type="pct"/>
                  <w:vMerge w:val="restart"/>
                  <w:noWrap w:val="0"/>
                  <w:vAlign w:val="center"/>
                </w:tcPr>
                <w:p w14:paraId="3F9D0D90">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p>
              </w:tc>
              <w:tc>
                <w:tcPr>
                  <w:tcW w:w="566" w:type="pct"/>
                  <w:vMerge w:val="restart"/>
                  <w:noWrap w:val="0"/>
                  <w:vAlign w:val="center"/>
                </w:tcPr>
                <w:p w14:paraId="110398D7">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p>
              </w:tc>
              <w:tc>
                <w:tcPr>
                  <w:tcW w:w="334" w:type="pct"/>
                  <w:vMerge w:val="restart"/>
                  <w:noWrap w:val="0"/>
                  <w:vAlign w:val="center"/>
                </w:tcPr>
                <w:p w14:paraId="163E30C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p>
              </w:tc>
              <w:tc>
                <w:tcPr>
                  <w:tcW w:w="342" w:type="pct"/>
                  <w:vMerge w:val="restart"/>
                  <w:noWrap w:val="0"/>
                  <w:vAlign w:val="center"/>
                </w:tcPr>
                <w:p w14:paraId="1A16991A">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p>
              </w:tc>
              <w:tc>
                <w:tcPr>
                  <w:tcW w:w="445" w:type="pct"/>
                  <w:vMerge w:val="restart"/>
                  <w:noWrap w:val="0"/>
                  <w:vAlign w:val="center"/>
                </w:tcPr>
                <w:p w14:paraId="43ABEBF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每次1日，每日取样4次</w:t>
                  </w:r>
                </w:p>
              </w:tc>
              <w:tc>
                <w:tcPr>
                  <w:tcW w:w="463" w:type="pct"/>
                  <w:vMerge w:val="restart"/>
                  <w:noWrap w:val="0"/>
                  <w:vAlign w:val="center"/>
                </w:tcPr>
                <w:p w14:paraId="6A043D0A">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1次/季度（接管前）/1次/年（接管后）</w:t>
                  </w:r>
                </w:p>
              </w:tc>
              <w:tc>
                <w:tcPr>
                  <w:tcW w:w="913" w:type="pct"/>
                  <w:noWrap w:val="0"/>
                  <w:vAlign w:val="center"/>
                </w:tcPr>
                <w:p w14:paraId="4FD5AB3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 xml:space="preserve">GB 6920-1986 </w:t>
                  </w:r>
                </w:p>
              </w:tc>
            </w:tr>
            <w:tr w14:paraId="0BB8ED8B">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9" w:hRule="atLeast"/>
              </w:trPr>
              <w:tc>
                <w:tcPr>
                  <w:tcW w:w="246" w:type="pct"/>
                  <w:vMerge w:val="continue"/>
                  <w:noWrap w:val="0"/>
                  <w:vAlign w:val="center"/>
                </w:tcPr>
                <w:p w14:paraId="0D9B271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noWrap w:val="0"/>
                  <w:vAlign w:val="center"/>
                </w:tcPr>
                <w:p w14:paraId="72C6A54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noWrap w:val="0"/>
                  <w:vAlign w:val="center"/>
                </w:tcPr>
                <w:p w14:paraId="439E1A6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CODcr</w:t>
                  </w:r>
                </w:p>
              </w:tc>
              <w:tc>
                <w:tcPr>
                  <w:tcW w:w="375" w:type="pct"/>
                  <w:vMerge w:val="continue"/>
                  <w:noWrap w:val="0"/>
                  <w:vAlign w:val="center"/>
                </w:tcPr>
                <w:p w14:paraId="38421E57">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noWrap w:val="0"/>
                  <w:vAlign w:val="center"/>
                </w:tcPr>
                <w:p w14:paraId="0E6EEB0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noWrap w:val="0"/>
                  <w:vAlign w:val="center"/>
                </w:tcPr>
                <w:p w14:paraId="27822F6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noWrap w:val="0"/>
                  <w:vAlign w:val="center"/>
                </w:tcPr>
                <w:p w14:paraId="357637B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noWrap w:val="0"/>
                  <w:vAlign w:val="center"/>
                </w:tcPr>
                <w:p w14:paraId="0CC5EED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noWrap w:val="0"/>
                  <w:vAlign w:val="center"/>
                </w:tcPr>
                <w:p w14:paraId="1766EC2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noWrap w:val="0"/>
                  <w:vAlign w:val="center"/>
                </w:tcPr>
                <w:p w14:paraId="7AB1E805">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noWrap w:val="0"/>
                  <w:vAlign w:val="center"/>
                </w:tcPr>
                <w:p w14:paraId="30FDD9E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HJ828-2017</w:t>
                  </w:r>
                </w:p>
              </w:tc>
            </w:tr>
            <w:tr w14:paraId="3FE10E3D">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46" w:type="pct"/>
                  <w:vMerge w:val="continue"/>
                  <w:noWrap w:val="0"/>
                  <w:vAlign w:val="center"/>
                </w:tcPr>
                <w:p w14:paraId="47FE35A3">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noWrap w:val="0"/>
                  <w:vAlign w:val="center"/>
                </w:tcPr>
                <w:p w14:paraId="2799300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noWrap w:val="0"/>
                  <w:vAlign w:val="center"/>
                </w:tcPr>
                <w:p w14:paraId="61045F8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BOD</w:t>
                  </w:r>
                  <w:r>
                    <w:rPr>
                      <w:rFonts w:hint="default" w:ascii="Times New Roman" w:hAnsi="Times New Roman" w:cs="Times New Roman"/>
                      <w:color w:val="000000" w:themeColor="text1"/>
                      <w:highlight w:val="none"/>
                      <w:vertAlign w:val="subscript"/>
                      <w14:textFill>
                        <w14:solidFill>
                          <w14:schemeClr w14:val="tx1"/>
                        </w14:solidFill>
                      </w14:textFill>
                    </w:rPr>
                    <w:t>5</w:t>
                  </w:r>
                </w:p>
              </w:tc>
              <w:tc>
                <w:tcPr>
                  <w:tcW w:w="375" w:type="pct"/>
                  <w:vMerge w:val="continue"/>
                  <w:noWrap w:val="0"/>
                  <w:vAlign w:val="center"/>
                </w:tcPr>
                <w:p w14:paraId="6C838E9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noWrap w:val="0"/>
                  <w:vAlign w:val="center"/>
                </w:tcPr>
                <w:p w14:paraId="5916B5A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noWrap w:val="0"/>
                  <w:vAlign w:val="center"/>
                </w:tcPr>
                <w:p w14:paraId="7368D07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noWrap w:val="0"/>
                  <w:vAlign w:val="center"/>
                </w:tcPr>
                <w:p w14:paraId="4124E81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noWrap w:val="0"/>
                  <w:vAlign w:val="center"/>
                </w:tcPr>
                <w:p w14:paraId="4B91601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noWrap w:val="0"/>
                  <w:vAlign w:val="center"/>
                </w:tcPr>
                <w:p w14:paraId="438A6DB0">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noWrap w:val="0"/>
                  <w:vAlign w:val="center"/>
                </w:tcPr>
                <w:p w14:paraId="217124A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noWrap w:val="0"/>
                  <w:vAlign w:val="center"/>
                </w:tcPr>
                <w:p w14:paraId="6E387E6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HJ505-2009</w:t>
                  </w:r>
                </w:p>
              </w:tc>
            </w:tr>
            <w:tr w14:paraId="3412AADA">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46" w:type="pct"/>
                  <w:vMerge w:val="continue"/>
                  <w:noWrap w:val="0"/>
                  <w:vAlign w:val="center"/>
                </w:tcPr>
                <w:p w14:paraId="5A4A86A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noWrap w:val="0"/>
                  <w:vAlign w:val="center"/>
                </w:tcPr>
                <w:p w14:paraId="230BBE20">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noWrap w:val="0"/>
                  <w:vAlign w:val="center"/>
                </w:tcPr>
                <w:p w14:paraId="1A26A32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SS</w:t>
                  </w:r>
                </w:p>
              </w:tc>
              <w:tc>
                <w:tcPr>
                  <w:tcW w:w="375" w:type="pct"/>
                  <w:vMerge w:val="continue"/>
                  <w:noWrap w:val="0"/>
                  <w:vAlign w:val="center"/>
                </w:tcPr>
                <w:p w14:paraId="55AC86B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noWrap w:val="0"/>
                  <w:vAlign w:val="center"/>
                </w:tcPr>
                <w:p w14:paraId="23FFC81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noWrap w:val="0"/>
                  <w:vAlign w:val="center"/>
                </w:tcPr>
                <w:p w14:paraId="1934BF6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noWrap w:val="0"/>
                  <w:vAlign w:val="center"/>
                </w:tcPr>
                <w:p w14:paraId="6655DD0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noWrap w:val="0"/>
                  <w:vAlign w:val="center"/>
                </w:tcPr>
                <w:p w14:paraId="5507EDA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noWrap w:val="0"/>
                  <w:vAlign w:val="center"/>
                </w:tcPr>
                <w:p w14:paraId="601E2DC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noWrap w:val="0"/>
                  <w:vAlign w:val="center"/>
                </w:tcPr>
                <w:p w14:paraId="1359718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noWrap w:val="0"/>
                  <w:vAlign w:val="center"/>
                </w:tcPr>
                <w:p w14:paraId="73B26BE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GB/T11901-1989</w:t>
                  </w:r>
                </w:p>
              </w:tc>
            </w:tr>
            <w:tr w14:paraId="03EEBE66">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46" w:type="pct"/>
                  <w:vMerge w:val="continue"/>
                  <w:noWrap w:val="0"/>
                  <w:vAlign w:val="center"/>
                </w:tcPr>
                <w:p w14:paraId="67B52C9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noWrap w:val="0"/>
                  <w:vAlign w:val="center"/>
                </w:tcPr>
                <w:p w14:paraId="221C5DB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noWrap w:val="0"/>
                  <w:vAlign w:val="center"/>
                </w:tcPr>
                <w:p w14:paraId="5022357C">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NH</w:t>
                  </w:r>
                  <w:r>
                    <w:rPr>
                      <w:rFonts w:hint="default" w:ascii="Times New Roman" w:hAnsi="Times New Roman" w:cs="Times New Roman"/>
                      <w:color w:val="000000" w:themeColor="text1"/>
                      <w:highlight w:val="none"/>
                      <w:vertAlign w:val="sub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-N</w:t>
                  </w:r>
                </w:p>
              </w:tc>
              <w:tc>
                <w:tcPr>
                  <w:tcW w:w="375" w:type="pct"/>
                  <w:vMerge w:val="continue"/>
                  <w:noWrap w:val="0"/>
                  <w:vAlign w:val="center"/>
                </w:tcPr>
                <w:p w14:paraId="1B6B3F1A">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noWrap w:val="0"/>
                  <w:vAlign w:val="center"/>
                </w:tcPr>
                <w:p w14:paraId="2C9EB43B">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noWrap w:val="0"/>
                  <w:vAlign w:val="center"/>
                </w:tcPr>
                <w:p w14:paraId="05DDC9AA">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noWrap w:val="0"/>
                  <w:vAlign w:val="center"/>
                </w:tcPr>
                <w:p w14:paraId="421BB53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noWrap w:val="0"/>
                  <w:vAlign w:val="center"/>
                </w:tcPr>
                <w:p w14:paraId="0661173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noWrap w:val="0"/>
                  <w:vAlign w:val="center"/>
                </w:tcPr>
                <w:p w14:paraId="3EB97EAB">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noWrap w:val="0"/>
                  <w:vAlign w:val="center"/>
                </w:tcPr>
                <w:p w14:paraId="6076118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noWrap w:val="0"/>
                  <w:vAlign w:val="center"/>
                </w:tcPr>
                <w:p w14:paraId="6E84047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HJ535-2009</w:t>
                  </w:r>
                </w:p>
              </w:tc>
            </w:tr>
            <w:tr w14:paraId="08A97B1D">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46" w:type="pct"/>
                  <w:vMerge w:val="continue"/>
                  <w:noWrap w:val="0"/>
                  <w:vAlign w:val="center"/>
                </w:tcPr>
                <w:p w14:paraId="7FF28C13">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noWrap w:val="0"/>
                  <w:vAlign w:val="center"/>
                </w:tcPr>
                <w:p w14:paraId="573519D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noWrap w:val="0"/>
                  <w:vAlign w:val="center"/>
                </w:tcPr>
                <w:p w14:paraId="7DC353C7">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TP</w:t>
                  </w:r>
                </w:p>
              </w:tc>
              <w:tc>
                <w:tcPr>
                  <w:tcW w:w="375" w:type="pct"/>
                  <w:vMerge w:val="continue"/>
                  <w:noWrap w:val="0"/>
                  <w:vAlign w:val="center"/>
                </w:tcPr>
                <w:p w14:paraId="70608B7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noWrap w:val="0"/>
                  <w:vAlign w:val="center"/>
                </w:tcPr>
                <w:p w14:paraId="0BFB6C9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noWrap w:val="0"/>
                  <w:vAlign w:val="center"/>
                </w:tcPr>
                <w:p w14:paraId="5EF20DF0">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noWrap w:val="0"/>
                  <w:vAlign w:val="center"/>
                </w:tcPr>
                <w:p w14:paraId="1B08936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noWrap w:val="0"/>
                  <w:vAlign w:val="center"/>
                </w:tcPr>
                <w:p w14:paraId="57C089EE">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noWrap w:val="0"/>
                  <w:vAlign w:val="center"/>
                </w:tcPr>
                <w:p w14:paraId="579473FA">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noWrap w:val="0"/>
                  <w:vAlign w:val="center"/>
                </w:tcPr>
                <w:p w14:paraId="40BD1228">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noWrap w:val="0"/>
                  <w:vAlign w:val="center"/>
                </w:tcPr>
                <w:p w14:paraId="58BD35E4">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GB 11893-89</w:t>
                  </w:r>
                </w:p>
              </w:tc>
            </w:tr>
            <w:tr w14:paraId="5A0205F5">
              <w:tblPrEx>
                <w:tblBorders>
                  <w:top w:val="thinThickSmallGap" w:color="auto" w:sz="12" w:space="0"/>
                  <w:left w:val="none" w:color="auto" w:sz="0" w:space="0"/>
                  <w:bottom w:val="thinThickSmallGap"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246" w:type="pct"/>
                  <w:vMerge w:val="continue"/>
                  <w:tcBorders>
                    <w:bottom w:val="single" w:color="auto" w:sz="12" w:space="0"/>
                  </w:tcBorders>
                  <w:noWrap w:val="0"/>
                  <w:vAlign w:val="center"/>
                </w:tcPr>
                <w:p w14:paraId="09203ED1">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75" w:type="pct"/>
                  <w:vMerge w:val="continue"/>
                  <w:tcBorders>
                    <w:bottom w:val="single" w:color="auto" w:sz="12" w:space="0"/>
                  </w:tcBorders>
                  <w:noWrap w:val="0"/>
                  <w:vAlign w:val="center"/>
                </w:tcPr>
                <w:p w14:paraId="5476510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71" w:type="pct"/>
                  <w:tcBorders>
                    <w:bottom w:val="single" w:color="auto" w:sz="12" w:space="0"/>
                  </w:tcBorders>
                  <w:noWrap w:val="0"/>
                  <w:vAlign w:val="center"/>
                </w:tcPr>
                <w:p w14:paraId="781AEE87">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动植物油</w:t>
                  </w:r>
                </w:p>
              </w:tc>
              <w:tc>
                <w:tcPr>
                  <w:tcW w:w="375" w:type="pct"/>
                  <w:vMerge w:val="continue"/>
                  <w:tcBorders>
                    <w:bottom w:val="single" w:color="auto" w:sz="12" w:space="0"/>
                  </w:tcBorders>
                  <w:noWrap w:val="0"/>
                  <w:vAlign w:val="center"/>
                </w:tcPr>
                <w:p w14:paraId="3D1E1EB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66" w:type="pct"/>
                  <w:vMerge w:val="continue"/>
                  <w:tcBorders>
                    <w:bottom w:val="single" w:color="auto" w:sz="12" w:space="0"/>
                  </w:tcBorders>
                  <w:noWrap w:val="0"/>
                  <w:vAlign w:val="center"/>
                </w:tcPr>
                <w:p w14:paraId="217C1989">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566" w:type="pct"/>
                  <w:vMerge w:val="continue"/>
                  <w:tcBorders>
                    <w:bottom w:val="single" w:color="auto" w:sz="12" w:space="0"/>
                  </w:tcBorders>
                  <w:noWrap w:val="0"/>
                  <w:vAlign w:val="center"/>
                </w:tcPr>
                <w:p w14:paraId="394F43C5">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34" w:type="pct"/>
                  <w:vMerge w:val="continue"/>
                  <w:tcBorders>
                    <w:bottom w:val="single" w:color="auto" w:sz="12" w:space="0"/>
                  </w:tcBorders>
                  <w:noWrap w:val="0"/>
                  <w:vAlign w:val="center"/>
                </w:tcPr>
                <w:p w14:paraId="195B88D0">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42" w:type="pct"/>
                  <w:vMerge w:val="continue"/>
                  <w:tcBorders>
                    <w:bottom w:val="single" w:color="auto" w:sz="12" w:space="0"/>
                  </w:tcBorders>
                  <w:noWrap w:val="0"/>
                  <w:vAlign w:val="center"/>
                </w:tcPr>
                <w:p w14:paraId="01CF91DD">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45" w:type="pct"/>
                  <w:vMerge w:val="continue"/>
                  <w:tcBorders>
                    <w:bottom w:val="single" w:color="auto" w:sz="12" w:space="0"/>
                  </w:tcBorders>
                  <w:noWrap w:val="0"/>
                  <w:vAlign w:val="center"/>
                </w:tcPr>
                <w:p w14:paraId="17BC8592">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463" w:type="pct"/>
                  <w:vMerge w:val="continue"/>
                  <w:tcBorders>
                    <w:bottom w:val="single" w:color="auto" w:sz="12" w:space="0"/>
                  </w:tcBorders>
                  <w:noWrap w:val="0"/>
                  <w:vAlign w:val="center"/>
                </w:tcPr>
                <w:p w14:paraId="08BA4F7F">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913" w:type="pct"/>
                  <w:tcBorders>
                    <w:bottom w:val="single" w:color="auto" w:sz="12" w:space="0"/>
                  </w:tcBorders>
                  <w:noWrap w:val="0"/>
                  <w:vAlign w:val="center"/>
                </w:tcPr>
                <w:p w14:paraId="0500AFA6">
                  <w:pPr>
                    <w:pStyle w:val="124"/>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HJ 637-2018</w:t>
                  </w:r>
                </w:p>
              </w:tc>
            </w:tr>
          </w:tbl>
          <w:p w14:paraId="605EB9D8">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4、废水环境影响分析</w:t>
            </w:r>
          </w:p>
          <w:p w14:paraId="573079B1">
            <w:pPr>
              <w:pStyle w:val="17"/>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（1）近期</w:t>
            </w:r>
          </w:p>
          <w:p w14:paraId="4B9E42E5">
            <w:pPr>
              <w:pStyle w:val="17"/>
              <w:shd w:val="clear" w:color="auto" w:fill="auto"/>
              <w:ind w:firstLine="480"/>
              <w:jc w:val="both"/>
              <w:rPr>
                <w:rFonts w:hint="default" w:ascii="Times New Roman" w:hAnsi="Times New Roman" w:cs="Times New Roman"/>
                <w:color w:val="000000" w:themeColor="text1"/>
                <w:szCs w:val="22"/>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项目营运期员工活动产生的生活污水，主要污染因子为pH、COD</w:t>
            </w:r>
            <w:r>
              <w:rPr>
                <w:rFonts w:hint="default" w:ascii="Times New Roman" w:hAnsi="Times New Roman" w:cs="Times New Roman"/>
                <w:color w:val="000000" w:themeColor="text1"/>
                <w:szCs w:val="24"/>
                <w:highlight w:val="none"/>
                <w:vertAlign w:val="subscript"/>
                <w14:textFill>
                  <w14:solidFill>
                    <w14:schemeClr w14:val="tx1"/>
                  </w14:solidFill>
                </w14:textFill>
              </w:rPr>
              <w:t>Cr</w:t>
            </w:r>
            <w:r>
              <w:rPr>
                <w:rFonts w:hint="default" w:ascii="Times New Roman" w:hAnsi="Times New Roman" w:cs="Times New Roman"/>
                <w:color w:val="000000" w:themeColor="text1"/>
                <w:highlight w:val="none"/>
                <w14:textFill>
                  <w14:solidFill>
                    <w14:schemeClr w14:val="tx1"/>
                  </w14:solidFill>
                </w14:textFill>
              </w:rPr>
              <w:t>、BOD</w:t>
            </w:r>
            <w:r>
              <w:rPr>
                <w:rFonts w:hint="default" w:ascii="Times New Roman" w:hAnsi="Times New Roman" w:cs="Times New Roman"/>
                <w:color w:val="000000" w:themeColor="text1"/>
                <w:highlight w:val="none"/>
                <w:vertAlign w:val="subscript"/>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、SS、NH</w:t>
            </w:r>
            <w:r>
              <w:rPr>
                <w:rFonts w:hint="default" w:ascii="Times New Roman" w:hAnsi="Times New Roman" w:cs="Times New Roman"/>
                <w:color w:val="000000" w:themeColor="text1"/>
                <w:highlight w:val="none"/>
                <w:vertAlign w:val="sub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-N、TP、TN、动植物油，</w:t>
            </w:r>
            <w:r>
              <w:rPr>
                <w:rFonts w:hint="default" w:ascii="Times New Roman" w:hAnsi="Times New Roman" w:cs="Times New Roman"/>
                <w:color w:val="000000" w:themeColor="text1"/>
                <w:szCs w:val="24"/>
                <w:highlight w:val="none"/>
                <w14:textFill>
                  <w14:solidFill>
                    <w14:schemeClr w14:val="tx1"/>
                  </w14:solidFill>
                </w14:textFill>
              </w:rPr>
              <w:t>废水产生量较少，</w:t>
            </w:r>
            <w:r>
              <w:rPr>
                <w:rFonts w:hint="default" w:ascii="Times New Roman" w:hAnsi="Times New Roman" w:cs="Times New Roman"/>
                <w:color w:val="000000" w:themeColor="text1"/>
                <w:highlight w:val="none"/>
                <w14:textFill>
                  <w14:solidFill>
                    <w14:schemeClr w14:val="tx1"/>
                  </w14:solidFill>
                </w14:textFill>
              </w:rPr>
              <w:t>生活污水经化粪池处理后进入一体化污水处理设施</w:t>
            </w:r>
            <w:r>
              <w:rPr>
                <w:rFonts w:hint="default" w:ascii="Times New Roman" w:hAnsi="Times New Roman" w:cs="Times New Roman"/>
                <w:color w:val="000000" w:themeColor="text1"/>
                <w:szCs w:val="22"/>
                <w:highlight w:val="none"/>
                <w14:textFill>
                  <w14:solidFill>
                    <w14:schemeClr w14:val="tx1"/>
                  </w14:solidFill>
                </w14:textFill>
              </w:rPr>
              <w:t>（</w:t>
            </w:r>
            <w:r>
              <w:rPr>
                <w:rFonts w:hint="default" w:ascii="Times New Roman" w:hAnsi="Times New Roman" w:cs="Times New Roman"/>
                <w:color w:val="000000" w:themeColor="text1"/>
                <w:highlight w:val="none"/>
                <w:lang w:bidi="ar"/>
                <w14:textFill>
                  <w14:solidFill>
                    <w14:schemeClr w14:val="tx1"/>
                  </w14:solidFill>
                </w14:textFill>
              </w:rPr>
              <w:t>A/O生物处理工艺</w:t>
            </w:r>
            <w:r>
              <w:rPr>
                <w:rFonts w:hint="default" w:ascii="Times New Roman" w:hAnsi="Times New Roman" w:cs="Times New Roman"/>
                <w:color w:val="000000" w:themeColor="text1"/>
                <w:szCs w:val="22"/>
                <w:highlight w:val="none"/>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处理能达到《污水综合排放标准》（GB8978-1996）表4中一级标准</w:t>
            </w:r>
            <w:r>
              <w:rPr>
                <w:rFonts w:hint="default" w:ascii="Times New Roman" w:hAnsi="Times New Roman" w:cs="Times New Roman"/>
                <w:color w:val="000000" w:themeColor="text1"/>
                <w:szCs w:val="22"/>
                <w:highlight w:val="none"/>
                <w14:textFill>
                  <w14:solidFill>
                    <w14:schemeClr w14:val="tx1"/>
                  </w14:solidFill>
                </w14:textFill>
              </w:rPr>
              <w:t>。</w:t>
            </w:r>
          </w:p>
          <w:p w14:paraId="6E4CAFDE">
            <w:pPr>
              <w:pStyle w:val="17"/>
              <w:shd w:val="clear" w:color="auto" w:fill="auto"/>
              <w:ind w:firstLine="480"/>
              <w:jc w:val="both"/>
              <w:rPr>
                <w:rFonts w:hint="default" w:ascii="Times New Roman" w:hAnsi="Times New Roman" w:cs="Times New Roman"/>
                <w:color w:val="000000" w:themeColor="text1"/>
                <w:szCs w:val="22"/>
                <w:highlight w:val="none"/>
                <w14:textFill>
                  <w14:solidFill>
                    <w14:schemeClr w14:val="tx1"/>
                  </w14:solidFill>
                </w14:textFill>
              </w:rPr>
            </w:pPr>
            <w:r>
              <w:rPr>
                <w:rFonts w:hint="default" w:ascii="Times New Roman" w:hAnsi="Times New Roman" w:cs="Times New Roman"/>
                <w:color w:val="000000" w:themeColor="text1"/>
                <w:szCs w:val="22"/>
                <w:highlight w:val="none"/>
                <w14:textFill>
                  <w14:solidFill>
                    <w14:schemeClr w14:val="tx1"/>
                  </w14:solidFill>
                </w14:textFill>
              </w:rPr>
              <w:t>（2）远期</w:t>
            </w:r>
          </w:p>
          <w:p w14:paraId="6C24FD96">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根据规划环评，金山污水处理厂初步选址位于吴乐线和金环路西南侧，近期（2025年）设计规模1万t/d，尾水排放执行《城镇污水处理厂污染物排放标准》（GB18918-2002）一级A标准。本项目生活污水废水量为</w:t>
            </w:r>
            <w:r>
              <w:rPr>
                <w:rFonts w:hint="eastAsia" w:ascii="Times New Roman" w:hAnsi="Times New Roman" w:cs="Times New Roman"/>
                <w:color w:val="000000" w:themeColor="text1"/>
                <w:highlight w:val="none"/>
                <w:lang w:val="en-US" w:eastAsia="zh-CN"/>
                <w14:textFill>
                  <w14:solidFill>
                    <w14:schemeClr w14:val="tx1"/>
                  </w14:solidFill>
                </w14:textFill>
              </w:rPr>
              <w:t>4.8</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/d，仅占该污水处理厂近期（2011-2030年）污水处理规模的0.0</w:t>
            </w:r>
            <w:r>
              <w:rPr>
                <w:rFonts w:hint="eastAsia" w:ascii="Times New Roman" w:hAnsi="Times New Roman" w:cs="Times New Roman"/>
                <w:color w:val="000000" w:themeColor="text1"/>
                <w:highlight w:val="none"/>
                <w:lang w:val="en-US" w:eastAsia="zh-CN"/>
                <w14:textFill>
                  <w14:solidFill>
                    <w14:schemeClr w14:val="tx1"/>
                  </w14:solidFill>
                </w14:textFill>
              </w:rPr>
              <w:t>48</w:t>
            </w:r>
            <w:r>
              <w:rPr>
                <w:rFonts w:hint="default" w:ascii="Times New Roman" w:hAnsi="Times New Roman" w:cs="Times New Roman"/>
                <w:color w:val="000000" w:themeColor="text1"/>
                <w:highlight w:val="none"/>
                <w14:textFill>
                  <w14:solidFill>
                    <w14:schemeClr w14:val="tx1"/>
                  </w14:solidFill>
                </w14:textFill>
              </w:rPr>
              <w:t>%，金山污水处理厂完全有能力容纳项目废水。</w:t>
            </w:r>
          </w:p>
          <w:p w14:paraId="3AB23C21">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目前相关工程正在规划设计阶段，暂未选址。</w:t>
            </w:r>
          </w:p>
          <w:p w14:paraId="07792641">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①从水质角度分析</w:t>
            </w:r>
          </w:p>
          <w:p w14:paraId="3233BF54">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本项目纳管排放的废水为生活污水，主要为污染物为COD</w:t>
            </w:r>
            <w:r>
              <w:rPr>
                <w:rFonts w:hint="default" w:ascii="Times New Roman" w:hAnsi="Times New Roman" w:cs="Times New Roman"/>
                <w:color w:val="000000" w:themeColor="text1"/>
                <w:highlight w:val="none"/>
                <w:vertAlign w:val="subscript"/>
                <w14:textFill>
                  <w14:solidFill>
                    <w14:schemeClr w14:val="tx1"/>
                  </w14:solidFill>
                </w14:textFill>
              </w:rPr>
              <w:t>Cr</w:t>
            </w:r>
            <w:r>
              <w:rPr>
                <w:rFonts w:hint="default" w:ascii="Times New Roman" w:hAnsi="Times New Roman" w:cs="Times New Roman"/>
                <w:color w:val="000000" w:themeColor="text1"/>
                <w:highlight w:val="none"/>
                <w14:textFill>
                  <w14:solidFill>
                    <w14:schemeClr w14:val="tx1"/>
                  </w14:solidFill>
                </w14:textFill>
              </w:rPr>
              <w:t>、BOD</w:t>
            </w:r>
            <w:r>
              <w:rPr>
                <w:rFonts w:hint="default" w:ascii="Times New Roman" w:hAnsi="Times New Roman" w:cs="Times New Roman"/>
                <w:color w:val="000000" w:themeColor="text1"/>
                <w:highlight w:val="none"/>
                <w:vertAlign w:val="subscript"/>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、SS、NH</w:t>
            </w:r>
            <w:r>
              <w:rPr>
                <w:rFonts w:hint="default" w:ascii="Times New Roman" w:hAnsi="Times New Roman" w:cs="Times New Roman"/>
                <w:color w:val="000000" w:themeColor="text1"/>
                <w:highlight w:val="none"/>
                <w:vertAlign w:val="subscript"/>
                <w14:textFill>
                  <w14:solidFill>
                    <w14:schemeClr w14:val="tx1"/>
                  </w14:solidFill>
                </w14:textFill>
              </w:rPr>
              <w:t>3</w:t>
            </w:r>
            <w:r>
              <w:rPr>
                <w:rFonts w:hint="default" w:ascii="Times New Roman" w:hAnsi="Times New Roman" w:cs="Times New Roman"/>
                <w:color w:val="000000" w:themeColor="text1"/>
                <w:highlight w:val="none"/>
                <w14:textFill>
                  <w14:solidFill>
                    <w14:schemeClr w14:val="tx1"/>
                  </w14:solidFill>
                </w14:textFill>
              </w:rPr>
              <w:t>-N、TP，水质较简单，生活污水经化粪池预处理后能够满足金山工业园污水处理厂接管标准。因此，从水质角度分析，项目废水处置可行。</w:t>
            </w:r>
          </w:p>
          <w:p w14:paraId="4A1A2E19">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②从纳污管网角度分析</w:t>
            </w:r>
          </w:p>
          <w:p w14:paraId="66EDD89D">
            <w:pPr>
              <w:pStyle w:val="17"/>
              <w:shd w:val="clear" w:color="auto" w:fill="auto"/>
              <w:ind w:firstLine="480"/>
              <w:jc w:val="both"/>
              <w:rPr>
                <w:rFonts w:hint="default" w:ascii="Times New Roman" w:hAnsi="Times New Roman" w:cs="Times New Roman"/>
                <w:color w:val="000000" w:themeColor="text1"/>
                <w:szCs w:val="22"/>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项目位于景德镇市乐平市金山工业园内，项目所在区域污水管网正在修建，待项目投产时可覆盖至本项目区域，能够接纳本项目外排废水。因此，从纳污管网角度分析，本项目外排废水处置方式可行。</w:t>
            </w:r>
          </w:p>
          <w:p w14:paraId="54972226">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三、噪声</w:t>
            </w:r>
          </w:p>
          <w:p w14:paraId="39F7EBA0">
            <w:pPr>
              <w:shd w:val="clear" w:color="auto" w:fill="auto"/>
              <w:ind w:firstLine="482"/>
              <w:jc w:val="both"/>
              <w:rPr>
                <w:rFonts w:hint="default" w:ascii="Times New Roman" w:hAnsi="Times New Roman" w:cs="Times New Roman"/>
                <w:b/>
                <w:bCs/>
                <w:color w:val="000000" w:themeColor="text1"/>
                <w:szCs w:val="32"/>
                <w:highlight w:val="none"/>
                <w14:textFill>
                  <w14:solidFill>
                    <w14:schemeClr w14:val="tx1"/>
                  </w14:solidFill>
                </w14:textFill>
              </w:rPr>
            </w:pPr>
            <w:r>
              <w:rPr>
                <w:rFonts w:hint="default" w:ascii="Times New Roman" w:hAnsi="Times New Roman" w:cs="Times New Roman"/>
                <w:b/>
                <w:bCs/>
                <w:color w:val="000000" w:themeColor="text1"/>
                <w:szCs w:val="32"/>
                <w:highlight w:val="none"/>
                <w14:textFill>
                  <w14:solidFill>
                    <w14:schemeClr w14:val="tx1"/>
                  </w14:solidFill>
                </w14:textFill>
              </w:rPr>
              <w:t>1、源强</w:t>
            </w:r>
          </w:p>
          <w:p w14:paraId="1CE43455">
            <w:pPr>
              <w:pStyle w:val="127"/>
              <w:shd w:val="clear" w:color="auto" w:fill="auto"/>
              <w:adjustRightInd w:val="0"/>
              <w:snapToGrid w:val="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项目在运营过程中，噪声污染主要来源于中频炉、射芯机、抛丸机</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机加工、再生砂生产线</w:t>
            </w:r>
            <w:r>
              <w:rPr>
                <w:rFonts w:hint="default" w:ascii="Times New Roman" w:hAnsi="Times New Roman" w:cs="Times New Roman"/>
                <w:color w:val="000000" w:themeColor="text1"/>
                <w:highlight w:val="none"/>
                <w14:textFill>
                  <w14:solidFill>
                    <w14:schemeClr w14:val="tx1"/>
                  </w14:solidFill>
                </w14:textFill>
              </w:rPr>
              <w:t>等机械设备在运行时产生的噪声。其噪声强度约为70~90dB(A)。项目在生产中各设备噪声源强见表4-</w:t>
            </w:r>
            <w:r>
              <w:rPr>
                <w:rFonts w:hint="default" w:ascii="Times New Roman" w:hAnsi="Times New Roman" w:cs="Times New Roman"/>
                <w:color w:val="000000" w:themeColor="text1"/>
                <w:highlight w:val="none"/>
                <w:lang w:val="en-US" w:eastAsia="zh-CN"/>
                <w14:textFill>
                  <w14:solidFill>
                    <w14:schemeClr w14:val="tx1"/>
                  </w14:solidFill>
                </w14:textFill>
              </w:rPr>
              <w:t>4</w:t>
            </w:r>
            <w:r>
              <w:rPr>
                <w:rFonts w:hint="default" w:ascii="Times New Roman" w:hAnsi="Times New Roman" w:cs="Times New Roman"/>
                <w:color w:val="000000" w:themeColor="text1"/>
                <w:highlight w:val="none"/>
                <w14:textFill>
                  <w14:solidFill>
                    <w14:schemeClr w14:val="tx1"/>
                  </w14:solidFill>
                </w14:textFill>
              </w:rPr>
              <w:t>。</w:t>
            </w:r>
          </w:p>
          <w:p w14:paraId="77EB0608">
            <w:pPr>
              <w:pStyle w:val="9"/>
              <w:shd w:val="clear" w:color="auto" w:fill="auto"/>
              <w:rPr>
                <w:rFonts w:hint="eastAsia" w:cs="Times New Roman"/>
                <w:color w:val="000000" w:themeColor="text1"/>
                <w:sz w:val="24"/>
                <w:szCs w:val="24"/>
                <w:highlight w:val="none"/>
                <w:lang w:val="en-US" w:eastAsia="zh-CN"/>
                <w14:textFill>
                  <w14:solidFill>
                    <w14:schemeClr w14:val="tx1"/>
                  </w14:solidFill>
                </w14:textFill>
              </w:rPr>
            </w:pPr>
            <w:r>
              <w:rPr>
                <w:rFonts w:hint="eastAsia" w:cs="Times New Roman"/>
                <w:color w:val="000000" w:themeColor="text1"/>
                <w:sz w:val="24"/>
                <w:szCs w:val="24"/>
                <w:highlight w:val="none"/>
                <w:lang w:val="en-US" w:eastAsia="zh-CN"/>
                <w14:textFill>
                  <w14:solidFill>
                    <w14:schemeClr w14:val="tx1"/>
                  </w14:solidFill>
                </w14:textFill>
              </w:rPr>
              <w:t>表4-4 各生产设备噪声源源强表</w:t>
            </w:r>
          </w:p>
          <w:tbl>
            <w:tblPr>
              <w:tblStyle w:val="32"/>
              <w:tblW w:w="5000" w:type="pct"/>
              <w:jc w:val="center"/>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Layout w:type="fixed"/>
              <w:tblCellMar>
                <w:top w:w="0" w:type="dxa"/>
                <w:left w:w="108" w:type="dxa"/>
                <w:bottom w:w="0" w:type="dxa"/>
                <w:right w:w="108" w:type="dxa"/>
              </w:tblCellMar>
            </w:tblPr>
            <w:tblGrid>
              <w:gridCol w:w="901"/>
              <w:gridCol w:w="1335"/>
              <w:gridCol w:w="3180"/>
              <w:gridCol w:w="1110"/>
              <w:gridCol w:w="2025"/>
              <w:gridCol w:w="2190"/>
              <w:gridCol w:w="2613"/>
            </w:tblGrid>
            <w:tr w14:paraId="3AFBF32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6B3928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0"/>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序号</w:t>
                  </w:r>
                </w:p>
              </w:tc>
              <w:tc>
                <w:tcPr>
                  <w:tcW w:w="1335" w:type="dxa"/>
                  <w:tcBorders>
                    <w:tl2br w:val="nil"/>
                    <w:tr2bl w:val="nil"/>
                  </w:tcBorders>
                  <w:shd w:val="clear" w:color="auto" w:fill="auto"/>
                  <w:vAlign w:val="center"/>
                </w:tcPr>
                <w:p w14:paraId="265BC6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1"/>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生产工区</w:t>
                  </w:r>
                </w:p>
              </w:tc>
              <w:tc>
                <w:tcPr>
                  <w:tcW w:w="3180" w:type="dxa"/>
                  <w:tcBorders>
                    <w:tl2br w:val="nil"/>
                    <w:tr2bl w:val="nil"/>
                  </w:tcBorders>
                  <w:shd w:val="clear" w:color="auto" w:fill="auto"/>
                  <w:vAlign w:val="center"/>
                </w:tcPr>
                <w:p w14:paraId="3ACE83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0"/>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设备名称</w:t>
                  </w:r>
                </w:p>
              </w:tc>
              <w:tc>
                <w:tcPr>
                  <w:tcW w:w="1110" w:type="dxa"/>
                  <w:tcBorders>
                    <w:tl2br w:val="nil"/>
                    <w:tr2bl w:val="nil"/>
                  </w:tcBorders>
                  <w:shd w:val="clear" w:color="auto" w:fill="auto"/>
                  <w:vAlign w:val="center"/>
                </w:tcPr>
                <w:p w14:paraId="76DD26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0"/>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数量</w:t>
                  </w:r>
                </w:p>
              </w:tc>
              <w:tc>
                <w:tcPr>
                  <w:tcW w:w="2025" w:type="dxa"/>
                  <w:tcBorders>
                    <w:tl2br w:val="nil"/>
                    <w:tr2bl w:val="nil"/>
                  </w:tcBorders>
                  <w:shd w:val="clear" w:color="auto" w:fill="auto"/>
                  <w:vAlign w:val="center"/>
                </w:tcPr>
                <w:p w14:paraId="37EA6C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0"/>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单台声级</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dB</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A</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p>
              </w:tc>
              <w:tc>
                <w:tcPr>
                  <w:tcW w:w="2190" w:type="dxa"/>
                  <w:tcBorders>
                    <w:tl2br w:val="nil"/>
                    <w:tr2bl w:val="nil"/>
                  </w:tcBorders>
                  <w:shd w:val="clear" w:color="auto" w:fill="auto"/>
                  <w:vAlign w:val="center"/>
                </w:tcPr>
                <w:p w14:paraId="2D4C47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b/>
                      <w:bCs/>
                      <w:i w:val="0"/>
                      <w:iCs w:val="0"/>
                      <w:color w:val="000000" w:themeColor="text1"/>
                      <w:sz w:val="21"/>
                      <w:szCs w:val="21"/>
                      <w:u w:val="none"/>
                      <w14:textFill>
                        <w14:solidFill>
                          <w14:schemeClr w14:val="tx1"/>
                        </w14:solidFill>
                      </w14:textFill>
                    </w:rPr>
                  </w:pP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等效声级</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dB</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A</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p>
              </w:tc>
              <w:tc>
                <w:tcPr>
                  <w:tcW w:w="2613" w:type="dxa"/>
                  <w:tcBorders>
                    <w:tl2br w:val="nil"/>
                    <w:tr2bl w:val="nil"/>
                  </w:tcBorders>
                  <w:shd w:val="clear" w:color="auto" w:fill="auto"/>
                  <w:vAlign w:val="center"/>
                </w:tcPr>
                <w:p w14:paraId="5B4E94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pPr>
                  <w:r>
                    <w:rPr>
                      <w:rStyle w:val="171"/>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生产工区</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等效声级</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dB</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r>
                    <w:rPr>
                      <w:rFonts w:hint="default" w:ascii="Times New Roman" w:hAnsi="Times New Roman" w:cs="Times New Roman" w:eastAsiaTheme="minorEastAsia"/>
                      <w:b/>
                      <w:bCs/>
                      <w:i w:val="0"/>
                      <w:iCs w:val="0"/>
                      <w:color w:val="000000" w:themeColor="text1"/>
                      <w:kern w:val="0"/>
                      <w:sz w:val="21"/>
                      <w:szCs w:val="21"/>
                      <w:u w:val="none"/>
                      <w:lang w:val="en-US" w:eastAsia="zh-CN" w:bidi="ar"/>
                      <w14:textFill>
                        <w14:solidFill>
                          <w14:schemeClr w14:val="tx1"/>
                        </w14:solidFill>
                      </w14:textFill>
                    </w:rPr>
                    <w:t>A</w:t>
                  </w:r>
                  <w:r>
                    <w:rPr>
                      <w:rStyle w:val="171"/>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w:t>
                  </w:r>
                </w:p>
              </w:tc>
            </w:tr>
            <w:tr w14:paraId="2C43B00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BE6A7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1335" w:type="dxa"/>
                  <w:tcBorders>
                    <w:tl2br w:val="nil"/>
                    <w:tr2bl w:val="nil"/>
                  </w:tcBorders>
                  <w:shd w:val="clear" w:color="auto" w:fill="auto"/>
                  <w:noWrap/>
                  <w:vAlign w:val="center"/>
                </w:tcPr>
                <w:p w14:paraId="732E15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熔化</w:t>
                  </w:r>
                  <w:r>
                    <w:rPr>
                      <w:rStyle w:val="172"/>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5F5A51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无芯中频感应炉</w:t>
                  </w:r>
                </w:p>
              </w:tc>
              <w:tc>
                <w:tcPr>
                  <w:tcW w:w="1110" w:type="dxa"/>
                  <w:tcBorders>
                    <w:tl2br w:val="nil"/>
                    <w:tr2bl w:val="nil"/>
                  </w:tcBorders>
                  <w:shd w:val="clear" w:color="auto" w:fill="auto"/>
                  <w:vAlign w:val="center"/>
                </w:tcPr>
                <w:p w14:paraId="716A8F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0D95DE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w:t>
                  </w:r>
                </w:p>
              </w:tc>
              <w:tc>
                <w:tcPr>
                  <w:tcW w:w="2190" w:type="dxa"/>
                  <w:tcBorders>
                    <w:tl2br w:val="nil"/>
                    <w:tr2bl w:val="nil"/>
                  </w:tcBorders>
                  <w:shd w:val="clear" w:color="auto" w:fill="auto"/>
                  <w:vAlign w:val="center"/>
                </w:tcPr>
                <w:p w14:paraId="13CA84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69.8</w:t>
                  </w:r>
                </w:p>
              </w:tc>
              <w:tc>
                <w:tcPr>
                  <w:tcW w:w="2613" w:type="dxa"/>
                  <w:tcBorders>
                    <w:tl2br w:val="nil"/>
                    <w:tr2bl w:val="nil"/>
                  </w:tcBorders>
                  <w:shd w:val="clear" w:color="auto" w:fill="auto"/>
                  <w:vAlign w:val="center"/>
                </w:tcPr>
                <w:p w14:paraId="184E13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69.8</w:t>
                  </w:r>
                </w:p>
              </w:tc>
            </w:tr>
            <w:tr w14:paraId="4936A4B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49975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w:t>
                  </w:r>
                </w:p>
              </w:tc>
              <w:tc>
                <w:tcPr>
                  <w:tcW w:w="1335" w:type="dxa"/>
                  <w:vMerge w:val="restart"/>
                  <w:tcBorders>
                    <w:tl2br w:val="nil"/>
                    <w:tr2bl w:val="nil"/>
                  </w:tcBorders>
                  <w:shd w:val="clear" w:color="auto" w:fill="auto"/>
                  <w:noWrap/>
                  <w:vAlign w:val="center"/>
                </w:tcPr>
                <w:p w14:paraId="5E2BD6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2"/>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浇注区</w:t>
                  </w:r>
                </w:p>
              </w:tc>
              <w:tc>
                <w:tcPr>
                  <w:tcW w:w="3180" w:type="dxa"/>
                  <w:tcBorders>
                    <w:tl2br w:val="nil"/>
                    <w:tr2bl w:val="nil"/>
                  </w:tcBorders>
                  <w:shd w:val="clear" w:color="auto" w:fill="auto"/>
                  <w:vAlign w:val="center"/>
                </w:tcPr>
                <w:p w14:paraId="5129D9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全自动</w:t>
                  </w: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射芯机</w:t>
                  </w:r>
                </w:p>
              </w:tc>
              <w:tc>
                <w:tcPr>
                  <w:tcW w:w="1110" w:type="dxa"/>
                  <w:tcBorders>
                    <w:tl2br w:val="nil"/>
                    <w:tr2bl w:val="nil"/>
                  </w:tcBorders>
                  <w:shd w:val="clear" w:color="auto" w:fill="auto"/>
                  <w:vAlign w:val="center"/>
                </w:tcPr>
                <w:p w14:paraId="7A9EC9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22</w:t>
                  </w:r>
                </w:p>
              </w:tc>
              <w:tc>
                <w:tcPr>
                  <w:tcW w:w="2025" w:type="dxa"/>
                  <w:tcBorders>
                    <w:tl2br w:val="nil"/>
                    <w:tr2bl w:val="nil"/>
                  </w:tcBorders>
                  <w:shd w:val="clear" w:color="auto" w:fill="auto"/>
                  <w:vAlign w:val="center"/>
                </w:tcPr>
                <w:p w14:paraId="52B09E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30E7F5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83.4</w:t>
                  </w:r>
                </w:p>
              </w:tc>
              <w:tc>
                <w:tcPr>
                  <w:tcW w:w="2613" w:type="dxa"/>
                  <w:vMerge w:val="restart"/>
                  <w:tcBorders>
                    <w:tl2br w:val="nil"/>
                    <w:tr2bl w:val="nil"/>
                  </w:tcBorders>
                  <w:shd w:val="clear" w:color="auto" w:fill="auto"/>
                  <w:vAlign w:val="center"/>
                </w:tcPr>
                <w:p w14:paraId="065699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t>84.79</w:t>
                  </w:r>
                </w:p>
              </w:tc>
            </w:tr>
            <w:tr w14:paraId="066B0C2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4CB589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1335" w:type="dxa"/>
                  <w:vMerge w:val="continue"/>
                  <w:tcBorders>
                    <w:tl2br w:val="nil"/>
                    <w:tr2bl w:val="nil"/>
                  </w:tcBorders>
                  <w:shd w:val="clear" w:color="auto" w:fill="auto"/>
                  <w:vAlign w:val="center"/>
                </w:tcPr>
                <w:p w14:paraId="4B776F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704A9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全自动</w:t>
                  </w: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水平分型滑出式造型机</w:t>
                  </w:r>
                </w:p>
              </w:tc>
              <w:tc>
                <w:tcPr>
                  <w:tcW w:w="1110" w:type="dxa"/>
                  <w:tcBorders>
                    <w:tl2br w:val="nil"/>
                    <w:tr2bl w:val="nil"/>
                  </w:tcBorders>
                  <w:shd w:val="clear" w:color="auto" w:fill="auto"/>
                  <w:vAlign w:val="center"/>
                </w:tcPr>
                <w:p w14:paraId="1BF7F4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2854A7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w:t>
                  </w:r>
                </w:p>
              </w:tc>
              <w:tc>
                <w:tcPr>
                  <w:tcW w:w="2190" w:type="dxa"/>
                  <w:tcBorders>
                    <w:tl2br w:val="nil"/>
                    <w:tr2bl w:val="nil"/>
                  </w:tcBorders>
                  <w:shd w:val="clear" w:color="auto" w:fill="auto"/>
                  <w:vAlign w:val="center"/>
                </w:tcPr>
                <w:p w14:paraId="3B9A10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64.8</w:t>
                  </w:r>
                </w:p>
              </w:tc>
              <w:tc>
                <w:tcPr>
                  <w:tcW w:w="2613" w:type="dxa"/>
                  <w:vMerge w:val="continue"/>
                  <w:tcBorders>
                    <w:tl2br w:val="nil"/>
                    <w:tr2bl w:val="nil"/>
                  </w:tcBorders>
                  <w:shd w:val="clear" w:color="auto" w:fill="auto"/>
                  <w:vAlign w:val="center"/>
                </w:tcPr>
                <w:p w14:paraId="6BF4AA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5355473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4AD7E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w:t>
                  </w:r>
                </w:p>
              </w:tc>
              <w:tc>
                <w:tcPr>
                  <w:tcW w:w="1335" w:type="dxa"/>
                  <w:vMerge w:val="continue"/>
                  <w:tcBorders>
                    <w:tl2br w:val="nil"/>
                    <w:tr2bl w:val="nil"/>
                  </w:tcBorders>
                  <w:shd w:val="clear" w:color="auto" w:fill="auto"/>
                  <w:vAlign w:val="center"/>
                </w:tcPr>
                <w:p w14:paraId="1884C71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28FEF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全自动</w:t>
                  </w: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顶箱震压造型机</w:t>
                  </w:r>
                </w:p>
              </w:tc>
              <w:tc>
                <w:tcPr>
                  <w:tcW w:w="1110" w:type="dxa"/>
                  <w:tcBorders>
                    <w:tl2br w:val="nil"/>
                    <w:tr2bl w:val="nil"/>
                  </w:tcBorders>
                  <w:shd w:val="clear" w:color="auto" w:fill="auto"/>
                  <w:vAlign w:val="center"/>
                </w:tcPr>
                <w:p w14:paraId="17ECB2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p>
              </w:tc>
              <w:tc>
                <w:tcPr>
                  <w:tcW w:w="2025" w:type="dxa"/>
                  <w:tcBorders>
                    <w:tl2br w:val="nil"/>
                    <w:tr2bl w:val="nil"/>
                  </w:tcBorders>
                  <w:shd w:val="clear" w:color="auto" w:fill="auto"/>
                  <w:vAlign w:val="center"/>
                </w:tcPr>
                <w:p w14:paraId="0DD535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4F0D91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79.0</w:t>
                  </w:r>
                </w:p>
              </w:tc>
              <w:tc>
                <w:tcPr>
                  <w:tcW w:w="2613" w:type="dxa"/>
                  <w:vMerge w:val="continue"/>
                  <w:tcBorders>
                    <w:tl2br w:val="nil"/>
                    <w:tr2bl w:val="nil"/>
                  </w:tcBorders>
                  <w:shd w:val="clear" w:color="auto" w:fill="auto"/>
                  <w:vAlign w:val="center"/>
                </w:tcPr>
                <w:p w14:paraId="4F0AEA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6D8DCEE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8D76F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5</w:t>
                  </w:r>
                </w:p>
              </w:tc>
              <w:tc>
                <w:tcPr>
                  <w:tcW w:w="1335" w:type="dxa"/>
                  <w:tcBorders>
                    <w:tl2br w:val="nil"/>
                    <w:tr2bl w:val="nil"/>
                  </w:tcBorders>
                  <w:shd w:val="clear" w:color="auto" w:fill="auto"/>
                  <w:vAlign w:val="center"/>
                </w:tcPr>
                <w:p w14:paraId="37D41E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冷却</w:t>
                  </w:r>
                </w:p>
              </w:tc>
              <w:tc>
                <w:tcPr>
                  <w:tcW w:w="3180" w:type="dxa"/>
                  <w:tcBorders>
                    <w:tl2br w:val="nil"/>
                    <w:tr2bl w:val="nil"/>
                  </w:tcBorders>
                  <w:shd w:val="clear" w:color="auto" w:fill="auto"/>
                  <w:vAlign w:val="center"/>
                </w:tcPr>
                <w:p w14:paraId="19B9BA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冷却塔</w:t>
                  </w:r>
                </w:p>
              </w:tc>
              <w:tc>
                <w:tcPr>
                  <w:tcW w:w="1110" w:type="dxa"/>
                  <w:tcBorders>
                    <w:tl2br w:val="nil"/>
                    <w:tr2bl w:val="nil"/>
                  </w:tcBorders>
                  <w:shd w:val="clear" w:color="auto" w:fill="auto"/>
                  <w:vAlign w:val="center"/>
                </w:tcPr>
                <w:p w14:paraId="5571D1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w:t>
                  </w:r>
                </w:p>
              </w:tc>
              <w:tc>
                <w:tcPr>
                  <w:tcW w:w="2025" w:type="dxa"/>
                  <w:tcBorders>
                    <w:tl2br w:val="nil"/>
                    <w:tr2bl w:val="nil"/>
                  </w:tcBorders>
                  <w:shd w:val="clear" w:color="auto" w:fill="auto"/>
                  <w:vAlign w:val="center"/>
                </w:tcPr>
                <w:p w14:paraId="3ED307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BC4FB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73.0</w:t>
                  </w:r>
                </w:p>
              </w:tc>
              <w:tc>
                <w:tcPr>
                  <w:tcW w:w="2613" w:type="dxa"/>
                  <w:tcBorders>
                    <w:tl2br w:val="nil"/>
                    <w:tr2bl w:val="nil"/>
                  </w:tcBorders>
                  <w:shd w:val="clear" w:color="auto" w:fill="auto"/>
                  <w:vAlign w:val="center"/>
                </w:tcPr>
                <w:p w14:paraId="0F6C72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73.0</w:t>
                  </w:r>
                </w:p>
              </w:tc>
            </w:tr>
            <w:tr w14:paraId="04C4B3A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7A983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w:t>
                  </w:r>
                </w:p>
              </w:tc>
              <w:tc>
                <w:tcPr>
                  <w:tcW w:w="1335" w:type="dxa"/>
                  <w:vMerge w:val="restart"/>
                  <w:tcBorders>
                    <w:tl2br w:val="nil"/>
                    <w:tr2bl w:val="nil"/>
                  </w:tcBorders>
                  <w:shd w:val="clear" w:color="auto" w:fill="auto"/>
                  <w:vAlign w:val="center"/>
                </w:tcPr>
                <w:p w14:paraId="7B9CD3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抛丸</w:t>
                  </w:r>
                  <w:r>
                    <w:rPr>
                      <w:rStyle w:val="173"/>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03C76F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吊钩式抛丸机</w:t>
                  </w:r>
                </w:p>
              </w:tc>
              <w:tc>
                <w:tcPr>
                  <w:tcW w:w="1110" w:type="dxa"/>
                  <w:tcBorders>
                    <w:tl2br w:val="nil"/>
                    <w:tr2bl w:val="nil"/>
                  </w:tcBorders>
                  <w:shd w:val="clear" w:color="auto" w:fill="auto"/>
                  <w:vAlign w:val="center"/>
                </w:tcPr>
                <w:p w14:paraId="4C6A60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1C0BE8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78</w:t>
                  </w:r>
                </w:p>
              </w:tc>
              <w:tc>
                <w:tcPr>
                  <w:tcW w:w="2190" w:type="dxa"/>
                  <w:tcBorders>
                    <w:tl2br w:val="nil"/>
                    <w:tr2bl w:val="nil"/>
                  </w:tcBorders>
                  <w:shd w:val="clear" w:color="auto" w:fill="auto"/>
                  <w:vAlign w:val="center"/>
                </w:tcPr>
                <w:p w14:paraId="24CF20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w:t>
                  </w: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p>
              </w:tc>
              <w:tc>
                <w:tcPr>
                  <w:tcW w:w="2613" w:type="dxa"/>
                  <w:vMerge w:val="restart"/>
                  <w:tcBorders>
                    <w:tl2br w:val="nil"/>
                    <w:tr2bl w:val="nil"/>
                  </w:tcBorders>
                  <w:shd w:val="clear" w:color="auto" w:fill="auto"/>
                  <w:vAlign w:val="center"/>
                </w:tcPr>
                <w:p w14:paraId="4DE31F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86.45</w:t>
                  </w:r>
                </w:p>
              </w:tc>
            </w:tr>
            <w:tr w14:paraId="11A2FF4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74B514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w:t>
                  </w:r>
                </w:p>
              </w:tc>
              <w:tc>
                <w:tcPr>
                  <w:tcW w:w="1335" w:type="dxa"/>
                  <w:vMerge w:val="continue"/>
                  <w:tcBorders>
                    <w:tl2br w:val="nil"/>
                    <w:tr2bl w:val="nil"/>
                  </w:tcBorders>
                  <w:shd w:val="clear" w:color="auto" w:fill="auto"/>
                  <w:vAlign w:val="center"/>
                </w:tcPr>
                <w:p w14:paraId="21CFD70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6B0C20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履带式抛丸机</w:t>
                  </w:r>
                </w:p>
              </w:tc>
              <w:tc>
                <w:tcPr>
                  <w:tcW w:w="1110" w:type="dxa"/>
                  <w:tcBorders>
                    <w:tl2br w:val="nil"/>
                    <w:tr2bl w:val="nil"/>
                  </w:tcBorders>
                  <w:shd w:val="clear" w:color="auto" w:fill="auto"/>
                  <w:vAlign w:val="center"/>
                </w:tcPr>
                <w:p w14:paraId="217894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w:t>
                  </w:r>
                </w:p>
              </w:tc>
              <w:tc>
                <w:tcPr>
                  <w:tcW w:w="2025" w:type="dxa"/>
                  <w:tcBorders>
                    <w:tl2br w:val="nil"/>
                    <w:tr2bl w:val="nil"/>
                  </w:tcBorders>
                  <w:shd w:val="clear" w:color="auto" w:fill="auto"/>
                  <w:vAlign w:val="center"/>
                </w:tcPr>
                <w:p w14:paraId="013871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78</w:t>
                  </w:r>
                </w:p>
              </w:tc>
              <w:tc>
                <w:tcPr>
                  <w:tcW w:w="2190" w:type="dxa"/>
                  <w:tcBorders>
                    <w:tl2br w:val="nil"/>
                    <w:tr2bl w:val="nil"/>
                  </w:tcBorders>
                  <w:shd w:val="clear" w:color="auto" w:fill="auto"/>
                  <w:vAlign w:val="center"/>
                </w:tcPr>
                <w:p w14:paraId="3E31D1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w:t>
                  </w: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0</w:t>
                  </w:r>
                </w:p>
              </w:tc>
              <w:tc>
                <w:tcPr>
                  <w:tcW w:w="2613" w:type="dxa"/>
                  <w:vMerge w:val="continue"/>
                  <w:tcBorders>
                    <w:tl2br w:val="nil"/>
                    <w:tr2bl w:val="nil"/>
                  </w:tcBorders>
                  <w:shd w:val="clear" w:color="auto" w:fill="auto"/>
                  <w:vAlign w:val="center"/>
                </w:tcPr>
                <w:p w14:paraId="25B6C1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63A6401">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783717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p>
              </w:tc>
              <w:tc>
                <w:tcPr>
                  <w:tcW w:w="1335" w:type="dxa"/>
                  <w:tcBorders>
                    <w:tl2br w:val="nil"/>
                    <w:tr2bl w:val="nil"/>
                  </w:tcBorders>
                  <w:shd w:val="clear" w:color="auto" w:fill="auto"/>
                  <w:vAlign w:val="center"/>
                </w:tcPr>
                <w:p w14:paraId="12A923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cs="Times New Roman" w:eastAsiaTheme="minorEastAsia"/>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eastAsiaTheme="minorEastAsia"/>
                      <w:i w:val="0"/>
                      <w:iCs w:val="0"/>
                      <w:color w:val="000000" w:themeColor="text1"/>
                      <w:sz w:val="21"/>
                      <w:szCs w:val="21"/>
                      <w:u w:val="none"/>
                      <w:lang w:val="en-US" w:eastAsia="zh-CN"/>
                      <w14:textFill>
                        <w14:solidFill>
                          <w14:schemeClr w14:val="tx1"/>
                        </w14:solidFill>
                      </w14:textFill>
                    </w:rPr>
                    <w:t>打磨区</w:t>
                  </w:r>
                </w:p>
              </w:tc>
              <w:tc>
                <w:tcPr>
                  <w:tcW w:w="3180" w:type="dxa"/>
                  <w:tcBorders>
                    <w:tl2br w:val="nil"/>
                    <w:tr2bl w:val="nil"/>
                  </w:tcBorders>
                  <w:shd w:val="clear" w:color="auto" w:fill="auto"/>
                  <w:vAlign w:val="center"/>
                </w:tcPr>
                <w:p w14:paraId="2CC2E3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立式砂轮机</w:t>
                  </w:r>
                </w:p>
              </w:tc>
              <w:tc>
                <w:tcPr>
                  <w:tcW w:w="1110" w:type="dxa"/>
                  <w:tcBorders>
                    <w:tl2br w:val="nil"/>
                    <w:tr2bl w:val="nil"/>
                  </w:tcBorders>
                  <w:shd w:val="clear" w:color="auto" w:fill="auto"/>
                  <w:vAlign w:val="center"/>
                </w:tcPr>
                <w:p w14:paraId="4C43DB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w:t>
                  </w:r>
                </w:p>
              </w:tc>
              <w:tc>
                <w:tcPr>
                  <w:tcW w:w="2025" w:type="dxa"/>
                  <w:tcBorders>
                    <w:tl2br w:val="nil"/>
                    <w:tr2bl w:val="nil"/>
                  </w:tcBorders>
                  <w:shd w:val="clear" w:color="auto" w:fill="auto"/>
                  <w:vAlign w:val="center"/>
                </w:tcPr>
                <w:p w14:paraId="4DC1B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4E5E11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w:t>
                  </w: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p>
              </w:tc>
              <w:tc>
                <w:tcPr>
                  <w:tcW w:w="2613" w:type="dxa"/>
                  <w:tcBorders>
                    <w:tl2br w:val="nil"/>
                    <w:tr2bl w:val="nil"/>
                  </w:tcBorders>
                  <w:shd w:val="clear" w:color="auto" w:fill="auto"/>
                  <w:vAlign w:val="center"/>
                </w:tcPr>
                <w:p w14:paraId="34D5DD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82.8</w:t>
                  </w:r>
                </w:p>
              </w:tc>
            </w:tr>
            <w:tr w14:paraId="2464419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9A080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9</w:t>
                  </w:r>
                </w:p>
              </w:tc>
              <w:tc>
                <w:tcPr>
                  <w:tcW w:w="1335" w:type="dxa"/>
                  <w:vMerge w:val="restart"/>
                  <w:tcBorders>
                    <w:tl2br w:val="nil"/>
                    <w:tr2bl w:val="nil"/>
                  </w:tcBorders>
                  <w:shd w:val="clear" w:color="auto" w:fill="auto"/>
                  <w:vAlign w:val="center"/>
                </w:tcPr>
                <w:p w14:paraId="1F3ED9E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机加工</w:t>
                  </w:r>
                  <w:r>
                    <w:rPr>
                      <w:rStyle w:val="173"/>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70566A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车床</w:t>
                  </w:r>
                </w:p>
              </w:tc>
              <w:tc>
                <w:tcPr>
                  <w:tcW w:w="1110" w:type="dxa"/>
                  <w:tcBorders>
                    <w:tl2br w:val="nil"/>
                    <w:tr2bl w:val="nil"/>
                  </w:tcBorders>
                  <w:shd w:val="clear" w:color="auto" w:fill="auto"/>
                  <w:vAlign w:val="center"/>
                </w:tcPr>
                <w:p w14:paraId="02CBDE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30</w:t>
                  </w:r>
                </w:p>
              </w:tc>
              <w:tc>
                <w:tcPr>
                  <w:tcW w:w="2025" w:type="dxa"/>
                  <w:tcBorders>
                    <w:tl2br w:val="nil"/>
                    <w:tr2bl w:val="nil"/>
                  </w:tcBorders>
                  <w:shd w:val="clear" w:color="auto" w:fill="auto"/>
                  <w:vAlign w:val="center"/>
                </w:tcPr>
                <w:p w14:paraId="251389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421A86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89.8</w:t>
                  </w:r>
                </w:p>
              </w:tc>
              <w:tc>
                <w:tcPr>
                  <w:tcW w:w="2613" w:type="dxa"/>
                  <w:vMerge w:val="restart"/>
                  <w:tcBorders>
                    <w:tl2br w:val="nil"/>
                    <w:tr2bl w:val="nil"/>
                  </w:tcBorders>
                  <w:shd w:val="clear" w:color="auto" w:fill="auto"/>
                  <w:vAlign w:val="center"/>
                </w:tcPr>
                <w:p w14:paraId="5A15B2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92.87</w:t>
                  </w:r>
                </w:p>
              </w:tc>
            </w:tr>
            <w:tr w14:paraId="3A1EB94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014B51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10</w:t>
                  </w:r>
                </w:p>
              </w:tc>
              <w:tc>
                <w:tcPr>
                  <w:tcW w:w="1335" w:type="dxa"/>
                  <w:vMerge w:val="continue"/>
                  <w:tcBorders>
                    <w:tl2br w:val="nil"/>
                    <w:tr2bl w:val="nil"/>
                  </w:tcBorders>
                  <w:shd w:val="clear" w:color="auto" w:fill="auto"/>
                  <w:vAlign w:val="center"/>
                </w:tcPr>
                <w:p w14:paraId="625C4B4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4DBD1F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铣床</w:t>
                  </w:r>
                </w:p>
              </w:tc>
              <w:tc>
                <w:tcPr>
                  <w:tcW w:w="1110" w:type="dxa"/>
                  <w:tcBorders>
                    <w:tl2br w:val="nil"/>
                    <w:tr2bl w:val="nil"/>
                  </w:tcBorders>
                  <w:shd w:val="clear" w:color="auto" w:fill="auto"/>
                  <w:vAlign w:val="center"/>
                </w:tcPr>
                <w:p w14:paraId="6956EA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15</w:t>
                  </w:r>
                </w:p>
              </w:tc>
              <w:tc>
                <w:tcPr>
                  <w:tcW w:w="2025" w:type="dxa"/>
                  <w:tcBorders>
                    <w:tl2br w:val="nil"/>
                    <w:tr2bl w:val="nil"/>
                  </w:tcBorders>
                  <w:shd w:val="clear" w:color="auto" w:fill="auto"/>
                  <w:vAlign w:val="center"/>
                </w:tcPr>
                <w:p w14:paraId="55AD6E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6AF697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81.8</w:t>
                  </w:r>
                </w:p>
              </w:tc>
              <w:tc>
                <w:tcPr>
                  <w:tcW w:w="2613" w:type="dxa"/>
                  <w:vMerge w:val="continue"/>
                  <w:tcBorders>
                    <w:tl2br w:val="nil"/>
                    <w:tr2bl w:val="nil"/>
                  </w:tcBorders>
                  <w:shd w:val="clear" w:color="auto" w:fill="auto"/>
                  <w:vAlign w:val="center"/>
                </w:tcPr>
                <w:p w14:paraId="62ED40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87C3B0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0528F9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11</w:t>
                  </w:r>
                </w:p>
              </w:tc>
              <w:tc>
                <w:tcPr>
                  <w:tcW w:w="1335" w:type="dxa"/>
                  <w:vMerge w:val="continue"/>
                  <w:tcBorders>
                    <w:tl2br w:val="nil"/>
                    <w:tr2bl w:val="nil"/>
                  </w:tcBorders>
                  <w:shd w:val="clear" w:color="auto" w:fill="auto"/>
                  <w:vAlign w:val="center"/>
                </w:tcPr>
                <w:p w14:paraId="325BC3D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2912E4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钻床</w:t>
                  </w:r>
                </w:p>
              </w:tc>
              <w:tc>
                <w:tcPr>
                  <w:tcW w:w="1110" w:type="dxa"/>
                  <w:tcBorders>
                    <w:tl2br w:val="nil"/>
                    <w:tr2bl w:val="nil"/>
                  </w:tcBorders>
                  <w:shd w:val="clear" w:color="auto" w:fill="auto"/>
                  <w:vAlign w:val="center"/>
                </w:tcPr>
                <w:p w14:paraId="585DC3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23</w:t>
                  </w:r>
                </w:p>
              </w:tc>
              <w:tc>
                <w:tcPr>
                  <w:tcW w:w="2025" w:type="dxa"/>
                  <w:tcBorders>
                    <w:tl2br w:val="nil"/>
                    <w:tr2bl w:val="nil"/>
                  </w:tcBorders>
                  <w:shd w:val="clear" w:color="auto" w:fill="auto"/>
                  <w:vAlign w:val="center"/>
                </w:tcPr>
                <w:p w14:paraId="3C5F60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F2703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83.6</w:t>
                  </w:r>
                </w:p>
              </w:tc>
              <w:tc>
                <w:tcPr>
                  <w:tcW w:w="2613" w:type="dxa"/>
                  <w:vMerge w:val="continue"/>
                  <w:tcBorders>
                    <w:tl2br w:val="nil"/>
                    <w:tr2bl w:val="nil"/>
                  </w:tcBorders>
                  <w:shd w:val="clear" w:color="auto" w:fill="auto"/>
                  <w:vAlign w:val="center"/>
                </w:tcPr>
                <w:p w14:paraId="539694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3C9638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0B15E4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12</w:t>
                  </w:r>
                </w:p>
              </w:tc>
              <w:tc>
                <w:tcPr>
                  <w:tcW w:w="1335" w:type="dxa"/>
                  <w:vMerge w:val="continue"/>
                  <w:tcBorders>
                    <w:tl2br w:val="nil"/>
                    <w:tr2bl w:val="nil"/>
                  </w:tcBorders>
                  <w:shd w:val="clear" w:color="auto" w:fill="auto"/>
                  <w:vAlign w:val="center"/>
                </w:tcPr>
                <w:p w14:paraId="778ABC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0CF0F6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气动磨光机</w:t>
                  </w:r>
                </w:p>
              </w:tc>
              <w:tc>
                <w:tcPr>
                  <w:tcW w:w="1110" w:type="dxa"/>
                  <w:tcBorders>
                    <w:tl2br w:val="nil"/>
                    <w:tr2bl w:val="nil"/>
                  </w:tcBorders>
                  <w:shd w:val="clear" w:color="auto" w:fill="auto"/>
                  <w:vAlign w:val="center"/>
                </w:tcPr>
                <w:p w14:paraId="102395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w:t>
                  </w:r>
                </w:p>
              </w:tc>
              <w:tc>
                <w:tcPr>
                  <w:tcW w:w="2025" w:type="dxa"/>
                  <w:tcBorders>
                    <w:tl2br w:val="nil"/>
                    <w:tr2bl w:val="nil"/>
                  </w:tcBorders>
                  <w:shd w:val="clear" w:color="auto" w:fill="auto"/>
                  <w:vAlign w:val="center"/>
                </w:tcPr>
                <w:p w14:paraId="5FEB5D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80</w:t>
                  </w:r>
                </w:p>
              </w:tc>
              <w:tc>
                <w:tcPr>
                  <w:tcW w:w="2190" w:type="dxa"/>
                  <w:tcBorders>
                    <w:tl2br w:val="nil"/>
                    <w:tr2bl w:val="nil"/>
                  </w:tcBorders>
                  <w:shd w:val="clear" w:color="auto" w:fill="auto"/>
                  <w:vAlign w:val="center"/>
                </w:tcPr>
                <w:p w14:paraId="1490DC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87.8</w:t>
                  </w:r>
                </w:p>
              </w:tc>
              <w:tc>
                <w:tcPr>
                  <w:tcW w:w="2613" w:type="dxa"/>
                  <w:vMerge w:val="continue"/>
                  <w:tcBorders>
                    <w:tl2br w:val="nil"/>
                    <w:tr2bl w:val="nil"/>
                  </w:tcBorders>
                  <w:shd w:val="clear" w:color="auto" w:fill="auto"/>
                  <w:vAlign w:val="center"/>
                </w:tcPr>
                <w:p w14:paraId="474CC4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6189DB8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68489F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13</w:t>
                  </w:r>
                </w:p>
              </w:tc>
              <w:tc>
                <w:tcPr>
                  <w:tcW w:w="1335" w:type="dxa"/>
                  <w:vMerge w:val="restart"/>
                  <w:tcBorders>
                    <w:tl2br w:val="nil"/>
                    <w:tr2bl w:val="nil"/>
                  </w:tcBorders>
                  <w:shd w:val="clear" w:color="auto" w:fill="auto"/>
                  <w:vAlign w:val="center"/>
                </w:tcPr>
                <w:p w14:paraId="5112FC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喷漆</w:t>
                  </w:r>
                  <w:r>
                    <w:rPr>
                      <w:rStyle w:val="173"/>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162C5D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喷枪</w:t>
                  </w:r>
                </w:p>
              </w:tc>
              <w:tc>
                <w:tcPr>
                  <w:tcW w:w="1110" w:type="dxa"/>
                  <w:tcBorders>
                    <w:tl2br w:val="nil"/>
                    <w:tr2bl w:val="nil"/>
                  </w:tcBorders>
                  <w:shd w:val="clear" w:color="auto" w:fill="auto"/>
                  <w:vAlign w:val="center"/>
                </w:tcPr>
                <w:p w14:paraId="3D3E0C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DA8BA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7EC573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restart"/>
                  <w:tcBorders>
                    <w:tl2br w:val="nil"/>
                    <w:tr2bl w:val="nil"/>
                  </w:tcBorders>
                  <w:shd w:val="clear" w:color="auto" w:fill="auto"/>
                  <w:vAlign w:val="center"/>
                </w:tcPr>
                <w:p w14:paraId="01EE1B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76.19</w:t>
                  </w:r>
                </w:p>
              </w:tc>
            </w:tr>
            <w:tr w14:paraId="1501F14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CD78D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14</w:t>
                  </w:r>
                </w:p>
              </w:tc>
              <w:tc>
                <w:tcPr>
                  <w:tcW w:w="1335" w:type="dxa"/>
                  <w:vMerge w:val="continue"/>
                  <w:tcBorders>
                    <w:tl2br w:val="nil"/>
                    <w:tr2bl w:val="nil"/>
                  </w:tcBorders>
                  <w:shd w:val="clear" w:color="auto" w:fill="auto"/>
                  <w:vAlign w:val="center"/>
                </w:tcPr>
                <w:p w14:paraId="3E2A89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711E0D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水帘柜</w:t>
                  </w:r>
                </w:p>
              </w:tc>
              <w:tc>
                <w:tcPr>
                  <w:tcW w:w="1110" w:type="dxa"/>
                  <w:tcBorders>
                    <w:tl2br w:val="nil"/>
                    <w:tr2bl w:val="nil"/>
                  </w:tcBorders>
                  <w:shd w:val="clear" w:color="auto" w:fill="auto"/>
                  <w:vAlign w:val="center"/>
                </w:tcPr>
                <w:p w14:paraId="0E938A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E63C8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0932BA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2F7E5E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7C48257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024103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15</w:t>
                  </w:r>
                </w:p>
              </w:tc>
              <w:tc>
                <w:tcPr>
                  <w:tcW w:w="1335" w:type="dxa"/>
                  <w:vMerge w:val="restart"/>
                  <w:tcBorders>
                    <w:tl2br w:val="nil"/>
                    <w:tr2bl w:val="nil"/>
                  </w:tcBorders>
                  <w:shd w:val="clear" w:color="auto" w:fill="auto"/>
                  <w:vAlign w:val="center"/>
                </w:tcPr>
                <w:p w14:paraId="53821E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eastAsia="zh-CN"/>
                      <w14:textFill>
                        <w14:solidFill>
                          <w14:schemeClr w14:val="tx1"/>
                        </w14:solidFill>
                      </w14:textFill>
                    </w:rPr>
                  </w:pPr>
                  <w:r>
                    <w:rPr>
                      <w:rFonts w:hint="eastAsia" w:ascii="Times New Roman" w:hAnsi="Times New Roman" w:cs="Times New Roman" w:eastAsiaTheme="minorEastAsia"/>
                      <w:i w:val="0"/>
                      <w:iCs w:val="0"/>
                      <w:color w:val="000000" w:themeColor="text1"/>
                      <w:sz w:val="21"/>
                      <w:szCs w:val="21"/>
                      <w:u w:val="none"/>
                      <w:lang w:val="en-US" w:eastAsia="zh-CN"/>
                      <w14:textFill>
                        <w14:solidFill>
                          <w14:schemeClr w14:val="tx1"/>
                        </w14:solidFill>
                      </w14:textFill>
                    </w:rPr>
                    <w:t>落砂区</w:t>
                  </w:r>
                </w:p>
              </w:tc>
              <w:tc>
                <w:tcPr>
                  <w:tcW w:w="3180" w:type="dxa"/>
                  <w:tcBorders>
                    <w:tl2br w:val="nil"/>
                    <w:tr2bl w:val="nil"/>
                  </w:tcBorders>
                  <w:shd w:val="clear" w:color="auto" w:fill="auto"/>
                  <w:vAlign w:val="center"/>
                </w:tcPr>
                <w:p w14:paraId="0ED6F1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惯性振动落砂机</w:t>
                  </w:r>
                </w:p>
              </w:tc>
              <w:tc>
                <w:tcPr>
                  <w:tcW w:w="1110" w:type="dxa"/>
                  <w:tcBorders>
                    <w:tl2br w:val="nil"/>
                    <w:tr2bl w:val="nil"/>
                  </w:tcBorders>
                  <w:shd w:val="clear" w:color="auto" w:fill="auto"/>
                  <w:vAlign w:val="center"/>
                </w:tcPr>
                <w:p w14:paraId="4B240F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48FC4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745AE7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restart"/>
                  <w:tcBorders>
                    <w:tl2br w:val="nil"/>
                    <w:tr2bl w:val="nil"/>
                  </w:tcBorders>
                  <w:shd w:val="clear" w:color="auto" w:fill="auto"/>
                  <w:vAlign w:val="center"/>
                </w:tcPr>
                <w:p w14:paraId="206534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78.01</w:t>
                  </w:r>
                </w:p>
              </w:tc>
            </w:tr>
            <w:tr w14:paraId="0C8B724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0D04CE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16</w:t>
                  </w:r>
                </w:p>
              </w:tc>
              <w:tc>
                <w:tcPr>
                  <w:tcW w:w="1335" w:type="dxa"/>
                  <w:vMerge w:val="continue"/>
                  <w:tcBorders>
                    <w:tl2br w:val="nil"/>
                    <w:tr2bl w:val="nil"/>
                  </w:tcBorders>
                  <w:shd w:val="clear" w:color="auto" w:fill="auto"/>
                  <w:vAlign w:val="center"/>
                </w:tcPr>
                <w:p w14:paraId="18DEDA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p>
              </w:tc>
              <w:tc>
                <w:tcPr>
                  <w:tcW w:w="3180" w:type="dxa"/>
                  <w:tcBorders>
                    <w:tl2br w:val="nil"/>
                    <w:tr2bl w:val="nil"/>
                  </w:tcBorders>
                  <w:shd w:val="clear" w:color="auto" w:fill="auto"/>
                  <w:vAlign w:val="center"/>
                </w:tcPr>
                <w:p w14:paraId="42E8B5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振动落砂机</w:t>
                  </w:r>
                </w:p>
              </w:tc>
              <w:tc>
                <w:tcPr>
                  <w:tcW w:w="1110" w:type="dxa"/>
                  <w:tcBorders>
                    <w:tl2br w:val="nil"/>
                    <w:tr2bl w:val="nil"/>
                  </w:tcBorders>
                  <w:shd w:val="clear" w:color="auto" w:fill="auto"/>
                  <w:vAlign w:val="center"/>
                </w:tcPr>
                <w:p w14:paraId="1AF406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FA3DC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161D5D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continue"/>
                  <w:tcBorders>
                    <w:tl2br w:val="nil"/>
                    <w:tr2bl w:val="nil"/>
                  </w:tcBorders>
                  <w:shd w:val="clear" w:color="auto" w:fill="auto"/>
                  <w:vAlign w:val="center"/>
                </w:tcPr>
                <w:p w14:paraId="0C574F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7480044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6C166C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17</w:t>
                  </w:r>
                </w:p>
              </w:tc>
              <w:tc>
                <w:tcPr>
                  <w:tcW w:w="1335" w:type="dxa"/>
                  <w:vMerge w:val="restart"/>
                  <w:tcBorders>
                    <w:tl2br w:val="nil"/>
                    <w:tr2bl w:val="nil"/>
                  </w:tcBorders>
                  <w:shd w:val="clear" w:color="auto" w:fill="auto"/>
                  <w:vAlign w:val="center"/>
                </w:tcPr>
                <w:p w14:paraId="18063C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树脂砂再生</w:t>
                  </w:r>
                  <w:r>
                    <w:rPr>
                      <w:rStyle w:val="173"/>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6F1BEA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振动输送槽</w:t>
                  </w:r>
                </w:p>
              </w:tc>
              <w:tc>
                <w:tcPr>
                  <w:tcW w:w="1110" w:type="dxa"/>
                  <w:tcBorders>
                    <w:tl2br w:val="nil"/>
                    <w:tr2bl w:val="nil"/>
                  </w:tcBorders>
                  <w:shd w:val="clear" w:color="auto" w:fill="auto"/>
                  <w:vAlign w:val="center"/>
                </w:tcPr>
                <w:p w14:paraId="31CC54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5BC63C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3DEF32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restart"/>
                  <w:tcBorders>
                    <w:tl2br w:val="nil"/>
                    <w:tr2bl w:val="nil"/>
                  </w:tcBorders>
                  <w:shd w:val="clear" w:color="auto" w:fill="auto"/>
                  <w:vAlign w:val="center"/>
                </w:tcPr>
                <w:p w14:paraId="1F1252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86.87</w:t>
                  </w:r>
                </w:p>
              </w:tc>
            </w:tr>
            <w:tr w14:paraId="485CD07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31E25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18</w:t>
                  </w:r>
                </w:p>
              </w:tc>
              <w:tc>
                <w:tcPr>
                  <w:tcW w:w="1335" w:type="dxa"/>
                  <w:vMerge w:val="continue"/>
                  <w:tcBorders>
                    <w:tl2br w:val="nil"/>
                    <w:tr2bl w:val="nil"/>
                  </w:tcBorders>
                  <w:shd w:val="clear" w:color="auto" w:fill="auto"/>
                  <w:vAlign w:val="center"/>
                </w:tcPr>
                <w:p w14:paraId="57A942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6CA400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悬挂磁选机</w:t>
                  </w:r>
                </w:p>
              </w:tc>
              <w:tc>
                <w:tcPr>
                  <w:tcW w:w="1110" w:type="dxa"/>
                  <w:tcBorders>
                    <w:tl2br w:val="nil"/>
                    <w:tr2bl w:val="nil"/>
                  </w:tcBorders>
                  <w:shd w:val="clear" w:color="auto" w:fill="auto"/>
                  <w:vAlign w:val="center"/>
                </w:tcPr>
                <w:p w14:paraId="1B49D0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8B53F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1FFA0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267E71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43A1BC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6FE43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19</w:t>
                  </w:r>
                </w:p>
              </w:tc>
              <w:tc>
                <w:tcPr>
                  <w:tcW w:w="1335" w:type="dxa"/>
                  <w:vMerge w:val="continue"/>
                  <w:tcBorders>
                    <w:tl2br w:val="nil"/>
                    <w:tr2bl w:val="nil"/>
                  </w:tcBorders>
                  <w:shd w:val="clear" w:color="auto" w:fill="auto"/>
                  <w:vAlign w:val="center"/>
                </w:tcPr>
                <w:p w14:paraId="496F4E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6E96F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板链式提升机</w:t>
                  </w:r>
                </w:p>
              </w:tc>
              <w:tc>
                <w:tcPr>
                  <w:tcW w:w="1110" w:type="dxa"/>
                  <w:tcBorders>
                    <w:tl2br w:val="nil"/>
                    <w:tr2bl w:val="nil"/>
                  </w:tcBorders>
                  <w:shd w:val="clear" w:color="auto" w:fill="auto"/>
                  <w:vAlign w:val="center"/>
                </w:tcPr>
                <w:p w14:paraId="67208C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FDE59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w:t>
                  </w:r>
                </w:p>
              </w:tc>
              <w:tc>
                <w:tcPr>
                  <w:tcW w:w="2190" w:type="dxa"/>
                  <w:tcBorders>
                    <w:tl2br w:val="nil"/>
                    <w:tr2bl w:val="nil"/>
                  </w:tcBorders>
                  <w:shd w:val="clear" w:color="auto" w:fill="auto"/>
                  <w:vAlign w:val="center"/>
                </w:tcPr>
                <w:p w14:paraId="64D2A1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60.0</w:t>
                  </w:r>
                </w:p>
              </w:tc>
              <w:tc>
                <w:tcPr>
                  <w:tcW w:w="2613" w:type="dxa"/>
                  <w:vMerge w:val="continue"/>
                  <w:tcBorders>
                    <w:tl2br w:val="nil"/>
                    <w:tr2bl w:val="nil"/>
                  </w:tcBorders>
                  <w:shd w:val="clear" w:color="auto" w:fill="auto"/>
                  <w:vAlign w:val="center"/>
                </w:tcPr>
                <w:p w14:paraId="000454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048C273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35CC2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20</w:t>
                  </w:r>
                </w:p>
              </w:tc>
              <w:tc>
                <w:tcPr>
                  <w:tcW w:w="1335" w:type="dxa"/>
                  <w:vMerge w:val="continue"/>
                  <w:tcBorders>
                    <w:tl2br w:val="nil"/>
                    <w:tr2bl w:val="nil"/>
                  </w:tcBorders>
                  <w:shd w:val="clear" w:color="auto" w:fill="auto"/>
                  <w:vAlign w:val="center"/>
                </w:tcPr>
                <w:p w14:paraId="1C3A61C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10A905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振动给料机</w:t>
                  </w:r>
                </w:p>
              </w:tc>
              <w:tc>
                <w:tcPr>
                  <w:tcW w:w="1110" w:type="dxa"/>
                  <w:tcBorders>
                    <w:tl2br w:val="nil"/>
                    <w:tr2bl w:val="nil"/>
                  </w:tcBorders>
                  <w:shd w:val="clear" w:color="auto" w:fill="auto"/>
                  <w:vAlign w:val="center"/>
                </w:tcPr>
                <w:p w14:paraId="4147E2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CEC24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3C6938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continue"/>
                  <w:tcBorders>
                    <w:tl2br w:val="nil"/>
                    <w:tr2bl w:val="nil"/>
                  </w:tcBorders>
                  <w:shd w:val="clear" w:color="auto" w:fill="auto"/>
                  <w:vAlign w:val="center"/>
                </w:tcPr>
                <w:p w14:paraId="716FD6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280A2F5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7F7A98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21</w:t>
                  </w:r>
                </w:p>
              </w:tc>
              <w:tc>
                <w:tcPr>
                  <w:tcW w:w="1335" w:type="dxa"/>
                  <w:vMerge w:val="continue"/>
                  <w:tcBorders>
                    <w:tl2br w:val="nil"/>
                    <w:tr2bl w:val="nil"/>
                  </w:tcBorders>
                  <w:shd w:val="clear" w:color="auto" w:fill="auto"/>
                  <w:vAlign w:val="center"/>
                </w:tcPr>
                <w:p w14:paraId="1BB8AF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143570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振动破碎筛分机</w:t>
                  </w:r>
                </w:p>
              </w:tc>
              <w:tc>
                <w:tcPr>
                  <w:tcW w:w="1110" w:type="dxa"/>
                  <w:tcBorders>
                    <w:tl2br w:val="nil"/>
                    <w:tr2bl w:val="nil"/>
                  </w:tcBorders>
                  <w:shd w:val="clear" w:color="auto" w:fill="auto"/>
                  <w:vAlign w:val="center"/>
                </w:tcPr>
                <w:p w14:paraId="23B961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3051E4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85</w:t>
                  </w:r>
                </w:p>
              </w:tc>
              <w:tc>
                <w:tcPr>
                  <w:tcW w:w="2190" w:type="dxa"/>
                  <w:tcBorders>
                    <w:tl2br w:val="nil"/>
                    <w:tr2bl w:val="nil"/>
                  </w:tcBorders>
                  <w:shd w:val="clear" w:color="auto" w:fill="auto"/>
                  <w:vAlign w:val="center"/>
                </w:tcPr>
                <w:p w14:paraId="2E48F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85.0</w:t>
                  </w:r>
                </w:p>
              </w:tc>
              <w:tc>
                <w:tcPr>
                  <w:tcW w:w="2613" w:type="dxa"/>
                  <w:vMerge w:val="continue"/>
                  <w:tcBorders>
                    <w:tl2br w:val="nil"/>
                    <w:tr2bl w:val="nil"/>
                  </w:tcBorders>
                  <w:shd w:val="clear" w:color="auto" w:fill="auto"/>
                  <w:vAlign w:val="center"/>
                </w:tcPr>
                <w:p w14:paraId="392D25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65731A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E3A75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22</w:t>
                  </w:r>
                </w:p>
              </w:tc>
              <w:tc>
                <w:tcPr>
                  <w:tcW w:w="1335" w:type="dxa"/>
                  <w:vMerge w:val="continue"/>
                  <w:tcBorders>
                    <w:tl2br w:val="nil"/>
                    <w:tr2bl w:val="nil"/>
                  </w:tcBorders>
                  <w:shd w:val="clear" w:color="auto" w:fill="auto"/>
                  <w:vAlign w:val="center"/>
                </w:tcPr>
                <w:p w14:paraId="42F27E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2B29F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斗式提升机</w:t>
                  </w:r>
                </w:p>
              </w:tc>
              <w:tc>
                <w:tcPr>
                  <w:tcW w:w="1110" w:type="dxa"/>
                  <w:tcBorders>
                    <w:tl2br w:val="nil"/>
                    <w:tr2bl w:val="nil"/>
                  </w:tcBorders>
                  <w:shd w:val="clear" w:color="auto" w:fill="auto"/>
                  <w:vAlign w:val="center"/>
                </w:tcPr>
                <w:p w14:paraId="00B8CF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3A71CC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w:t>
                  </w:r>
                </w:p>
              </w:tc>
              <w:tc>
                <w:tcPr>
                  <w:tcW w:w="2190" w:type="dxa"/>
                  <w:tcBorders>
                    <w:tl2br w:val="nil"/>
                    <w:tr2bl w:val="nil"/>
                  </w:tcBorders>
                  <w:shd w:val="clear" w:color="auto" w:fill="auto"/>
                  <w:vAlign w:val="center"/>
                </w:tcPr>
                <w:p w14:paraId="66812B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60.0</w:t>
                  </w:r>
                </w:p>
              </w:tc>
              <w:tc>
                <w:tcPr>
                  <w:tcW w:w="2613" w:type="dxa"/>
                  <w:vMerge w:val="continue"/>
                  <w:tcBorders>
                    <w:tl2br w:val="nil"/>
                    <w:tr2bl w:val="nil"/>
                  </w:tcBorders>
                  <w:shd w:val="clear" w:color="auto" w:fill="auto"/>
                  <w:vAlign w:val="center"/>
                </w:tcPr>
                <w:p w14:paraId="00FF82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363770F9">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7592D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23</w:t>
                  </w:r>
                </w:p>
              </w:tc>
              <w:tc>
                <w:tcPr>
                  <w:tcW w:w="1335" w:type="dxa"/>
                  <w:vMerge w:val="continue"/>
                  <w:tcBorders>
                    <w:tl2br w:val="nil"/>
                    <w:tr2bl w:val="nil"/>
                  </w:tcBorders>
                  <w:shd w:val="clear" w:color="auto" w:fill="auto"/>
                  <w:vAlign w:val="center"/>
                </w:tcPr>
                <w:p w14:paraId="5EBAC1B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0906B3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贯通式磁选机</w:t>
                  </w:r>
                </w:p>
              </w:tc>
              <w:tc>
                <w:tcPr>
                  <w:tcW w:w="1110" w:type="dxa"/>
                  <w:tcBorders>
                    <w:tl2br w:val="nil"/>
                    <w:tr2bl w:val="nil"/>
                  </w:tcBorders>
                  <w:shd w:val="clear" w:color="auto" w:fill="auto"/>
                  <w:vAlign w:val="center"/>
                </w:tcPr>
                <w:p w14:paraId="391901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0557E3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0D90D1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754803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8253C6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6E1BA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24</w:t>
                  </w:r>
                </w:p>
              </w:tc>
              <w:tc>
                <w:tcPr>
                  <w:tcW w:w="1335" w:type="dxa"/>
                  <w:vMerge w:val="continue"/>
                  <w:tcBorders>
                    <w:tl2br w:val="nil"/>
                    <w:tr2bl w:val="nil"/>
                  </w:tcBorders>
                  <w:shd w:val="clear" w:color="auto" w:fill="auto"/>
                  <w:vAlign w:val="center"/>
                </w:tcPr>
                <w:p w14:paraId="2B972AC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72DE0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涡流式再生机</w:t>
                  </w:r>
                </w:p>
              </w:tc>
              <w:tc>
                <w:tcPr>
                  <w:tcW w:w="1110" w:type="dxa"/>
                  <w:tcBorders>
                    <w:tl2br w:val="nil"/>
                    <w:tr2bl w:val="nil"/>
                  </w:tcBorders>
                  <w:shd w:val="clear" w:color="auto" w:fill="auto"/>
                  <w:vAlign w:val="center"/>
                </w:tcPr>
                <w:p w14:paraId="290560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43966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5BB594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2B6BFC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70F207B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6F83B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25</w:t>
                  </w:r>
                </w:p>
              </w:tc>
              <w:tc>
                <w:tcPr>
                  <w:tcW w:w="1335" w:type="dxa"/>
                  <w:vMerge w:val="continue"/>
                  <w:tcBorders>
                    <w:tl2br w:val="nil"/>
                    <w:tr2bl w:val="nil"/>
                  </w:tcBorders>
                  <w:shd w:val="clear" w:color="auto" w:fill="auto"/>
                  <w:vAlign w:val="center"/>
                </w:tcPr>
                <w:p w14:paraId="0055CCA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78B0A2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斗式提升机</w:t>
                  </w:r>
                </w:p>
              </w:tc>
              <w:tc>
                <w:tcPr>
                  <w:tcW w:w="1110" w:type="dxa"/>
                  <w:tcBorders>
                    <w:tl2br w:val="nil"/>
                    <w:tr2bl w:val="nil"/>
                  </w:tcBorders>
                  <w:shd w:val="clear" w:color="auto" w:fill="auto"/>
                  <w:vAlign w:val="center"/>
                </w:tcPr>
                <w:p w14:paraId="77145E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9C327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w:t>
                  </w:r>
                </w:p>
              </w:tc>
              <w:tc>
                <w:tcPr>
                  <w:tcW w:w="2190" w:type="dxa"/>
                  <w:tcBorders>
                    <w:tl2br w:val="nil"/>
                    <w:tr2bl w:val="nil"/>
                  </w:tcBorders>
                  <w:shd w:val="clear" w:color="auto" w:fill="auto"/>
                  <w:vAlign w:val="center"/>
                </w:tcPr>
                <w:p w14:paraId="2C8700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60.0</w:t>
                  </w:r>
                </w:p>
              </w:tc>
              <w:tc>
                <w:tcPr>
                  <w:tcW w:w="2613" w:type="dxa"/>
                  <w:vMerge w:val="continue"/>
                  <w:tcBorders>
                    <w:tl2br w:val="nil"/>
                    <w:tr2bl w:val="nil"/>
                  </w:tcBorders>
                  <w:shd w:val="clear" w:color="auto" w:fill="auto"/>
                  <w:vAlign w:val="center"/>
                </w:tcPr>
                <w:p w14:paraId="0998FD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69A1D0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C758C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26</w:t>
                  </w:r>
                </w:p>
              </w:tc>
              <w:tc>
                <w:tcPr>
                  <w:tcW w:w="1335" w:type="dxa"/>
                  <w:vMerge w:val="continue"/>
                  <w:tcBorders>
                    <w:tl2br w:val="nil"/>
                    <w:tr2bl w:val="nil"/>
                  </w:tcBorders>
                  <w:shd w:val="clear" w:color="auto" w:fill="auto"/>
                  <w:vAlign w:val="center"/>
                </w:tcPr>
                <w:p w14:paraId="4A2752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4FECA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沸腾式冷却床</w:t>
                  </w:r>
                </w:p>
              </w:tc>
              <w:tc>
                <w:tcPr>
                  <w:tcW w:w="1110" w:type="dxa"/>
                  <w:tcBorders>
                    <w:tl2br w:val="nil"/>
                    <w:tr2bl w:val="nil"/>
                  </w:tcBorders>
                  <w:shd w:val="clear" w:color="auto" w:fill="auto"/>
                  <w:vAlign w:val="center"/>
                </w:tcPr>
                <w:p w14:paraId="24ED60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467F4F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72372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40941F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2D78E25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BA5BC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27</w:t>
                  </w:r>
                </w:p>
              </w:tc>
              <w:tc>
                <w:tcPr>
                  <w:tcW w:w="1335" w:type="dxa"/>
                  <w:vMerge w:val="continue"/>
                  <w:tcBorders>
                    <w:tl2br w:val="nil"/>
                    <w:tr2bl w:val="nil"/>
                  </w:tcBorders>
                  <w:shd w:val="clear" w:color="auto" w:fill="auto"/>
                  <w:vAlign w:val="center"/>
                </w:tcPr>
                <w:p w14:paraId="383EDB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FF05C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斗式提升机</w:t>
                  </w:r>
                </w:p>
              </w:tc>
              <w:tc>
                <w:tcPr>
                  <w:tcW w:w="1110" w:type="dxa"/>
                  <w:tcBorders>
                    <w:tl2br w:val="nil"/>
                    <w:tr2bl w:val="nil"/>
                  </w:tcBorders>
                  <w:shd w:val="clear" w:color="auto" w:fill="auto"/>
                  <w:vAlign w:val="center"/>
                </w:tcPr>
                <w:p w14:paraId="1A8904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4E6986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w:t>
                  </w:r>
                </w:p>
              </w:tc>
              <w:tc>
                <w:tcPr>
                  <w:tcW w:w="2190" w:type="dxa"/>
                  <w:tcBorders>
                    <w:tl2br w:val="nil"/>
                    <w:tr2bl w:val="nil"/>
                  </w:tcBorders>
                  <w:shd w:val="clear" w:color="auto" w:fill="auto"/>
                  <w:vAlign w:val="center"/>
                </w:tcPr>
                <w:p w14:paraId="102DC9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60.0</w:t>
                  </w:r>
                </w:p>
              </w:tc>
              <w:tc>
                <w:tcPr>
                  <w:tcW w:w="2613" w:type="dxa"/>
                  <w:vMerge w:val="continue"/>
                  <w:tcBorders>
                    <w:tl2br w:val="nil"/>
                    <w:tr2bl w:val="nil"/>
                  </w:tcBorders>
                  <w:shd w:val="clear" w:color="auto" w:fill="auto"/>
                  <w:vAlign w:val="center"/>
                </w:tcPr>
                <w:p w14:paraId="359D4B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3E2E55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400152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28</w:t>
                  </w:r>
                </w:p>
              </w:tc>
              <w:tc>
                <w:tcPr>
                  <w:tcW w:w="1335" w:type="dxa"/>
                  <w:vMerge w:val="continue"/>
                  <w:tcBorders>
                    <w:tl2br w:val="nil"/>
                    <w:tr2bl w:val="nil"/>
                  </w:tcBorders>
                  <w:shd w:val="clear" w:color="auto" w:fill="auto"/>
                  <w:vAlign w:val="center"/>
                </w:tcPr>
                <w:p w14:paraId="15ABF2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32703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螺旋输送器</w:t>
                  </w:r>
                </w:p>
              </w:tc>
              <w:tc>
                <w:tcPr>
                  <w:tcW w:w="1110" w:type="dxa"/>
                  <w:tcBorders>
                    <w:tl2br w:val="nil"/>
                    <w:tr2bl w:val="nil"/>
                  </w:tcBorders>
                  <w:shd w:val="clear" w:color="auto" w:fill="auto"/>
                  <w:vAlign w:val="center"/>
                </w:tcPr>
                <w:p w14:paraId="05F66D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D744F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10A317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continue"/>
                  <w:tcBorders>
                    <w:tl2br w:val="nil"/>
                    <w:tr2bl w:val="nil"/>
                  </w:tcBorders>
                  <w:shd w:val="clear" w:color="auto" w:fill="auto"/>
                  <w:vAlign w:val="center"/>
                </w:tcPr>
                <w:p w14:paraId="67802E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E410E1D">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E4CB3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29</w:t>
                  </w:r>
                </w:p>
              </w:tc>
              <w:tc>
                <w:tcPr>
                  <w:tcW w:w="1335" w:type="dxa"/>
                  <w:vMerge w:val="continue"/>
                  <w:tcBorders>
                    <w:tl2br w:val="nil"/>
                    <w:tr2bl w:val="nil"/>
                  </w:tcBorders>
                  <w:shd w:val="clear" w:color="auto" w:fill="auto"/>
                  <w:vAlign w:val="center"/>
                </w:tcPr>
                <w:p w14:paraId="041C188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21A402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10t/h</w:t>
                  </w: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固定式连续双臂混砂机</w:t>
                  </w:r>
                </w:p>
              </w:tc>
              <w:tc>
                <w:tcPr>
                  <w:tcW w:w="1110" w:type="dxa"/>
                  <w:tcBorders>
                    <w:tl2br w:val="nil"/>
                    <w:tr2bl w:val="nil"/>
                  </w:tcBorders>
                  <w:shd w:val="clear" w:color="auto" w:fill="auto"/>
                  <w:vAlign w:val="center"/>
                </w:tcPr>
                <w:p w14:paraId="7EFD15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FE76B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5C7440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.0</w:t>
                  </w:r>
                </w:p>
              </w:tc>
              <w:tc>
                <w:tcPr>
                  <w:tcW w:w="2613" w:type="dxa"/>
                  <w:vMerge w:val="continue"/>
                  <w:tcBorders>
                    <w:tl2br w:val="nil"/>
                    <w:tr2bl w:val="nil"/>
                  </w:tcBorders>
                  <w:shd w:val="clear" w:color="auto" w:fill="auto"/>
                  <w:vAlign w:val="center"/>
                </w:tcPr>
                <w:p w14:paraId="31B453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0B276E1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840B4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30</w:t>
                  </w:r>
                </w:p>
              </w:tc>
              <w:tc>
                <w:tcPr>
                  <w:tcW w:w="1335" w:type="dxa"/>
                  <w:vMerge w:val="restart"/>
                  <w:tcBorders>
                    <w:tl2br w:val="nil"/>
                    <w:tr2bl w:val="nil"/>
                  </w:tcBorders>
                  <w:shd w:val="clear" w:color="auto" w:fill="auto"/>
                  <w:vAlign w:val="center"/>
                </w:tcPr>
                <w:p w14:paraId="717789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lang w:val="en-US"/>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粘土砂再生</w:t>
                  </w:r>
                  <w:r>
                    <w:rPr>
                      <w:rStyle w:val="173"/>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区</w:t>
                  </w:r>
                </w:p>
              </w:tc>
              <w:tc>
                <w:tcPr>
                  <w:tcW w:w="3180" w:type="dxa"/>
                  <w:tcBorders>
                    <w:tl2br w:val="nil"/>
                    <w:tr2bl w:val="nil"/>
                  </w:tcBorders>
                  <w:shd w:val="clear" w:color="auto" w:fill="auto"/>
                  <w:vAlign w:val="center"/>
                </w:tcPr>
                <w:p w14:paraId="7593DF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耐热皮带输送机</w:t>
                  </w:r>
                </w:p>
              </w:tc>
              <w:tc>
                <w:tcPr>
                  <w:tcW w:w="1110" w:type="dxa"/>
                  <w:tcBorders>
                    <w:tl2br w:val="nil"/>
                    <w:tr2bl w:val="nil"/>
                  </w:tcBorders>
                  <w:shd w:val="clear" w:color="auto" w:fill="auto"/>
                  <w:vAlign w:val="center"/>
                </w:tcPr>
                <w:p w14:paraId="4009DC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3B7A4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55586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restart"/>
                  <w:tcBorders>
                    <w:tl2br w:val="nil"/>
                    <w:tr2bl w:val="nil"/>
                  </w:tcBorders>
                  <w:shd w:val="clear" w:color="auto" w:fill="auto"/>
                  <w:vAlign w:val="center"/>
                </w:tcPr>
                <w:p w14:paraId="62AA36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86.88</w:t>
                  </w:r>
                </w:p>
              </w:tc>
            </w:tr>
            <w:tr w14:paraId="0098123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CD523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t>31</w:t>
                  </w:r>
                </w:p>
              </w:tc>
              <w:tc>
                <w:tcPr>
                  <w:tcW w:w="1335" w:type="dxa"/>
                  <w:vMerge w:val="continue"/>
                  <w:tcBorders>
                    <w:tl2br w:val="nil"/>
                    <w:tr2bl w:val="nil"/>
                  </w:tcBorders>
                  <w:shd w:val="clear" w:color="auto" w:fill="auto"/>
                  <w:vAlign w:val="center"/>
                </w:tcPr>
                <w:p w14:paraId="017B62C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742D21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悬挂磁选机</w:t>
                  </w:r>
                </w:p>
              </w:tc>
              <w:tc>
                <w:tcPr>
                  <w:tcW w:w="1110" w:type="dxa"/>
                  <w:tcBorders>
                    <w:tl2br w:val="nil"/>
                    <w:tr2bl w:val="nil"/>
                  </w:tcBorders>
                  <w:shd w:val="clear" w:color="auto" w:fill="auto"/>
                  <w:vAlign w:val="center"/>
                </w:tcPr>
                <w:p w14:paraId="6D8D7C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F4EDE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E2413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2DBDA4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7230CAD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D4EBE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32</w:t>
                  </w:r>
                </w:p>
              </w:tc>
              <w:tc>
                <w:tcPr>
                  <w:tcW w:w="1335" w:type="dxa"/>
                  <w:vMerge w:val="continue"/>
                  <w:tcBorders>
                    <w:tl2br w:val="nil"/>
                    <w:tr2bl w:val="nil"/>
                  </w:tcBorders>
                  <w:shd w:val="clear" w:color="auto" w:fill="auto"/>
                  <w:vAlign w:val="center"/>
                </w:tcPr>
                <w:p w14:paraId="7058E4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A6F07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斗式提升机</w:t>
                  </w:r>
                </w:p>
              </w:tc>
              <w:tc>
                <w:tcPr>
                  <w:tcW w:w="1110" w:type="dxa"/>
                  <w:tcBorders>
                    <w:tl2br w:val="nil"/>
                    <w:tr2bl w:val="nil"/>
                  </w:tcBorders>
                  <w:shd w:val="clear" w:color="auto" w:fill="auto"/>
                  <w:vAlign w:val="center"/>
                </w:tcPr>
                <w:p w14:paraId="499B06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62C7E4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w:t>
                  </w:r>
                </w:p>
              </w:tc>
              <w:tc>
                <w:tcPr>
                  <w:tcW w:w="2190" w:type="dxa"/>
                  <w:tcBorders>
                    <w:tl2br w:val="nil"/>
                    <w:tr2bl w:val="nil"/>
                  </w:tcBorders>
                  <w:shd w:val="clear" w:color="auto" w:fill="auto"/>
                  <w:vAlign w:val="center"/>
                </w:tcPr>
                <w:p w14:paraId="72A73D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69.8</w:t>
                  </w:r>
                </w:p>
              </w:tc>
              <w:tc>
                <w:tcPr>
                  <w:tcW w:w="2613" w:type="dxa"/>
                  <w:vMerge w:val="continue"/>
                  <w:tcBorders>
                    <w:tl2br w:val="nil"/>
                    <w:tr2bl w:val="nil"/>
                  </w:tcBorders>
                  <w:shd w:val="clear" w:color="auto" w:fill="auto"/>
                  <w:vAlign w:val="center"/>
                </w:tcPr>
                <w:p w14:paraId="40A561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EAB310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E29C5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33</w:t>
                  </w:r>
                </w:p>
              </w:tc>
              <w:tc>
                <w:tcPr>
                  <w:tcW w:w="1335" w:type="dxa"/>
                  <w:vMerge w:val="continue"/>
                  <w:tcBorders>
                    <w:tl2br w:val="nil"/>
                    <w:tr2bl w:val="nil"/>
                  </w:tcBorders>
                  <w:shd w:val="clear" w:color="auto" w:fill="auto"/>
                  <w:vAlign w:val="center"/>
                </w:tcPr>
                <w:p w14:paraId="104EFA2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4FAAC1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精细六角筛</w:t>
                  </w:r>
                </w:p>
              </w:tc>
              <w:tc>
                <w:tcPr>
                  <w:tcW w:w="1110" w:type="dxa"/>
                  <w:tcBorders>
                    <w:tl2br w:val="nil"/>
                    <w:tr2bl w:val="nil"/>
                  </w:tcBorders>
                  <w:shd w:val="clear" w:color="auto" w:fill="auto"/>
                  <w:vAlign w:val="center"/>
                </w:tcPr>
                <w:p w14:paraId="33009F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263C44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466A8F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continue"/>
                  <w:tcBorders>
                    <w:tl2br w:val="nil"/>
                    <w:tr2bl w:val="nil"/>
                  </w:tcBorders>
                  <w:shd w:val="clear" w:color="auto" w:fill="auto"/>
                  <w:vAlign w:val="center"/>
                </w:tcPr>
                <w:p w14:paraId="450E33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07C74B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511E6B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34</w:t>
                  </w:r>
                </w:p>
              </w:tc>
              <w:tc>
                <w:tcPr>
                  <w:tcW w:w="1335" w:type="dxa"/>
                  <w:vMerge w:val="continue"/>
                  <w:tcBorders>
                    <w:tl2br w:val="nil"/>
                    <w:tr2bl w:val="nil"/>
                  </w:tcBorders>
                  <w:shd w:val="clear" w:color="auto" w:fill="auto"/>
                  <w:vAlign w:val="center"/>
                </w:tcPr>
                <w:p w14:paraId="6725F3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53839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皮带给料机</w:t>
                  </w:r>
                </w:p>
              </w:tc>
              <w:tc>
                <w:tcPr>
                  <w:tcW w:w="1110" w:type="dxa"/>
                  <w:tcBorders>
                    <w:tl2br w:val="nil"/>
                    <w:tr2bl w:val="nil"/>
                  </w:tcBorders>
                  <w:shd w:val="clear" w:color="auto" w:fill="auto"/>
                  <w:vAlign w:val="center"/>
                </w:tcPr>
                <w:p w14:paraId="19679E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68BEE4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123C99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7A9667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0EB82F3F">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FBAA0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35</w:t>
                  </w:r>
                </w:p>
              </w:tc>
              <w:tc>
                <w:tcPr>
                  <w:tcW w:w="1335" w:type="dxa"/>
                  <w:vMerge w:val="continue"/>
                  <w:tcBorders>
                    <w:tl2br w:val="nil"/>
                    <w:tr2bl w:val="nil"/>
                  </w:tcBorders>
                  <w:shd w:val="clear" w:color="auto" w:fill="auto"/>
                  <w:vAlign w:val="center"/>
                </w:tcPr>
                <w:p w14:paraId="499BF2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B9865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沸腾式冷却床</w:t>
                  </w:r>
                </w:p>
              </w:tc>
              <w:tc>
                <w:tcPr>
                  <w:tcW w:w="1110" w:type="dxa"/>
                  <w:tcBorders>
                    <w:tl2br w:val="nil"/>
                    <w:tr2bl w:val="nil"/>
                  </w:tcBorders>
                  <w:shd w:val="clear" w:color="auto" w:fill="auto"/>
                  <w:vAlign w:val="center"/>
                </w:tcPr>
                <w:p w14:paraId="263988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02136F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069B48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75.0</w:t>
                  </w:r>
                </w:p>
              </w:tc>
              <w:tc>
                <w:tcPr>
                  <w:tcW w:w="2613" w:type="dxa"/>
                  <w:vMerge w:val="continue"/>
                  <w:tcBorders>
                    <w:tl2br w:val="nil"/>
                    <w:tr2bl w:val="nil"/>
                  </w:tcBorders>
                  <w:shd w:val="clear" w:color="auto" w:fill="auto"/>
                  <w:vAlign w:val="center"/>
                </w:tcPr>
                <w:p w14:paraId="70C53F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BF82DAC">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18BA4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36</w:t>
                  </w:r>
                </w:p>
              </w:tc>
              <w:tc>
                <w:tcPr>
                  <w:tcW w:w="1335" w:type="dxa"/>
                  <w:vMerge w:val="continue"/>
                  <w:tcBorders>
                    <w:tl2br w:val="nil"/>
                    <w:tr2bl w:val="nil"/>
                  </w:tcBorders>
                  <w:shd w:val="clear" w:color="auto" w:fill="auto"/>
                  <w:vAlign w:val="center"/>
                </w:tcPr>
                <w:p w14:paraId="4EF6D3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3F8083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直线振动筛</w:t>
                  </w:r>
                </w:p>
              </w:tc>
              <w:tc>
                <w:tcPr>
                  <w:tcW w:w="1110" w:type="dxa"/>
                  <w:tcBorders>
                    <w:tl2br w:val="nil"/>
                    <w:tr2bl w:val="nil"/>
                  </w:tcBorders>
                  <w:shd w:val="clear" w:color="auto" w:fill="auto"/>
                  <w:vAlign w:val="center"/>
                </w:tcPr>
                <w:p w14:paraId="190092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C56E2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80</w:t>
                  </w:r>
                </w:p>
              </w:tc>
              <w:tc>
                <w:tcPr>
                  <w:tcW w:w="2190" w:type="dxa"/>
                  <w:tcBorders>
                    <w:tl2br w:val="nil"/>
                    <w:tr2bl w:val="nil"/>
                  </w:tcBorders>
                  <w:shd w:val="clear" w:color="auto" w:fill="auto"/>
                  <w:vAlign w:val="center"/>
                </w:tcPr>
                <w:p w14:paraId="0165D1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80.0</w:t>
                  </w:r>
                </w:p>
              </w:tc>
              <w:tc>
                <w:tcPr>
                  <w:tcW w:w="2613" w:type="dxa"/>
                  <w:vMerge w:val="continue"/>
                  <w:tcBorders>
                    <w:tl2br w:val="nil"/>
                    <w:tr2bl w:val="nil"/>
                  </w:tcBorders>
                  <w:shd w:val="clear" w:color="auto" w:fill="auto"/>
                  <w:vAlign w:val="center"/>
                </w:tcPr>
                <w:p w14:paraId="3F6DA3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327558A6">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1BA21A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37</w:t>
                  </w:r>
                </w:p>
              </w:tc>
              <w:tc>
                <w:tcPr>
                  <w:tcW w:w="1335" w:type="dxa"/>
                  <w:vMerge w:val="continue"/>
                  <w:tcBorders>
                    <w:tl2br w:val="nil"/>
                    <w:tr2bl w:val="nil"/>
                  </w:tcBorders>
                  <w:shd w:val="clear" w:color="auto" w:fill="auto"/>
                  <w:vAlign w:val="center"/>
                </w:tcPr>
                <w:p w14:paraId="029C3C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788DF1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皮带给料机</w:t>
                  </w:r>
                </w:p>
              </w:tc>
              <w:tc>
                <w:tcPr>
                  <w:tcW w:w="1110" w:type="dxa"/>
                  <w:tcBorders>
                    <w:tl2br w:val="nil"/>
                    <w:tr2bl w:val="nil"/>
                  </w:tcBorders>
                  <w:shd w:val="clear" w:color="auto" w:fill="auto"/>
                  <w:vAlign w:val="center"/>
                </w:tcPr>
                <w:p w14:paraId="191894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134E48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207D59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61A038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0141C78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7D6ABA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38</w:t>
                  </w:r>
                </w:p>
              </w:tc>
              <w:tc>
                <w:tcPr>
                  <w:tcW w:w="1335" w:type="dxa"/>
                  <w:vMerge w:val="continue"/>
                  <w:tcBorders>
                    <w:tl2br w:val="nil"/>
                    <w:tr2bl w:val="nil"/>
                  </w:tcBorders>
                  <w:shd w:val="clear" w:color="auto" w:fill="auto"/>
                  <w:vAlign w:val="center"/>
                </w:tcPr>
                <w:p w14:paraId="0265AE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5C9A9C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螺旋给料机</w:t>
                  </w:r>
                </w:p>
              </w:tc>
              <w:tc>
                <w:tcPr>
                  <w:tcW w:w="1110" w:type="dxa"/>
                  <w:tcBorders>
                    <w:tl2br w:val="nil"/>
                    <w:tr2bl w:val="nil"/>
                  </w:tcBorders>
                  <w:shd w:val="clear" w:color="auto" w:fill="auto"/>
                  <w:vAlign w:val="center"/>
                </w:tcPr>
                <w:p w14:paraId="67C8C7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1B6B9F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5EE803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79.8</w:t>
                  </w:r>
                </w:p>
              </w:tc>
              <w:tc>
                <w:tcPr>
                  <w:tcW w:w="2613" w:type="dxa"/>
                  <w:vMerge w:val="continue"/>
                  <w:tcBorders>
                    <w:tl2br w:val="nil"/>
                    <w:tr2bl w:val="nil"/>
                  </w:tcBorders>
                  <w:shd w:val="clear" w:color="auto" w:fill="auto"/>
                  <w:vAlign w:val="center"/>
                </w:tcPr>
                <w:p w14:paraId="36A103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3BC3EB0">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6E18DD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39</w:t>
                  </w:r>
                </w:p>
              </w:tc>
              <w:tc>
                <w:tcPr>
                  <w:tcW w:w="1335" w:type="dxa"/>
                  <w:vMerge w:val="continue"/>
                  <w:tcBorders>
                    <w:tl2br w:val="nil"/>
                    <w:tr2bl w:val="nil"/>
                  </w:tcBorders>
                  <w:shd w:val="clear" w:color="auto" w:fill="auto"/>
                  <w:vAlign w:val="center"/>
                </w:tcPr>
                <w:p w14:paraId="4F8CC1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6711F2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敷料提升系统</w:t>
                  </w:r>
                </w:p>
              </w:tc>
              <w:tc>
                <w:tcPr>
                  <w:tcW w:w="1110" w:type="dxa"/>
                  <w:tcBorders>
                    <w:tl2br w:val="nil"/>
                    <w:tr2bl w:val="nil"/>
                  </w:tcBorders>
                  <w:shd w:val="clear" w:color="auto" w:fill="auto"/>
                  <w:vAlign w:val="center"/>
                </w:tcPr>
                <w:p w14:paraId="49607D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86FB8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w:t>
                  </w:r>
                </w:p>
              </w:tc>
              <w:tc>
                <w:tcPr>
                  <w:tcW w:w="2190" w:type="dxa"/>
                  <w:tcBorders>
                    <w:tl2br w:val="nil"/>
                    <w:tr2bl w:val="nil"/>
                  </w:tcBorders>
                  <w:shd w:val="clear" w:color="auto" w:fill="auto"/>
                  <w:vAlign w:val="center"/>
                </w:tcPr>
                <w:p w14:paraId="47A583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65.0</w:t>
                  </w:r>
                </w:p>
              </w:tc>
              <w:tc>
                <w:tcPr>
                  <w:tcW w:w="2613" w:type="dxa"/>
                  <w:vMerge w:val="continue"/>
                  <w:tcBorders>
                    <w:tl2br w:val="nil"/>
                    <w:tr2bl w:val="nil"/>
                  </w:tcBorders>
                  <w:shd w:val="clear" w:color="auto" w:fill="auto"/>
                  <w:vAlign w:val="center"/>
                </w:tcPr>
                <w:p w14:paraId="5C14E5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2C63631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69810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40</w:t>
                  </w:r>
                </w:p>
              </w:tc>
              <w:tc>
                <w:tcPr>
                  <w:tcW w:w="1335" w:type="dxa"/>
                  <w:vMerge w:val="continue"/>
                  <w:tcBorders>
                    <w:tl2br w:val="nil"/>
                    <w:tr2bl w:val="nil"/>
                  </w:tcBorders>
                  <w:shd w:val="clear" w:color="auto" w:fill="auto"/>
                  <w:vAlign w:val="center"/>
                </w:tcPr>
                <w:p w14:paraId="4F2ADC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640A5D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20t/h</w:t>
                  </w: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高效转子混砂机</w:t>
                  </w:r>
                </w:p>
              </w:tc>
              <w:tc>
                <w:tcPr>
                  <w:tcW w:w="1110" w:type="dxa"/>
                  <w:tcBorders>
                    <w:tl2br w:val="nil"/>
                    <w:tr2bl w:val="nil"/>
                  </w:tcBorders>
                  <w:shd w:val="clear" w:color="auto" w:fill="auto"/>
                  <w:vAlign w:val="center"/>
                </w:tcPr>
                <w:p w14:paraId="68844E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5A6D4F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80</w:t>
                  </w:r>
                </w:p>
              </w:tc>
              <w:tc>
                <w:tcPr>
                  <w:tcW w:w="2190" w:type="dxa"/>
                  <w:tcBorders>
                    <w:tl2br w:val="nil"/>
                    <w:tr2bl w:val="nil"/>
                  </w:tcBorders>
                  <w:shd w:val="clear" w:color="auto" w:fill="auto"/>
                  <w:vAlign w:val="center"/>
                </w:tcPr>
                <w:p w14:paraId="2FB5AB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80.0</w:t>
                  </w:r>
                </w:p>
              </w:tc>
              <w:tc>
                <w:tcPr>
                  <w:tcW w:w="2613" w:type="dxa"/>
                  <w:vMerge w:val="continue"/>
                  <w:tcBorders>
                    <w:tl2br w:val="nil"/>
                    <w:tr2bl w:val="nil"/>
                  </w:tcBorders>
                  <w:shd w:val="clear" w:color="auto" w:fill="auto"/>
                  <w:vAlign w:val="center"/>
                </w:tcPr>
                <w:p w14:paraId="170D23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4FBE0722">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50E9B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41</w:t>
                  </w:r>
                </w:p>
              </w:tc>
              <w:tc>
                <w:tcPr>
                  <w:tcW w:w="1335" w:type="dxa"/>
                  <w:vMerge w:val="continue"/>
                  <w:tcBorders>
                    <w:tl2br w:val="nil"/>
                    <w:tr2bl w:val="nil"/>
                  </w:tcBorders>
                  <w:shd w:val="clear" w:color="auto" w:fill="auto"/>
                  <w:vAlign w:val="center"/>
                </w:tcPr>
                <w:p w14:paraId="163C1F9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43EF79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型砂皮带输送机</w:t>
                  </w:r>
                </w:p>
              </w:tc>
              <w:tc>
                <w:tcPr>
                  <w:tcW w:w="1110" w:type="dxa"/>
                  <w:tcBorders>
                    <w:tl2br w:val="nil"/>
                    <w:tr2bl w:val="nil"/>
                  </w:tcBorders>
                  <w:shd w:val="clear" w:color="auto" w:fill="auto"/>
                  <w:vAlign w:val="center"/>
                </w:tcPr>
                <w:p w14:paraId="150AD1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0AE3DC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w:t>
                  </w:r>
                </w:p>
              </w:tc>
              <w:tc>
                <w:tcPr>
                  <w:tcW w:w="2190" w:type="dxa"/>
                  <w:tcBorders>
                    <w:tl2br w:val="nil"/>
                    <w:tr2bl w:val="nil"/>
                  </w:tcBorders>
                  <w:shd w:val="clear" w:color="auto" w:fill="auto"/>
                  <w:vAlign w:val="center"/>
                </w:tcPr>
                <w:p w14:paraId="7CA354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65.0</w:t>
                  </w:r>
                </w:p>
              </w:tc>
              <w:tc>
                <w:tcPr>
                  <w:tcW w:w="2613" w:type="dxa"/>
                  <w:vMerge w:val="continue"/>
                  <w:tcBorders>
                    <w:tl2br w:val="nil"/>
                    <w:tr2bl w:val="nil"/>
                  </w:tcBorders>
                  <w:shd w:val="clear" w:color="auto" w:fill="auto"/>
                  <w:vAlign w:val="center"/>
                </w:tcPr>
                <w:p w14:paraId="556369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18BEDB0B">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311DED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42</w:t>
                  </w:r>
                </w:p>
              </w:tc>
              <w:tc>
                <w:tcPr>
                  <w:tcW w:w="1335" w:type="dxa"/>
                  <w:vMerge w:val="continue"/>
                  <w:tcBorders>
                    <w:tl2br w:val="nil"/>
                    <w:tr2bl w:val="nil"/>
                  </w:tcBorders>
                  <w:shd w:val="clear" w:color="auto" w:fill="auto"/>
                  <w:vAlign w:val="center"/>
                </w:tcPr>
                <w:p w14:paraId="28E067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1FD765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气动双侧犁式卸料器</w:t>
                  </w:r>
                </w:p>
              </w:tc>
              <w:tc>
                <w:tcPr>
                  <w:tcW w:w="1110" w:type="dxa"/>
                  <w:tcBorders>
                    <w:tl2br w:val="nil"/>
                    <w:tr2bl w:val="nil"/>
                  </w:tcBorders>
                  <w:shd w:val="clear" w:color="auto" w:fill="auto"/>
                  <w:vAlign w:val="center"/>
                </w:tcPr>
                <w:p w14:paraId="046418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2</w:t>
                  </w:r>
                </w:p>
              </w:tc>
              <w:tc>
                <w:tcPr>
                  <w:tcW w:w="2025" w:type="dxa"/>
                  <w:tcBorders>
                    <w:tl2br w:val="nil"/>
                    <w:tr2bl w:val="nil"/>
                  </w:tcBorders>
                  <w:shd w:val="clear" w:color="auto" w:fill="auto"/>
                  <w:vAlign w:val="center"/>
                </w:tcPr>
                <w:p w14:paraId="0A8C7A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4EA07E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78.0</w:t>
                  </w:r>
                </w:p>
              </w:tc>
              <w:tc>
                <w:tcPr>
                  <w:tcW w:w="2613" w:type="dxa"/>
                  <w:vMerge w:val="continue"/>
                  <w:tcBorders>
                    <w:tl2br w:val="nil"/>
                    <w:tr2bl w:val="nil"/>
                  </w:tcBorders>
                  <w:shd w:val="clear" w:color="auto" w:fill="auto"/>
                  <w:vAlign w:val="center"/>
                </w:tcPr>
                <w:p w14:paraId="01A9B9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0F5598A5">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8C119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43</w:t>
                  </w:r>
                </w:p>
              </w:tc>
              <w:tc>
                <w:tcPr>
                  <w:tcW w:w="1335" w:type="dxa"/>
                  <w:vMerge w:val="continue"/>
                  <w:tcBorders>
                    <w:tl2br w:val="nil"/>
                    <w:tr2bl w:val="nil"/>
                  </w:tcBorders>
                  <w:shd w:val="clear" w:color="auto" w:fill="auto"/>
                  <w:vAlign w:val="center"/>
                </w:tcPr>
                <w:p w14:paraId="6C04CA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p>
              </w:tc>
              <w:tc>
                <w:tcPr>
                  <w:tcW w:w="3180" w:type="dxa"/>
                  <w:tcBorders>
                    <w:tl2br w:val="nil"/>
                    <w:tr2bl w:val="nil"/>
                  </w:tcBorders>
                  <w:shd w:val="clear" w:color="auto" w:fill="auto"/>
                  <w:vAlign w:val="center"/>
                </w:tcPr>
                <w:p w14:paraId="2977F6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皮带给料机</w:t>
                  </w:r>
                </w:p>
              </w:tc>
              <w:tc>
                <w:tcPr>
                  <w:tcW w:w="1110" w:type="dxa"/>
                  <w:tcBorders>
                    <w:tl2br w:val="nil"/>
                    <w:tr2bl w:val="nil"/>
                  </w:tcBorders>
                  <w:shd w:val="clear" w:color="auto" w:fill="auto"/>
                  <w:vAlign w:val="center"/>
                </w:tcPr>
                <w:p w14:paraId="4C1927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1</w:t>
                  </w:r>
                </w:p>
              </w:tc>
              <w:tc>
                <w:tcPr>
                  <w:tcW w:w="2025" w:type="dxa"/>
                  <w:tcBorders>
                    <w:tl2br w:val="nil"/>
                    <w:tr2bl w:val="nil"/>
                  </w:tcBorders>
                  <w:shd w:val="clear" w:color="auto" w:fill="auto"/>
                  <w:vAlign w:val="center"/>
                </w:tcPr>
                <w:p w14:paraId="74C1EC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w:t>
                  </w:r>
                </w:p>
              </w:tc>
              <w:tc>
                <w:tcPr>
                  <w:tcW w:w="2190" w:type="dxa"/>
                  <w:tcBorders>
                    <w:tl2br w:val="nil"/>
                    <w:tr2bl w:val="nil"/>
                  </w:tcBorders>
                  <w:shd w:val="clear" w:color="auto" w:fill="auto"/>
                  <w:vAlign w:val="center"/>
                </w:tcPr>
                <w:p w14:paraId="21EACB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70.0</w:t>
                  </w:r>
                </w:p>
              </w:tc>
              <w:tc>
                <w:tcPr>
                  <w:tcW w:w="2613" w:type="dxa"/>
                  <w:vMerge w:val="continue"/>
                  <w:tcBorders>
                    <w:tl2br w:val="nil"/>
                    <w:tr2bl w:val="nil"/>
                  </w:tcBorders>
                  <w:shd w:val="clear" w:color="auto" w:fill="auto"/>
                  <w:vAlign w:val="center"/>
                </w:tcPr>
                <w:p w14:paraId="3C4387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p>
              </w:tc>
            </w:tr>
            <w:tr w14:paraId="6A2DB80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shd w:val="clear" w:color="auto" w:fill="auto"/>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62CA5C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44</w:t>
                  </w:r>
                </w:p>
              </w:tc>
              <w:tc>
                <w:tcPr>
                  <w:tcW w:w="1335" w:type="dxa"/>
                  <w:tcBorders>
                    <w:tl2br w:val="nil"/>
                    <w:tr2bl w:val="nil"/>
                  </w:tcBorders>
                  <w:shd w:val="clear" w:color="auto" w:fill="auto"/>
                  <w:vAlign w:val="center"/>
                </w:tcPr>
                <w:p w14:paraId="680A7D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辅助</w:t>
                  </w:r>
                </w:p>
              </w:tc>
              <w:tc>
                <w:tcPr>
                  <w:tcW w:w="3180" w:type="dxa"/>
                  <w:tcBorders>
                    <w:tl2br w:val="nil"/>
                    <w:tr2bl w:val="nil"/>
                  </w:tcBorders>
                  <w:shd w:val="clear" w:color="auto" w:fill="auto"/>
                  <w:vAlign w:val="center"/>
                </w:tcPr>
                <w:p w14:paraId="7318AD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sz w:val="21"/>
                      <w:szCs w:val="21"/>
                      <w:u w:val="none"/>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螺杆压缩机</w:t>
                  </w:r>
                </w:p>
              </w:tc>
              <w:tc>
                <w:tcPr>
                  <w:tcW w:w="1110" w:type="dxa"/>
                  <w:tcBorders>
                    <w:tl2br w:val="nil"/>
                    <w:tr2bl w:val="nil"/>
                  </w:tcBorders>
                  <w:shd w:val="clear" w:color="auto" w:fill="auto"/>
                  <w:vAlign w:val="center"/>
                </w:tcPr>
                <w:p w14:paraId="6826D4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3</w:t>
                  </w:r>
                </w:p>
              </w:tc>
              <w:tc>
                <w:tcPr>
                  <w:tcW w:w="2025" w:type="dxa"/>
                  <w:tcBorders>
                    <w:tl2br w:val="nil"/>
                    <w:tr2bl w:val="nil"/>
                  </w:tcBorders>
                  <w:shd w:val="clear" w:color="auto" w:fill="auto"/>
                  <w:vAlign w:val="center"/>
                </w:tcPr>
                <w:p w14:paraId="5F6294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75</w:t>
                  </w:r>
                </w:p>
              </w:tc>
              <w:tc>
                <w:tcPr>
                  <w:tcW w:w="2190" w:type="dxa"/>
                  <w:tcBorders>
                    <w:tl2br w:val="nil"/>
                    <w:tr2bl w:val="nil"/>
                  </w:tcBorders>
                  <w:shd w:val="clear" w:color="auto" w:fill="auto"/>
                  <w:vAlign w:val="center"/>
                </w:tcPr>
                <w:p w14:paraId="2AEA12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79.8</w:t>
                  </w:r>
                </w:p>
              </w:tc>
              <w:tc>
                <w:tcPr>
                  <w:tcW w:w="2613" w:type="dxa"/>
                  <w:tcBorders>
                    <w:tl2br w:val="nil"/>
                    <w:tr2bl w:val="nil"/>
                  </w:tcBorders>
                  <w:shd w:val="clear" w:color="auto" w:fill="auto"/>
                  <w:vAlign w:val="center"/>
                </w:tcPr>
                <w:p w14:paraId="7D17CB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79.8</w:t>
                  </w:r>
                </w:p>
              </w:tc>
            </w:tr>
            <w:tr w14:paraId="24509CC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108" w:type="dxa"/>
                  <w:bottom w:w="0" w:type="dxa"/>
                  <w:right w:w="108" w:type="dxa"/>
                </w:tblCellMar>
              </w:tblPrEx>
              <w:trPr>
                <w:trHeight w:val="283" w:hRule="atLeast"/>
                <w:jc w:val="center"/>
              </w:trPr>
              <w:tc>
                <w:tcPr>
                  <w:tcW w:w="901" w:type="dxa"/>
                  <w:tcBorders>
                    <w:tl2br w:val="nil"/>
                    <w:tr2bl w:val="nil"/>
                  </w:tcBorders>
                  <w:shd w:val="clear" w:color="auto" w:fill="auto"/>
                  <w:vAlign w:val="center"/>
                </w:tcPr>
                <w:p w14:paraId="282F96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45</w:t>
                  </w:r>
                </w:p>
              </w:tc>
              <w:tc>
                <w:tcPr>
                  <w:tcW w:w="1335" w:type="dxa"/>
                  <w:tcBorders>
                    <w:tl2br w:val="nil"/>
                    <w:tr2bl w:val="nil"/>
                  </w:tcBorders>
                  <w:shd w:val="clear" w:color="auto" w:fill="auto"/>
                  <w:vAlign w:val="center"/>
                </w:tcPr>
                <w:p w14:paraId="718BBD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Style w:val="172"/>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pPr>
                  <w:r>
                    <w:rPr>
                      <w:rStyle w:val="172"/>
                      <w:rFonts w:hint="eastAsia" w:ascii="Times New Roman" w:hAnsi="Times New Roman" w:cs="Times New Roman" w:eastAsiaTheme="minorEastAsia"/>
                      <w:color w:val="000000" w:themeColor="text1"/>
                      <w:sz w:val="21"/>
                      <w:szCs w:val="21"/>
                      <w:lang w:val="en-US" w:eastAsia="zh-CN" w:bidi="ar"/>
                      <w14:textFill>
                        <w14:solidFill>
                          <w14:schemeClr w14:val="tx1"/>
                        </w14:solidFill>
                      </w14:textFill>
                    </w:rPr>
                    <w:t>环保设备</w:t>
                  </w:r>
                </w:p>
              </w:tc>
              <w:tc>
                <w:tcPr>
                  <w:tcW w:w="3180" w:type="dxa"/>
                  <w:tcBorders>
                    <w:tl2br w:val="nil"/>
                    <w:tr2bl w:val="nil"/>
                  </w:tcBorders>
                  <w:shd w:val="clear" w:color="auto" w:fill="auto"/>
                  <w:vAlign w:val="center"/>
                </w:tcPr>
                <w:p w14:paraId="510791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Style w:val="173"/>
                      <w:rFonts w:hint="default" w:ascii="Times New Roman" w:hAnsi="Times New Roman" w:cs="Times New Roman" w:eastAsiaTheme="minorEastAsia"/>
                      <w:color w:val="000000" w:themeColor="text1"/>
                      <w:sz w:val="21"/>
                      <w:szCs w:val="21"/>
                      <w:lang w:val="en-US" w:eastAsia="zh-CN" w:bidi="ar"/>
                      <w14:textFill>
                        <w14:solidFill>
                          <w14:schemeClr w14:val="tx1"/>
                        </w14:solidFill>
                      </w14:textFill>
                    </w:rPr>
                    <w:t>离心式风机</w:t>
                  </w:r>
                </w:p>
              </w:tc>
              <w:tc>
                <w:tcPr>
                  <w:tcW w:w="1110" w:type="dxa"/>
                  <w:tcBorders>
                    <w:tl2br w:val="nil"/>
                    <w:tr2bl w:val="nil"/>
                  </w:tcBorders>
                  <w:shd w:val="clear" w:color="auto" w:fill="auto"/>
                  <w:vAlign w:val="center"/>
                </w:tcPr>
                <w:p w14:paraId="043B55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7</w:t>
                  </w:r>
                </w:p>
              </w:tc>
              <w:tc>
                <w:tcPr>
                  <w:tcW w:w="2025" w:type="dxa"/>
                  <w:tcBorders>
                    <w:tl2br w:val="nil"/>
                    <w:tr2bl w:val="nil"/>
                  </w:tcBorders>
                  <w:shd w:val="clear" w:color="auto" w:fill="auto"/>
                  <w:vAlign w:val="center"/>
                </w:tcPr>
                <w:p w14:paraId="146808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8</w:t>
                  </w: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0</w:t>
                  </w:r>
                </w:p>
              </w:tc>
              <w:tc>
                <w:tcPr>
                  <w:tcW w:w="2190" w:type="dxa"/>
                  <w:tcBorders>
                    <w:tl2br w:val="nil"/>
                    <w:tr2bl w:val="nil"/>
                  </w:tcBorders>
                  <w:shd w:val="clear" w:color="auto" w:fill="auto"/>
                  <w:vAlign w:val="center"/>
                </w:tcPr>
                <w:p w14:paraId="57BED9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2"/>
                      <w:sz w:val="21"/>
                      <w:szCs w:val="21"/>
                      <w:u w:val="none"/>
                      <w:lang w:val="en-US" w:eastAsia="zh-CN" w:bidi="ar-SA"/>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w:t>
                  </w:r>
                </w:p>
              </w:tc>
              <w:tc>
                <w:tcPr>
                  <w:tcW w:w="2613" w:type="dxa"/>
                  <w:tcBorders>
                    <w:tl2br w:val="nil"/>
                    <w:tr2bl w:val="nil"/>
                  </w:tcBorders>
                  <w:shd w:val="clear" w:color="auto" w:fill="auto"/>
                  <w:vAlign w:val="center"/>
                </w:tcPr>
                <w:p w14:paraId="0C491E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pPr>
                  <w:r>
                    <w:rPr>
                      <w:rFonts w:hint="eastAsia" w:ascii="Times New Roman" w:hAnsi="Times New Roman" w:cs="Times New Roman" w:eastAsiaTheme="minorEastAsia"/>
                      <w:i w:val="0"/>
                      <w:iCs w:val="0"/>
                      <w:color w:val="000000" w:themeColor="text1"/>
                      <w:kern w:val="0"/>
                      <w:sz w:val="21"/>
                      <w:szCs w:val="21"/>
                      <w:u w:val="none"/>
                      <w:lang w:val="en-US" w:eastAsia="zh-CN" w:bidi="ar"/>
                      <w14:textFill>
                        <w14:solidFill>
                          <w14:schemeClr w14:val="tx1"/>
                        </w14:solidFill>
                      </w14:textFill>
                    </w:rPr>
                    <w:t>/</w:t>
                  </w:r>
                </w:p>
              </w:tc>
            </w:tr>
          </w:tbl>
          <w:p w14:paraId="0887CEC5">
            <w:pPr>
              <w:pStyle w:val="9"/>
              <w:shd w:val="clear" w:color="auto" w:fill="auto"/>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表4-</w:t>
            </w:r>
            <w:r>
              <w:rPr>
                <w:rFonts w:hint="eastAsia" w:cs="Times New Roman"/>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cs="Times New Roman"/>
                <w:bCs/>
                <w:color w:val="000000" w:themeColor="text1"/>
                <w:sz w:val="24"/>
                <w:szCs w:val="24"/>
                <w:highlight w:val="none"/>
                <w14:textFill>
                  <w14:solidFill>
                    <w14:schemeClr w14:val="tx1"/>
                  </w14:solidFill>
                </w14:textFill>
              </w:rPr>
              <w:t>工业企业噪声源强调查清单（室</w:t>
            </w:r>
            <w:r>
              <w:rPr>
                <w:rFonts w:hint="eastAsia" w:cs="Times New Roman"/>
                <w:bCs/>
                <w:color w:val="000000" w:themeColor="text1"/>
                <w:sz w:val="24"/>
                <w:szCs w:val="24"/>
                <w:highlight w:val="none"/>
                <w:lang w:val="en-US" w:eastAsia="zh-CN"/>
                <w14:textFill>
                  <w14:solidFill>
                    <w14:schemeClr w14:val="tx1"/>
                  </w14:solidFill>
                </w14:textFill>
              </w:rPr>
              <w:t>内</w:t>
            </w:r>
            <w:r>
              <w:rPr>
                <w:rFonts w:hint="default" w:ascii="Times New Roman" w:hAnsi="Times New Roman" w:cs="Times New Roman"/>
                <w:bCs/>
                <w:color w:val="000000" w:themeColor="text1"/>
                <w:sz w:val="24"/>
                <w:szCs w:val="24"/>
                <w:highlight w:val="none"/>
                <w14:textFill>
                  <w14:solidFill>
                    <w14:schemeClr w14:val="tx1"/>
                  </w14:solidFill>
                </w14:textFill>
              </w:rPr>
              <w:t>声源）</w:t>
            </w:r>
          </w:p>
          <w:tbl>
            <w:tblPr>
              <w:tblStyle w:val="32"/>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489"/>
              <w:gridCol w:w="904"/>
              <w:gridCol w:w="1457"/>
              <w:gridCol w:w="585"/>
              <w:gridCol w:w="1230"/>
              <w:gridCol w:w="1155"/>
              <w:gridCol w:w="810"/>
              <w:gridCol w:w="765"/>
              <w:gridCol w:w="705"/>
              <w:gridCol w:w="945"/>
              <w:gridCol w:w="1020"/>
              <w:gridCol w:w="735"/>
              <w:gridCol w:w="960"/>
              <w:gridCol w:w="795"/>
              <w:gridCol w:w="799"/>
            </w:tblGrid>
            <w:tr w14:paraId="4155E2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vMerge w:val="restart"/>
                  <w:tcBorders>
                    <w:tl2br w:val="nil"/>
                    <w:tr2bl w:val="nil"/>
                  </w:tcBorders>
                  <w:noWrap/>
                  <w:vAlign w:val="center"/>
                </w:tcPr>
                <w:p w14:paraId="1BDD79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序号</w:t>
                  </w:r>
                </w:p>
              </w:tc>
              <w:tc>
                <w:tcPr>
                  <w:tcW w:w="338" w:type="pct"/>
                  <w:vMerge w:val="restart"/>
                  <w:tcBorders>
                    <w:tl2br w:val="nil"/>
                    <w:tr2bl w:val="nil"/>
                  </w:tcBorders>
                  <w:noWrap/>
                  <w:vAlign w:val="center"/>
                </w:tcPr>
                <w:p w14:paraId="6B02B2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建筑物名称</w:t>
                  </w:r>
                </w:p>
              </w:tc>
              <w:tc>
                <w:tcPr>
                  <w:tcW w:w="545" w:type="pct"/>
                  <w:vMerge w:val="restart"/>
                  <w:tcBorders>
                    <w:tl2br w:val="nil"/>
                    <w:tr2bl w:val="nil"/>
                  </w:tcBorders>
                  <w:noWrap/>
                  <w:vAlign w:val="center"/>
                </w:tcPr>
                <w:p w14:paraId="03F992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声源名称</w:t>
                  </w:r>
                </w:p>
              </w:tc>
              <w:tc>
                <w:tcPr>
                  <w:tcW w:w="219" w:type="pct"/>
                  <w:vMerge w:val="restart"/>
                  <w:tcBorders>
                    <w:tl2br w:val="nil"/>
                    <w:tr2bl w:val="nil"/>
                  </w:tcBorders>
                  <w:noWrap/>
                  <w:vAlign w:val="center"/>
                </w:tcPr>
                <w:p w14:paraId="1DB636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型号</w:t>
                  </w:r>
                </w:p>
              </w:tc>
              <w:tc>
                <w:tcPr>
                  <w:tcW w:w="460" w:type="pct"/>
                  <w:vMerge w:val="restart"/>
                  <w:tcBorders>
                    <w:tl2br w:val="nil"/>
                    <w:tr2bl w:val="nil"/>
                  </w:tcBorders>
                  <w:noWrap w:val="0"/>
                  <w:vAlign w:val="center"/>
                </w:tcPr>
                <w:p w14:paraId="28F1C0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(声压级/距声源距离)(dB(A)/m)</w:t>
                  </w:r>
                </w:p>
              </w:tc>
              <w:tc>
                <w:tcPr>
                  <w:tcW w:w="432" w:type="pct"/>
                  <w:vMerge w:val="restart"/>
                  <w:tcBorders>
                    <w:tl2br w:val="nil"/>
                    <w:tr2bl w:val="nil"/>
                  </w:tcBorders>
                  <w:noWrap/>
                  <w:vAlign w:val="center"/>
                </w:tcPr>
                <w:p w14:paraId="653233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声源控制措施</w:t>
                  </w:r>
                </w:p>
              </w:tc>
              <w:tc>
                <w:tcPr>
                  <w:tcW w:w="853" w:type="pct"/>
                  <w:gridSpan w:val="3"/>
                  <w:tcBorders>
                    <w:tl2br w:val="nil"/>
                    <w:tr2bl w:val="nil"/>
                  </w:tcBorders>
                  <w:noWrap/>
                  <w:vAlign w:val="center"/>
                </w:tcPr>
                <w:p w14:paraId="581FC4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空间相对位置/m</w:t>
                  </w:r>
                </w:p>
              </w:tc>
              <w:tc>
                <w:tcPr>
                  <w:tcW w:w="353" w:type="pct"/>
                  <w:vMerge w:val="restart"/>
                  <w:tcBorders>
                    <w:tl2br w:val="nil"/>
                    <w:tr2bl w:val="nil"/>
                  </w:tcBorders>
                  <w:noWrap/>
                  <w:vAlign w:val="center"/>
                </w:tcPr>
                <w:p w14:paraId="145E7E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距室内边界距离/m</w:t>
                  </w:r>
                </w:p>
              </w:tc>
              <w:tc>
                <w:tcPr>
                  <w:tcW w:w="381" w:type="pct"/>
                  <w:vMerge w:val="restart"/>
                  <w:tcBorders>
                    <w:tl2br w:val="nil"/>
                    <w:tr2bl w:val="nil"/>
                  </w:tcBorders>
                  <w:noWrap/>
                  <w:vAlign w:val="center"/>
                </w:tcPr>
                <w:p w14:paraId="6CB01F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室内边界声级/dB(A)</w:t>
                  </w:r>
                </w:p>
              </w:tc>
              <w:tc>
                <w:tcPr>
                  <w:tcW w:w="275" w:type="pct"/>
                  <w:vMerge w:val="restart"/>
                  <w:tcBorders>
                    <w:tl2br w:val="nil"/>
                    <w:tr2bl w:val="nil"/>
                  </w:tcBorders>
                  <w:noWrap/>
                  <w:vAlign w:val="center"/>
                </w:tcPr>
                <w:p w14:paraId="37DBBC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运行时段</w:t>
                  </w:r>
                </w:p>
              </w:tc>
              <w:tc>
                <w:tcPr>
                  <w:tcW w:w="359" w:type="pct"/>
                  <w:vMerge w:val="restart"/>
                  <w:tcBorders>
                    <w:tl2br w:val="nil"/>
                    <w:tr2bl w:val="nil"/>
                  </w:tcBorders>
                  <w:noWrap/>
                  <w:vAlign w:val="center"/>
                </w:tcPr>
                <w:p w14:paraId="69EFA8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建筑物插入损失/dB(A)</w:t>
                  </w:r>
                </w:p>
              </w:tc>
              <w:tc>
                <w:tcPr>
                  <w:tcW w:w="596" w:type="pct"/>
                  <w:gridSpan w:val="2"/>
                  <w:tcBorders>
                    <w:tl2br w:val="nil"/>
                    <w:tr2bl w:val="nil"/>
                  </w:tcBorders>
                  <w:noWrap/>
                  <w:vAlign w:val="center"/>
                </w:tcPr>
                <w:p w14:paraId="1764CC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建筑物外噪声</w:t>
                  </w:r>
                </w:p>
              </w:tc>
            </w:tr>
            <w:tr w14:paraId="50FD58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vMerge w:val="continue"/>
                  <w:tcBorders>
                    <w:tl2br w:val="nil"/>
                    <w:tr2bl w:val="nil"/>
                  </w:tcBorders>
                  <w:noWrap/>
                  <w:vAlign w:val="center"/>
                </w:tcPr>
                <w:p w14:paraId="7A63245A">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338" w:type="pct"/>
                  <w:vMerge w:val="continue"/>
                  <w:tcBorders>
                    <w:tl2br w:val="nil"/>
                    <w:tr2bl w:val="nil"/>
                  </w:tcBorders>
                  <w:noWrap/>
                  <w:vAlign w:val="center"/>
                </w:tcPr>
                <w:p w14:paraId="71B76314">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545" w:type="pct"/>
                  <w:vMerge w:val="continue"/>
                  <w:tcBorders>
                    <w:tl2br w:val="nil"/>
                    <w:tr2bl w:val="nil"/>
                  </w:tcBorders>
                  <w:noWrap/>
                  <w:vAlign w:val="center"/>
                </w:tcPr>
                <w:p w14:paraId="5493B1BB">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219" w:type="pct"/>
                  <w:vMerge w:val="continue"/>
                  <w:tcBorders>
                    <w:tl2br w:val="nil"/>
                    <w:tr2bl w:val="nil"/>
                  </w:tcBorders>
                  <w:noWrap/>
                  <w:vAlign w:val="center"/>
                </w:tcPr>
                <w:p w14:paraId="2531DCB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460" w:type="pct"/>
                  <w:vMerge w:val="continue"/>
                  <w:tcBorders>
                    <w:tl2br w:val="nil"/>
                    <w:tr2bl w:val="nil"/>
                  </w:tcBorders>
                  <w:noWrap w:val="0"/>
                  <w:vAlign w:val="center"/>
                </w:tcPr>
                <w:p w14:paraId="2839F44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432" w:type="pct"/>
                  <w:vMerge w:val="continue"/>
                  <w:tcBorders>
                    <w:tl2br w:val="nil"/>
                    <w:tr2bl w:val="nil"/>
                  </w:tcBorders>
                  <w:noWrap/>
                  <w:vAlign w:val="center"/>
                </w:tcPr>
                <w:p w14:paraId="4AB2EBD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303" w:type="pct"/>
                  <w:tcBorders>
                    <w:tl2br w:val="nil"/>
                    <w:tr2bl w:val="nil"/>
                  </w:tcBorders>
                  <w:noWrap/>
                  <w:vAlign w:val="center"/>
                </w:tcPr>
                <w:p w14:paraId="774877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X</w:t>
                  </w:r>
                </w:p>
              </w:tc>
              <w:tc>
                <w:tcPr>
                  <w:tcW w:w="286" w:type="pct"/>
                  <w:tcBorders>
                    <w:tl2br w:val="nil"/>
                    <w:tr2bl w:val="nil"/>
                  </w:tcBorders>
                  <w:noWrap/>
                  <w:vAlign w:val="center"/>
                </w:tcPr>
                <w:p w14:paraId="56E228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Y</w:t>
                  </w:r>
                </w:p>
              </w:tc>
              <w:tc>
                <w:tcPr>
                  <w:tcW w:w="263" w:type="pct"/>
                  <w:tcBorders>
                    <w:tl2br w:val="nil"/>
                    <w:tr2bl w:val="nil"/>
                  </w:tcBorders>
                  <w:noWrap/>
                  <w:vAlign w:val="center"/>
                </w:tcPr>
                <w:p w14:paraId="2AA60C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Z</w:t>
                  </w:r>
                </w:p>
              </w:tc>
              <w:tc>
                <w:tcPr>
                  <w:tcW w:w="353" w:type="pct"/>
                  <w:vMerge w:val="continue"/>
                  <w:tcBorders>
                    <w:tl2br w:val="nil"/>
                    <w:tr2bl w:val="nil"/>
                  </w:tcBorders>
                  <w:noWrap/>
                  <w:vAlign w:val="center"/>
                </w:tcPr>
                <w:p w14:paraId="68247A9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381" w:type="pct"/>
                  <w:vMerge w:val="continue"/>
                  <w:tcBorders>
                    <w:tl2br w:val="nil"/>
                    <w:tr2bl w:val="nil"/>
                  </w:tcBorders>
                  <w:noWrap/>
                  <w:vAlign w:val="center"/>
                </w:tcPr>
                <w:p w14:paraId="4CF6FB7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275" w:type="pct"/>
                  <w:vMerge w:val="continue"/>
                  <w:tcBorders>
                    <w:tl2br w:val="nil"/>
                    <w:tr2bl w:val="nil"/>
                  </w:tcBorders>
                  <w:noWrap/>
                  <w:vAlign w:val="center"/>
                </w:tcPr>
                <w:p w14:paraId="128A0090">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359" w:type="pct"/>
                  <w:vMerge w:val="continue"/>
                  <w:tcBorders>
                    <w:tl2br w:val="nil"/>
                    <w:tr2bl w:val="nil"/>
                  </w:tcBorders>
                  <w:noWrap/>
                  <w:vAlign w:val="center"/>
                </w:tcPr>
                <w:p w14:paraId="1F039CB3">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p>
              </w:tc>
              <w:tc>
                <w:tcPr>
                  <w:tcW w:w="297" w:type="pct"/>
                  <w:tcBorders>
                    <w:tl2br w:val="nil"/>
                    <w:tr2bl w:val="nil"/>
                  </w:tcBorders>
                  <w:noWrap/>
                  <w:vAlign w:val="center"/>
                </w:tcPr>
                <w:p w14:paraId="7F3EE1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声压级/dB(A)</w:t>
                  </w:r>
                </w:p>
              </w:tc>
              <w:tc>
                <w:tcPr>
                  <w:tcW w:w="299" w:type="pct"/>
                  <w:tcBorders>
                    <w:tl2br w:val="nil"/>
                    <w:tr2bl w:val="nil"/>
                  </w:tcBorders>
                  <w:noWrap/>
                  <w:vAlign w:val="center"/>
                </w:tcPr>
                <w:p w14:paraId="21E0AE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18"/>
                      <w:szCs w:val="18"/>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highlight w:val="none"/>
                      <w:u w:val="none"/>
                      <w:lang w:val="en-US" w:eastAsia="zh-CN" w:bidi="ar"/>
                      <w14:textFill>
                        <w14:solidFill>
                          <w14:schemeClr w14:val="tx1"/>
                        </w14:solidFill>
                      </w14:textFill>
                    </w:rPr>
                    <w:t>建筑物外距离</w:t>
                  </w:r>
                </w:p>
              </w:tc>
            </w:tr>
            <w:tr w14:paraId="225E2CF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2CCA8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338" w:type="pct"/>
                  <w:tcBorders>
                    <w:tl2br w:val="nil"/>
                    <w:tr2bl w:val="nil"/>
                  </w:tcBorders>
                  <w:noWrap/>
                  <w:vAlign w:val="center"/>
                </w:tcPr>
                <w:p w14:paraId="4D2810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喷漆房</w:t>
                  </w:r>
                </w:p>
              </w:tc>
              <w:tc>
                <w:tcPr>
                  <w:tcW w:w="545" w:type="pct"/>
                  <w:tcBorders>
                    <w:tl2br w:val="nil"/>
                    <w:tr2bl w:val="nil"/>
                  </w:tcBorders>
                  <w:noWrap/>
                  <w:vAlign w:val="center"/>
                </w:tcPr>
                <w:p w14:paraId="0A15DF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42DC33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8BF66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restart"/>
                  <w:tcBorders>
                    <w:tl2br w:val="nil"/>
                    <w:tr2bl w:val="nil"/>
                  </w:tcBorders>
                  <w:noWrap w:val="0"/>
                  <w:vAlign w:val="center"/>
                </w:tcPr>
                <w:p w14:paraId="484FB8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基础减震、隔声、消声</w:t>
                  </w:r>
                </w:p>
              </w:tc>
              <w:tc>
                <w:tcPr>
                  <w:tcW w:w="810" w:type="dxa"/>
                  <w:tcBorders>
                    <w:tl2br w:val="nil"/>
                    <w:tr2bl w:val="nil"/>
                  </w:tcBorders>
                  <w:noWrap/>
                  <w:vAlign w:val="center"/>
                </w:tcPr>
                <w:p w14:paraId="5B87D7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093512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1386B1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41787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12.04</w:t>
                  </w:r>
                </w:p>
              </w:tc>
              <w:tc>
                <w:tcPr>
                  <w:tcW w:w="1020" w:type="dxa"/>
                  <w:tcBorders>
                    <w:tl2br w:val="nil"/>
                    <w:tr2bl w:val="nil"/>
                  </w:tcBorders>
                  <w:noWrap/>
                  <w:vAlign w:val="center"/>
                </w:tcPr>
                <w:p w14:paraId="39B634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75.69</w:t>
                  </w:r>
                </w:p>
              </w:tc>
              <w:tc>
                <w:tcPr>
                  <w:tcW w:w="735" w:type="dxa"/>
                  <w:tcBorders>
                    <w:tl2br w:val="nil"/>
                    <w:tr2bl w:val="nil"/>
                  </w:tcBorders>
                  <w:noWrap/>
                  <w:vAlign w:val="center"/>
                </w:tcPr>
                <w:p w14:paraId="1F72F4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31EEF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4E653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50.69</w:t>
                  </w:r>
                </w:p>
              </w:tc>
              <w:tc>
                <w:tcPr>
                  <w:tcW w:w="799" w:type="dxa"/>
                  <w:tcBorders>
                    <w:tl2br w:val="nil"/>
                    <w:tr2bl w:val="nil"/>
                  </w:tcBorders>
                  <w:noWrap/>
                  <w:vAlign w:val="center"/>
                </w:tcPr>
                <w:p w14:paraId="791601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9A9EA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E3785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w:t>
                  </w:r>
                </w:p>
              </w:tc>
              <w:tc>
                <w:tcPr>
                  <w:tcW w:w="338" w:type="pct"/>
                  <w:tcBorders>
                    <w:tl2br w:val="nil"/>
                    <w:tr2bl w:val="nil"/>
                  </w:tcBorders>
                  <w:noWrap/>
                  <w:vAlign w:val="center"/>
                </w:tcPr>
                <w:p w14:paraId="6DD6F7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喷漆房</w:t>
                  </w:r>
                </w:p>
              </w:tc>
              <w:tc>
                <w:tcPr>
                  <w:tcW w:w="545" w:type="pct"/>
                  <w:tcBorders>
                    <w:tl2br w:val="nil"/>
                    <w:tr2bl w:val="nil"/>
                  </w:tcBorders>
                  <w:noWrap/>
                  <w:vAlign w:val="center"/>
                </w:tcPr>
                <w:p w14:paraId="11522F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327B17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33594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41BFF8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2D1AF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0E28C8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0CE024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F2960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2.89</w:t>
                  </w:r>
                </w:p>
              </w:tc>
              <w:tc>
                <w:tcPr>
                  <w:tcW w:w="1020" w:type="dxa"/>
                  <w:tcBorders>
                    <w:tl2br w:val="nil"/>
                    <w:tr2bl w:val="nil"/>
                  </w:tcBorders>
                  <w:noWrap/>
                  <w:vAlign w:val="center"/>
                </w:tcPr>
                <w:p w14:paraId="6E90E1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75.73</w:t>
                  </w:r>
                </w:p>
              </w:tc>
              <w:tc>
                <w:tcPr>
                  <w:tcW w:w="735" w:type="dxa"/>
                  <w:tcBorders>
                    <w:tl2br w:val="nil"/>
                    <w:tr2bl w:val="nil"/>
                  </w:tcBorders>
                  <w:noWrap/>
                  <w:vAlign w:val="center"/>
                </w:tcPr>
                <w:p w14:paraId="73753A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998A4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76575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50.73</w:t>
                  </w:r>
                </w:p>
              </w:tc>
              <w:tc>
                <w:tcPr>
                  <w:tcW w:w="799" w:type="dxa"/>
                  <w:tcBorders>
                    <w:tl2br w:val="nil"/>
                    <w:tr2bl w:val="nil"/>
                  </w:tcBorders>
                  <w:noWrap/>
                  <w:vAlign w:val="center"/>
                </w:tcPr>
                <w:p w14:paraId="6E0CDB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72348E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3C071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w:t>
                  </w:r>
                </w:p>
              </w:tc>
              <w:tc>
                <w:tcPr>
                  <w:tcW w:w="338" w:type="pct"/>
                  <w:tcBorders>
                    <w:tl2br w:val="nil"/>
                    <w:tr2bl w:val="nil"/>
                  </w:tcBorders>
                  <w:noWrap/>
                  <w:vAlign w:val="center"/>
                </w:tcPr>
                <w:p w14:paraId="72BA67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喷漆房</w:t>
                  </w:r>
                </w:p>
              </w:tc>
              <w:tc>
                <w:tcPr>
                  <w:tcW w:w="545" w:type="pct"/>
                  <w:tcBorders>
                    <w:tl2br w:val="nil"/>
                    <w:tr2bl w:val="nil"/>
                  </w:tcBorders>
                  <w:noWrap/>
                  <w:vAlign w:val="center"/>
                </w:tcPr>
                <w:p w14:paraId="2B4B71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375994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D448A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4E7D06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3E718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3E5A5C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3BA1F7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9630B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3.47</w:t>
                  </w:r>
                </w:p>
              </w:tc>
              <w:tc>
                <w:tcPr>
                  <w:tcW w:w="1020" w:type="dxa"/>
                  <w:tcBorders>
                    <w:tl2br w:val="nil"/>
                    <w:tr2bl w:val="nil"/>
                  </w:tcBorders>
                  <w:noWrap/>
                  <w:vAlign w:val="center"/>
                </w:tcPr>
                <w:p w14:paraId="5F496B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75.72</w:t>
                  </w:r>
                </w:p>
              </w:tc>
              <w:tc>
                <w:tcPr>
                  <w:tcW w:w="735" w:type="dxa"/>
                  <w:tcBorders>
                    <w:tl2br w:val="nil"/>
                    <w:tr2bl w:val="nil"/>
                  </w:tcBorders>
                  <w:noWrap/>
                  <w:vAlign w:val="center"/>
                </w:tcPr>
                <w:p w14:paraId="42FA5F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BB92C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13575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50.72</w:t>
                  </w:r>
                </w:p>
              </w:tc>
              <w:tc>
                <w:tcPr>
                  <w:tcW w:w="799" w:type="dxa"/>
                  <w:tcBorders>
                    <w:tl2br w:val="nil"/>
                    <w:tr2bl w:val="nil"/>
                  </w:tcBorders>
                  <w:noWrap/>
                  <w:vAlign w:val="center"/>
                </w:tcPr>
                <w:p w14:paraId="40EF31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E40692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F5F18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w:t>
                  </w:r>
                </w:p>
              </w:tc>
              <w:tc>
                <w:tcPr>
                  <w:tcW w:w="338" w:type="pct"/>
                  <w:tcBorders>
                    <w:tl2br w:val="nil"/>
                    <w:tr2bl w:val="nil"/>
                  </w:tcBorders>
                  <w:noWrap/>
                  <w:vAlign w:val="center"/>
                </w:tcPr>
                <w:p w14:paraId="043238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喷漆房</w:t>
                  </w:r>
                </w:p>
              </w:tc>
              <w:tc>
                <w:tcPr>
                  <w:tcW w:w="545" w:type="pct"/>
                  <w:tcBorders>
                    <w:tl2br w:val="nil"/>
                    <w:tr2bl w:val="nil"/>
                  </w:tcBorders>
                  <w:noWrap/>
                  <w:vAlign w:val="center"/>
                </w:tcPr>
                <w:p w14:paraId="37A221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7FCE19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DFB1E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73AEBD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C9BD5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13606D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678806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75F7C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2.15</w:t>
                  </w:r>
                </w:p>
              </w:tc>
              <w:tc>
                <w:tcPr>
                  <w:tcW w:w="1020" w:type="dxa"/>
                  <w:tcBorders>
                    <w:tl2br w:val="nil"/>
                    <w:tr2bl w:val="nil"/>
                  </w:tcBorders>
                  <w:noWrap/>
                  <w:vAlign w:val="center"/>
                </w:tcPr>
                <w:p w14:paraId="6076D4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75.77</w:t>
                  </w:r>
                </w:p>
              </w:tc>
              <w:tc>
                <w:tcPr>
                  <w:tcW w:w="735" w:type="dxa"/>
                  <w:tcBorders>
                    <w:tl2br w:val="nil"/>
                    <w:tr2bl w:val="nil"/>
                  </w:tcBorders>
                  <w:noWrap/>
                  <w:vAlign w:val="center"/>
                </w:tcPr>
                <w:p w14:paraId="462913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8FC5B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F060A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50.77</w:t>
                  </w:r>
                </w:p>
              </w:tc>
              <w:tc>
                <w:tcPr>
                  <w:tcW w:w="799" w:type="dxa"/>
                  <w:tcBorders>
                    <w:tl2br w:val="nil"/>
                    <w:tr2bl w:val="nil"/>
                  </w:tcBorders>
                  <w:noWrap/>
                  <w:vAlign w:val="center"/>
                </w:tcPr>
                <w:p w14:paraId="66041C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016D0D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E86DD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w:t>
                  </w:r>
                </w:p>
              </w:tc>
              <w:tc>
                <w:tcPr>
                  <w:tcW w:w="338" w:type="pct"/>
                  <w:tcBorders>
                    <w:tl2br w:val="nil"/>
                    <w:tr2bl w:val="nil"/>
                  </w:tcBorders>
                  <w:noWrap/>
                  <w:vAlign w:val="center"/>
                </w:tcPr>
                <w:p w14:paraId="338F24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1827B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熔化区</w:t>
                  </w:r>
                </w:p>
              </w:tc>
              <w:tc>
                <w:tcPr>
                  <w:tcW w:w="219" w:type="pct"/>
                  <w:tcBorders>
                    <w:tl2br w:val="nil"/>
                    <w:tr2bl w:val="nil"/>
                  </w:tcBorders>
                  <w:noWrap/>
                  <w:vAlign w:val="center"/>
                </w:tcPr>
                <w:p w14:paraId="10394A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5262B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69.8/1</w:t>
                  </w:r>
                </w:p>
              </w:tc>
              <w:tc>
                <w:tcPr>
                  <w:tcW w:w="432" w:type="pct"/>
                  <w:vMerge w:val="continue"/>
                  <w:tcBorders>
                    <w:tl2br w:val="nil"/>
                    <w:tr2bl w:val="nil"/>
                  </w:tcBorders>
                  <w:noWrap w:val="0"/>
                  <w:vAlign w:val="center"/>
                </w:tcPr>
                <w:p w14:paraId="750196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E770C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21.93</w:t>
                  </w:r>
                </w:p>
              </w:tc>
              <w:tc>
                <w:tcPr>
                  <w:tcW w:w="765" w:type="dxa"/>
                  <w:tcBorders>
                    <w:tl2br w:val="nil"/>
                    <w:tr2bl w:val="nil"/>
                  </w:tcBorders>
                  <w:noWrap/>
                  <w:vAlign w:val="center"/>
                </w:tcPr>
                <w:p w14:paraId="182931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52.57</w:t>
                  </w:r>
                </w:p>
              </w:tc>
              <w:tc>
                <w:tcPr>
                  <w:tcW w:w="705" w:type="dxa"/>
                  <w:tcBorders>
                    <w:tl2br w:val="nil"/>
                    <w:tr2bl w:val="nil"/>
                  </w:tcBorders>
                  <w:noWrap/>
                  <w:vAlign w:val="center"/>
                </w:tcPr>
                <w:p w14:paraId="1331ED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5D1DF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21.36</w:t>
                  </w:r>
                </w:p>
              </w:tc>
              <w:tc>
                <w:tcPr>
                  <w:tcW w:w="1020" w:type="dxa"/>
                  <w:tcBorders>
                    <w:tl2br w:val="nil"/>
                    <w:tr2bl w:val="nil"/>
                  </w:tcBorders>
                  <w:noWrap/>
                  <w:vAlign w:val="center"/>
                </w:tcPr>
                <w:p w14:paraId="5D4B20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51.80</w:t>
                  </w:r>
                </w:p>
              </w:tc>
              <w:tc>
                <w:tcPr>
                  <w:tcW w:w="735" w:type="dxa"/>
                  <w:tcBorders>
                    <w:tl2br w:val="nil"/>
                    <w:tr2bl w:val="nil"/>
                  </w:tcBorders>
                  <w:noWrap/>
                  <w:vAlign w:val="center"/>
                </w:tcPr>
                <w:p w14:paraId="09EB88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5E0EF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C9C2B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26.8</w:t>
                  </w:r>
                </w:p>
              </w:tc>
              <w:tc>
                <w:tcPr>
                  <w:tcW w:w="799" w:type="dxa"/>
                  <w:tcBorders>
                    <w:tl2br w:val="nil"/>
                    <w:tr2bl w:val="nil"/>
                  </w:tcBorders>
                  <w:noWrap/>
                  <w:vAlign w:val="center"/>
                </w:tcPr>
                <w:p w14:paraId="573DDF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B4998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49336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w:t>
                  </w:r>
                </w:p>
              </w:tc>
              <w:tc>
                <w:tcPr>
                  <w:tcW w:w="338" w:type="pct"/>
                  <w:tcBorders>
                    <w:tl2br w:val="nil"/>
                    <w:tr2bl w:val="nil"/>
                  </w:tcBorders>
                  <w:noWrap/>
                  <w:vAlign w:val="center"/>
                </w:tcPr>
                <w:p w14:paraId="6CFDAE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95538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熔化区</w:t>
                  </w:r>
                </w:p>
              </w:tc>
              <w:tc>
                <w:tcPr>
                  <w:tcW w:w="219" w:type="pct"/>
                  <w:tcBorders>
                    <w:tl2br w:val="nil"/>
                    <w:tr2bl w:val="nil"/>
                  </w:tcBorders>
                  <w:noWrap/>
                  <w:vAlign w:val="center"/>
                </w:tcPr>
                <w:p w14:paraId="1FE71E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7E8BB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69.8/1</w:t>
                  </w:r>
                </w:p>
              </w:tc>
              <w:tc>
                <w:tcPr>
                  <w:tcW w:w="432" w:type="pct"/>
                  <w:vMerge w:val="continue"/>
                  <w:tcBorders>
                    <w:tl2br w:val="nil"/>
                    <w:tr2bl w:val="nil"/>
                  </w:tcBorders>
                  <w:noWrap w:val="0"/>
                  <w:vAlign w:val="center"/>
                </w:tcPr>
                <w:p w14:paraId="7947B2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7B015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21.93</w:t>
                  </w:r>
                </w:p>
              </w:tc>
              <w:tc>
                <w:tcPr>
                  <w:tcW w:w="765" w:type="dxa"/>
                  <w:tcBorders>
                    <w:tl2br w:val="nil"/>
                    <w:tr2bl w:val="nil"/>
                  </w:tcBorders>
                  <w:noWrap/>
                  <w:vAlign w:val="center"/>
                </w:tcPr>
                <w:p w14:paraId="553EB3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52.57</w:t>
                  </w:r>
                </w:p>
              </w:tc>
              <w:tc>
                <w:tcPr>
                  <w:tcW w:w="705" w:type="dxa"/>
                  <w:tcBorders>
                    <w:tl2br w:val="nil"/>
                    <w:tr2bl w:val="nil"/>
                  </w:tcBorders>
                  <w:noWrap/>
                  <w:vAlign w:val="center"/>
                </w:tcPr>
                <w:p w14:paraId="14CF92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2EECCA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53.03</w:t>
                  </w:r>
                </w:p>
              </w:tc>
              <w:tc>
                <w:tcPr>
                  <w:tcW w:w="1020" w:type="dxa"/>
                  <w:tcBorders>
                    <w:tl2br w:val="nil"/>
                    <w:tr2bl w:val="nil"/>
                  </w:tcBorders>
                  <w:noWrap/>
                  <w:vAlign w:val="center"/>
                </w:tcPr>
                <w:p w14:paraId="66637E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51.76</w:t>
                  </w:r>
                </w:p>
              </w:tc>
              <w:tc>
                <w:tcPr>
                  <w:tcW w:w="735" w:type="dxa"/>
                  <w:tcBorders>
                    <w:tl2br w:val="nil"/>
                    <w:tr2bl w:val="nil"/>
                  </w:tcBorders>
                  <w:noWrap/>
                  <w:vAlign w:val="center"/>
                </w:tcPr>
                <w:p w14:paraId="7A11F5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DF8DD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21850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26.76</w:t>
                  </w:r>
                </w:p>
              </w:tc>
              <w:tc>
                <w:tcPr>
                  <w:tcW w:w="799" w:type="dxa"/>
                  <w:tcBorders>
                    <w:tl2br w:val="nil"/>
                    <w:tr2bl w:val="nil"/>
                  </w:tcBorders>
                  <w:noWrap/>
                  <w:vAlign w:val="center"/>
                </w:tcPr>
                <w:p w14:paraId="2729E9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69E386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D210B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w:t>
                  </w:r>
                </w:p>
              </w:tc>
              <w:tc>
                <w:tcPr>
                  <w:tcW w:w="338" w:type="pct"/>
                  <w:tcBorders>
                    <w:tl2br w:val="nil"/>
                    <w:tr2bl w:val="nil"/>
                  </w:tcBorders>
                  <w:noWrap/>
                  <w:vAlign w:val="center"/>
                </w:tcPr>
                <w:p w14:paraId="317036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0A5B2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熔化区</w:t>
                  </w:r>
                </w:p>
              </w:tc>
              <w:tc>
                <w:tcPr>
                  <w:tcW w:w="219" w:type="pct"/>
                  <w:tcBorders>
                    <w:tl2br w:val="nil"/>
                    <w:tr2bl w:val="nil"/>
                  </w:tcBorders>
                  <w:noWrap/>
                  <w:vAlign w:val="center"/>
                </w:tcPr>
                <w:p w14:paraId="01C919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67DFC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69.8/1</w:t>
                  </w:r>
                </w:p>
              </w:tc>
              <w:tc>
                <w:tcPr>
                  <w:tcW w:w="432" w:type="pct"/>
                  <w:vMerge w:val="continue"/>
                  <w:tcBorders>
                    <w:tl2br w:val="nil"/>
                    <w:tr2bl w:val="nil"/>
                  </w:tcBorders>
                  <w:noWrap w:val="0"/>
                  <w:vAlign w:val="center"/>
                </w:tcPr>
                <w:p w14:paraId="6DDDD7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1DA40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21.93</w:t>
                  </w:r>
                </w:p>
              </w:tc>
              <w:tc>
                <w:tcPr>
                  <w:tcW w:w="765" w:type="dxa"/>
                  <w:tcBorders>
                    <w:tl2br w:val="nil"/>
                    <w:tr2bl w:val="nil"/>
                  </w:tcBorders>
                  <w:noWrap/>
                  <w:vAlign w:val="center"/>
                </w:tcPr>
                <w:p w14:paraId="3C2185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52.57</w:t>
                  </w:r>
                </w:p>
              </w:tc>
              <w:tc>
                <w:tcPr>
                  <w:tcW w:w="705" w:type="dxa"/>
                  <w:tcBorders>
                    <w:tl2br w:val="nil"/>
                    <w:tr2bl w:val="nil"/>
                  </w:tcBorders>
                  <w:noWrap/>
                  <w:vAlign w:val="center"/>
                </w:tcPr>
                <w:p w14:paraId="0F2AE9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0DB34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132.46</w:t>
                  </w:r>
                </w:p>
              </w:tc>
              <w:tc>
                <w:tcPr>
                  <w:tcW w:w="1020" w:type="dxa"/>
                  <w:tcBorders>
                    <w:tl2br w:val="nil"/>
                    <w:tr2bl w:val="nil"/>
                  </w:tcBorders>
                  <w:noWrap/>
                  <w:vAlign w:val="center"/>
                </w:tcPr>
                <w:p w14:paraId="342FFB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51.76</w:t>
                  </w:r>
                </w:p>
              </w:tc>
              <w:tc>
                <w:tcPr>
                  <w:tcW w:w="735" w:type="dxa"/>
                  <w:tcBorders>
                    <w:tl2br w:val="nil"/>
                    <w:tr2bl w:val="nil"/>
                  </w:tcBorders>
                  <w:noWrap/>
                  <w:vAlign w:val="center"/>
                </w:tcPr>
                <w:p w14:paraId="4BCB1C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6D6D0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5F879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26.76</w:t>
                  </w:r>
                </w:p>
              </w:tc>
              <w:tc>
                <w:tcPr>
                  <w:tcW w:w="799" w:type="dxa"/>
                  <w:tcBorders>
                    <w:tl2br w:val="nil"/>
                    <w:tr2bl w:val="nil"/>
                  </w:tcBorders>
                  <w:noWrap/>
                  <w:vAlign w:val="center"/>
                </w:tcPr>
                <w:p w14:paraId="19CBA2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D58ACD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E9C24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w:t>
                  </w:r>
                </w:p>
              </w:tc>
              <w:tc>
                <w:tcPr>
                  <w:tcW w:w="338" w:type="pct"/>
                  <w:tcBorders>
                    <w:tl2br w:val="nil"/>
                    <w:tr2bl w:val="nil"/>
                  </w:tcBorders>
                  <w:noWrap/>
                  <w:vAlign w:val="center"/>
                </w:tcPr>
                <w:p w14:paraId="4333C8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96810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熔化区</w:t>
                  </w:r>
                </w:p>
              </w:tc>
              <w:tc>
                <w:tcPr>
                  <w:tcW w:w="219" w:type="pct"/>
                  <w:tcBorders>
                    <w:tl2br w:val="nil"/>
                    <w:tr2bl w:val="nil"/>
                  </w:tcBorders>
                  <w:noWrap/>
                  <w:vAlign w:val="center"/>
                </w:tcPr>
                <w:p w14:paraId="48699F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E05FA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69.8/1</w:t>
                  </w:r>
                </w:p>
              </w:tc>
              <w:tc>
                <w:tcPr>
                  <w:tcW w:w="432" w:type="pct"/>
                  <w:vMerge w:val="continue"/>
                  <w:tcBorders>
                    <w:tl2br w:val="nil"/>
                    <w:tr2bl w:val="nil"/>
                  </w:tcBorders>
                  <w:noWrap w:val="0"/>
                  <w:vAlign w:val="center"/>
                </w:tcPr>
                <w:p w14:paraId="5C9C0A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37840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21.93</w:t>
                  </w:r>
                </w:p>
              </w:tc>
              <w:tc>
                <w:tcPr>
                  <w:tcW w:w="765" w:type="dxa"/>
                  <w:tcBorders>
                    <w:tl2br w:val="nil"/>
                    <w:tr2bl w:val="nil"/>
                  </w:tcBorders>
                  <w:noWrap/>
                  <w:vAlign w:val="center"/>
                </w:tcPr>
                <w:p w14:paraId="7FB19A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52.57</w:t>
                  </w:r>
                </w:p>
              </w:tc>
              <w:tc>
                <w:tcPr>
                  <w:tcW w:w="705" w:type="dxa"/>
                  <w:tcBorders>
                    <w:tl2br w:val="nil"/>
                    <w:tr2bl w:val="nil"/>
                  </w:tcBorders>
                  <w:noWrap/>
                  <w:vAlign w:val="center"/>
                </w:tcPr>
                <w:p w14:paraId="1BA8F4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930F9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11.97</w:t>
                  </w:r>
                </w:p>
              </w:tc>
              <w:tc>
                <w:tcPr>
                  <w:tcW w:w="1020" w:type="dxa"/>
                  <w:tcBorders>
                    <w:tl2br w:val="nil"/>
                    <w:tr2bl w:val="nil"/>
                  </w:tcBorders>
                  <w:noWrap/>
                  <w:vAlign w:val="center"/>
                </w:tcPr>
                <w:p w14:paraId="086D84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51.91</w:t>
                  </w:r>
                </w:p>
              </w:tc>
              <w:tc>
                <w:tcPr>
                  <w:tcW w:w="735" w:type="dxa"/>
                  <w:tcBorders>
                    <w:tl2br w:val="nil"/>
                    <w:tr2bl w:val="nil"/>
                  </w:tcBorders>
                  <w:noWrap/>
                  <w:vAlign w:val="center"/>
                </w:tcPr>
                <w:p w14:paraId="2DD3BB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571E1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EE828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26.91</w:t>
                  </w:r>
                </w:p>
              </w:tc>
              <w:tc>
                <w:tcPr>
                  <w:tcW w:w="799" w:type="dxa"/>
                  <w:tcBorders>
                    <w:tl2br w:val="nil"/>
                    <w:tr2bl w:val="nil"/>
                  </w:tcBorders>
                  <w:noWrap/>
                  <w:vAlign w:val="center"/>
                </w:tcPr>
                <w:p w14:paraId="0D2849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89D58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B6537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w:t>
                  </w:r>
                </w:p>
              </w:tc>
              <w:tc>
                <w:tcPr>
                  <w:tcW w:w="338" w:type="pct"/>
                  <w:tcBorders>
                    <w:tl2br w:val="nil"/>
                    <w:tr2bl w:val="nil"/>
                  </w:tcBorders>
                  <w:noWrap/>
                  <w:vAlign w:val="center"/>
                </w:tcPr>
                <w:p w14:paraId="413906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73910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浇注区</w:t>
                  </w:r>
                </w:p>
              </w:tc>
              <w:tc>
                <w:tcPr>
                  <w:tcW w:w="219" w:type="pct"/>
                  <w:tcBorders>
                    <w:tl2br w:val="nil"/>
                    <w:tr2bl w:val="nil"/>
                  </w:tcBorders>
                  <w:noWrap/>
                  <w:vAlign w:val="center"/>
                </w:tcPr>
                <w:p w14:paraId="6FC090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EF3B2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84.79/1</w:t>
                  </w:r>
                </w:p>
              </w:tc>
              <w:tc>
                <w:tcPr>
                  <w:tcW w:w="432" w:type="pct"/>
                  <w:vMerge w:val="continue"/>
                  <w:tcBorders>
                    <w:tl2br w:val="nil"/>
                    <w:tr2bl w:val="nil"/>
                  </w:tcBorders>
                  <w:noWrap w:val="0"/>
                  <w:vAlign w:val="center"/>
                </w:tcPr>
                <w:p w14:paraId="4E6577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82F4B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46.54</w:t>
                  </w:r>
                </w:p>
              </w:tc>
              <w:tc>
                <w:tcPr>
                  <w:tcW w:w="765" w:type="dxa"/>
                  <w:tcBorders>
                    <w:tl2br w:val="nil"/>
                    <w:tr2bl w:val="nil"/>
                  </w:tcBorders>
                  <w:noWrap/>
                  <w:vAlign w:val="center"/>
                </w:tcPr>
                <w:p w14:paraId="3002AC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30.65</w:t>
                  </w:r>
                </w:p>
              </w:tc>
              <w:tc>
                <w:tcPr>
                  <w:tcW w:w="705" w:type="dxa"/>
                  <w:tcBorders>
                    <w:tl2br w:val="nil"/>
                    <w:tr2bl w:val="nil"/>
                  </w:tcBorders>
                  <w:noWrap/>
                  <w:vAlign w:val="center"/>
                </w:tcPr>
                <w:p w14:paraId="1C133C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FD634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46.01</w:t>
                  </w:r>
                </w:p>
              </w:tc>
              <w:tc>
                <w:tcPr>
                  <w:tcW w:w="1020" w:type="dxa"/>
                  <w:tcBorders>
                    <w:tl2br w:val="nil"/>
                    <w:tr2bl w:val="nil"/>
                  </w:tcBorders>
                  <w:noWrap/>
                  <w:vAlign w:val="center"/>
                </w:tcPr>
                <w:p w14:paraId="543DFD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66.76</w:t>
                  </w:r>
                </w:p>
              </w:tc>
              <w:tc>
                <w:tcPr>
                  <w:tcW w:w="735" w:type="dxa"/>
                  <w:tcBorders>
                    <w:tl2br w:val="nil"/>
                    <w:tr2bl w:val="nil"/>
                  </w:tcBorders>
                  <w:noWrap/>
                  <w:vAlign w:val="center"/>
                </w:tcPr>
                <w:p w14:paraId="370FC2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CC4A4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AFF63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41.76</w:t>
                  </w:r>
                </w:p>
              </w:tc>
              <w:tc>
                <w:tcPr>
                  <w:tcW w:w="799" w:type="dxa"/>
                  <w:tcBorders>
                    <w:tl2br w:val="nil"/>
                    <w:tr2bl w:val="nil"/>
                  </w:tcBorders>
                  <w:noWrap/>
                  <w:vAlign w:val="center"/>
                </w:tcPr>
                <w:p w14:paraId="3927B3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605E3D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3FDFF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w:t>
                  </w:r>
                </w:p>
              </w:tc>
              <w:tc>
                <w:tcPr>
                  <w:tcW w:w="338" w:type="pct"/>
                  <w:tcBorders>
                    <w:tl2br w:val="nil"/>
                    <w:tr2bl w:val="nil"/>
                  </w:tcBorders>
                  <w:noWrap/>
                  <w:vAlign w:val="center"/>
                </w:tcPr>
                <w:p w14:paraId="572ACD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966B7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浇注区</w:t>
                  </w:r>
                </w:p>
              </w:tc>
              <w:tc>
                <w:tcPr>
                  <w:tcW w:w="219" w:type="pct"/>
                  <w:tcBorders>
                    <w:tl2br w:val="nil"/>
                    <w:tr2bl w:val="nil"/>
                  </w:tcBorders>
                  <w:noWrap/>
                  <w:vAlign w:val="center"/>
                </w:tcPr>
                <w:p w14:paraId="7EDBBC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39866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84.79/1</w:t>
                  </w:r>
                </w:p>
              </w:tc>
              <w:tc>
                <w:tcPr>
                  <w:tcW w:w="432" w:type="pct"/>
                  <w:vMerge w:val="continue"/>
                  <w:tcBorders>
                    <w:tl2br w:val="nil"/>
                    <w:tr2bl w:val="nil"/>
                  </w:tcBorders>
                  <w:noWrap w:val="0"/>
                  <w:vAlign w:val="center"/>
                </w:tcPr>
                <w:p w14:paraId="77938E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6E1F8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46.54</w:t>
                  </w:r>
                </w:p>
              </w:tc>
              <w:tc>
                <w:tcPr>
                  <w:tcW w:w="765" w:type="dxa"/>
                  <w:tcBorders>
                    <w:tl2br w:val="nil"/>
                    <w:tr2bl w:val="nil"/>
                  </w:tcBorders>
                  <w:noWrap/>
                  <w:vAlign w:val="center"/>
                </w:tcPr>
                <w:p w14:paraId="0C9C7F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30.65</w:t>
                  </w:r>
                </w:p>
              </w:tc>
              <w:tc>
                <w:tcPr>
                  <w:tcW w:w="705" w:type="dxa"/>
                  <w:tcBorders>
                    <w:tl2br w:val="nil"/>
                    <w:tr2bl w:val="nil"/>
                  </w:tcBorders>
                  <w:noWrap/>
                  <w:vAlign w:val="center"/>
                </w:tcPr>
                <w:p w14:paraId="15A667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A7F10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31.13</w:t>
                  </w:r>
                </w:p>
              </w:tc>
              <w:tc>
                <w:tcPr>
                  <w:tcW w:w="1020" w:type="dxa"/>
                  <w:tcBorders>
                    <w:tl2br w:val="nil"/>
                    <w:tr2bl w:val="nil"/>
                  </w:tcBorders>
                  <w:noWrap/>
                  <w:vAlign w:val="center"/>
                </w:tcPr>
                <w:p w14:paraId="6A9019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66.77</w:t>
                  </w:r>
                </w:p>
              </w:tc>
              <w:tc>
                <w:tcPr>
                  <w:tcW w:w="735" w:type="dxa"/>
                  <w:tcBorders>
                    <w:tl2br w:val="nil"/>
                    <w:tr2bl w:val="nil"/>
                  </w:tcBorders>
                  <w:noWrap/>
                  <w:vAlign w:val="center"/>
                </w:tcPr>
                <w:p w14:paraId="2BA438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223593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DC763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41.77</w:t>
                  </w:r>
                </w:p>
              </w:tc>
              <w:tc>
                <w:tcPr>
                  <w:tcW w:w="799" w:type="dxa"/>
                  <w:tcBorders>
                    <w:tl2br w:val="nil"/>
                    <w:tr2bl w:val="nil"/>
                  </w:tcBorders>
                  <w:noWrap/>
                  <w:vAlign w:val="center"/>
                </w:tcPr>
                <w:p w14:paraId="5DD49F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15A09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DF5A3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w:t>
                  </w:r>
                </w:p>
              </w:tc>
              <w:tc>
                <w:tcPr>
                  <w:tcW w:w="338" w:type="pct"/>
                  <w:tcBorders>
                    <w:tl2br w:val="nil"/>
                    <w:tr2bl w:val="nil"/>
                  </w:tcBorders>
                  <w:noWrap/>
                  <w:vAlign w:val="center"/>
                </w:tcPr>
                <w:p w14:paraId="5599EA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94224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浇注区</w:t>
                  </w:r>
                </w:p>
              </w:tc>
              <w:tc>
                <w:tcPr>
                  <w:tcW w:w="219" w:type="pct"/>
                  <w:tcBorders>
                    <w:tl2br w:val="nil"/>
                    <w:tr2bl w:val="nil"/>
                  </w:tcBorders>
                  <w:noWrap/>
                  <w:vAlign w:val="center"/>
                </w:tcPr>
                <w:p w14:paraId="6534B4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CF159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84.79/1</w:t>
                  </w:r>
                </w:p>
              </w:tc>
              <w:tc>
                <w:tcPr>
                  <w:tcW w:w="432" w:type="pct"/>
                  <w:vMerge w:val="continue"/>
                  <w:tcBorders>
                    <w:tl2br w:val="nil"/>
                    <w:tr2bl w:val="nil"/>
                  </w:tcBorders>
                  <w:noWrap w:val="0"/>
                  <w:vAlign w:val="center"/>
                </w:tcPr>
                <w:p w14:paraId="0D4A74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F0244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46.54</w:t>
                  </w:r>
                </w:p>
              </w:tc>
              <w:tc>
                <w:tcPr>
                  <w:tcW w:w="765" w:type="dxa"/>
                  <w:tcBorders>
                    <w:tl2br w:val="nil"/>
                    <w:tr2bl w:val="nil"/>
                  </w:tcBorders>
                  <w:noWrap/>
                  <w:vAlign w:val="center"/>
                </w:tcPr>
                <w:p w14:paraId="7B35BC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30.65</w:t>
                  </w:r>
                </w:p>
              </w:tc>
              <w:tc>
                <w:tcPr>
                  <w:tcW w:w="705" w:type="dxa"/>
                  <w:tcBorders>
                    <w:tl2br w:val="nil"/>
                    <w:tr2bl w:val="nil"/>
                  </w:tcBorders>
                  <w:noWrap/>
                  <w:vAlign w:val="center"/>
                </w:tcPr>
                <w:p w14:paraId="634D07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C4B06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107.89</w:t>
                  </w:r>
                </w:p>
              </w:tc>
              <w:tc>
                <w:tcPr>
                  <w:tcW w:w="1020" w:type="dxa"/>
                  <w:tcBorders>
                    <w:tl2br w:val="nil"/>
                    <w:tr2bl w:val="nil"/>
                  </w:tcBorders>
                  <w:noWrap/>
                  <w:vAlign w:val="center"/>
                </w:tcPr>
                <w:p w14:paraId="610A3A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66.75</w:t>
                  </w:r>
                </w:p>
              </w:tc>
              <w:tc>
                <w:tcPr>
                  <w:tcW w:w="735" w:type="dxa"/>
                  <w:tcBorders>
                    <w:tl2br w:val="nil"/>
                    <w:tr2bl w:val="nil"/>
                  </w:tcBorders>
                  <w:noWrap/>
                  <w:vAlign w:val="center"/>
                </w:tcPr>
                <w:p w14:paraId="1000B3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2A1895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C5B60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41.75</w:t>
                  </w:r>
                </w:p>
              </w:tc>
              <w:tc>
                <w:tcPr>
                  <w:tcW w:w="799" w:type="dxa"/>
                  <w:tcBorders>
                    <w:tl2br w:val="nil"/>
                    <w:tr2bl w:val="nil"/>
                  </w:tcBorders>
                  <w:noWrap/>
                  <w:vAlign w:val="center"/>
                </w:tcPr>
                <w:p w14:paraId="1E5A33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95F4B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4BFD6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w:t>
                  </w:r>
                </w:p>
              </w:tc>
              <w:tc>
                <w:tcPr>
                  <w:tcW w:w="338" w:type="pct"/>
                  <w:tcBorders>
                    <w:tl2br w:val="nil"/>
                    <w:tr2bl w:val="nil"/>
                  </w:tcBorders>
                  <w:noWrap/>
                  <w:vAlign w:val="center"/>
                </w:tcPr>
                <w:p w14:paraId="633476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38BEB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浇注区</w:t>
                  </w:r>
                </w:p>
              </w:tc>
              <w:tc>
                <w:tcPr>
                  <w:tcW w:w="219" w:type="pct"/>
                  <w:tcBorders>
                    <w:tl2br w:val="nil"/>
                    <w:tr2bl w:val="nil"/>
                  </w:tcBorders>
                  <w:noWrap/>
                  <w:vAlign w:val="center"/>
                </w:tcPr>
                <w:p w14:paraId="2ADD5F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39EE3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84.79/1</w:t>
                  </w:r>
                </w:p>
              </w:tc>
              <w:tc>
                <w:tcPr>
                  <w:tcW w:w="432" w:type="pct"/>
                  <w:vMerge w:val="continue"/>
                  <w:tcBorders>
                    <w:tl2br w:val="nil"/>
                    <w:tr2bl w:val="nil"/>
                  </w:tcBorders>
                  <w:noWrap w:val="0"/>
                  <w:vAlign w:val="center"/>
                </w:tcPr>
                <w:p w14:paraId="632846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DDD19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46.54</w:t>
                  </w:r>
                </w:p>
              </w:tc>
              <w:tc>
                <w:tcPr>
                  <w:tcW w:w="765" w:type="dxa"/>
                  <w:tcBorders>
                    <w:tl2br w:val="nil"/>
                    <w:tr2bl w:val="nil"/>
                  </w:tcBorders>
                  <w:noWrap/>
                  <w:vAlign w:val="center"/>
                </w:tcPr>
                <w:p w14:paraId="77E78F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30.65</w:t>
                  </w:r>
                </w:p>
              </w:tc>
              <w:tc>
                <w:tcPr>
                  <w:tcW w:w="705" w:type="dxa"/>
                  <w:tcBorders>
                    <w:tl2br w:val="nil"/>
                    <w:tr2bl w:val="nil"/>
                  </w:tcBorders>
                  <w:noWrap/>
                  <w:vAlign w:val="center"/>
                </w:tcPr>
                <w:p w14:paraId="6962BE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1AA44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33.84</w:t>
                  </w:r>
                </w:p>
              </w:tc>
              <w:tc>
                <w:tcPr>
                  <w:tcW w:w="1020" w:type="dxa"/>
                  <w:tcBorders>
                    <w:tl2br w:val="nil"/>
                    <w:tr2bl w:val="nil"/>
                  </w:tcBorders>
                  <w:noWrap/>
                  <w:vAlign w:val="center"/>
                </w:tcPr>
                <w:p w14:paraId="6A659D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66.77</w:t>
                  </w:r>
                </w:p>
              </w:tc>
              <w:tc>
                <w:tcPr>
                  <w:tcW w:w="735" w:type="dxa"/>
                  <w:tcBorders>
                    <w:tl2br w:val="nil"/>
                    <w:tr2bl w:val="nil"/>
                  </w:tcBorders>
                  <w:noWrap/>
                  <w:vAlign w:val="center"/>
                </w:tcPr>
                <w:p w14:paraId="79A934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F2CD5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AE300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41.77</w:t>
                  </w:r>
                </w:p>
              </w:tc>
              <w:tc>
                <w:tcPr>
                  <w:tcW w:w="799" w:type="dxa"/>
                  <w:tcBorders>
                    <w:tl2br w:val="nil"/>
                    <w:tr2bl w:val="nil"/>
                  </w:tcBorders>
                  <w:noWrap/>
                  <w:vAlign w:val="center"/>
                </w:tcPr>
                <w:p w14:paraId="2E8A15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DABD2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E7926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13</w:t>
                  </w:r>
                </w:p>
              </w:tc>
              <w:tc>
                <w:tcPr>
                  <w:tcW w:w="338" w:type="pct"/>
                  <w:tcBorders>
                    <w:tl2br w:val="nil"/>
                    <w:tr2bl w:val="nil"/>
                  </w:tcBorders>
                  <w:noWrap/>
                  <w:vAlign w:val="center"/>
                </w:tcPr>
                <w:p w14:paraId="1B0ADF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04D10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冷却</w:t>
                  </w:r>
                </w:p>
              </w:tc>
              <w:tc>
                <w:tcPr>
                  <w:tcW w:w="219" w:type="pct"/>
                  <w:tcBorders>
                    <w:tl2br w:val="nil"/>
                    <w:tr2bl w:val="nil"/>
                  </w:tcBorders>
                  <w:noWrap/>
                  <w:vAlign w:val="center"/>
                </w:tcPr>
                <w:p w14:paraId="07F8E0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C7760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73/1</w:t>
                  </w:r>
                </w:p>
              </w:tc>
              <w:tc>
                <w:tcPr>
                  <w:tcW w:w="432" w:type="pct"/>
                  <w:vMerge w:val="continue"/>
                  <w:tcBorders>
                    <w:tl2br w:val="nil"/>
                    <w:tr2bl w:val="nil"/>
                  </w:tcBorders>
                  <w:noWrap w:val="0"/>
                  <w:vAlign w:val="center"/>
                </w:tcPr>
                <w:p w14:paraId="1C50CE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7F2A2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72.95</w:t>
                  </w:r>
                </w:p>
              </w:tc>
              <w:tc>
                <w:tcPr>
                  <w:tcW w:w="765" w:type="dxa"/>
                  <w:tcBorders>
                    <w:tl2br w:val="nil"/>
                    <w:tr2bl w:val="nil"/>
                  </w:tcBorders>
                  <w:noWrap/>
                  <w:vAlign w:val="center"/>
                </w:tcPr>
                <w:p w14:paraId="7C2E19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w:t>
                  </w:r>
                </w:p>
              </w:tc>
              <w:tc>
                <w:tcPr>
                  <w:tcW w:w="705" w:type="dxa"/>
                  <w:tcBorders>
                    <w:tl2br w:val="nil"/>
                    <w:tr2bl w:val="nil"/>
                  </w:tcBorders>
                  <w:noWrap/>
                  <w:vAlign w:val="center"/>
                </w:tcPr>
                <w:p w14:paraId="138EB3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90111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72.47</w:t>
                  </w:r>
                </w:p>
              </w:tc>
              <w:tc>
                <w:tcPr>
                  <w:tcW w:w="1020" w:type="dxa"/>
                  <w:tcBorders>
                    <w:tl2br w:val="nil"/>
                    <w:tr2bl w:val="nil"/>
                  </w:tcBorders>
                  <w:noWrap/>
                  <w:vAlign w:val="center"/>
                </w:tcPr>
                <w:p w14:paraId="4A1C6B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54.96</w:t>
                  </w:r>
                </w:p>
              </w:tc>
              <w:tc>
                <w:tcPr>
                  <w:tcW w:w="735" w:type="dxa"/>
                  <w:tcBorders>
                    <w:tl2br w:val="nil"/>
                    <w:tr2bl w:val="nil"/>
                  </w:tcBorders>
                  <w:noWrap/>
                  <w:vAlign w:val="center"/>
                </w:tcPr>
                <w:p w14:paraId="125C75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30669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7C419E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29.96</w:t>
                  </w:r>
                </w:p>
              </w:tc>
              <w:tc>
                <w:tcPr>
                  <w:tcW w:w="799" w:type="dxa"/>
                  <w:tcBorders>
                    <w:tl2br w:val="nil"/>
                    <w:tr2bl w:val="nil"/>
                  </w:tcBorders>
                  <w:noWrap/>
                  <w:vAlign w:val="center"/>
                </w:tcPr>
                <w:p w14:paraId="7905EC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6A48E8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D984A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w:t>
                  </w:r>
                </w:p>
              </w:tc>
              <w:tc>
                <w:tcPr>
                  <w:tcW w:w="338" w:type="pct"/>
                  <w:tcBorders>
                    <w:tl2br w:val="nil"/>
                    <w:tr2bl w:val="nil"/>
                  </w:tcBorders>
                  <w:noWrap/>
                  <w:vAlign w:val="center"/>
                </w:tcPr>
                <w:p w14:paraId="4DD50C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44BBF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冷却</w:t>
                  </w:r>
                </w:p>
              </w:tc>
              <w:tc>
                <w:tcPr>
                  <w:tcW w:w="219" w:type="pct"/>
                  <w:tcBorders>
                    <w:tl2br w:val="nil"/>
                    <w:tr2bl w:val="nil"/>
                  </w:tcBorders>
                  <w:noWrap/>
                  <w:vAlign w:val="center"/>
                </w:tcPr>
                <w:p w14:paraId="65ABB0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5BB7B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73/1</w:t>
                  </w:r>
                </w:p>
              </w:tc>
              <w:tc>
                <w:tcPr>
                  <w:tcW w:w="432" w:type="pct"/>
                  <w:vMerge w:val="continue"/>
                  <w:tcBorders>
                    <w:tl2br w:val="nil"/>
                    <w:tr2bl w:val="nil"/>
                  </w:tcBorders>
                  <w:noWrap w:val="0"/>
                  <w:vAlign w:val="center"/>
                </w:tcPr>
                <w:p w14:paraId="3DC5E4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2F2391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72.95</w:t>
                  </w:r>
                </w:p>
              </w:tc>
              <w:tc>
                <w:tcPr>
                  <w:tcW w:w="765" w:type="dxa"/>
                  <w:tcBorders>
                    <w:tl2br w:val="nil"/>
                    <w:tr2bl w:val="nil"/>
                  </w:tcBorders>
                  <w:noWrap/>
                  <w:vAlign w:val="center"/>
                </w:tcPr>
                <w:p w14:paraId="5BFEAF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w:t>
                  </w:r>
                </w:p>
              </w:tc>
              <w:tc>
                <w:tcPr>
                  <w:tcW w:w="705" w:type="dxa"/>
                  <w:tcBorders>
                    <w:tl2br w:val="nil"/>
                    <w:tr2bl w:val="nil"/>
                  </w:tcBorders>
                  <w:noWrap/>
                  <w:vAlign w:val="center"/>
                </w:tcPr>
                <w:p w14:paraId="6DEEAA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72B22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3.40</w:t>
                  </w:r>
                </w:p>
              </w:tc>
              <w:tc>
                <w:tcPr>
                  <w:tcW w:w="1020" w:type="dxa"/>
                  <w:tcBorders>
                    <w:tl2br w:val="nil"/>
                    <w:tr2bl w:val="nil"/>
                  </w:tcBorders>
                  <w:noWrap/>
                  <w:vAlign w:val="center"/>
                </w:tcPr>
                <w:p w14:paraId="208F7E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56.54</w:t>
                  </w:r>
                </w:p>
              </w:tc>
              <w:tc>
                <w:tcPr>
                  <w:tcW w:w="735" w:type="dxa"/>
                  <w:tcBorders>
                    <w:tl2br w:val="nil"/>
                    <w:tr2bl w:val="nil"/>
                  </w:tcBorders>
                  <w:noWrap/>
                  <w:vAlign w:val="center"/>
                </w:tcPr>
                <w:p w14:paraId="1E63AA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74064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8704B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31.54</w:t>
                  </w:r>
                </w:p>
              </w:tc>
              <w:tc>
                <w:tcPr>
                  <w:tcW w:w="799" w:type="dxa"/>
                  <w:tcBorders>
                    <w:tl2br w:val="nil"/>
                    <w:tr2bl w:val="nil"/>
                  </w:tcBorders>
                  <w:noWrap/>
                  <w:vAlign w:val="center"/>
                </w:tcPr>
                <w:p w14:paraId="134F5E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1E5FA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E2737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15</w:t>
                  </w:r>
                </w:p>
              </w:tc>
              <w:tc>
                <w:tcPr>
                  <w:tcW w:w="338" w:type="pct"/>
                  <w:tcBorders>
                    <w:tl2br w:val="nil"/>
                    <w:tr2bl w:val="nil"/>
                  </w:tcBorders>
                  <w:noWrap/>
                  <w:vAlign w:val="center"/>
                </w:tcPr>
                <w:p w14:paraId="2890BD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41576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冷却</w:t>
                  </w:r>
                </w:p>
              </w:tc>
              <w:tc>
                <w:tcPr>
                  <w:tcW w:w="219" w:type="pct"/>
                  <w:tcBorders>
                    <w:tl2br w:val="nil"/>
                    <w:tr2bl w:val="nil"/>
                  </w:tcBorders>
                  <w:noWrap/>
                  <w:vAlign w:val="center"/>
                </w:tcPr>
                <w:p w14:paraId="2E9037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79045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73/1</w:t>
                  </w:r>
                </w:p>
              </w:tc>
              <w:tc>
                <w:tcPr>
                  <w:tcW w:w="432" w:type="pct"/>
                  <w:vMerge w:val="continue"/>
                  <w:tcBorders>
                    <w:tl2br w:val="nil"/>
                    <w:tr2bl w:val="nil"/>
                  </w:tcBorders>
                  <w:noWrap w:val="0"/>
                  <w:vAlign w:val="center"/>
                </w:tcPr>
                <w:p w14:paraId="17C71B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94557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72.95</w:t>
                  </w:r>
                </w:p>
              </w:tc>
              <w:tc>
                <w:tcPr>
                  <w:tcW w:w="765" w:type="dxa"/>
                  <w:tcBorders>
                    <w:tl2br w:val="nil"/>
                    <w:tr2bl w:val="nil"/>
                  </w:tcBorders>
                  <w:noWrap/>
                  <w:vAlign w:val="center"/>
                </w:tcPr>
                <w:p w14:paraId="09AD4E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w:t>
                  </w:r>
                </w:p>
              </w:tc>
              <w:tc>
                <w:tcPr>
                  <w:tcW w:w="705" w:type="dxa"/>
                  <w:tcBorders>
                    <w:tl2br w:val="nil"/>
                    <w:tr2bl w:val="nil"/>
                  </w:tcBorders>
                  <w:noWrap/>
                  <w:vAlign w:val="center"/>
                </w:tcPr>
                <w:p w14:paraId="6E64DE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E655D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81.53</w:t>
                  </w:r>
                </w:p>
              </w:tc>
              <w:tc>
                <w:tcPr>
                  <w:tcW w:w="1020" w:type="dxa"/>
                  <w:tcBorders>
                    <w:tl2br w:val="nil"/>
                    <w:tr2bl w:val="nil"/>
                  </w:tcBorders>
                  <w:noWrap/>
                  <w:vAlign w:val="center"/>
                </w:tcPr>
                <w:p w14:paraId="01795D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54.96</w:t>
                  </w:r>
                </w:p>
              </w:tc>
              <w:tc>
                <w:tcPr>
                  <w:tcW w:w="735" w:type="dxa"/>
                  <w:tcBorders>
                    <w:tl2br w:val="nil"/>
                    <w:tr2bl w:val="nil"/>
                  </w:tcBorders>
                  <w:noWrap/>
                  <w:vAlign w:val="center"/>
                </w:tcPr>
                <w:p w14:paraId="58E489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7A0CC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4A8B7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29.96</w:t>
                  </w:r>
                </w:p>
              </w:tc>
              <w:tc>
                <w:tcPr>
                  <w:tcW w:w="799" w:type="dxa"/>
                  <w:tcBorders>
                    <w:tl2br w:val="nil"/>
                    <w:tr2bl w:val="nil"/>
                  </w:tcBorders>
                  <w:noWrap/>
                  <w:vAlign w:val="center"/>
                </w:tcPr>
                <w:p w14:paraId="402064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03B7366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630B1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16</w:t>
                  </w:r>
                </w:p>
              </w:tc>
              <w:tc>
                <w:tcPr>
                  <w:tcW w:w="338" w:type="pct"/>
                  <w:tcBorders>
                    <w:tl2br w:val="nil"/>
                    <w:tr2bl w:val="nil"/>
                  </w:tcBorders>
                  <w:noWrap/>
                  <w:vAlign w:val="center"/>
                </w:tcPr>
                <w:p w14:paraId="629B4C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8D0F0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冷却</w:t>
                  </w:r>
                </w:p>
              </w:tc>
              <w:tc>
                <w:tcPr>
                  <w:tcW w:w="219" w:type="pct"/>
                  <w:tcBorders>
                    <w:tl2br w:val="nil"/>
                    <w:tr2bl w:val="nil"/>
                  </w:tcBorders>
                  <w:noWrap/>
                  <w:vAlign w:val="center"/>
                </w:tcPr>
                <w:p w14:paraId="6F0DD4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5969E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73/1</w:t>
                  </w:r>
                </w:p>
              </w:tc>
              <w:tc>
                <w:tcPr>
                  <w:tcW w:w="432" w:type="pct"/>
                  <w:vMerge w:val="continue"/>
                  <w:tcBorders>
                    <w:tl2br w:val="nil"/>
                    <w:tr2bl w:val="nil"/>
                  </w:tcBorders>
                  <w:noWrap w:val="0"/>
                  <w:vAlign w:val="center"/>
                </w:tcPr>
                <w:p w14:paraId="3AE9F0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DF799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72.95</w:t>
                  </w:r>
                </w:p>
              </w:tc>
              <w:tc>
                <w:tcPr>
                  <w:tcW w:w="765" w:type="dxa"/>
                  <w:tcBorders>
                    <w:tl2br w:val="nil"/>
                    <w:tr2bl w:val="nil"/>
                  </w:tcBorders>
                  <w:noWrap/>
                  <w:vAlign w:val="center"/>
                </w:tcPr>
                <w:p w14:paraId="471A02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w:t>
                  </w:r>
                </w:p>
              </w:tc>
              <w:tc>
                <w:tcPr>
                  <w:tcW w:w="705" w:type="dxa"/>
                  <w:tcBorders>
                    <w:tl2br w:val="nil"/>
                    <w:tr2bl w:val="nil"/>
                  </w:tcBorders>
                  <w:noWrap/>
                  <w:vAlign w:val="center"/>
                </w:tcPr>
                <w:p w14:paraId="16AA12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34B86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61.53</w:t>
                  </w:r>
                </w:p>
              </w:tc>
              <w:tc>
                <w:tcPr>
                  <w:tcW w:w="1020" w:type="dxa"/>
                  <w:tcBorders>
                    <w:tl2br w:val="nil"/>
                    <w:tr2bl w:val="nil"/>
                  </w:tcBorders>
                  <w:noWrap/>
                  <w:vAlign w:val="center"/>
                </w:tcPr>
                <w:p w14:paraId="1CCFE7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54.96</w:t>
                  </w:r>
                </w:p>
              </w:tc>
              <w:tc>
                <w:tcPr>
                  <w:tcW w:w="735" w:type="dxa"/>
                  <w:tcBorders>
                    <w:tl2br w:val="nil"/>
                    <w:tr2bl w:val="nil"/>
                  </w:tcBorders>
                  <w:noWrap/>
                  <w:vAlign w:val="center"/>
                </w:tcPr>
                <w:p w14:paraId="41DBC8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32F68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15C87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29.96</w:t>
                  </w:r>
                </w:p>
              </w:tc>
              <w:tc>
                <w:tcPr>
                  <w:tcW w:w="799" w:type="dxa"/>
                  <w:tcBorders>
                    <w:tl2br w:val="nil"/>
                    <w:tr2bl w:val="nil"/>
                  </w:tcBorders>
                  <w:noWrap/>
                  <w:vAlign w:val="center"/>
                </w:tcPr>
                <w:p w14:paraId="375125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0589D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F5D89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17</w:t>
                  </w:r>
                </w:p>
              </w:tc>
              <w:tc>
                <w:tcPr>
                  <w:tcW w:w="338" w:type="pct"/>
                  <w:tcBorders>
                    <w:tl2br w:val="nil"/>
                    <w:tr2bl w:val="nil"/>
                  </w:tcBorders>
                  <w:noWrap/>
                  <w:vAlign w:val="center"/>
                </w:tcPr>
                <w:p w14:paraId="3539CF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0288A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抛丸区</w:t>
                  </w:r>
                </w:p>
              </w:tc>
              <w:tc>
                <w:tcPr>
                  <w:tcW w:w="219" w:type="pct"/>
                  <w:tcBorders>
                    <w:tl2br w:val="nil"/>
                    <w:tr2bl w:val="nil"/>
                  </w:tcBorders>
                  <w:noWrap/>
                  <w:vAlign w:val="center"/>
                </w:tcPr>
                <w:p w14:paraId="42C2AC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AA521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86.45/1</w:t>
                  </w:r>
                </w:p>
              </w:tc>
              <w:tc>
                <w:tcPr>
                  <w:tcW w:w="432" w:type="pct"/>
                  <w:vMerge w:val="continue"/>
                  <w:tcBorders>
                    <w:tl2br w:val="nil"/>
                    <w:tr2bl w:val="nil"/>
                  </w:tcBorders>
                  <w:noWrap w:val="0"/>
                  <w:vAlign w:val="center"/>
                </w:tcPr>
                <w:p w14:paraId="225CA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60CF4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11.86</w:t>
                  </w:r>
                </w:p>
              </w:tc>
              <w:tc>
                <w:tcPr>
                  <w:tcW w:w="765" w:type="dxa"/>
                  <w:tcBorders>
                    <w:tl2br w:val="nil"/>
                    <w:tr2bl w:val="nil"/>
                  </w:tcBorders>
                  <w:noWrap/>
                  <w:vAlign w:val="center"/>
                </w:tcPr>
                <w:p w14:paraId="42AD36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29.53</w:t>
                  </w:r>
                </w:p>
              </w:tc>
              <w:tc>
                <w:tcPr>
                  <w:tcW w:w="705" w:type="dxa"/>
                  <w:tcBorders>
                    <w:tl2br w:val="nil"/>
                    <w:tr2bl w:val="nil"/>
                  </w:tcBorders>
                  <w:noWrap/>
                  <w:vAlign w:val="center"/>
                </w:tcPr>
                <w:p w14:paraId="5969CD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D1EB1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11.33</w:t>
                  </w:r>
                </w:p>
              </w:tc>
              <w:tc>
                <w:tcPr>
                  <w:tcW w:w="1020" w:type="dxa"/>
                  <w:tcBorders>
                    <w:tl2br w:val="nil"/>
                    <w:tr2bl w:val="nil"/>
                  </w:tcBorders>
                  <w:noWrap/>
                  <w:vAlign w:val="center"/>
                </w:tcPr>
                <w:p w14:paraId="031DC8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68.58</w:t>
                  </w:r>
                </w:p>
              </w:tc>
              <w:tc>
                <w:tcPr>
                  <w:tcW w:w="735" w:type="dxa"/>
                  <w:tcBorders>
                    <w:tl2br w:val="nil"/>
                    <w:tr2bl w:val="nil"/>
                  </w:tcBorders>
                  <w:noWrap/>
                  <w:vAlign w:val="center"/>
                </w:tcPr>
                <w:p w14:paraId="1F6448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F6622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74C02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43.58</w:t>
                  </w:r>
                </w:p>
              </w:tc>
              <w:tc>
                <w:tcPr>
                  <w:tcW w:w="799" w:type="dxa"/>
                  <w:tcBorders>
                    <w:tl2br w:val="nil"/>
                    <w:tr2bl w:val="nil"/>
                  </w:tcBorders>
                  <w:noWrap/>
                  <w:vAlign w:val="center"/>
                </w:tcPr>
                <w:p w14:paraId="6ECE6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7168F2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E33D2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w:t>
                  </w:r>
                </w:p>
              </w:tc>
              <w:tc>
                <w:tcPr>
                  <w:tcW w:w="338" w:type="pct"/>
                  <w:tcBorders>
                    <w:tl2br w:val="nil"/>
                    <w:tr2bl w:val="nil"/>
                  </w:tcBorders>
                  <w:noWrap/>
                  <w:vAlign w:val="center"/>
                </w:tcPr>
                <w:p w14:paraId="343A5D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489251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抛丸区</w:t>
                  </w:r>
                </w:p>
              </w:tc>
              <w:tc>
                <w:tcPr>
                  <w:tcW w:w="219" w:type="pct"/>
                  <w:tcBorders>
                    <w:tl2br w:val="nil"/>
                    <w:tr2bl w:val="nil"/>
                  </w:tcBorders>
                  <w:noWrap/>
                  <w:vAlign w:val="center"/>
                </w:tcPr>
                <w:p w14:paraId="46F7AA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7651A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86.45/1</w:t>
                  </w:r>
                </w:p>
              </w:tc>
              <w:tc>
                <w:tcPr>
                  <w:tcW w:w="432" w:type="pct"/>
                  <w:vMerge w:val="continue"/>
                  <w:tcBorders>
                    <w:tl2br w:val="nil"/>
                    <w:tr2bl w:val="nil"/>
                  </w:tcBorders>
                  <w:noWrap w:val="0"/>
                  <w:vAlign w:val="center"/>
                </w:tcPr>
                <w:p w14:paraId="5C0F2C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13A07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11.86</w:t>
                  </w:r>
                </w:p>
              </w:tc>
              <w:tc>
                <w:tcPr>
                  <w:tcW w:w="765" w:type="dxa"/>
                  <w:tcBorders>
                    <w:tl2br w:val="nil"/>
                    <w:tr2bl w:val="nil"/>
                  </w:tcBorders>
                  <w:noWrap/>
                  <w:vAlign w:val="center"/>
                </w:tcPr>
                <w:p w14:paraId="7D8ABC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29.53</w:t>
                  </w:r>
                </w:p>
              </w:tc>
              <w:tc>
                <w:tcPr>
                  <w:tcW w:w="705" w:type="dxa"/>
                  <w:tcBorders>
                    <w:tl2br w:val="nil"/>
                    <w:tr2bl w:val="nil"/>
                  </w:tcBorders>
                  <w:noWrap/>
                  <w:vAlign w:val="center"/>
                </w:tcPr>
                <w:p w14:paraId="7A54EA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CE301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29.99</w:t>
                  </w:r>
                </w:p>
              </w:tc>
              <w:tc>
                <w:tcPr>
                  <w:tcW w:w="1020" w:type="dxa"/>
                  <w:tcBorders>
                    <w:tl2br w:val="nil"/>
                    <w:tr2bl w:val="nil"/>
                  </w:tcBorders>
                  <w:noWrap/>
                  <w:vAlign w:val="center"/>
                </w:tcPr>
                <w:p w14:paraId="72D9A9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68.43</w:t>
                  </w:r>
                </w:p>
              </w:tc>
              <w:tc>
                <w:tcPr>
                  <w:tcW w:w="735" w:type="dxa"/>
                  <w:tcBorders>
                    <w:tl2br w:val="nil"/>
                    <w:tr2bl w:val="nil"/>
                  </w:tcBorders>
                  <w:noWrap/>
                  <w:vAlign w:val="center"/>
                </w:tcPr>
                <w:p w14:paraId="206794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0753A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7F80A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43.43</w:t>
                  </w:r>
                </w:p>
              </w:tc>
              <w:tc>
                <w:tcPr>
                  <w:tcW w:w="799" w:type="dxa"/>
                  <w:tcBorders>
                    <w:tl2br w:val="nil"/>
                    <w:tr2bl w:val="nil"/>
                  </w:tcBorders>
                  <w:noWrap/>
                  <w:vAlign w:val="center"/>
                </w:tcPr>
                <w:p w14:paraId="396BE5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694BE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0B30E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19</w:t>
                  </w:r>
                </w:p>
              </w:tc>
              <w:tc>
                <w:tcPr>
                  <w:tcW w:w="338" w:type="pct"/>
                  <w:tcBorders>
                    <w:tl2br w:val="nil"/>
                    <w:tr2bl w:val="nil"/>
                  </w:tcBorders>
                  <w:noWrap/>
                  <w:vAlign w:val="center"/>
                </w:tcPr>
                <w:p w14:paraId="341171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C2F9C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抛丸区</w:t>
                  </w:r>
                </w:p>
              </w:tc>
              <w:tc>
                <w:tcPr>
                  <w:tcW w:w="219" w:type="pct"/>
                  <w:tcBorders>
                    <w:tl2br w:val="nil"/>
                    <w:tr2bl w:val="nil"/>
                  </w:tcBorders>
                  <w:noWrap/>
                  <w:vAlign w:val="center"/>
                </w:tcPr>
                <w:p w14:paraId="4BD445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7AF86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86.45/1</w:t>
                  </w:r>
                </w:p>
              </w:tc>
              <w:tc>
                <w:tcPr>
                  <w:tcW w:w="432" w:type="pct"/>
                  <w:vMerge w:val="continue"/>
                  <w:tcBorders>
                    <w:tl2br w:val="nil"/>
                    <w:tr2bl w:val="nil"/>
                  </w:tcBorders>
                  <w:noWrap w:val="0"/>
                  <w:vAlign w:val="center"/>
                </w:tcPr>
                <w:p w14:paraId="7E64C8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2AC94D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11.86</w:t>
                  </w:r>
                </w:p>
              </w:tc>
              <w:tc>
                <w:tcPr>
                  <w:tcW w:w="765" w:type="dxa"/>
                  <w:tcBorders>
                    <w:tl2br w:val="nil"/>
                    <w:tr2bl w:val="nil"/>
                  </w:tcBorders>
                  <w:noWrap/>
                  <w:vAlign w:val="center"/>
                </w:tcPr>
                <w:p w14:paraId="1BF7EA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29.53</w:t>
                  </w:r>
                </w:p>
              </w:tc>
              <w:tc>
                <w:tcPr>
                  <w:tcW w:w="705" w:type="dxa"/>
                  <w:tcBorders>
                    <w:tl2br w:val="nil"/>
                    <w:tr2bl w:val="nil"/>
                  </w:tcBorders>
                  <w:noWrap/>
                  <w:vAlign w:val="center"/>
                </w:tcPr>
                <w:p w14:paraId="2A94AF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6FDEE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142.57</w:t>
                  </w:r>
                </w:p>
              </w:tc>
              <w:tc>
                <w:tcPr>
                  <w:tcW w:w="1020" w:type="dxa"/>
                  <w:tcBorders>
                    <w:tl2br w:val="nil"/>
                    <w:tr2bl w:val="nil"/>
                  </w:tcBorders>
                  <w:noWrap/>
                  <w:vAlign w:val="center"/>
                </w:tcPr>
                <w:p w14:paraId="6899F3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68.41</w:t>
                  </w:r>
                </w:p>
              </w:tc>
              <w:tc>
                <w:tcPr>
                  <w:tcW w:w="735" w:type="dxa"/>
                  <w:tcBorders>
                    <w:tl2br w:val="nil"/>
                    <w:tr2bl w:val="nil"/>
                  </w:tcBorders>
                  <w:noWrap/>
                  <w:vAlign w:val="center"/>
                </w:tcPr>
                <w:p w14:paraId="58DB3D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328E1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DB7F3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43.41</w:t>
                  </w:r>
                </w:p>
              </w:tc>
              <w:tc>
                <w:tcPr>
                  <w:tcW w:w="799" w:type="dxa"/>
                  <w:tcBorders>
                    <w:tl2br w:val="nil"/>
                    <w:tr2bl w:val="nil"/>
                  </w:tcBorders>
                  <w:noWrap/>
                  <w:vAlign w:val="center"/>
                </w:tcPr>
                <w:p w14:paraId="03C103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5C7756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4CD8E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20</w:t>
                  </w:r>
                </w:p>
              </w:tc>
              <w:tc>
                <w:tcPr>
                  <w:tcW w:w="338" w:type="pct"/>
                  <w:tcBorders>
                    <w:tl2br w:val="nil"/>
                    <w:tr2bl w:val="nil"/>
                  </w:tcBorders>
                  <w:noWrap/>
                  <w:vAlign w:val="center"/>
                </w:tcPr>
                <w:p w14:paraId="43617B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93E5C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抛丸区</w:t>
                  </w:r>
                </w:p>
              </w:tc>
              <w:tc>
                <w:tcPr>
                  <w:tcW w:w="219" w:type="pct"/>
                  <w:tcBorders>
                    <w:tl2br w:val="nil"/>
                    <w:tr2bl w:val="nil"/>
                  </w:tcBorders>
                  <w:noWrap/>
                  <w:vAlign w:val="center"/>
                </w:tcPr>
                <w:p w14:paraId="78609B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99F96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86.45/1</w:t>
                  </w:r>
                </w:p>
              </w:tc>
              <w:tc>
                <w:tcPr>
                  <w:tcW w:w="432" w:type="pct"/>
                  <w:vMerge w:val="continue"/>
                  <w:tcBorders>
                    <w:tl2br w:val="nil"/>
                    <w:tr2bl w:val="nil"/>
                  </w:tcBorders>
                  <w:noWrap w:val="0"/>
                  <w:vAlign w:val="center"/>
                </w:tcPr>
                <w:p w14:paraId="3CD242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219D5C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11.86</w:t>
                  </w:r>
                </w:p>
              </w:tc>
              <w:tc>
                <w:tcPr>
                  <w:tcW w:w="765" w:type="dxa"/>
                  <w:tcBorders>
                    <w:tl2br w:val="nil"/>
                    <w:tr2bl w:val="nil"/>
                  </w:tcBorders>
                  <w:noWrap/>
                  <w:vAlign w:val="center"/>
                </w:tcPr>
                <w:p w14:paraId="7D12BF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29.53</w:t>
                  </w:r>
                </w:p>
              </w:tc>
              <w:tc>
                <w:tcPr>
                  <w:tcW w:w="705" w:type="dxa"/>
                  <w:tcBorders>
                    <w:tl2br w:val="nil"/>
                    <w:tr2bl w:val="nil"/>
                  </w:tcBorders>
                  <w:noWrap/>
                  <w:vAlign w:val="center"/>
                </w:tcPr>
                <w:p w14:paraId="6328EF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B0D4A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35.03</w:t>
                  </w:r>
                </w:p>
              </w:tc>
              <w:tc>
                <w:tcPr>
                  <w:tcW w:w="1020" w:type="dxa"/>
                  <w:tcBorders>
                    <w:tl2br w:val="nil"/>
                    <w:tr2bl w:val="nil"/>
                  </w:tcBorders>
                  <w:noWrap/>
                  <w:vAlign w:val="center"/>
                </w:tcPr>
                <w:p w14:paraId="421351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68.42</w:t>
                  </w:r>
                </w:p>
              </w:tc>
              <w:tc>
                <w:tcPr>
                  <w:tcW w:w="735" w:type="dxa"/>
                  <w:tcBorders>
                    <w:tl2br w:val="nil"/>
                    <w:tr2bl w:val="nil"/>
                  </w:tcBorders>
                  <w:noWrap/>
                  <w:vAlign w:val="center"/>
                </w:tcPr>
                <w:p w14:paraId="46E84E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79459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F3E98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43.42</w:t>
                  </w:r>
                </w:p>
              </w:tc>
              <w:tc>
                <w:tcPr>
                  <w:tcW w:w="799" w:type="dxa"/>
                  <w:tcBorders>
                    <w:tl2br w:val="nil"/>
                    <w:tr2bl w:val="nil"/>
                  </w:tcBorders>
                  <w:noWrap/>
                  <w:vAlign w:val="center"/>
                </w:tcPr>
                <w:p w14:paraId="5056C2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8893A7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26E18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w:t>
                  </w:r>
                </w:p>
              </w:tc>
              <w:tc>
                <w:tcPr>
                  <w:tcW w:w="338" w:type="pct"/>
                  <w:tcBorders>
                    <w:tl2br w:val="nil"/>
                    <w:tr2bl w:val="nil"/>
                  </w:tcBorders>
                  <w:noWrap/>
                  <w:vAlign w:val="center"/>
                </w:tcPr>
                <w:p w14:paraId="451455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44DF3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打磨区</w:t>
                  </w:r>
                </w:p>
              </w:tc>
              <w:tc>
                <w:tcPr>
                  <w:tcW w:w="219" w:type="pct"/>
                  <w:tcBorders>
                    <w:tl2br w:val="nil"/>
                    <w:tr2bl w:val="nil"/>
                  </w:tcBorders>
                  <w:noWrap/>
                  <w:vAlign w:val="center"/>
                </w:tcPr>
                <w:p w14:paraId="137BCF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6BE30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82.8/1</w:t>
                  </w:r>
                </w:p>
              </w:tc>
              <w:tc>
                <w:tcPr>
                  <w:tcW w:w="432" w:type="pct"/>
                  <w:vMerge w:val="continue"/>
                  <w:tcBorders>
                    <w:tl2br w:val="nil"/>
                    <w:tr2bl w:val="nil"/>
                  </w:tcBorders>
                  <w:noWrap w:val="0"/>
                  <w:vAlign w:val="center"/>
                </w:tcPr>
                <w:p w14:paraId="3547B7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0B48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11.64</w:t>
                  </w:r>
                </w:p>
              </w:tc>
              <w:tc>
                <w:tcPr>
                  <w:tcW w:w="765" w:type="dxa"/>
                  <w:tcBorders>
                    <w:tl2br w:val="nil"/>
                    <w:tr2bl w:val="nil"/>
                  </w:tcBorders>
                  <w:noWrap/>
                  <w:vAlign w:val="center"/>
                </w:tcPr>
                <w:p w14:paraId="673020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10.06</w:t>
                  </w:r>
                </w:p>
              </w:tc>
              <w:tc>
                <w:tcPr>
                  <w:tcW w:w="705" w:type="dxa"/>
                  <w:tcBorders>
                    <w:tl2br w:val="nil"/>
                    <w:tr2bl w:val="nil"/>
                  </w:tcBorders>
                  <w:noWrap/>
                  <w:vAlign w:val="center"/>
                </w:tcPr>
                <w:p w14:paraId="2B402E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A93E3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11.15</w:t>
                  </w:r>
                </w:p>
              </w:tc>
              <w:tc>
                <w:tcPr>
                  <w:tcW w:w="1020" w:type="dxa"/>
                  <w:tcBorders>
                    <w:tl2br w:val="nil"/>
                    <w:tr2bl w:val="nil"/>
                  </w:tcBorders>
                  <w:noWrap/>
                  <w:vAlign w:val="center"/>
                </w:tcPr>
                <w:p w14:paraId="70774B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64.93</w:t>
                  </w:r>
                </w:p>
              </w:tc>
              <w:tc>
                <w:tcPr>
                  <w:tcW w:w="735" w:type="dxa"/>
                  <w:tcBorders>
                    <w:tl2br w:val="nil"/>
                    <w:tr2bl w:val="nil"/>
                  </w:tcBorders>
                  <w:noWrap/>
                  <w:vAlign w:val="center"/>
                </w:tcPr>
                <w:p w14:paraId="23B0EB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2D07A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798127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39.93</w:t>
                  </w:r>
                </w:p>
              </w:tc>
              <w:tc>
                <w:tcPr>
                  <w:tcW w:w="799" w:type="dxa"/>
                  <w:tcBorders>
                    <w:tl2br w:val="nil"/>
                    <w:tr2bl w:val="nil"/>
                  </w:tcBorders>
                  <w:noWrap/>
                  <w:vAlign w:val="center"/>
                </w:tcPr>
                <w:p w14:paraId="6370BE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6B9DC5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119EE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22</w:t>
                  </w:r>
                </w:p>
              </w:tc>
              <w:tc>
                <w:tcPr>
                  <w:tcW w:w="338" w:type="pct"/>
                  <w:tcBorders>
                    <w:tl2br w:val="nil"/>
                    <w:tr2bl w:val="nil"/>
                  </w:tcBorders>
                  <w:noWrap/>
                  <w:vAlign w:val="center"/>
                </w:tcPr>
                <w:p w14:paraId="5224C0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B9D42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打磨区</w:t>
                  </w:r>
                </w:p>
              </w:tc>
              <w:tc>
                <w:tcPr>
                  <w:tcW w:w="219" w:type="pct"/>
                  <w:tcBorders>
                    <w:tl2br w:val="nil"/>
                    <w:tr2bl w:val="nil"/>
                  </w:tcBorders>
                  <w:noWrap/>
                  <w:vAlign w:val="center"/>
                </w:tcPr>
                <w:p w14:paraId="399880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C7799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82.8/1</w:t>
                  </w:r>
                </w:p>
              </w:tc>
              <w:tc>
                <w:tcPr>
                  <w:tcW w:w="432" w:type="pct"/>
                  <w:vMerge w:val="continue"/>
                  <w:tcBorders>
                    <w:tl2br w:val="nil"/>
                    <w:tr2bl w:val="nil"/>
                  </w:tcBorders>
                  <w:noWrap w:val="0"/>
                  <w:vAlign w:val="center"/>
                </w:tcPr>
                <w:p w14:paraId="2A380D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B36CE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11.64</w:t>
                  </w:r>
                </w:p>
              </w:tc>
              <w:tc>
                <w:tcPr>
                  <w:tcW w:w="765" w:type="dxa"/>
                  <w:tcBorders>
                    <w:tl2br w:val="nil"/>
                    <w:tr2bl w:val="nil"/>
                  </w:tcBorders>
                  <w:noWrap/>
                  <w:vAlign w:val="center"/>
                </w:tcPr>
                <w:p w14:paraId="2AFB8B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10.06</w:t>
                  </w:r>
                </w:p>
              </w:tc>
              <w:tc>
                <w:tcPr>
                  <w:tcW w:w="705" w:type="dxa"/>
                  <w:tcBorders>
                    <w:tl2br w:val="nil"/>
                    <w:tr2bl w:val="nil"/>
                  </w:tcBorders>
                  <w:noWrap/>
                  <w:vAlign w:val="center"/>
                </w:tcPr>
                <w:p w14:paraId="141A18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07CD5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10.52</w:t>
                  </w:r>
                </w:p>
              </w:tc>
              <w:tc>
                <w:tcPr>
                  <w:tcW w:w="1020" w:type="dxa"/>
                  <w:tcBorders>
                    <w:tl2br w:val="nil"/>
                    <w:tr2bl w:val="nil"/>
                  </w:tcBorders>
                  <w:noWrap/>
                  <w:vAlign w:val="center"/>
                </w:tcPr>
                <w:p w14:paraId="65D428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64.95</w:t>
                  </w:r>
                </w:p>
              </w:tc>
              <w:tc>
                <w:tcPr>
                  <w:tcW w:w="735" w:type="dxa"/>
                  <w:tcBorders>
                    <w:tl2br w:val="nil"/>
                    <w:tr2bl w:val="nil"/>
                  </w:tcBorders>
                  <w:noWrap/>
                  <w:vAlign w:val="center"/>
                </w:tcPr>
                <w:p w14:paraId="7777CA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48CF4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FD6D7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39.95</w:t>
                  </w:r>
                </w:p>
              </w:tc>
              <w:tc>
                <w:tcPr>
                  <w:tcW w:w="799" w:type="dxa"/>
                  <w:tcBorders>
                    <w:tl2br w:val="nil"/>
                    <w:tr2bl w:val="nil"/>
                  </w:tcBorders>
                  <w:noWrap/>
                  <w:vAlign w:val="center"/>
                </w:tcPr>
                <w:p w14:paraId="4F9093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C99CFB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F670B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23</w:t>
                  </w:r>
                </w:p>
              </w:tc>
              <w:tc>
                <w:tcPr>
                  <w:tcW w:w="338" w:type="pct"/>
                  <w:tcBorders>
                    <w:tl2br w:val="nil"/>
                    <w:tr2bl w:val="nil"/>
                  </w:tcBorders>
                  <w:noWrap/>
                  <w:vAlign w:val="center"/>
                </w:tcPr>
                <w:p w14:paraId="6F39A8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C9090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打磨区</w:t>
                  </w:r>
                </w:p>
              </w:tc>
              <w:tc>
                <w:tcPr>
                  <w:tcW w:w="219" w:type="pct"/>
                  <w:tcBorders>
                    <w:tl2br w:val="nil"/>
                    <w:tr2bl w:val="nil"/>
                  </w:tcBorders>
                  <w:noWrap/>
                  <w:vAlign w:val="center"/>
                </w:tcPr>
                <w:p w14:paraId="4F7BB3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39208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82.8/1</w:t>
                  </w:r>
                </w:p>
              </w:tc>
              <w:tc>
                <w:tcPr>
                  <w:tcW w:w="432" w:type="pct"/>
                  <w:vMerge w:val="continue"/>
                  <w:tcBorders>
                    <w:tl2br w:val="nil"/>
                    <w:tr2bl w:val="nil"/>
                  </w:tcBorders>
                  <w:noWrap w:val="0"/>
                  <w:vAlign w:val="center"/>
                </w:tcPr>
                <w:p w14:paraId="7EAC3F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201E55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11.64</w:t>
                  </w:r>
                </w:p>
              </w:tc>
              <w:tc>
                <w:tcPr>
                  <w:tcW w:w="765" w:type="dxa"/>
                  <w:tcBorders>
                    <w:tl2br w:val="nil"/>
                    <w:tr2bl w:val="nil"/>
                  </w:tcBorders>
                  <w:noWrap/>
                  <w:vAlign w:val="center"/>
                </w:tcPr>
                <w:p w14:paraId="263575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10.06</w:t>
                  </w:r>
                </w:p>
              </w:tc>
              <w:tc>
                <w:tcPr>
                  <w:tcW w:w="705" w:type="dxa"/>
                  <w:tcBorders>
                    <w:tl2br w:val="nil"/>
                    <w:tr2bl w:val="nil"/>
                  </w:tcBorders>
                  <w:noWrap/>
                  <w:vAlign w:val="center"/>
                </w:tcPr>
                <w:p w14:paraId="2EA90C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6B3E5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142.83</w:t>
                  </w:r>
                </w:p>
              </w:tc>
              <w:tc>
                <w:tcPr>
                  <w:tcW w:w="1020" w:type="dxa"/>
                  <w:tcBorders>
                    <w:tl2br w:val="nil"/>
                    <w:tr2bl w:val="nil"/>
                  </w:tcBorders>
                  <w:noWrap/>
                  <w:vAlign w:val="center"/>
                </w:tcPr>
                <w:p w14:paraId="772D89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64.76</w:t>
                  </w:r>
                </w:p>
              </w:tc>
              <w:tc>
                <w:tcPr>
                  <w:tcW w:w="735" w:type="dxa"/>
                  <w:tcBorders>
                    <w:tl2br w:val="nil"/>
                    <w:tr2bl w:val="nil"/>
                  </w:tcBorders>
                  <w:noWrap/>
                  <w:vAlign w:val="center"/>
                </w:tcPr>
                <w:p w14:paraId="754584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0D56F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80618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39.76</w:t>
                  </w:r>
                </w:p>
              </w:tc>
              <w:tc>
                <w:tcPr>
                  <w:tcW w:w="799" w:type="dxa"/>
                  <w:tcBorders>
                    <w:tl2br w:val="nil"/>
                    <w:tr2bl w:val="nil"/>
                  </w:tcBorders>
                  <w:noWrap/>
                  <w:vAlign w:val="center"/>
                </w:tcPr>
                <w:p w14:paraId="24C96C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3B812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74DE7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24</w:t>
                  </w:r>
                </w:p>
              </w:tc>
              <w:tc>
                <w:tcPr>
                  <w:tcW w:w="338" w:type="pct"/>
                  <w:tcBorders>
                    <w:tl2br w:val="nil"/>
                    <w:tr2bl w:val="nil"/>
                  </w:tcBorders>
                  <w:noWrap/>
                  <w:vAlign w:val="center"/>
                </w:tcPr>
                <w:p w14:paraId="601E9A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1906C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打磨区</w:t>
                  </w:r>
                </w:p>
              </w:tc>
              <w:tc>
                <w:tcPr>
                  <w:tcW w:w="219" w:type="pct"/>
                  <w:tcBorders>
                    <w:tl2br w:val="nil"/>
                    <w:tr2bl w:val="nil"/>
                  </w:tcBorders>
                  <w:noWrap/>
                  <w:vAlign w:val="center"/>
                </w:tcPr>
                <w:p w14:paraId="426255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80528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82.8/1</w:t>
                  </w:r>
                </w:p>
              </w:tc>
              <w:tc>
                <w:tcPr>
                  <w:tcW w:w="432" w:type="pct"/>
                  <w:vMerge w:val="continue"/>
                  <w:tcBorders>
                    <w:tl2br w:val="nil"/>
                    <w:tr2bl w:val="nil"/>
                  </w:tcBorders>
                  <w:noWrap w:val="0"/>
                  <w:vAlign w:val="center"/>
                </w:tcPr>
                <w:p w14:paraId="116E03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D3ECC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11.64</w:t>
                  </w:r>
                </w:p>
              </w:tc>
              <w:tc>
                <w:tcPr>
                  <w:tcW w:w="765" w:type="dxa"/>
                  <w:tcBorders>
                    <w:tl2br w:val="nil"/>
                    <w:tr2bl w:val="nil"/>
                  </w:tcBorders>
                  <w:noWrap/>
                  <w:vAlign w:val="center"/>
                </w:tcPr>
                <w:p w14:paraId="29022A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10.06</w:t>
                  </w:r>
                </w:p>
              </w:tc>
              <w:tc>
                <w:tcPr>
                  <w:tcW w:w="705" w:type="dxa"/>
                  <w:tcBorders>
                    <w:tl2br w:val="nil"/>
                    <w:tr2bl w:val="nil"/>
                  </w:tcBorders>
                  <w:noWrap/>
                  <w:vAlign w:val="center"/>
                </w:tcPr>
                <w:p w14:paraId="641CC7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36C23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54.50</w:t>
                  </w:r>
                </w:p>
              </w:tc>
              <w:tc>
                <w:tcPr>
                  <w:tcW w:w="1020" w:type="dxa"/>
                  <w:tcBorders>
                    <w:tl2br w:val="nil"/>
                    <w:tr2bl w:val="nil"/>
                  </w:tcBorders>
                  <w:noWrap/>
                  <w:vAlign w:val="center"/>
                </w:tcPr>
                <w:p w14:paraId="67230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64.76</w:t>
                  </w:r>
                </w:p>
              </w:tc>
              <w:tc>
                <w:tcPr>
                  <w:tcW w:w="735" w:type="dxa"/>
                  <w:tcBorders>
                    <w:tl2br w:val="nil"/>
                    <w:tr2bl w:val="nil"/>
                  </w:tcBorders>
                  <w:noWrap/>
                  <w:vAlign w:val="center"/>
                </w:tcPr>
                <w:p w14:paraId="58D92C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BB728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5DE94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39.76</w:t>
                  </w:r>
                </w:p>
              </w:tc>
              <w:tc>
                <w:tcPr>
                  <w:tcW w:w="799" w:type="dxa"/>
                  <w:tcBorders>
                    <w:tl2br w:val="nil"/>
                    <w:tr2bl w:val="nil"/>
                  </w:tcBorders>
                  <w:noWrap/>
                  <w:vAlign w:val="center"/>
                </w:tcPr>
                <w:p w14:paraId="75E690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A782A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99A70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338" w:type="pct"/>
                  <w:tcBorders>
                    <w:tl2br w:val="nil"/>
                    <w:tr2bl w:val="nil"/>
                  </w:tcBorders>
                  <w:noWrap/>
                  <w:vAlign w:val="center"/>
                </w:tcPr>
                <w:p w14:paraId="551B0F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D17B9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机加工区</w:t>
                  </w:r>
                </w:p>
              </w:tc>
              <w:tc>
                <w:tcPr>
                  <w:tcW w:w="219" w:type="pct"/>
                  <w:tcBorders>
                    <w:tl2br w:val="nil"/>
                    <w:tr2bl w:val="nil"/>
                  </w:tcBorders>
                  <w:noWrap/>
                  <w:vAlign w:val="center"/>
                </w:tcPr>
                <w:p w14:paraId="210044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ADC1C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92.87/1</w:t>
                  </w:r>
                </w:p>
              </w:tc>
              <w:tc>
                <w:tcPr>
                  <w:tcW w:w="432" w:type="pct"/>
                  <w:vMerge w:val="continue"/>
                  <w:tcBorders>
                    <w:tl2br w:val="nil"/>
                    <w:tr2bl w:val="nil"/>
                  </w:tcBorders>
                  <w:noWrap w:val="0"/>
                  <w:vAlign w:val="center"/>
                </w:tcPr>
                <w:p w14:paraId="75D72F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04519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102.93</w:t>
                  </w:r>
                </w:p>
              </w:tc>
              <w:tc>
                <w:tcPr>
                  <w:tcW w:w="765" w:type="dxa"/>
                  <w:tcBorders>
                    <w:tl2br w:val="nil"/>
                    <w:tr2bl w:val="nil"/>
                  </w:tcBorders>
                  <w:noWrap/>
                  <w:vAlign w:val="center"/>
                </w:tcPr>
                <w:p w14:paraId="7CD403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31.54</w:t>
                  </w:r>
                </w:p>
              </w:tc>
              <w:tc>
                <w:tcPr>
                  <w:tcW w:w="705" w:type="dxa"/>
                  <w:tcBorders>
                    <w:tl2br w:val="nil"/>
                    <w:tr2bl w:val="nil"/>
                  </w:tcBorders>
                  <w:noWrap/>
                  <w:vAlign w:val="center"/>
                </w:tcPr>
                <w:p w14:paraId="540559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AABB0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102.40</w:t>
                  </w:r>
                </w:p>
              </w:tc>
              <w:tc>
                <w:tcPr>
                  <w:tcW w:w="1020" w:type="dxa"/>
                  <w:tcBorders>
                    <w:tl2br w:val="nil"/>
                    <w:tr2bl w:val="nil"/>
                  </w:tcBorders>
                  <w:noWrap/>
                  <w:vAlign w:val="center"/>
                </w:tcPr>
                <w:p w14:paraId="56F560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74.83</w:t>
                  </w:r>
                </w:p>
              </w:tc>
              <w:tc>
                <w:tcPr>
                  <w:tcW w:w="735" w:type="dxa"/>
                  <w:tcBorders>
                    <w:tl2br w:val="nil"/>
                    <w:tr2bl w:val="nil"/>
                  </w:tcBorders>
                  <w:noWrap/>
                  <w:vAlign w:val="center"/>
                </w:tcPr>
                <w:p w14:paraId="5F3423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261971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81D9E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49.83</w:t>
                  </w:r>
                </w:p>
              </w:tc>
              <w:tc>
                <w:tcPr>
                  <w:tcW w:w="799" w:type="dxa"/>
                  <w:tcBorders>
                    <w:tl2br w:val="nil"/>
                    <w:tr2bl w:val="nil"/>
                  </w:tcBorders>
                  <w:noWrap/>
                  <w:vAlign w:val="center"/>
                </w:tcPr>
                <w:p w14:paraId="1AFCF9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C2CAD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2D9F5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w:t>
                  </w:r>
                </w:p>
              </w:tc>
              <w:tc>
                <w:tcPr>
                  <w:tcW w:w="338" w:type="pct"/>
                  <w:tcBorders>
                    <w:tl2br w:val="nil"/>
                    <w:tr2bl w:val="nil"/>
                  </w:tcBorders>
                  <w:noWrap/>
                  <w:vAlign w:val="center"/>
                </w:tcPr>
                <w:p w14:paraId="24DDD4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33924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机加工区</w:t>
                  </w:r>
                </w:p>
              </w:tc>
              <w:tc>
                <w:tcPr>
                  <w:tcW w:w="219" w:type="pct"/>
                  <w:tcBorders>
                    <w:tl2br w:val="nil"/>
                    <w:tr2bl w:val="nil"/>
                  </w:tcBorders>
                  <w:noWrap/>
                  <w:vAlign w:val="center"/>
                </w:tcPr>
                <w:p w14:paraId="384782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3499A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92.87/1</w:t>
                  </w:r>
                </w:p>
              </w:tc>
              <w:tc>
                <w:tcPr>
                  <w:tcW w:w="432" w:type="pct"/>
                  <w:vMerge w:val="continue"/>
                  <w:tcBorders>
                    <w:tl2br w:val="nil"/>
                    <w:tr2bl w:val="nil"/>
                  </w:tcBorders>
                  <w:noWrap w:val="0"/>
                  <w:vAlign w:val="center"/>
                </w:tcPr>
                <w:p w14:paraId="7EE796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F26DB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102.93</w:t>
                  </w:r>
                </w:p>
              </w:tc>
              <w:tc>
                <w:tcPr>
                  <w:tcW w:w="765" w:type="dxa"/>
                  <w:tcBorders>
                    <w:tl2br w:val="nil"/>
                    <w:tr2bl w:val="nil"/>
                  </w:tcBorders>
                  <w:noWrap/>
                  <w:vAlign w:val="center"/>
                </w:tcPr>
                <w:p w14:paraId="79927B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31.54</w:t>
                  </w:r>
                </w:p>
              </w:tc>
              <w:tc>
                <w:tcPr>
                  <w:tcW w:w="705" w:type="dxa"/>
                  <w:tcBorders>
                    <w:tl2br w:val="nil"/>
                    <w:tr2bl w:val="nil"/>
                  </w:tcBorders>
                  <w:noWrap/>
                  <w:vAlign w:val="center"/>
                </w:tcPr>
                <w:p w14:paraId="7665A0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25F4AE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32.06</w:t>
                  </w:r>
                </w:p>
              </w:tc>
              <w:tc>
                <w:tcPr>
                  <w:tcW w:w="1020" w:type="dxa"/>
                  <w:tcBorders>
                    <w:tl2br w:val="nil"/>
                    <w:tr2bl w:val="nil"/>
                  </w:tcBorders>
                  <w:noWrap/>
                  <w:vAlign w:val="center"/>
                </w:tcPr>
                <w:p w14:paraId="5DA37C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74.85</w:t>
                  </w:r>
                </w:p>
              </w:tc>
              <w:tc>
                <w:tcPr>
                  <w:tcW w:w="735" w:type="dxa"/>
                  <w:tcBorders>
                    <w:tl2br w:val="nil"/>
                    <w:tr2bl w:val="nil"/>
                  </w:tcBorders>
                  <w:noWrap/>
                  <w:vAlign w:val="center"/>
                </w:tcPr>
                <w:p w14:paraId="7B7F25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4D7E1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0863C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49.85</w:t>
                  </w:r>
                </w:p>
              </w:tc>
              <w:tc>
                <w:tcPr>
                  <w:tcW w:w="799" w:type="dxa"/>
                  <w:tcBorders>
                    <w:tl2br w:val="nil"/>
                    <w:tr2bl w:val="nil"/>
                  </w:tcBorders>
                  <w:noWrap/>
                  <w:vAlign w:val="center"/>
                </w:tcPr>
                <w:p w14:paraId="43AC93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9F4E9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F096E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w:t>
                  </w:r>
                </w:p>
              </w:tc>
              <w:tc>
                <w:tcPr>
                  <w:tcW w:w="338" w:type="pct"/>
                  <w:tcBorders>
                    <w:tl2br w:val="nil"/>
                    <w:tr2bl w:val="nil"/>
                  </w:tcBorders>
                  <w:noWrap/>
                  <w:vAlign w:val="center"/>
                </w:tcPr>
                <w:p w14:paraId="23A8F8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6675C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机加工区</w:t>
                  </w:r>
                </w:p>
              </w:tc>
              <w:tc>
                <w:tcPr>
                  <w:tcW w:w="219" w:type="pct"/>
                  <w:tcBorders>
                    <w:tl2br w:val="nil"/>
                    <w:tr2bl w:val="nil"/>
                  </w:tcBorders>
                  <w:noWrap/>
                  <w:vAlign w:val="center"/>
                </w:tcPr>
                <w:p w14:paraId="627B2F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A9C76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92.87/1</w:t>
                  </w:r>
                </w:p>
              </w:tc>
              <w:tc>
                <w:tcPr>
                  <w:tcW w:w="432" w:type="pct"/>
                  <w:vMerge w:val="continue"/>
                  <w:tcBorders>
                    <w:tl2br w:val="nil"/>
                    <w:tr2bl w:val="nil"/>
                  </w:tcBorders>
                  <w:noWrap w:val="0"/>
                  <w:vAlign w:val="center"/>
                </w:tcPr>
                <w:p w14:paraId="6DFB20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CD2C2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102.93</w:t>
                  </w:r>
                </w:p>
              </w:tc>
              <w:tc>
                <w:tcPr>
                  <w:tcW w:w="765" w:type="dxa"/>
                  <w:tcBorders>
                    <w:tl2br w:val="nil"/>
                    <w:tr2bl w:val="nil"/>
                  </w:tcBorders>
                  <w:noWrap/>
                  <w:vAlign w:val="center"/>
                </w:tcPr>
                <w:p w14:paraId="7EF7A5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31.54</w:t>
                  </w:r>
                </w:p>
              </w:tc>
              <w:tc>
                <w:tcPr>
                  <w:tcW w:w="705" w:type="dxa"/>
                  <w:tcBorders>
                    <w:tl2br w:val="nil"/>
                    <w:tr2bl w:val="nil"/>
                  </w:tcBorders>
                  <w:noWrap/>
                  <w:vAlign w:val="center"/>
                </w:tcPr>
                <w:p w14:paraId="409F20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A2F31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51.50</w:t>
                  </w:r>
                </w:p>
              </w:tc>
              <w:tc>
                <w:tcPr>
                  <w:tcW w:w="1020" w:type="dxa"/>
                  <w:tcBorders>
                    <w:tl2br w:val="nil"/>
                    <w:tr2bl w:val="nil"/>
                  </w:tcBorders>
                  <w:noWrap/>
                  <w:vAlign w:val="center"/>
                </w:tcPr>
                <w:p w14:paraId="66AB1E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74.84</w:t>
                  </w:r>
                </w:p>
              </w:tc>
              <w:tc>
                <w:tcPr>
                  <w:tcW w:w="735" w:type="dxa"/>
                  <w:tcBorders>
                    <w:tl2br w:val="nil"/>
                    <w:tr2bl w:val="nil"/>
                  </w:tcBorders>
                  <w:noWrap/>
                  <w:vAlign w:val="center"/>
                </w:tcPr>
                <w:p w14:paraId="68D4EF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020F0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43516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49.84</w:t>
                  </w:r>
                </w:p>
              </w:tc>
              <w:tc>
                <w:tcPr>
                  <w:tcW w:w="799" w:type="dxa"/>
                  <w:tcBorders>
                    <w:tl2br w:val="nil"/>
                    <w:tr2bl w:val="nil"/>
                  </w:tcBorders>
                  <w:noWrap/>
                  <w:vAlign w:val="center"/>
                </w:tcPr>
                <w:p w14:paraId="020AAE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0108BB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90AA2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w:t>
                  </w:r>
                </w:p>
              </w:tc>
              <w:tc>
                <w:tcPr>
                  <w:tcW w:w="338" w:type="pct"/>
                  <w:tcBorders>
                    <w:tl2br w:val="nil"/>
                    <w:tr2bl w:val="nil"/>
                  </w:tcBorders>
                  <w:noWrap/>
                  <w:vAlign w:val="center"/>
                </w:tcPr>
                <w:p w14:paraId="5CCE0B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08035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机加工区</w:t>
                  </w:r>
                </w:p>
              </w:tc>
              <w:tc>
                <w:tcPr>
                  <w:tcW w:w="219" w:type="pct"/>
                  <w:tcBorders>
                    <w:tl2br w:val="nil"/>
                    <w:tr2bl w:val="nil"/>
                  </w:tcBorders>
                  <w:noWrap/>
                  <w:vAlign w:val="center"/>
                </w:tcPr>
                <w:p w14:paraId="229A82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60BE5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92.87/1</w:t>
                  </w:r>
                </w:p>
              </w:tc>
              <w:tc>
                <w:tcPr>
                  <w:tcW w:w="432" w:type="pct"/>
                  <w:vMerge w:val="continue"/>
                  <w:tcBorders>
                    <w:tl2br w:val="nil"/>
                    <w:tr2bl w:val="nil"/>
                  </w:tcBorders>
                  <w:noWrap w:val="0"/>
                  <w:vAlign w:val="center"/>
                </w:tcPr>
                <w:p w14:paraId="1FA708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25679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102.93</w:t>
                  </w:r>
                </w:p>
              </w:tc>
              <w:tc>
                <w:tcPr>
                  <w:tcW w:w="765" w:type="dxa"/>
                  <w:tcBorders>
                    <w:tl2br w:val="nil"/>
                    <w:tr2bl w:val="nil"/>
                  </w:tcBorders>
                  <w:noWrap/>
                  <w:vAlign w:val="center"/>
                </w:tcPr>
                <w:p w14:paraId="403B99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31.54</w:t>
                  </w:r>
                </w:p>
              </w:tc>
              <w:tc>
                <w:tcPr>
                  <w:tcW w:w="705" w:type="dxa"/>
                  <w:tcBorders>
                    <w:tl2br w:val="nil"/>
                    <w:tr2bl w:val="nil"/>
                  </w:tcBorders>
                  <w:noWrap/>
                  <w:vAlign w:val="center"/>
                </w:tcPr>
                <w:p w14:paraId="119E92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26F821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32.83</w:t>
                  </w:r>
                </w:p>
              </w:tc>
              <w:tc>
                <w:tcPr>
                  <w:tcW w:w="1020" w:type="dxa"/>
                  <w:tcBorders>
                    <w:tl2br w:val="nil"/>
                    <w:tr2bl w:val="nil"/>
                  </w:tcBorders>
                  <w:noWrap/>
                  <w:vAlign w:val="center"/>
                </w:tcPr>
                <w:p w14:paraId="7F6D1A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74.85</w:t>
                  </w:r>
                </w:p>
              </w:tc>
              <w:tc>
                <w:tcPr>
                  <w:tcW w:w="735" w:type="dxa"/>
                  <w:tcBorders>
                    <w:tl2br w:val="nil"/>
                    <w:tr2bl w:val="nil"/>
                  </w:tcBorders>
                  <w:noWrap/>
                  <w:vAlign w:val="center"/>
                </w:tcPr>
                <w:p w14:paraId="4789D8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48CFA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57B3E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49.85</w:t>
                  </w:r>
                </w:p>
              </w:tc>
              <w:tc>
                <w:tcPr>
                  <w:tcW w:w="799" w:type="dxa"/>
                  <w:tcBorders>
                    <w:tl2br w:val="nil"/>
                    <w:tr2bl w:val="nil"/>
                  </w:tcBorders>
                  <w:noWrap/>
                  <w:vAlign w:val="center"/>
                </w:tcPr>
                <w:p w14:paraId="699DD3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485836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1DDDE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w:t>
                  </w:r>
                </w:p>
              </w:tc>
              <w:tc>
                <w:tcPr>
                  <w:tcW w:w="338" w:type="pct"/>
                  <w:tcBorders>
                    <w:tl2br w:val="nil"/>
                    <w:tr2bl w:val="nil"/>
                  </w:tcBorders>
                  <w:noWrap/>
                  <w:vAlign w:val="center"/>
                </w:tcPr>
                <w:p w14:paraId="4B4EA4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4FF285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15C78A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8269E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27CA0A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250E9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3A6385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100BE3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05812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34.78</w:t>
                  </w:r>
                </w:p>
              </w:tc>
              <w:tc>
                <w:tcPr>
                  <w:tcW w:w="1020" w:type="dxa"/>
                  <w:tcBorders>
                    <w:tl2br w:val="nil"/>
                    <w:tr2bl w:val="nil"/>
                  </w:tcBorders>
                  <w:noWrap/>
                  <w:vAlign w:val="center"/>
                </w:tcPr>
                <w:p w14:paraId="70B5EF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58.16</w:t>
                  </w:r>
                </w:p>
              </w:tc>
              <w:tc>
                <w:tcPr>
                  <w:tcW w:w="735" w:type="dxa"/>
                  <w:tcBorders>
                    <w:tl2br w:val="nil"/>
                    <w:tr2bl w:val="nil"/>
                  </w:tcBorders>
                  <w:noWrap/>
                  <w:vAlign w:val="center"/>
                </w:tcPr>
                <w:p w14:paraId="1DD105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DF0A5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85727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33.16</w:t>
                  </w:r>
                </w:p>
              </w:tc>
              <w:tc>
                <w:tcPr>
                  <w:tcW w:w="799" w:type="dxa"/>
                  <w:tcBorders>
                    <w:tl2br w:val="nil"/>
                    <w:tr2bl w:val="nil"/>
                  </w:tcBorders>
                  <w:noWrap/>
                  <w:vAlign w:val="center"/>
                </w:tcPr>
                <w:p w14:paraId="0A1C26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7BDA158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95249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w:t>
                  </w:r>
                </w:p>
              </w:tc>
              <w:tc>
                <w:tcPr>
                  <w:tcW w:w="338" w:type="pct"/>
                  <w:tcBorders>
                    <w:tl2br w:val="nil"/>
                    <w:tr2bl w:val="nil"/>
                  </w:tcBorders>
                  <w:noWrap/>
                  <w:vAlign w:val="center"/>
                </w:tcPr>
                <w:p w14:paraId="587848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453E3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7DEB88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D3B9E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6389A9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B57CA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5C53F2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01DACD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3F946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3.29</w:t>
                  </w:r>
                </w:p>
              </w:tc>
              <w:tc>
                <w:tcPr>
                  <w:tcW w:w="1020" w:type="dxa"/>
                  <w:tcBorders>
                    <w:tl2br w:val="nil"/>
                    <w:tr2bl w:val="nil"/>
                  </w:tcBorders>
                  <w:noWrap/>
                  <w:vAlign w:val="center"/>
                </w:tcPr>
                <w:p w14:paraId="6DB9DB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59.82</w:t>
                  </w:r>
                </w:p>
              </w:tc>
              <w:tc>
                <w:tcPr>
                  <w:tcW w:w="735" w:type="dxa"/>
                  <w:tcBorders>
                    <w:tl2br w:val="nil"/>
                    <w:tr2bl w:val="nil"/>
                  </w:tcBorders>
                  <w:noWrap/>
                  <w:vAlign w:val="center"/>
                </w:tcPr>
                <w:p w14:paraId="23F84C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F3789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7423F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34.82</w:t>
                  </w:r>
                </w:p>
              </w:tc>
              <w:tc>
                <w:tcPr>
                  <w:tcW w:w="799" w:type="dxa"/>
                  <w:tcBorders>
                    <w:tl2br w:val="nil"/>
                    <w:tr2bl w:val="nil"/>
                  </w:tcBorders>
                  <w:noWrap/>
                  <w:vAlign w:val="center"/>
                </w:tcPr>
                <w:p w14:paraId="37B9EC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912985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0B379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31</w:t>
                  </w:r>
                </w:p>
              </w:tc>
              <w:tc>
                <w:tcPr>
                  <w:tcW w:w="338" w:type="pct"/>
                  <w:tcBorders>
                    <w:tl2br w:val="nil"/>
                    <w:tr2bl w:val="nil"/>
                  </w:tcBorders>
                  <w:noWrap/>
                  <w:vAlign w:val="center"/>
                </w:tcPr>
                <w:p w14:paraId="4E774F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6433E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33CBD6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3FE9E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3DB1D7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A1DD2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4C2D02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1F3EB4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11631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119.22</w:t>
                  </w:r>
                </w:p>
              </w:tc>
              <w:tc>
                <w:tcPr>
                  <w:tcW w:w="1020" w:type="dxa"/>
                  <w:tcBorders>
                    <w:tl2br w:val="nil"/>
                    <w:tr2bl w:val="nil"/>
                  </w:tcBorders>
                  <w:noWrap/>
                  <w:vAlign w:val="center"/>
                </w:tcPr>
                <w:p w14:paraId="47BFD6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58.15</w:t>
                  </w:r>
                </w:p>
              </w:tc>
              <w:tc>
                <w:tcPr>
                  <w:tcW w:w="735" w:type="dxa"/>
                  <w:tcBorders>
                    <w:tl2br w:val="nil"/>
                    <w:tr2bl w:val="nil"/>
                  </w:tcBorders>
                  <w:noWrap/>
                  <w:vAlign w:val="center"/>
                </w:tcPr>
                <w:p w14:paraId="2F9A1B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FDB49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D94DF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33.15</w:t>
                  </w:r>
                </w:p>
              </w:tc>
              <w:tc>
                <w:tcPr>
                  <w:tcW w:w="799" w:type="dxa"/>
                  <w:tcBorders>
                    <w:tl2br w:val="nil"/>
                    <w:tr2bl w:val="nil"/>
                  </w:tcBorders>
                  <w:noWrap/>
                  <w:vAlign w:val="center"/>
                </w:tcPr>
                <w:p w14:paraId="369565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E4D26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B5372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32</w:t>
                  </w:r>
                </w:p>
              </w:tc>
              <w:tc>
                <w:tcPr>
                  <w:tcW w:w="338" w:type="pct"/>
                  <w:tcBorders>
                    <w:tl2br w:val="nil"/>
                    <w:tr2bl w:val="nil"/>
                  </w:tcBorders>
                  <w:noWrap/>
                  <w:vAlign w:val="center"/>
                </w:tcPr>
                <w:p w14:paraId="7248EA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4B25AB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喷漆区</w:t>
                  </w:r>
                </w:p>
              </w:tc>
              <w:tc>
                <w:tcPr>
                  <w:tcW w:w="219" w:type="pct"/>
                  <w:tcBorders>
                    <w:tl2br w:val="nil"/>
                    <w:tr2bl w:val="nil"/>
                  </w:tcBorders>
                  <w:noWrap/>
                  <w:vAlign w:val="center"/>
                </w:tcPr>
                <w:p w14:paraId="47F240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E696D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76.19/1</w:t>
                  </w:r>
                </w:p>
              </w:tc>
              <w:tc>
                <w:tcPr>
                  <w:tcW w:w="432" w:type="pct"/>
                  <w:vMerge w:val="continue"/>
                  <w:tcBorders>
                    <w:tl2br w:val="nil"/>
                    <w:tr2bl w:val="nil"/>
                  </w:tcBorders>
                  <w:noWrap w:val="0"/>
                  <w:vAlign w:val="center"/>
                </w:tcPr>
                <w:p w14:paraId="228BC4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79B34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35.26</w:t>
                  </w:r>
                </w:p>
              </w:tc>
              <w:tc>
                <w:tcPr>
                  <w:tcW w:w="765" w:type="dxa"/>
                  <w:tcBorders>
                    <w:tl2br w:val="nil"/>
                    <w:tr2bl w:val="nil"/>
                  </w:tcBorders>
                  <w:noWrap/>
                  <w:vAlign w:val="center"/>
                </w:tcPr>
                <w:p w14:paraId="3B0267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2.82</w:t>
                  </w:r>
                </w:p>
              </w:tc>
              <w:tc>
                <w:tcPr>
                  <w:tcW w:w="705" w:type="dxa"/>
                  <w:tcBorders>
                    <w:tl2br w:val="nil"/>
                    <w:tr2bl w:val="nil"/>
                  </w:tcBorders>
                  <w:noWrap/>
                  <w:vAlign w:val="center"/>
                </w:tcPr>
                <w:p w14:paraId="28B7A9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B564B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61.69</w:t>
                  </w:r>
                </w:p>
              </w:tc>
              <w:tc>
                <w:tcPr>
                  <w:tcW w:w="1020" w:type="dxa"/>
                  <w:tcBorders>
                    <w:tl2br w:val="nil"/>
                    <w:tr2bl w:val="nil"/>
                  </w:tcBorders>
                  <w:noWrap/>
                  <w:vAlign w:val="center"/>
                </w:tcPr>
                <w:p w14:paraId="15E0E2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58.15</w:t>
                  </w:r>
                </w:p>
              </w:tc>
              <w:tc>
                <w:tcPr>
                  <w:tcW w:w="735" w:type="dxa"/>
                  <w:tcBorders>
                    <w:tl2br w:val="nil"/>
                    <w:tr2bl w:val="nil"/>
                  </w:tcBorders>
                  <w:noWrap/>
                  <w:vAlign w:val="center"/>
                </w:tcPr>
                <w:p w14:paraId="68F85C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B2C6E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F229A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33.15</w:t>
                  </w:r>
                </w:p>
              </w:tc>
              <w:tc>
                <w:tcPr>
                  <w:tcW w:w="799" w:type="dxa"/>
                  <w:tcBorders>
                    <w:tl2br w:val="nil"/>
                    <w:tr2bl w:val="nil"/>
                  </w:tcBorders>
                  <w:noWrap/>
                  <w:vAlign w:val="center"/>
                </w:tcPr>
                <w:p w14:paraId="3DEDE0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3618A8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69927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33</w:t>
                  </w:r>
                </w:p>
              </w:tc>
              <w:tc>
                <w:tcPr>
                  <w:tcW w:w="338" w:type="pct"/>
                  <w:tcBorders>
                    <w:tl2br w:val="nil"/>
                    <w:tr2bl w:val="nil"/>
                  </w:tcBorders>
                  <w:noWrap/>
                  <w:vAlign w:val="center"/>
                </w:tcPr>
                <w:p w14:paraId="0FB5EA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B2B58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落砂区</w:t>
                  </w:r>
                </w:p>
              </w:tc>
              <w:tc>
                <w:tcPr>
                  <w:tcW w:w="219" w:type="pct"/>
                  <w:tcBorders>
                    <w:tl2br w:val="nil"/>
                    <w:tr2bl w:val="nil"/>
                  </w:tcBorders>
                  <w:noWrap/>
                  <w:vAlign w:val="center"/>
                </w:tcPr>
                <w:p w14:paraId="1091B0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68C70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78.01/1</w:t>
                  </w:r>
                </w:p>
              </w:tc>
              <w:tc>
                <w:tcPr>
                  <w:tcW w:w="432" w:type="pct"/>
                  <w:vMerge w:val="continue"/>
                  <w:tcBorders>
                    <w:tl2br w:val="nil"/>
                    <w:tr2bl w:val="nil"/>
                  </w:tcBorders>
                  <w:noWrap w:val="0"/>
                  <w:vAlign w:val="center"/>
                </w:tcPr>
                <w:p w14:paraId="7C1721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80B39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29.19</w:t>
                  </w:r>
                </w:p>
              </w:tc>
              <w:tc>
                <w:tcPr>
                  <w:tcW w:w="765" w:type="dxa"/>
                  <w:tcBorders>
                    <w:tl2br w:val="nil"/>
                    <w:tr2bl w:val="nil"/>
                  </w:tcBorders>
                  <w:noWrap/>
                  <w:vAlign w:val="center"/>
                </w:tcPr>
                <w:p w14:paraId="6FFEC0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29.83</w:t>
                  </w:r>
                </w:p>
              </w:tc>
              <w:tc>
                <w:tcPr>
                  <w:tcW w:w="705" w:type="dxa"/>
                  <w:tcBorders>
                    <w:tl2br w:val="nil"/>
                    <w:tr2bl w:val="nil"/>
                  </w:tcBorders>
                  <w:noWrap/>
                  <w:vAlign w:val="center"/>
                </w:tcPr>
                <w:p w14:paraId="17284D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5A963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28.66</w:t>
                  </w:r>
                </w:p>
              </w:tc>
              <w:tc>
                <w:tcPr>
                  <w:tcW w:w="1020" w:type="dxa"/>
                  <w:tcBorders>
                    <w:tl2br w:val="nil"/>
                    <w:tr2bl w:val="nil"/>
                  </w:tcBorders>
                  <w:noWrap/>
                  <w:vAlign w:val="center"/>
                </w:tcPr>
                <w:p w14:paraId="27D7C0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59.99</w:t>
                  </w:r>
                </w:p>
              </w:tc>
              <w:tc>
                <w:tcPr>
                  <w:tcW w:w="735" w:type="dxa"/>
                  <w:tcBorders>
                    <w:tl2br w:val="nil"/>
                    <w:tr2bl w:val="nil"/>
                  </w:tcBorders>
                  <w:noWrap/>
                  <w:vAlign w:val="center"/>
                </w:tcPr>
                <w:p w14:paraId="4C0613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12DEE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07684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34.99</w:t>
                  </w:r>
                </w:p>
              </w:tc>
              <w:tc>
                <w:tcPr>
                  <w:tcW w:w="799" w:type="dxa"/>
                  <w:tcBorders>
                    <w:tl2br w:val="nil"/>
                    <w:tr2bl w:val="nil"/>
                  </w:tcBorders>
                  <w:noWrap/>
                  <w:vAlign w:val="center"/>
                </w:tcPr>
                <w:p w14:paraId="304853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3C2A4F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3A7C5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w:t>
                  </w:r>
                </w:p>
              </w:tc>
              <w:tc>
                <w:tcPr>
                  <w:tcW w:w="338" w:type="pct"/>
                  <w:tcBorders>
                    <w:tl2br w:val="nil"/>
                    <w:tr2bl w:val="nil"/>
                  </w:tcBorders>
                  <w:noWrap/>
                  <w:vAlign w:val="center"/>
                </w:tcPr>
                <w:p w14:paraId="13DAE6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1C797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落砂区</w:t>
                  </w:r>
                </w:p>
              </w:tc>
              <w:tc>
                <w:tcPr>
                  <w:tcW w:w="219" w:type="pct"/>
                  <w:tcBorders>
                    <w:tl2br w:val="nil"/>
                    <w:tr2bl w:val="nil"/>
                  </w:tcBorders>
                  <w:noWrap/>
                  <w:vAlign w:val="center"/>
                </w:tcPr>
                <w:p w14:paraId="5CAD08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1C5D9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78.01/1</w:t>
                  </w:r>
                </w:p>
              </w:tc>
              <w:tc>
                <w:tcPr>
                  <w:tcW w:w="432" w:type="pct"/>
                  <w:vMerge w:val="continue"/>
                  <w:tcBorders>
                    <w:tl2br w:val="nil"/>
                    <w:tr2bl w:val="nil"/>
                  </w:tcBorders>
                  <w:noWrap w:val="0"/>
                  <w:vAlign w:val="center"/>
                </w:tcPr>
                <w:p w14:paraId="436093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FB44F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29.19</w:t>
                  </w:r>
                </w:p>
              </w:tc>
              <w:tc>
                <w:tcPr>
                  <w:tcW w:w="765" w:type="dxa"/>
                  <w:tcBorders>
                    <w:tl2br w:val="nil"/>
                    <w:tr2bl w:val="nil"/>
                  </w:tcBorders>
                  <w:noWrap/>
                  <w:vAlign w:val="center"/>
                </w:tcPr>
                <w:p w14:paraId="18E495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29.83</w:t>
                  </w:r>
                </w:p>
              </w:tc>
              <w:tc>
                <w:tcPr>
                  <w:tcW w:w="705" w:type="dxa"/>
                  <w:tcBorders>
                    <w:tl2br w:val="nil"/>
                    <w:tr2bl w:val="nil"/>
                  </w:tcBorders>
                  <w:noWrap/>
                  <w:vAlign w:val="center"/>
                </w:tcPr>
                <w:p w14:paraId="354F69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F9D27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30.30</w:t>
                  </w:r>
                </w:p>
              </w:tc>
              <w:tc>
                <w:tcPr>
                  <w:tcW w:w="1020" w:type="dxa"/>
                  <w:tcBorders>
                    <w:tl2br w:val="nil"/>
                    <w:tr2bl w:val="nil"/>
                  </w:tcBorders>
                  <w:noWrap/>
                  <w:vAlign w:val="center"/>
                </w:tcPr>
                <w:p w14:paraId="7B91A4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59.99</w:t>
                  </w:r>
                </w:p>
              </w:tc>
              <w:tc>
                <w:tcPr>
                  <w:tcW w:w="735" w:type="dxa"/>
                  <w:tcBorders>
                    <w:tl2br w:val="nil"/>
                    <w:tr2bl w:val="nil"/>
                  </w:tcBorders>
                  <w:noWrap/>
                  <w:vAlign w:val="center"/>
                </w:tcPr>
                <w:p w14:paraId="03EF6B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66525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EA84E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34.99</w:t>
                  </w:r>
                </w:p>
              </w:tc>
              <w:tc>
                <w:tcPr>
                  <w:tcW w:w="799" w:type="dxa"/>
                  <w:tcBorders>
                    <w:tl2br w:val="nil"/>
                    <w:tr2bl w:val="nil"/>
                  </w:tcBorders>
                  <w:noWrap/>
                  <w:vAlign w:val="center"/>
                </w:tcPr>
                <w:p w14:paraId="0C5E1E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A36B1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D3FB8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35</w:t>
                  </w:r>
                </w:p>
              </w:tc>
              <w:tc>
                <w:tcPr>
                  <w:tcW w:w="338" w:type="pct"/>
                  <w:tcBorders>
                    <w:tl2br w:val="nil"/>
                    <w:tr2bl w:val="nil"/>
                  </w:tcBorders>
                  <w:noWrap/>
                  <w:vAlign w:val="center"/>
                </w:tcPr>
                <w:p w14:paraId="7EA221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0353A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落砂区</w:t>
                  </w:r>
                </w:p>
              </w:tc>
              <w:tc>
                <w:tcPr>
                  <w:tcW w:w="219" w:type="pct"/>
                  <w:tcBorders>
                    <w:tl2br w:val="nil"/>
                    <w:tr2bl w:val="nil"/>
                  </w:tcBorders>
                  <w:noWrap/>
                  <w:vAlign w:val="center"/>
                </w:tcPr>
                <w:p w14:paraId="1EA8CD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991E6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78.01/1</w:t>
                  </w:r>
                </w:p>
              </w:tc>
              <w:tc>
                <w:tcPr>
                  <w:tcW w:w="432" w:type="pct"/>
                  <w:vMerge w:val="continue"/>
                  <w:tcBorders>
                    <w:tl2br w:val="nil"/>
                    <w:tr2bl w:val="nil"/>
                  </w:tcBorders>
                  <w:noWrap w:val="0"/>
                  <w:vAlign w:val="center"/>
                </w:tcPr>
                <w:p w14:paraId="5555F4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98807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29.19</w:t>
                  </w:r>
                </w:p>
              </w:tc>
              <w:tc>
                <w:tcPr>
                  <w:tcW w:w="765" w:type="dxa"/>
                  <w:tcBorders>
                    <w:tl2br w:val="nil"/>
                    <w:tr2bl w:val="nil"/>
                  </w:tcBorders>
                  <w:noWrap/>
                  <w:vAlign w:val="center"/>
                </w:tcPr>
                <w:p w14:paraId="7677CF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29.83</w:t>
                  </w:r>
                </w:p>
              </w:tc>
              <w:tc>
                <w:tcPr>
                  <w:tcW w:w="705" w:type="dxa"/>
                  <w:tcBorders>
                    <w:tl2br w:val="nil"/>
                    <w:tr2bl w:val="nil"/>
                  </w:tcBorders>
                  <w:noWrap/>
                  <w:vAlign w:val="center"/>
                </w:tcPr>
                <w:p w14:paraId="4D5EE3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C4B24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125.24</w:t>
                  </w:r>
                </w:p>
              </w:tc>
              <w:tc>
                <w:tcPr>
                  <w:tcW w:w="1020" w:type="dxa"/>
                  <w:tcBorders>
                    <w:tl2br w:val="nil"/>
                    <w:tr2bl w:val="nil"/>
                  </w:tcBorders>
                  <w:noWrap/>
                  <w:vAlign w:val="center"/>
                </w:tcPr>
                <w:p w14:paraId="3AC3ED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59.97</w:t>
                  </w:r>
                </w:p>
              </w:tc>
              <w:tc>
                <w:tcPr>
                  <w:tcW w:w="735" w:type="dxa"/>
                  <w:tcBorders>
                    <w:tl2br w:val="nil"/>
                    <w:tr2bl w:val="nil"/>
                  </w:tcBorders>
                  <w:noWrap/>
                  <w:vAlign w:val="center"/>
                </w:tcPr>
                <w:p w14:paraId="261226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91826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74BC93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34.97</w:t>
                  </w:r>
                </w:p>
              </w:tc>
              <w:tc>
                <w:tcPr>
                  <w:tcW w:w="799" w:type="dxa"/>
                  <w:tcBorders>
                    <w:tl2br w:val="nil"/>
                    <w:tr2bl w:val="nil"/>
                  </w:tcBorders>
                  <w:noWrap/>
                  <w:vAlign w:val="center"/>
                </w:tcPr>
                <w:p w14:paraId="7CCC6D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AC2849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2F5D8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w:t>
                  </w:r>
                </w:p>
              </w:tc>
              <w:tc>
                <w:tcPr>
                  <w:tcW w:w="338" w:type="pct"/>
                  <w:tcBorders>
                    <w:tl2br w:val="nil"/>
                    <w:tr2bl w:val="nil"/>
                  </w:tcBorders>
                  <w:noWrap/>
                  <w:vAlign w:val="center"/>
                </w:tcPr>
                <w:p w14:paraId="188A9A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A8030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落砂区</w:t>
                  </w:r>
                </w:p>
              </w:tc>
              <w:tc>
                <w:tcPr>
                  <w:tcW w:w="219" w:type="pct"/>
                  <w:tcBorders>
                    <w:tl2br w:val="nil"/>
                    <w:tr2bl w:val="nil"/>
                  </w:tcBorders>
                  <w:noWrap/>
                  <w:vAlign w:val="center"/>
                </w:tcPr>
                <w:p w14:paraId="78F80E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F78E8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78.01/1</w:t>
                  </w:r>
                </w:p>
              </w:tc>
              <w:tc>
                <w:tcPr>
                  <w:tcW w:w="432" w:type="pct"/>
                  <w:vMerge w:val="continue"/>
                  <w:tcBorders>
                    <w:tl2br w:val="nil"/>
                    <w:tr2bl w:val="nil"/>
                  </w:tcBorders>
                  <w:noWrap w:val="0"/>
                  <w:vAlign w:val="center"/>
                </w:tcPr>
                <w:p w14:paraId="4CC243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2F7018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29.19</w:t>
                  </w:r>
                </w:p>
              </w:tc>
              <w:tc>
                <w:tcPr>
                  <w:tcW w:w="765" w:type="dxa"/>
                  <w:tcBorders>
                    <w:tl2br w:val="nil"/>
                    <w:tr2bl w:val="nil"/>
                  </w:tcBorders>
                  <w:noWrap/>
                  <w:vAlign w:val="center"/>
                </w:tcPr>
                <w:p w14:paraId="238997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29.83</w:t>
                  </w:r>
                </w:p>
              </w:tc>
              <w:tc>
                <w:tcPr>
                  <w:tcW w:w="705" w:type="dxa"/>
                  <w:tcBorders>
                    <w:tl2br w:val="nil"/>
                    <w:tr2bl w:val="nil"/>
                  </w:tcBorders>
                  <w:noWrap/>
                  <w:vAlign w:val="center"/>
                </w:tcPr>
                <w:p w14:paraId="2CF529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C6816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34.69</w:t>
                  </w:r>
                </w:p>
              </w:tc>
              <w:tc>
                <w:tcPr>
                  <w:tcW w:w="1020" w:type="dxa"/>
                  <w:tcBorders>
                    <w:tl2br w:val="nil"/>
                    <w:tr2bl w:val="nil"/>
                  </w:tcBorders>
                  <w:noWrap/>
                  <w:vAlign w:val="center"/>
                </w:tcPr>
                <w:p w14:paraId="40CB5B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59.99</w:t>
                  </w:r>
                </w:p>
              </w:tc>
              <w:tc>
                <w:tcPr>
                  <w:tcW w:w="735" w:type="dxa"/>
                  <w:tcBorders>
                    <w:tl2br w:val="nil"/>
                    <w:tr2bl w:val="nil"/>
                  </w:tcBorders>
                  <w:noWrap/>
                  <w:vAlign w:val="center"/>
                </w:tcPr>
                <w:p w14:paraId="188461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90B6C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22D22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34.99</w:t>
                  </w:r>
                </w:p>
              </w:tc>
              <w:tc>
                <w:tcPr>
                  <w:tcW w:w="799" w:type="dxa"/>
                  <w:tcBorders>
                    <w:tl2br w:val="nil"/>
                    <w:tr2bl w:val="nil"/>
                  </w:tcBorders>
                  <w:noWrap/>
                  <w:vAlign w:val="center"/>
                </w:tcPr>
                <w:p w14:paraId="18957E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DC113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11225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w:t>
                  </w:r>
                </w:p>
              </w:tc>
              <w:tc>
                <w:tcPr>
                  <w:tcW w:w="338" w:type="pct"/>
                  <w:tcBorders>
                    <w:tl2br w:val="nil"/>
                    <w:tr2bl w:val="nil"/>
                  </w:tcBorders>
                  <w:noWrap/>
                  <w:vAlign w:val="center"/>
                </w:tcPr>
                <w:p w14:paraId="4D8D9A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BB425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树脂砂再生区</w:t>
                  </w:r>
                </w:p>
              </w:tc>
              <w:tc>
                <w:tcPr>
                  <w:tcW w:w="219" w:type="pct"/>
                  <w:tcBorders>
                    <w:tl2br w:val="nil"/>
                    <w:tr2bl w:val="nil"/>
                  </w:tcBorders>
                  <w:noWrap/>
                  <w:vAlign w:val="center"/>
                </w:tcPr>
                <w:p w14:paraId="0243A5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895F2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86.87/1</w:t>
                  </w:r>
                </w:p>
              </w:tc>
              <w:tc>
                <w:tcPr>
                  <w:tcW w:w="432" w:type="pct"/>
                  <w:vMerge w:val="continue"/>
                  <w:tcBorders>
                    <w:tl2br w:val="nil"/>
                    <w:tr2bl w:val="nil"/>
                  </w:tcBorders>
                  <w:noWrap w:val="0"/>
                  <w:vAlign w:val="center"/>
                </w:tcPr>
                <w:p w14:paraId="0CBF1A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74616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112807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46.26</w:t>
                  </w:r>
                </w:p>
              </w:tc>
              <w:tc>
                <w:tcPr>
                  <w:tcW w:w="705" w:type="dxa"/>
                  <w:tcBorders>
                    <w:tl2br w:val="nil"/>
                    <w:tr2bl w:val="nil"/>
                  </w:tcBorders>
                  <w:noWrap/>
                  <w:vAlign w:val="center"/>
                </w:tcPr>
                <w:p w14:paraId="631F1C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0974E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70.72</w:t>
                  </w:r>
                </w:p>
              </w:tc>
              <w:tc>
                <w:tcPr>
                  <w:tcW w:w="1020" w:type="dxa"/>
                  <w:tcBorders>
                    <w:tl2br w:val="nil"/>
                    <w:tr2bl w:val="nil"/>
                  </w:tcBorders>
                  <w:noWrap/>
                  <w:vAlign w:val="center"/>
                </w:tcPr>
                <w:p w14:paraId="381B09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68.83</w:t>
                  </w:r>
                </w:p>
              </w:tc>
              <w:tc>
                <w:tcPr>
                  <w:tcW w:w="735" w:type="dxa"/>
                  <w:tcBorders>
                    <w:tl2br w:val="nil"/>
                    <w:tr2bl w:val="nil"/>
                  </w:tcBorders>
                  <w:noWrap/>
                  <w:vAlign w:val="center"/>
                </w:tcPr>
                <w:p w14:paraId="09C482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11E35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F3C93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43.83</w:t>
                  </w:r>
                </w:p>
              </w:tc>
              <w:tc>
                <w:tcPr>
                  <w:tcW w:w="799" w:type="dxa"/>
                  <w:tcBorders>
                    <w:tl2br w:val="nil"/>
                    <w:tr2bl w:val="nil"/>
                  </w:tcBorders>
                  <w:noWrap/>
                  <w:vAlign w:val="center"/>
                </w:tcPr>
                <w:p w14:paraId="7789A0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7E44741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49970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38</w:t>
                  </w:r>
                </w:p>
              </w:tc>
              <w:tc>
                <w:tcPr>
                  <w:tcW w:w="338" w:type="pct"/>
                  <w:tcBorders>
                    <w:tl2br w:val="nil"/>
                    <w:tr2bl w:val="nil"/>
                  </w:tcBorders>
                  <w:noWrap/>
                  <w:vAlign w:val="center"/>
                </w:tcPr>
                <w:p w14:paraId="13D6CC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E2D33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树脂砂再生区</w:t>
                  </w:r>
                </w:p>
              </w:tc>
              <w:tc>
                <w:tcPr>
                  <w:tcW w:w="219" w:type="pct"/>
                  <w:tcBorders>
                    <w:tl2br w:val="nil"/>
                    <w:tr2bl w:val="nil"/>
                  </w:tcBorders>
                  <w:noWrap/>
                  <w:vAlign w:val="center"/>
                </w:tcPr>
                <w:p w14:paraId="3568F0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0CDB4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86.87/1</w:t>
                  </w:r>
                </w:p>
              </w:tc>
              <w:tc>
                <w:tcPr>
                  <w:tcW w:w="432" w:type="pct"/>
                  <w:vMerge w:val="continue"/>
                  <w:tcBorders>
                    <w:tl2br w:val="nil"/>
                    <w:tr2bl w:val="nil"/>
                  </w:tcBorders>
                  <w:noWrap w:val="0"/>
                  <w:vAlign w:val="center"/>
                </w:tcPr>
                <w:p w14:paraId="4D7026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501F7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4E672E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46.26</w:t>
                  </w:r>
                </w:p>
              </w:tc>
              <w:tc>
                <w:tcPr>
                  <w:tcW w:w="705" w:type="dxa"/>
                  <w:tcBorders>
                    <w:tl2br w:val="nil"/>
                    <w:tr2bl w:val="nil"/>
                  </w:tcBorders>
                  <w:noWrap/>
                  <w:vAlign w:val="center"/>
                </w:tcPr>
                <w:p w14:paraId="0C43F5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7EC97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46.76</w:t>
                  </w:r>
                </w:p>
              </w:tc>
              <w:tc>
                <w:tcPr>
                  <w:tcW w:w="1020" w:type="dxa"/>
                  <w:tcBorders>
                    <w:tl2br w:val="nil"/>
                    <w:tr2bl w:val="nil"/>
                  </w:tcBorders>
                  <w:noWrap/>
                  <w:vAlign w:val="center"/>
                </w:tcPr>
                <w:p w14:paraId="05A9D5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68.84</w:t>
                  </w:r>
                </w:p>
              </w:tc>
              <w:tc>
                <w:tcPr>
                  <w:tcW w:w="735" w:type="dxa"/>
                  <w:tcBorders>
                    <w:tl2br w:val="nil"/>
                    <w:tr2bl w:val="nil"/>
                  </w:tcBorders>
                  <w:noWrap/>
                  <w:vAlign w:val="center"/>
                </w:tcPr>
                <w:p w14:paraId="514E47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077B2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2560A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43.84</w:t>
                  </w:r>
                </w:p>
              </w:tc>
              <w:tc>
                <w:tcPr>
                  <w:tcW w:w="799" w:type="dxa"/>
                  <w:tcBorders>
                    <w:tl2br w:val="nil"/>
                    <w:tr2bl w:val="nil"/>
                  </w:tcBorders>
                  <w:noWrap/>
                  <w:vAlign w:val="center"/>
                </w:tcPr>
                <w:p w14:paraId="23D39E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058F880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DB712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w:t>
                  </w:r>
                </w:p>
              </w:tc>
              <w:tc>
                <w:tcPr>
                  <w:tcW w:w="338" w:type="pct"/>
                  <w:tcBorders>
                    <w:tl2br w:val="nil"/>
                    <w:tr2bl w:val="nil"/>
                  </w:tcBorders>
                  <w:noWrap/>
                  <w:vAlign w:val="center"/>
                </w:tcPr>
                <w:p w14:paraId="244C03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042EF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树脂砂再生区</w:t>
                  </w:r>
                </w:p>
              </w:tc>
              <w:tc>
                <w:tcPr>
                  <w:tcW w:w="219" w:type="pct"/>
                  <w:tcBorders>
                    <w:tl2br w:val="nil"/>
                    <w:tr2bl w:val="nil"/>
                  </w:tcBorders>
                  <w:noWrap/>
                  <w:vAlign w:val="center"/>
                </w:tcPr>
                <w:p w14:paraId="74D935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3113B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86.87/1</w:t>
                  </w:r>
                </w:p>
              </w:tc>
              <w:tc>
                <w:tcPr>
                  <w:tcW w:w="432" w:type="pct"/>
                  <w:vMerge w:val="continue"/>
                  <w:tcBorders>
                    <w:tl2br w:val="nil"/>
                    <w:tr2bl w:val="nil"/>
                  </w:tcBorders>
                  <w:noWrap w:val="0"/>
                  <w:vAlign w:val="center"/>
                </w:tcPr>
                <w:p w14:paraId="55F64B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6CBC2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2ABF30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46.26</w:t>
                  </w:r>
                </w:p>
              </w:tc>
              <w:tc>
                <w:tcPr>
                  <w:tcW w:w="705" w:type="dxa"/>
                  <w:tcBorders>
                    <w:tl2br w:val="nil"/>
                    <w:tr2bl w:val="nil"/>
                  </w:tcBorders>
                  <w:noWrap/>
                  <w:vAlign w:val="center"/>
                </w:tcPr>
                <w:p w14:paraId="0516C5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2B0E3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83.12</w:t>
                  </w:r>
                </w:p>
              </w:tc>
              <w:tc>
                <w:tcPr>
                  <w:tcW w:w="1020" w:type="dxa"/>
                  <w:tcBorders>
                    <w:tl2br w:val="nil"/>
                    <w:tr2bl w:val="nil"/>
                  </w:tcBorders>
                  <w:noWrap/>
                  <w:vAlign w:val="center"/>
                </w:tcPr>
                <w:p w14:paraId="5FBBCB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68.83</w:t>
                  </w:r>
                </w:p>
              </w:tc>
              <w:tc>
                <w:tcPr>
                  <w:tcW w:w="735" w:type="dxa"/>
                  <w:tcBorders>
                    <w:tl2br w:val="nil"/>
                    <w:tr2bl w:val="nil"/>
                  </w:tcBorders>
                  <w:noWrap/>
                  <w:vAlign w:val="center"/>
                </w:tcPr>
                <w:p w14:paraId="61CED2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0D8E7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44275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43.83</w:t>
                  </w:r>
                </w:p>
              </w:tc>
              <w:tc>
                <w:tcPr>
                  <w:tcW w:w="799" w:type="dxa"/>
                  <w:tcBorders>
                    <w:tl2br w:val="nil"/>
                    <w:tr2bl w:val="nil"/>
                  </w:tcBorders>
                  <w:noWrap/>
                  <w:vAlign w:val="center"/>
                </w:tcPr>
                <w:p w14:paraId="4A91B3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0D7759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8FA99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w:t>
                  </w:r>
                </w:p>
              </w:tc>
              <w:tc>
                <w:tcPr>
                  <w:tcW w:w="338" w:type="pct"/>
                  <w:tcBorders>
                    <w:tl2br w:val="nil"/>
                    <w:tr2bl w:val="nil"/>
                  </w:tcBorders>
                  <w:noWrap/>
                  <w:vAlign w:val="center"/>
                </w:tcPr>
                <w:p w14:paraId="2172AC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DB02C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树脂砂再生区</w:t>
                  </w:r>
                </w:p>
              </w:tc>
              <w:tc>
                <w:tcPr>
                  <w:tcW w:w="219" w:type="pct"/>
                  <w:tcBorders>
                    <w:tl2br w:val="nil"/>
                    <w:tr2bl w:val="nil"/>
                  </w:tcBorders>
                  <w:noWrap/>
                  <w:vAlign w:val="center"/>
                </w:tcPr>
                <w:p w14:paraId="534761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99C45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86.87/1</w:t>
                  </w:r>
                </w:p>
              </w:tc>
              <w:tc>
                <w:tcPr>
                  <w:tcW w:w="432" w:type="pct"/>
                  <w:vMerge w:val="continue"/>
                  <w:tcBorders>
                    <w:tl2br w:val="nil"/>
                    <w:tr2bl w:val="nil"/>
                  </w:tcBorders>
                  <w:noWrap w:val="0"/>
                  <w:vAlign w:val="center"/>
                </w:tcPr>
                <w:p w14:paraId="0A2267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52F3A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610876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46.26</w:t>
                  </w:r>
                </w:p>
              </w:tc>
              <w:tc>
                <w:tcPr>
                  <w:tcW w:w="705" w:type="dxa"/>
                  <w:tcBorders>
                    <w:tl2br w:val="nil"/>
                    <w:tr2bl w:val="nil"/>
                  </w:tcBorders>
                  <w:noWrap/>
                  <w:vAlign w:val="center"/>
                </w:tcPr>
                <w:p w14:paraId="1120F8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B26DC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18.18</w:t>
                  </w:r>
                </w:p>
              </w:tc>
              <w:tc>
                <w:tcPr>
                  <w:tcW w:w="1020" w:type="dxa"/>
                  <w:tcBorders>
                    <w:tl2br w:val="nil"/>
                    <w:tr2bl w:val="nil"/>
                  </w:tcBorders>
                  <w:noWrap/>
                  <w:vAlign w:val="center"/>
                </w:tcPr>
                <w:p w14:paraId="080EC9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68.89</w:t>
                  </w:r>
                </w:p>
              </w:tc>
              <w:tc>
                <w:tcPr>
                  <w:tcW w:w="735" w:type="dxa"/>
                  <w:tcBorders>
                    <w:tl2br w:val="nil"/>
                    <w:tr2bl w:val="nil"/>
                  </w:tcBorders>
                  <w:noWrap/>
                  <w:vAlign w:val="center"/>
                </w:tcPr>
                <w:p w14:paraId="56419F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DEBD2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54B8D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43.89</w:t>
                  </w:r>
                </w:p>
              </w:tc>
              <w:tc>
                <w:tcPr>
                  <w:tcW w:w="799" w:type="dxa"/>
                  <w:tcBorders>
                    <w:tl2br w:val="nil"/>
                    <w:tr2bl w:val="nil"/>
                  </w:tcBorders>
                  <w:noWrap/>
                  <w:vAlign w:val="center"/>
                </w:tcPr>
                <w:p w14:paraId="178480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3A2ACE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8240D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w:t>
                  </w:r>
                </w:p>
              </w:tc>
              <w:tc>
                <w:tcPr>
                  <w:tcW w:w="338" w:type="pct"/>
                  <w:tcBorders>
                    <w:tl2br w:val="nil"/>
                    <w:tr2bl w:val="nil"/>
                  </w:tcBorders>
                  <w:noWrap/>
                  <w:vAlign w:val="center"/>
                </w:tcPr>
                <w:p w14:paraId="7778C2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4EB91A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粘土砂再生区</w:t>
                  </w:r>
                </w:p>
              </w:tc>
              <w:tc>
                <w:tcPr>
                  <w:tcW w:w="219" w:type="pct"/>
                  <w:tcBorders>
                    <w:tl2br w:val="nil"/>
                    <w:tr2bl w:val="nil"/>
                  </w:tcBorders>
                  <w:noWrap/>
                  <w:vAlign w:val="center"/>
                </w:tcPr>
                <w:p w14:paraId="7702F9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65D7E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86.88/1</w:t>
                  </w:r>
                </w:p>
              </w:tc>
              <w:tc>
                <w:tcPr>
                  <w:tcW w:w="432" w:type="pct"/>
                  <w:vMerge w:val="continue"/>
                  <w:tcBorders>
                    <w:tl2br w:val="nil"/>
                    <w:tr2bl w:val="nil"/>
                  </w:tcBorders>
                  <w:noWrap w:val="0"/>
                  <w:vAlign w:val="center"/>
                </w:tcPr>
                <w:p w14:paraId="24D9CB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2CD6D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468E5A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18.35</w:t>
                  </w:r>
                </w:p>
              </w:tc>
              <w:tc>
                <w:tcPr>
                  <w:tcW w:w="705" w:type="dxa"/>
                  <w:tcBorders>
                    <w:tl2br w:val="nil"/>
                    <w:tr2bl w:val="nil"/>
                  </w:tcBorders>
                  <w:noWrap/>
                  <w:vAlign w:val="center"/>
                </w:tcPr>
                <w:p w14:paraId="72BC92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7125E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70.78</w:t>
                  </w:r>
                </w:p>
              </w:tc>
              <w:tc>
                <w:tcPr>
                  <w:tcW w:w="1020" w:type="dxa"/>
                  <w:tcBorders>
                    <w:tl2br w:val="nil"/>
                    <w:tr2bl w:val="nil"/>
                  </w:tcBorders>
                  <w:noWrap/>
                  <w:vAlign w:val="center"/>
                </w:tcPr>
                <w:p w14:paraId="5FE01E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68.84</w:t>
                  </w:r>
                </w:p>
              </w:tc>
              <w:tc>
                <w:tcPr>
                  <w:tcW w:w="735" w:type="dxa"/>
                  <w:tcBorders>
                    <w:tl2br w:val="nil"/>
                    <w:tr2bl w:val="nil"/>
                  </w:tcBorders>
                  <w:noWrap/>
                  <w:vAlign w:val="center"/>
                </w:tcPr>
                <w:p w14:paraId="1A8C56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A088B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A0A26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43.84</w:t>
                  </w:r>
                </w:p>
              </w:tc>
              <w:tc>
                <w:tcPr>
                  <w:tcW w:w="799" w:type="dxa"/>
                  <w:tcBorders>
                    <w:tl2br w:val="nil"/>
                    <w:tr2bl w:val="nil"/>
                  </w:tcBorders>
                  <w:noWrap/>
                  <w:vAlign w:val="center"/>
                </w:tcPr>
                <w:p w14:paraId="103FE4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0AE864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8AB9F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42</w:t>
                  </w:r>
                </w:p>
              </w:tc>
              <w:tc>
                <w:tcPr>
                  <w:tcW w:w="338" w:type="pct"/>
                  <w:tcBorders>
                    <w:tl2br w:val="nil"/>
                    <w:tr2bl w:val="nil"/>
                  </w:tcBorders>
                  <w:noWrap/>
                  <w:vAlign w:val="center"/>
                </w:tcPr>
                <w:p w14:paraId="7BEA25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97401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粘土砂再生区</w:t>
                  </w:r>
                </w:p>
              </w:tc>
              <w:tc>
                <w:tcPr>
                  <w:tcW w:w="219" w:type="pct"/>
                  <w:tcBorders>
                    <w:tl2br w:val="nil"/>
                    <w:tr2bl w:val="nil"/>
                  </w:tcBorders>
                  <w:noWrap/>
                  <w:vAlign w:val="center"/>
                </w:tcPr>
                <w:p w14:paraId="244A2D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D60DF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86.88/1</w:t>
                  </w:r>
                </w:p>
              </w:tc>
              <w:tc>
                <w:tcPr>
                  <w:tcW w:w="432" w:type="pct"/>
                  <w:vMerge w:val="continue"/>
                  <w:tcBorders>
                    <w:tl2br w:val="nil"/>
                    <w:tr2bl w:val="nil"/>
                  </w:tcBorders>
                  <w:noWrap w:val="0"/>
                  <w:vAlign w:val="center"/>
                </w:tcPr>
                <w:p w14:paraId="1D509C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1F84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675B79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18.35</w:t>
                  </w:r>
                </w:p>
              </w:tc>
              <w:tc>
                <w:tcPr>
                  <w:tcW w:w="705" w:type="dxa"/>
                  <w:tcBorders>
                    <w:tl2br w:val="nil"/>
                    <w:tr2bl w:val="nil"/>
                  </w:tcBorders>
                  <w:noWrap/>
                  <w:vAlign w:val="center"/>
                </w:tcPr>
                <w:p w14:paraId="4BBBC9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DE401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18.85</w:t>
                  </w:r>
                </w:p>
              </w:tc>
              <w:tc>
                <w:tcPr>
                  <w:tcW w:w="1020" w:type="dxa"/>
                  <w:tcBorders>
                    <w:tl2br w:val="nil"/>
                    <w:tr2bl w:val="nil"/>
                  </w:tcBorders>
                  <w:noWrap/>
                  <w:vAlign w:val="center"/>
                </w:tcPr>
                <w:p w14:paraId="4DD3C3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68.90</w:t>
                  </w:r>
                </w:p>
              </w:tc>
              <w:tc>
                <w:tcPr>
                  <w:tcW w:w="735" w:type="dxa"/>
                  <w:tcBorders>
                    <w:tl2br w:val="nil"/>
                    <w:tr2bl w:val="nil"/>
                  </w:tcBorders>
                  <w:noWrap/>
                  <w:vAlign w:val="center"/>
                </w:tcPr>
                <w:p w14:paraId="283D90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21AA8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29C72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43.9</w:t>
                  </w:r>
                </w:p>
              </w:tc>
              <w:tc>
                <w:tcPr>
                  <w:tcW w:w="799" w:type="dxa"/>
                  <w:tcBorders>
                    <w:tl2br w:val="nil"/>
                    <w:tr2bl w:val="nil"/>
                  </w:tcBorders>
                  <w:noWrap/>
                  <w:vAlign w:val="center"/>
                </w:tcPr>
                <w:p w14:paraId="787FB6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C054DC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49173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w:t>
                  </w:r>
                </w:p>
              </w:tc>
              <w:tc>
                <w:tcPr>
                  <w:tcW w:w="338" w:type="pct"/>
                  <w:tcBorders>
                    <w:tl2br w:val="nil"/>
                    <w:tr2bl w:val="nil"/>
                  </w:tcBorders>
                  <w:noWrap/>
                  <w:vAlign w:val="center"/>
                </w:tcPr>
                <w:p w14:paraId="19FCAD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07D02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粘土砂再生区</w:t>
                  </w:r>
                </w:p>
              </w:tc>
              <w:tc>
                <w:tcPr>
                  <w:tcW w:w="219" w:type="pct"/>
                  <w:tcBorders>
                    <w:tl2br w:val="nil"/>
                    <w:tr2bl w:val="nil"/>
                  </w:tcBorders>
                  <w:noWrap/>
                  <w:vAlign w:val="center"/>
                </w:tcPr>
                <w:p w14:paraId="57BDE7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74FDA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86.88/1</w:t>
                  </w:r>
                </w:p>
              </w:tc>
              <w:tc>
                <w:tcPr>
                  <w:tcW w:w="432" w:type="pct"/>
                  <w:vMerge w:val="continue"/>
                  <w:tcBorders>
                    <w:tl2br w:val="nil"/>
                    <w:tr2bl w:val="nil"/>
                  </w:tcBorders>
                  <w:noWrap w:val="0"/>
                  <w:vAlign w:val="center"/>
                </w:tcPr>
                <w:p w14:paraId="1EFF40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69BCC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7D474D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18.35</w:t>
                  </w:r>
                </w:p>
              </w:tc>
              <w:tc>
                <w:tcPr>
                  <w:tcW w:w="705" w:type="dxa"/>
                  <w:tcBorders>
                    <w:tl2br w:val="nil"/>
                    <w:tr2bl w:val="nil"/>
                  </w:tcBorders>
                  <w:noWrap/>
                  <w:vAlign w:val="center"/>
                </w:tcPr>
                <w:p w14:paraId="06B0A3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AF6FF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83.17</w:t>
                  </w:r>
                </w:p>
              </w:tc>
              <w:tc>
                <w:tcPr>
                  <w:tcW w:w="1020" w:type="dxa"/>
                  <w:tcBorders>
                    <w:tl2br w:val="nil"/>
                    <w:tr2bl w:val="nil"/>
                  </w:tcBorders>
                  <w:noWrap/>
                  <w:vAlign w:val="center"/>
                </w:tcPr>
                <w:p w14:paraId="0B484F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68.84</w:t>
                  </w:r>
                </w:p>
              </w:tc>
              <w:tc>
                <w:tcPr>
                  <w:tcW w:w="735" w:type="dxa"/>
                  <w:tcBorders>
                    <w:tl2br w:val="nil"/>
                    <w:tr2bl w:val="nil"/>
                  </w:tcBorders>
                  <w:noWrap/>
                  <w:vAlign w:val="center"/>
                </w:tcPr>
                <w:p w14:paraId="6BD226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B5272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759EA1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43.84</w:t>
                  </w:r>
                </w:p>
              </w:tc>
              <w:tc>
                <w:tcPr>
                  <w:tcW w:w="799" w:type="dxa"/>
                  <w:tcBorders>
                    <w:tl2br w:val="nil"/>
                    <w:tr2bl w:val="nil"/>
                  </w:tcBorders>
                  <w:noWrap/>
                  <w:vAlign w:val="center"/>
                </w:tcPr>
                <w:p w14:paraId="6B2901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CC396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38D77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w:t>
                  </w:r>
                </w:p>
              </w:tc>
              <w:tc>
                <w:tcPr>
                  <w:tcW w:w="338" w:type="pct"/>
                  <w:tcBorders>
                    <w:tl2br w:val="nil"/>
                    <w:tr2bl w:val="nil"/>
                  </w:tcBorders>
                  <w:noWrap/>
                  <w:vAlign w:val="center"/>
                </w:tcPr>
                <w:p w14:paraId="4C78E1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A6AC2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粘土砂再生区</w:t>
                  </w:r>
                </w:p>
              </w:tc>
              <w:tc>
                <w:tcPr>
                  <w:tcW w:w="219" w:type="pct"/>
                  <w:tcBorders>
                    <w:tl2br w:val="nil"/>
                    <w:tr2bl w:val="nil"/>
                  </w:tcBorders>
                  <w:noWrap/>
                  <w:vAlign w:val="center"/>
                </w:tcPr>
                <w:p w14:paraId="40CEF3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31AF8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86.88/1</w:t>
                  </w:r>
                </w:p>
              </w:tc>
              <w:tc>
                <w:tcPr>
                  <w:tcW w:w="432" w:type="pct"/>
                  <w:vMerge w:val="continue"/>
                  <w:tcBorders>
                    <w:tl2br w:val="nil"/>
                    <w:tr2bl w:val="nil"/>
                  </w:tcBorders>
                  <w:noWrap w:val="0"/>
                  <w:vAlign w:val="center"/>
                </w:tcPr>
                <w:p w14:paraId="44ACAD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57077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71.28</w:t>
                  </w:r>
                </w:p>
              </w:tc>
              <w:tc>
                <w:tcPr>
                  <w:tcW w:w="765" w:type="dxa"/>
                  <w:tcBorders>
                    <w:tl2br w:val="nil"/>
                    <w:tr2bl w:val="nil"/>
                  </w:tcBorders>
                  <w:noWrap/>
                  <w:vAlign w:val="center"/>
                </w:tcPr>
                <w:p w14:paraId="3364D7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18.35</w:t>
                  </w:r>
                </w:p>
              </w:tc>
              <w:tc>
                <w:tcPr>
                  <w:tcW w:w="705" w:type="dxa"/>
                  <w:tcBorders>
                    <w:tl2br w:val="nil"/>
                    <w:tr2bl w:val="nil"/>
                  </w:tcBorders>
                  <w:noWrap/>
                  <w:vAlign w:val="center"/>
                </w:tcPr>
                <w:p w14:paraId="0E7A58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9888C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46.09</w:t>
                  </w:r>
                </w:p>
              </w:tc>
              <w:tc>
                <w:tcPr>
                  <w:tcW w:w="1020" w:type="dxa"/>
                  <w:tcBorders>
                    <w:tl2br w:val="nil"/>
                    <w:tr2bl w:val="nil"/>
                  </w:tcBorders>
                  <w:noWrap/>
                  <w:vAlign w:val="center"/>
                </w:tcPr>
                <w:p w14:paraId="759B75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68.85</w:t>
                  </w:r>
                </w:p>
              </w:tc>
              <w:tc>
                <w:tcPr>
                  <w:tcW w:w="735" w:type="dxa"/>
                  <w:tcBorders>
                    <w:tl2br w:val="nil"/>
                    <w:tr2bl w:val="nil"/>
                  </w:tcBorders>
                  <w:noWrap/>
                  <w:vAlign w:val="center"/>
                </w:tcPr>
                <w:p w14:paraId="2539E2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EA569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DD928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43.85</w:t>
                  </w:r>
                </w:p>
              </w:tc>
              <w:tc>
                <w:tcPr>
                  <w:tcW w:w="799" w:type="dxa"/>
                  <w:tcBorders>
                    <w:tl2br w:val="nil"/>
                    <w:tr2bl w:val="nil"/>
                  </w:tcBorders>
                  <w:noWrap/>
                  <w:vAlign w:val="center"/>
                </w:tcPr>
                <w:p w14:paraId="73256B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C197F1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9282C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45</w:t>
                  </w:r>
                </w:p>
              </w:tc>
              <w:tc>
                <w:tcPr>
                  <w:tcW w:w="338" w:type="pct"/>
                  <w:tcBorders>
                    <w:tl2br w:val="nil"/>
                    <w:tr2bl w:val="nil"/>
                  </w:tcBorders>
                  <w:noWrap/>
                  <w:vAlign w:val="center"/>
                </w:tcPr>
                <w:p w14:paraId="3A50DC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6CEAC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压缩机</w:t>
                  </w:r>
                </w:p>
              </w:tc>
              <w:tc>
                <w:tcPr>
                  <w:tcW w:w="219" w:type="pct"/>
                  <w:tcBorders>
                    <w:tl2br w:val="nil"/>
                    <w:tr2bl w:val="nil"/>
                  </w:tcBorders>
                  <w:noWrap/>
                  <w:vAlign w:val="center"/>
                </w:tcPr>
                <w:p w14:paraId="7D0FA6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9807A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79.8/1</w:t>
                  </w:r>
                </w:p>
              </w:tc>
              <w:tc>
                <w:tcPr>
                  <w:tcW w:w="432" w:type="pct"/>
                  <w:vMerge w:val="continue"/>
                  <w:tcBorders>
                    <w:tl2br w:val="nil"/>
                    <w:tr2bl w:val="nil"/>
                  </w:tcBorders>
                  <w:noWrap w:val="0"/>
                  <w:vAlign w:val="center"/>
                </w:tcPr>
                <w:p w14:paraId="2B0820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66BAE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44.72</w:t>
                  </w:r>
                </w:p>
              </w:tc>
              <w:tc>
                <w:tcPr>
                  <w:tcW w:w="765" w:type="dxa"/>
                  <w:tcBorders>
                    <w:tl2br w:val="nil"/>
                    <w:tr2bl w:val="nil"/>
                  </w:tcBorders>
                  <w:noWrap/>
                  <w:vAlign w:val="center"/>
                </w:tcPr>
                <w:p w14:paraId="7A2181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62.02</w:t>
                  </w:r>
                </w:p>
              </w:tc>
              <w:tc>
                <w:tcPr>
                  <w:tcW w:w="705" w:type="dxa"/>
                  <w:tcBorders>
                    <w:tl2br w:val="nil"/>
                    <w:tr2bl w:val="nil"/>
                  </w:tcBorders>
                  <w:noWrap/>
                  <w:vAlign w:val="center"/>
                </w:tcPr>
                <w:p w14:paraId="21EB5F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28379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44.13</w:t>
                  </w:r>
                </w:p>
              </w:tc>
              <w:tc>
                <w:tcPr>
                  <w:tcW w:w="1020" w:type="dxa"/>
                  <w:tcBorders>
                    <w:tl2br w:val="nil"/>
                    <w:tr2bl w:val="nil"/>
                  </w:tcBorders>
                  <w:noWrap/>
                  <w:vAlign w:val="center"/>
                </w:tcPr>
                <w:p w14:paraId="04D064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61.77</w:t>
                  </w:r>
                </w:p>
              </w:tc>
              <w:tc>
                <w:tcPr>
                  <w:tcW w:w="735" w:type="dxa"/>
                  <w:tcBorders>
                    <w:tl2br w:val="nil"/>
                    <w:tr2bl w:val="nil"/>
                  </w:tcBorders>
                  <w:noWrap/>
                  <w:vAlign w:val="center"/>
                </w:tcPr>
                <w:p w14:paraId="6F367E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CE7C6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CF845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36.77</w:t>
                  </w:r>
                </w:p>
              </w:tc>
              <w:tc>
                <w:tcPr>
                  <w:tcW w:w="799" w:type="dxa"/>
                  <w:tcBorders>
                    <w:tl2br w:val="nil"/>
                    <w:tr2bl w:val="nil"/>
                  </w:tcBorders>
                  <w:noWrap/>
                  <w:vAlign w:val="center"/>
                </w:tcPr>
                <w:p w14:paraId="573AA4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31B0AA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2914F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46</w:t>
                  </w:r>
                </w:p>
              </w:tc>
              <w:tc>
                <w:tcPr>
                  <w:tcW w:w="338" w:type="pct"/>
                  <w:tcBorders>
                    <w:tl2br w:val="nil"/>
                    <w:tr2bl w:val="nil"/>
                  </w:tcBorders>
                  <w:noWrap/>
                  <w:vAlign w:val="center"/>
                </w:tcPr>
                <w:p w14:paraId="6424AA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4EF7E0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压缩机</w:t>
                  </w:r>
                </w:p>
              </w:tc>
              <w:tc>
                <w:tcPr>
                  <w:tcW w:w="219" w:type="pct"/>
                  <w:tcBorders>
                    <w:tl2br w:val="nil"/>
                    <w:tr2bl w:val="nil"/>
                  </w:tcBorders>
                  <w:noWrap/>
                  <w:vAlign w:val="center"/>
                </w:tcPr>
                <w:p w14:paraId="1B50FC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8D6C3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79.8/1</w:t>
                  </w:r>
                </w:p>
              </w:tc>
              <w:tc>
                <w:tcPr>
                  <w:tcW w:w="432" w:type="pct"/>
                  <w:vMerge w:val="continue"/>
                  <w:tcBorders>
                    <w:tl2br w:val="nil"/>
                    <w:tr2bl w:val="nil"/>
                  </w:tcBorders>
                  <w:noWrap w:val="0"/>
                  <w:vAlign w:val="center"/>
                </w:tcPr>
                <w:p w14:paraId="1E6242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D9F8D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44.72</w:t>
                  </w:r>
                </w:p>
              </w:tc>
              <w:tc>
                <w:tcPr>
                  <w:tcW w:w="765" w:type="dxa"/>
                  <w:tcBorders>
                    <w:tl2br w:val="nil"/>
                    <w:tr2bl w:val="nil"/>
                  </w:tcBorders>
                  <w:noWrap/>
                  <w:vAlign w:val="center"/>
                </w:tcPr>
                <w:p w14:paraId="6B5A3E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62.02</w:t>
                  </w:r>
                </w:p>
              </w:tc>
              <w:tc>
                <w:tcPr>
                  <w:tcW w:w="705" w:type="dxa"/>
                  <w:tcBorders>
                    <w:tl2br w:val="nil"/>
                    <w:tr2bl w:val="nil"/>
                  </w:tcBorders>
                  <w:noWrap/>
                  <w:vAlign w:val="center"/>
                </w:tcPr>
                <w:p w14:paraId="636D4C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A624F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62.50</w:t>
                  </w:r>
                </w:p>
              </w:tc>
              <w:tc>
                <w:tcPr>
                  <w:tcW w:w="1020" w:type="dxa"/>
                  <w:tcBorders>
                    <w:tl2br w:val="nil"/>
                    <w:tr2bl w:val="nil"/>
                  </w:tcBorders>
                  <w:noWrap/>
                  <w:vAlign w:val="center"/>
                </w:tcPr>
                <w:p w14:paraId="2C323B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61.76</w:t>
                  </w:r>
                </w:p>
              </w:tc>
              <w:tc>
                <w:tcPr>
                  <w:tcW w:w="735" w:type="dxa"/>
                  <w:tcBorders>
                    <w:tl2br w:val="nil"/>
                    <w:tr2bl w:val="nil"/>
                  </w:tcBorders>
                  <w:noWrap/>
                  <w:vAlign w:val="center"/>
                </w:tcPr>
                <w:p w14:paraId="4A024C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20C5D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79B21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36.76</w:t>
                  </w:r>
                </w:p>
              </w:tc>
              <w:tc>
                <w:tcPr>
                  <w:tcW w:w="799" w:type="dxa"/>
                  <w:tcBorders>
                    <w:tl2br w:val="nil"/>
                    <w:tr2bl w:val="nil"/>
                  </w:tcBorders>
                  <w:noWrap/>
                  <w:vAlign w:val="center"/>
                </w:tcPr>
                <w:p w14:paraId="19A743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38C46F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1E088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w:t>
                  </w:r>
                </w:p>
              </w:tc>
              <w:tc>
                <w:tcPr>
                  <w:tcW w:w="338" w:type="pct"/>
                  <w:tcBorders>
                    <w:tl2br w:val="nil"/>
                    <w:tr2bl w:val="nil"/>
                  </w:tcBorders>
                  <w:noWrap/>
                  <w:vAlign w:val="center"/>
                </w:tcPr>
                <w:p w14:paraId="16B46B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E153A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压缩机</w:t>
                  </w:r>
                </w:p>
              </w:tc>
              <w:tc>
                <w:tcPr>
                  <w:tcW w:w="219" w:type="pct"/>
                  <w:tcBorders>
                    <w:tl2br w:val="nil"/>
                    <w:tr2bl w:val="nil"/>
                  </w:tcBorders>
                  <w:noWrap/>
                  <w:vAlign w:val="center"/>
                </w:tcPr>
                <w:p w14:paraId="2E4E29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FCDA7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79.8/1</w:t>
                  </w:r>
                </w:p>
              </w:tc>
              <w:tc>
                <w:tcPr>
                  <w:tcW w:w="432" w:type="pct"/>
                  <w:vMerge w:val="continue"/>
                  <w:tcBorders>
                    <w:tl2br w:val="nil"/>
                    <w:tr2bl w:val="nil"/>
                  </w:tcBorders>
                  <w:noWrap w:val="0"/>
                  <w:vAlign w:val="center"/>
                </w:tcPr>
                <w:p w14:paraId="1F1131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D7D3B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44.72</w:t>
                  </w:r>
                </w:p>
              </w:tc>
              <w:tc>
                <w:tcPr>
                  <w:tcW w:w="765" w:type="dxa"/>
                  <w:tcBorders>
                    <w:tl2br w:val="nil"/>
                    <w:tr2bl w:val="nil"/>
                  </w:tcBorders>
                  <w:noWrap/>
                  <w:vAlign w:val="center"/>
                </w:tcPr>
                <w:p w14:paraId="474F28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62.02</w:t>
                  </w:r>
                </w:p>
              </w:tc>
              <w:tc>
                <w:tcPr>
                  <w:tcW w:w="705" w:type="dxa"/>
                  <w:tcBorders>
                    <w:tl2br w:val="nil"/>
                    <w:tr2bl w:val="nil"/>
                  </w:tcBorders>
                  <w:noWrap/>
                  <w:vAlign w:val="center"/>
                </w:tcPr>
                <w:p w14:paraId="327AEA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AE790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109.65</w:t>
                  </w:r>
                </w:p>
              </w:tc>
              <w:tc>
                <w:tcPr>
                  <w:tcW w:w="1020" w:type="dxa"/>
                  <w:tcBorders>
                    <w:tl2br w:val="nil"/>
                    <w:tr2bl w:val="nil"/>
                  </w:tcBorders>
                  <w:noWrap/>
                  <w:vAlign w:val="center"/>
                </w:tcPr>
                <w:p w14:paraId="6894DF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61.76</w:t>
                  </w:r>
                </w:p>
              </w:tc>
              <w:tc>
                <w:tcPr>
                  <w:tcW w:w="735" w:type="dxa"/>
                  <w:tcBorders>
                    <w:tl2br w:val="nil"/>
                    <w:tr2bl w:val="nil"/>
                  </w:tcBorders>
                  <w:noWrap/>
                  <w:vAlign w:val="center"/>
                </w:tcPr>
                <w:p w14:paraId="13BCE0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70185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F117A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36.76</w:t>
                  </w:r>
                </w:p>
              </w:tc>
              <w:tc>
                <w:tcPr>
                  <w:tcW w:w="799" w:type="dxa"/>
                  <w:tcBorders>
                    <w:tl2br w:val="nil"/>
                    <w:tr2bl w:val="nil"/>
                  </w:tcBorders>
                  <w:noWrap/>
                  <w:vAlign w:val="center"/>
                </w:tcPr>
                <w:p w14:paraId="52C08B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71B687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ABE8B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48</w:t>
                  </w:r>
                </w:p>
              </w:tc>
              <w:tc>
                <w:tcPr>
                  <w:tcW w:w="338" w:type="pct"/>
                  <w:tcBorders>
                    <w:tl2br w:val="nil"/>
                    <w:tr2bl w:val="nil"/>
                  </w:tcBorders>
                  <w:noWrap/>
                  <w:vAlign w:val="center"/>
                </w:tcPr>
                <w:p w14:paraId="6D0C05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9DA83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压缩机</w:t>
                  </w:r>
                </w:p>
              </w:tc>
              <w:tc>
                <w:tcPr>
                  <w:tcW w:w="219" w:type="pct"/>
                  <w:tcBorders>
                    <w:tl2br w:val="nil"/>
                    <w:tr2bl w:val="nil"/>
                  </w:tcBorders>
                  <w:noWrap/>
                  <w:vAlign w:val="center"/>
                </w:tcPr>
                <w:p w14:paraId="72D2E3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084BD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79.8/1</w:t>
                  </w:r>
                </w:p>
              </w:tc>
              <w:tc>
                <w:tcPr>
                  <w:tcW w:w="432" w:type="pct"/>
                  <w:vMerge w:val="continue"/>
                  <w:tcBorders>
                    <w:tl2br w:val="nil"/>
                    <w:tr2bl w:val="nil"/>
                  </w:tcBorders>
                  <w:noWrap w:val="0"/>
                  <w:vAlign w:val="center"/>
                </w:tcPr>
                <w:p w14:paraId="37F6D8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84DC0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44.72</w:t>
                  </w:r>
                </w:p>
              </w:tc>
              <w:tc>
                <w:tcPr>
                  <w:tcW w:w="765" w:type="dxa"/>
                  <w:tcBorders>
                    <w:tl2br w:val="nil"/>
                    <w:tr2bl w:val="nil"/>
                  </w:tcBorders>
                  <w:noWrap/>
                  <w:vAlign w:val="center"/>
                </w:tcPr>
                <w:p w14:paraId="09A29F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62.02</w:t>
                  </w:r>
                </w:p>
              </w:tc>
              <w:tc>
                <w:tcPr>
                  <w:tcW w:w="705" w:type="dxa"/>
                  <w:tcBorders>
                    <w:tl2br w:val="nil"/>
                    <w:tr2bl w:val="nil"/>
                  </w:tcBorders>
                  <w:noWrap/>
                  <w:vAlign w:val="center"/>
                </w:tcPr>
                <w:p w14:paraId="3DEDFE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F3167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2.47</w:t>
                  </w:r>
                </w:p>
              </w:tc>
              <w:tc>
                <w:tcPr>
                  <w:tcW w:w="1020" w:type="dxa"/>
                  <w:tcBorders>
                    <w:tl2br w:val="nil"/>
                    <w:tr2bl w:val="nil"/>
                  </w:tcBorders>
                  <w:noWrap/>
                  <w:vAlign w:val="center"/>
                </w:tcPr>
                <w:p w14:paraId="6A2F65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64.38</w:t>
                  </w:r>
                </w:p>
              </w:tc>
              <w:tc>
                <w:tcPr>
                  <w:tcW w:w="735" w:type="dxa"/>
                  <w:tcBorders>
                    <w:tl2br w:val="nil"/>
                    <w:tr2bl w:val="nil"/>
                  </w:tcBorders>
                  <w:noWrap/>
                  <w:vAlign w:val="center"/>
                </w:tcPr>
                <w:p w14:paraId="31FE15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69D2D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28D54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39.38</w:t>
                  </w:r>
                </w:p>
              </w:tc>
              <w:tc>
                <w:tcPr>
                  <w:tcW w:w="799" w:type="dxa"/>
                  <w:tcBorders>
                    <w:tl2br w:val="nil"/>
                    <w:tr2bl w:val="nil"/>
                  </w:tcBorders>
                  <w:noWrap/>
                  <w:vAlign w:val="center"/>
                </w:tcPr>
                <w:p w14:paraId="104B02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C6D22C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95EAF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49</w:t>
                  </w:r>
                </w:p>
              </w:tc>
              <w:tc>
                <w:tcPr>
                  <w:tcW w:w="338" w:type="pct"/>
                  <w:tcBorders>
                    <w:tl2br w:val="nil"/>
                    <w:tr2bl w:val="nil"/>
                  </w:tcBorders>
                  <w:noWrap/>
                  <w:vAlign w:val="center"/>
                </w:tcPr>
                <w:p w14:paraId="5B6AA9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27088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离心机DA001</w:t>
                  </w:r>
                </w:p>
              </w:tc>
              <w:tc>
                <w:tcPr>
                  <w:tcW w:w="219" w:type="pct"/>
                  <w:tcBorders>
                    <w:tl2br w:val="nil"/>
                    <w:tr2bl w:val="nil"/>
                  </w:tcBorders>
                  <w:noWrap/>
                  <w:vAlign w:val="center"/>
                </w:tcPr>
                <w:p w14:paraId="540C02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5688E6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364BEF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2CFDE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14.56</w:t>
                  </w:r>
                </w:p>
              </w:tc>
              <w:tc>
                <w:tcPr>
                  <w:tcW w:w="765" w:type="dxa"/>
                  <w:tcBorders>
                    <w:tl2br w:val="nil"/>
                    <w:tr2bl w:val="nil"/>
                  </w:tcBorders>
                  <w:noWrap/>
                  <w:vAlign w:val="center"/>
                </w:tcPr>
                <w:p w14:paraId="63A89E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47.39</w:t>
                  </w:r>
                </w:p>
              </w:tc>
              <w:tc>
                <w:tcPr>
                  <w:tcW w:w="705" w:type="dxa"/>
                  <w:tcBorders>
                    <w:tl2br w:val="nil"/>
                    <w:tr2bl w:val="nil"/>
                  </w:tcBorders>
                  <w:noWrap/>
                  <w:vAlign w:val="center"/>
                </w:tcPr>
                <w:p w14:paraId="7E7E4F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ACF4C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14.00</w:t>
                  </w:r>
                </w:p>
              </w:tc>
              <w:tc>
                <w:tcPr>
                  <w:tcW w:w="1020" w:type="dxa"/>
                  <w:tcBorders>
                    <w:tl2br w:val="nil"/>
                    <w:tr2bl w:val="nil"/>
                  </w:tcBorders>
                  <w:noWrap/>
                  <w:vAlign w:val="center"/>
                </w:tcPr>
                <w:p w14:paraId="6A7843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62.07</w:t>
                  </w:r>
                </w:p>
              </w:tc>
              <w:tc>
                <w:tcPr>
                  <w:tcW w:w="735" w:type="dxa"/>
                  <w:tcBorders>
                    <w:tl2br w:val="nil"/>
                    <w:tr2bl w:val="nil"/>
                  </w:tcBorders>
                  <w:noWrap/>
                  <w:vAlign w:val="center"/>
                </w:tcPr>
                <w:p w14:paraId="50AD4A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0FA0F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4C496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37.07</w:t>
                  </w:r>
                </w:p>
              </w:tc>
              <w:tc>
                <w:tcPr>
                  <w:tcW w:w="799" w:type="dxa"/>
                  <w:tcBorders>
                    <w:tl2br w:val="nil"/>
                    <w:tr2bl w:val="nil"/>
                  </w:tcBorders>
                  <w:noWrap/>
                  <w:vAlign w:val="center"/>
                </w:tcPr>
                <w:p w14:paraId="636836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75A6A82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37E35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50</w:t>
                  </w:r>
                </w:p>
              </w:tc>
              <w:tc>
                <w:tcPr>
                  <w:tcW w:w="338" w:type="pct"/>
                  <w:tcBorders>
                    <w:tl2br w:val="nil"/>
                    <w:tr2bl w:val="nil"/>
                  </w:tcBorders>
                  <w:noWrap/>
                  <w:vAlign w:val="center"/>
                </w:tcPr>
                <w:p w14:paraId="2004CF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CF28F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离心机DA001</w:t>
                  </w:r>
                </w:p>
              </w:tc>
              <w:tc>
                <w:tcPr>
                  <w:tcW w:w="219" w:type="pct"/>
                  <w:tcBorders>
                    <w:tl2br w:val="nil"/>
                    <w:tr2bl w:val="nil"/>
                  </w:tcBorders>
                  <w:noWrap/>
                  <w:vAlign w:val="center"/>
                </w:tcPr>
                <w:p w14:paraId="1979B3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14E2F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2A48B8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D89BD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14.56</w:t>
                  </w:r>
                </w:p>
              </w:tc>
              <w:tc>
                <w:tcPr>
                  <w:tcW w:w="765" w:type="dxa"/>
                  <w:tcBorders>
                    <w:tl2br w:val="nil"/>
                    <w:tr2bl w:val="nil"/>
                  </w:tcBorders>
                  <w:noWrap/>
                  <w:vAlign w:val="center"/>
                </w:tcPr>
                <w:p w14:paraId="5989C9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47.39</w:t>
                  </w:r>
                </w:p>
              </w:tc>
              <w:tc>
                <w:tcPr>
                  <w:tcW w:w="705" w:type="dxa"/>
                  <w:tcBorders>
                    <w:tl2br w:val="nil"/>
                    <w:tr2bl w:val="nil"/>
                  </w:tcBorders>
                  <w:noWrap/>
                  <w:vAlign w:val="center"/>
                </w:tcPr>
                <w:p w14:paraId="1BD83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7B730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47.85</w:t>
                  </w:r>
                </w:p>
              </w:tc>
              <w:tc>
                <w:tcPr>
                  <w:tcW w:w="1020" w:type="dxa"/>
                  <w:tcBorders>
                    <w:tl2br w:val="nil"/>
                    <w:tr2bl w:val="nil"/>
                  </w:tcBorders>
                  <w:noWrap/>
                  <w:vAlign w:val="center"/>
                </w:tcPr>
                <w:p w14:paraId="09B433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61.97</w:t>
                  </w:r>
                </w:p>
              </w:tc>
              <w:tc>
                <w:tcPr>
                  <w:tcW w:w="735" w:type="dxa"/>
                  <w:tcBorders>
                    <w:tl2br w:val="nil"/>
                    <w:tr2bl w:val="nil"/>
                  </w:tcBorders>
                  <w:noWrap/>
                  <w:vAlign w:val="center"/>
                </w:tcPr>
                <w:p w14:paraId="7244C9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9D8F3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8055E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36.97</w:t>
                  </w:r>
                </w:p>
              </w:tc>
              <w:tc>
                <w:tcPr>
                  <w:tcW w:w="799" w:type="dxa"/>
                  <w:tcBorders>
                    <w:tl2br w:val="nil"/>
                    <w:tr2bl w:val="nil"/>
                  </w:tcBorders>
                  <w:noWrap/>
                  <w:vAlign w:val="center"/>
                </w:tcPr>
                <w:p w14:paraId="3690F3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DE7551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81948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51</w:t>
                  </w:r>
                </w:p>
              </w:tc>
              <w:tc>
                <w:tcPr>
                  <w:tcW w:w="338" w:type="pct"/>
                  <w:tcBorders>
                    <w:tl2br w:val="nil"/>
                    <w:tr2bl w:val="nil"/>
                  </w:tcBorders>
                  <w:noWrap/>
                  <w:vAlign w:val="center"/>
                </w:tcPr>
                <w:p w14:paraId="666143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83DE4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离心机DA001</w:t>
                  </w:r>
                </w:p>
              </w:tc>
              <w:tc>
                <w:tcPr>
                  <w:tcW w:w="219" w:type="pct"/>
                  <w:tcBorders>
                    <w:tl2br w:val="nil"/>
                    <w:tr2bl w:val="nil"/>
                  </w:tcBorders>
                  <w:noWrap/>
                  <w:vAlign w:val="center"/>
                </w:tcPr>
                <w:p w14:paraId="1E400A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7FEA5B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31A687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B10B0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14.56</w:t>
                  </w:r>
                </w:p>
              </w:tc>
              <w:tc>
                <w:tcPr>
                  <w:tcW w:w="765" w:type="dxa"/>
                  <w:tcBorders>
                    <w:tl2br w:val="nil"/>
                    <w:tr2bl w:val="nil"/>
                  </w:tcBorders>
                  <w:noWrap/>
                  <w:vAlign w:val="center"/>
                </w:tcPr>
                <w:p w14:paraId="3E8178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47.39</w:t>
                  </w:r>
                </w:p>
              </w:tc>
              <w:tc>
                <w:tcPr>
                  <w:tcW w:w="705" w:type="dxa"/>
                  <w:tcBorders>
                    <w:tl2br w:val="nil"/>
                    <w:tr2bl w:val="nil"/>
                  </w:tcBorders>
                  <w:noWrap/>
                  <w:vAlign w:val="center"/>
                </w:tcPr>
                <w:p w14:paraId="7AE42D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96F94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139.84</w:t>
                  </w:r>
                </w:p>
              </w:tc>
              <w:tc>
                <w:tcPr>
                  <w:tcW w:w="1020" w:type="dxa"/>
                  <w:tcBorders>
                    <w:tl2br w:val="nil"/>
                    <w:tr2bl w:val="nil"/>
                  </w:tcBorders>
                  <w:noWrap/>
                  <w:vAlign w:val="center"/>
                </w:tcPr>
                <w:p w14:paraId="53353C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0962F3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82895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77CC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367AED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D5D85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2D4B6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52</w:t>
                  </w:r>
                </w:p>
              </w:tc>
              <w:tc>
                <w:tcPr>
                  <w:tcW w:w="338" w:type="pct"/>
                  <w:tcBorders>
                    <w:tl2br w:val="nil"/>
                    <w:tr2bl w:val="nil"/>
                  </w:tcBorders>
                  <w:noWrap/>
                  <w:vAlign w:val="center"/>
                </w:tcPr>
                <w:p w14:paraId="7556B8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699C0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离心机DA001</w:t>
                  </w:r>
                </w:p>
              </w:tc>
              <w:tc>
                <w:tcPr>
                  <w:tcW w:w="219" w:type="pct"/>
                  <w:tcBorders>
                    <w:tl2br w:val="nil"/>
                    <w:tr2bl w:val="nil"/>
                  </w:tcBorders>
                  <w:noWrap/>
                  <w:vAlign w:val="center"/>
                </w:tcPr>
                <w:p w14:paraId="522370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9192E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08EDF3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1B493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14.56</w:t>
                  </w:r>
                </w:p>
              </w:tc>
              <w:tc>
                <w:tcPr>
                  <w:tcW w:w="765" w:type="dxa"/>
                  <w:tcBorders>
                    <w:tl2br w:val="nil"/>
                    <w:tr2bl w:val="nil"/>
                  </w:tcBorders>
                  <w:noWrap/>
                  <w:vAlign w:val="center"/>
                </w:tcPr>
                <w:p w14:paraId="54C8FB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47.39</w:t>
                  </w:r>
                </w:p>
              </w:tc>
              <w:tc>
                <w:tcPr>
                  <w:tcW w:w="705" w:type="dxa"/>
                  <w:tcBorders>
                    <w:tl2br w:val="nil"/>
                    <w:tr2bl w:val="nil"/>
                  </w:tcBorders>
                  <w:noWrap/>
                  <w:vAlign w:val="center"/>
                </w:tcPr>
                <w:p w14:paraId="17BC0A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EB507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17.16</w:t>
                  </w:r>
                </w:p>
              </w:tc>
              <w:tc>
                <w:tcPr>
                  <w:tcW w:w="1020" w:type="dxa"/>
                  <w:tcBorders>
                    <w:tl2br w:val="nil"/>
                    <w:tr2bl w:val="nil"/>
                  </w:tcBorders>
                  <w:noWrap/>
                  <w:vAlign w:val="center"/>
                </w:tcPr>
                <w:p w14:paraId="616B16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62.03</w:t>
                  </w:r>
                </w:p>
              </w:tc>
              <w:tc>
                <w:tcPr>
                  <w:tcW w:w="735" w:type="dxa"/>
                  <w:tcBorders>
                    <w:tl2br w:val="nil"/>
                    <w:tr2bl w:val="nil"/>
                  </w:tcBorders>
                  <w:noWrap/>
                  <w:vAlign w:val="center"/>
                </w:tcPr>
                <w:p w14:paraId="1A7425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1D546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FA8F5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37.03</w:t>
                  </w:r>
                </w:p>
              </w:tc>
              <w:tc>
                <w:tcPr>
                  <w:tcW w:w="799" w:type="dxa"/>
                  <w:tcBorders>
                    <w:tl2br w:val="nil"/>
                    <w:tr2bl w:val="nil"/>
                  </w:tcBorders>
                  <w:noWrap/>
                  <w:vAlign w:val="center"/>
                </w:tcPr>
                <w:p w14:paraId="38AFDD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6AD0BB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9A274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53</w:t>
                  </w:r>
                </w:p>
              </w:tc>
              <w:tc>
                <w:tcPr>
                  <w:tcW w:w="338" w:type="pct"/>
                  <w:tcBorders>
                    <w:tl2br w:val="nil"/>
                    <w:tr2bl w:val="nil"/>
                  </w:tcBorders>
                  <w:noWrap/>
                  <w:vAlign w:val="center"/>
                </w:tcPr>
                <w:p w14:paraId="7B9D70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26BCC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离心机DA002</w:t>
                  </w:r>
                </w:p>
              </w:tc>
              <w:tc>
                <w:tcPr>
                  <w:tcW w:w="219" w:type="pct"/>
                  <w:tcBorders>
                    <w:tl2br w:val="nil"/>
                    <w:tr2bl w:val="nil"/>
                  </w:tcBorders>
                  <w:noWrap/>
                  <w:vAlign w:val="center"/>
                </w:tcPr>
                <w:p w14:paraId="185392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CA635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3FB9EF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19138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44.27</w:t>
                  </w:r>
                </w:p>
              </w:tc>
              <w:tc>
                <w:tcPr>
                  <w:tcW w:w="765" w:type="dxa"/>
                  <w:tcBorders>
                    <w:tl2br w:val="nil"/>
                    <w:tr2bl w:val="nil"/>
                  </w:tcBorders>
                  <w:noWrap/>
                  <w:vAlign w:val="center"/>
                </w:tcPr>
                <w:p w14:paraId="4AF7F3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40.64</w:t>
                  </w:r>
                </w:p>
              </w:tc>
              <w:tc>
                <w:tcPr>
                  <w:tcW w:w="705" w:type="dxa"/>
                  <w:tcBorders>
                    <w:tl2br w:val="nil"/>
                    <w:tr2bl w:val="nil"/>
                  </w:tcBorders>
                  <w:noWrap/>
                  <w:vAlign w:val="center"/>
                </w:tcPr>
                <w:p w14:paraId="384194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A4F27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43.72</w:t>
                  </w:r>
                </w:p>
              </w:tc>
              <w:tc>
                <w:tcPr>
                  <w:tcW w:w="1020" w:type="dxa"/>
                  <w:tcBorders>
                    <w:tl2br w:val="nil"/>
                    <w:tr2bl w:val="nil"/>
                  </w:tcBorders>
                  <w:noWrap/>
                  <w:vAlign w:val="center"/>
                </w:tcPr>
                <w:p w14:paraId="3939C8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61.97</w:t>
                  </w:r>
                </w:p>
              </w:tc>
              <w:tc>
                <w:tcPr>
                  <w:tcW w:w="735" w:type="dxa"/>
                  <w:tcBorders>
                    <w:tl2br w:val="nil"/>
                    <w:tr2bl w:val="nil"/>
                  </w:tcBorders>
                  <w:noWrap/>
                  <w:vAlign w:val="center"/>
                </w:tcPr>
                <w:p w14:paraId="228ABE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75B62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B07E8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36.97</w:t>
                  </w:r>
                </w:p>
              </w:tc>
              <w:tc>
                <w:tcPr>
                  <w:tcW w:w="799" w:type="dxa"/>
                  <w:tcBorders>
                    <w:tl2br w:val="nil"/>
                    <w:tr2bl w:val="nil"/>
                  </w:tcBorders>
                  <w:noWrap/>
                  <w:vAlign w:val="center"/>
                </w:tcPr>
                <w:p w14:paraId="23AB24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3476B9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F09F9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w:t>
                  </w:r>
                </w:p>
              </w:tc>
              <w:tc>
                <w:tcPr>
                  <w:tcW w:w="338" w:type="pct"/>
                  <w:tcBorders>
                    <w:tl2br w:val="nil"/>
                    <w:tr2bl w:val="nil"/>
                  </w:tcBorders>
                  <w:noWrap/>
                  <w:vAlign w:val="center"/>
                </w:tcPr>
                <w:p w14:paraId="0AC0CA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7105C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离心机DA002</w:t>
                  </w:r>
                </w:p>
              </w:tc>
              <w:tc>
                <w:tcPr>
                  <w:tcW w:w="219" w:type="pct"/>
                  <w:tcBorders>
                    <w:tl2br w:val="nil"/>
                    <w:tr2bl w:val="nil"/>
                  </w:tcBorders>
                  <w:noWrap/>
                  <w:vAlign w:val="center"/>
                </w:tcPr>
                <w:p w14:paraId="4554E0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F8E47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154559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56EA4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44.27</w:t>
                  </w:r>
                </w:p>
              </w:tc>
              <w:tc>
                <w:tcPr>
                  <w:tcW w:w="765" w:type="dxa"/>
                  <w:tcBorders>
                    <w:tl2br w:val="nil"/>
                    <w:tr2bl w:val="nil"/>
                  </w:tcBorders>
                  <w:noWrap/>
                  <w:vAlign w:val="center"/>
                </w:tcPr>
                <w:p w14:paraId="5F12CD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40.64</w:t>
                  </w:r>
                </w:p>
              </w:tc>
              <w:tc>
                <w:tcPr>
                  <w:tcW w:w="705" w:type="dxa"/>
                  <w:tcBorders>
                    <w:tl2br w:val="nil"/>
                    <w:tr2bl w:val="nil"/>
                  </w:tcBorders>
                  <w:noWrap/>
                  <w:vAlign w:val="center"/>
                </w:tcPr>
                <w:p w14:paraId="5978FC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3D713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41.12</w:t>
                  </w:r>
                </w:p>
              </w:tc>
              <w:tc>
                <w:tcPr>
                  <w:tcW w:w="1020" w:type="dxa"/>
                  <w:tcBorders>
                    <w:tl2br w:val="nil"/>
                    <w:tr2bl w:val="nil"/>
                  </w:tcBorders>
                  <w:noWrap/>
                  <w:vAlign w:val="center"/>
                </w:tcPr>
                <w:p w14:paraId="676704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61.97</w:t>
                  </w:r>
                </w:p>
              </w:tc>
              <w:tc>
                <w:tcPr>
                  <w:tcW w:w="735" w:type="dxa"/>
                  <w:tcBorders>
                    <w:tl2br w:val="nil"/>
                    <w:tr2bl w:val="nil"/>
                  </w:tcBorders>
                  <w:noWrap/>
                  <w:vAlign w:val="center"/>
                </w:tcPr>
                <w:p w14:paraId="29566B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2B497A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823DB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36.97</w:t>
                  </w:r>
                </w:p>
              </w:tc>
              <w:tc>
                <w:tcPr>
                  <w:tcW w:w="799" w:type="dxa"/>
                  <w:tcBorders>
                    <w:tl2br w:val="nil"/>
                    <w:tr2bl w:val="nil"/>
                  </w:tcBorders>
                  <w:noWrap/>
                  <w:vAlign w:val="center"/>
                </w:tcPr>
                <w:p w14:paraId="536D1D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4A24C3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077F76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55</w:t>
                  </w:r>
                </w:p>
              </w:tc>
              <w:tc>
                <w:tcPr>
                  <w:tcW w:w="338" w:type="pct"/>
                  <w:tcBorders>
                    <w:tl2br w:val="nil"/>
                    <w:tr2bl w:val="nil"/>
                  </w:tcBorders>
                  <w:noWrap/>
                  <w:vAlign w:val="center"/>
                </w:tcPr>
                <w:p w14:paraId="06E9B4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0454B4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离心机DA002</w:t>
                  </w:r>
                </w:p>
              </w:tc>
              <w:tc>
                <w:tcPr>
                  <w:tcW w:w="219" w:type="pct"/>
                  <w:tcBorders>
                    <w:tl2br w:val="nil"/>
                    <w:tr2bl w:val="nil"/>
                  </w:tcBorders>
                  <w:noWrap/>
                  <w:vAlign w:val="center"/>
                </w:tcPr>
                <w:p w14:paraId="50512D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EA335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762AC8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30E64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44.27</w:t>
                  </w:r>
                </w:p>
              </w:tc>
              <w:tc>
                <w:tcPr>
                  <w:tcW w:w="765" w:type="dxa"/>
                  <w:tcBorders>
                    <w:tl2br w:val="nil"/>
                    <w:tr2bl w:val="nil"/>
                  </w:tcBorders>
                  <w:noWrap/>
                  <w:vAlign w:val="center"/>
                </w:tcPr>
                <w:p w14:paraId="6D46A5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40.64</w:t>
                  </w:r>
                </w:p>
              </w:tc>
              <w:tc>
                <w:tcPr>
                  <w:tcW w:w="705" w:type="dxa"/>
                  <w:tcBorders>
                    <w:tl2br w:val="nil"/>
                    <w:tr2bl w:val="nil"/>
                  </w:tcBorders>
                  <w:noWrap/>
                  <w:vAlign w:val="center"/>
                </w:tcPr>
                <w:p w14:paraId="6AE65D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795BC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110.14</w:t>
                  </w:r>
                </w:p>
              </w:tc>
              <w:tc>
                <w:tcPr>
                  <w:tcW w:w="1020" w:type="dxa"/>
                  <w:tcBorders>
                    <w:tl2br w:val="nil"/>
                    <w:tr2bl w:val="nil"/>
                  </w:tcBorders>
                  <w:noWrap/>
                  <w:vAlign w:val="center"/>
                </w:tcPr>
                <w:p w14:paraId="278DD7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4510A2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75AA9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3F280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2131F2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3FCF03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891AF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56</w:t>
                  </w:r>
                </w:p>
              </w:tc>
              <w:tc>
                <w:tcPr>
                  <w:tcW w:w="338" w:type="pct"/>
                  <w:tcBorders>
                    <w:tl2br w:val="nil"/>
                    <w:tr2bl w:val="nil"/>
                  </w:tcBorders>
                  <w:noWrap/>
                  <w:vAlign w:val="center"/>
                </w:tcPr>
                <w:p w14:paraId="576098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9342F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离心机DA002</w:t>
                  </w:r>
                </w:p>
              </w:tc>
              <w:tc>
                <w:tcPr>
                  <w:tcW w:w="219" w:type="pct"/>
                  <w:tcBorders>
                    <w:tl2br w:val="nil"/>
                    <w:tr2bl w:val="nil"/>
                  </w:tcBorders>
                  <w:noWrap/>
                  <w:vAlign w:val="center"/>
                </w:tcPr>
                <w:p w14:paraId="6D8742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767C1E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0EECD3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79893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44.27</w:t>
                  </w:r>
                </w:p>
              </w:tc>
              <w:tc>
                <w:tcPr>
                  <w:tcW w:w="765" w:type="dxa"/>
                  <w:tcBorders>
                    <w:tl2br w:val="nil"/>
                    <w:tr2bl w:val="nil"/>
                  </w:tcBorders>
                  <w:noWrap/>
                  <w:vAlign w:val="center"/>
                </w:tcPr>
                <w:p w14:paraId="6CA244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40.64</w:t>
                  </w:r>
                </w:p>
              </w:tc>
              <w:tc>
                <w:tcPr>
                  <w:tcW w:w="705" w:type="dxa"/>
                  <w:tcBorders>
                    <w:tl2br w:val="nil"/>
                    <w:tr2bl w:val="nil"/>
                  </w:tcBorders>
                  <w:noWrap/>
                  <w:vAlign w:val="center"/>
                </w:tcPr>
                <w:p w14:paraId="1FE91B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637AF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23.85</w:t>
                  </w:r>
                </w:p>
              </w:tc>
              <w:tc>
                <w:tcPr>
                  <w:tcW w:w="1020" w:type="dxa"/>
                  <w:tcBorders>
                    <w:tl2br w:val="nil"/>
                    <w:tr2bl w:val="nil"/>
                  </w:tcBorders>
                  <w:noWrap/>
                  <w:vAlign w:val="center"/>
                </w:tcPr>
                <w:p w14:paraId="6F7954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62.00</w:t>
                  </w:r>
                </w:p>
              </w:tc>
              <w:tc>
                <w:tcPr>
                  <w:tcW w:w="735" w:type="dxa"/>
                  <w:tcBorders>
                    <w:tl2br w:val="nil"/>
                    <w:tr2bl w:val="nil"/>
                  </w:tcBorders>
                  <w:noWrap/>
                  <w:vAlign w:val="center"/>
                </w:tcPr>
                <w:p w14:paraId="22F633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6E2A6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8F7A2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w:t>
                  </w:r>
                </w:p>
              </w:tc>
              <w:tc>
                <w:tcPr>
                  <w:tcW w:w="799" w:type="dxa"/>
                  <w:tcBorders>
                    <w:tl2br w:val="nil"/>
                    <w:tr2bl w:val="nil"/>
                  </w:tcBorders>
                  <w:noWrap/>
                  <w:vAlign w:val="center"/>
                </w:tcPr>
                <w:p w14:paraId="1FA9DC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F9BB46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58D67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57</w:t>
                  </w:r>
                </w:p>
              </w:tc>
              <w:tc>
                <w:tcPr>
                  <w:tcW w:w="338" w:type="pct"/>
                  <w:tcBorders>
                    <w:tl2br w:val="nil"/>
                    <w:tr2bl w:val="nil"/>
                  </w:tcBorders>
                  <w:noWrap/>
                  <w:vAlign w:val="center"/>
                </w:tcPr>
                <w:p w14:paraId="3C76E3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E2B8B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离心机DA003</w:t>
                  </w:r>
                </w:p>
              </w:tc>
              <w:tc>
                <w:tcPr>
                  <w:tcW w:w="219" w:type="pct"/>
                  <w:tcBorders>
                    <w:tl2br w:val="nil"/>
                    <w:tr2bl w:val="nil"/>
                  </w:tcBorders>
                  <w:noWrap/>
                  <w:vAlign w:val="center"/>
                </w:tcPr>
                <w:p w14:paraId="43E46B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06B0A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27C46B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E5218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27.84</w:t>
                  </w:r>
                </w:p>
              </w:tc>
              <w:tc>
                <w:tcPr>
                  <w:tcW w:w="765" w:type="dxa"/>
                  <w:tcBorders>
                    <w:tl2br w:val="nil"/>
                    <w:tr2bl w:val="nil"/>
                  </w:tcBorders>
                  <w:noWrap/>
                  <w:vAlign w:val="center"/>
                </w:tcPr>
                <w:p w14:paraId="51FD79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40.86</w:t>
                  </w:r>
                </w:p>
              </w:tc>
              <w:tc>
                <w:tcPr>
                  <w:tcW w:w="705" w:type="dxa"/>
                  <w:tcBorders>
                    <w:tl2br w:val="nil"/>
                    <w:tr2bl w:val="nil"/>
                  </w:tcBorders>
                  <w:noWrap/>
                  <w:vAlign w:val="center"/>
                </w:tcPr>
                <w:p w14:paraId="2EAE4F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4ED31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27.29</w:t>
                  </w:r>
                </w:p>
              </w:tc>
              <w:tc>
                <w:tcPr>
                  <w:tcW w:w="1020" w:type="dxa"/>
                  <w:tcBorders>
                    <w:tl2br w:val="nil"/>
                    <w:tr2bl w:val="nil"/>
                  </w:tcBorders>
                  <w:noWrap/>
                  <w:vAlign w:val="center"/>
                </w:tcPr>
                <w:p w14:paraId="03CCB0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61.99</w:t>
                  </w:r>
                </w:p>
              </w:tc>
              <w:tc>
                <w:tcPr>
                  <w:tcW w:w="735" w:type="dxa"/>
                  <w:tcBorders>
                    <w:tl2br w:val="nil"/>
                    <w:tr2bl w:val="nil"/>
                  </w:tcBorders>
                  <w:noWrap/>
                  <w:vAlign w:val="center"/>
                </w:tcPr>
                <w:p w14:paraId="63D3D6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34946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102583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36.99</w:t>
                  </w:r>
                </w:p>
              </w:tc>
              <w:tc>
                <w:tcPr>
                  <w:tcW w:w="799" w:type="dxa"/>
                  <w:tcBorders>
                    <w:tl2br w:val="nil"/>
                    <w:tr2bl w:val="nil"/>
                  </w:tcBorders>
                  <w:noWrap/>
                  <w:vAlign w:val="center"/>
                </w:tcPr>
                <w:p w14:paraId="0604D3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7055BBC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AB7F8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58</w:t>
                  </w:r>
                </w:p>
              </w:tc>
              <w:tc>
                <w:tcPr>
                  <w:tcW w:w="338" w:type="pct"/>
                  <w:tcBorders>
                    <w:tl2br w:val="nil"/>
                    <w:tr2bl w:val="nil"/>
                  </w:tcBorders>
                  <w:noWrap/>
                  <w:vAlign w:val="center"/>
                </w:tcPr>
                <w:p w14:paraId="4D3371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B063D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离心机DA003</w:t>
                  </w:r>
                </w:p>
              </w:tc>
              <w:tc>
                <w:tcPr>
                  <w:tcW w:w="219" w:type="pct"/>
                  <w:tcBorders>
                    <w:tl2br w:val="nil"/>
                    <w:tr2bl w:val="nil"/>
                  </w:tcBorders>
                  <w:noWrap/>
                  <w:vAlign w:val="center"/>
                </w:tcPr>
                <w:p w14:paraId="0DD481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4E273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41A85D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5649FA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27.84</w:t>
                  </w:r>
                </w:p>
              </w:tc>
              <w:tc>
                <w:tcPr>
                  <w:tcW w:w="765" w:type="dxa"/>
                  <w:tcBorders>
                    <w:tl2br w:val="nil"/>
                    <w:tr2bl w:val="nil"/>
                  </w:tcBorders>
                  <w:noWrap/>
                  <w:vAlign w:val="center"/>
                </w:tcPr>
                <w:p w14:paraId="0CB533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40.86</w:t>
                  </w:r>
                </w:p>
              </w:tc>
              <w:tc>
                <w:tcPr>
                  <w:tcW w:w="705" w:type="dxa"/>
                  <w:tcBorders>
                    <w:tl2br w:val="nil"/>
                    <w:tr2bl w:val="nil"/>
                  </w:tcBorders>
                  <w:noWrap/>
                  <w:vAlign w:val="center"/>
                </w:tcPr>
                <w:p w14:paraId="40A326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C574B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41.33</w:t>
                  </w:r>
                </w:p>
              </w:tc>
              <w:tc>
                <w:tcPr>
                  <w:tcW w:w="1020" w:type="dxa"/>
                  <w:tcBorders>
                    <w:tl2br w:val="nil"/>
                    <w:tr2bl w:val="nil"/>
                  </w:tcBorders>
                  <w:noWrap/>
                  <w:vAlign w:val="center"/>
                </w:tcPr>
                <w:p w14:paraId="782D7B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61.97</w:t>
                  </w:r>
                </w:p>
              </w:tc>
              <w:tc>
                <w:tcPr>
                  <w:tcW w:w="735" w:type="dxa"/>
                  <w:tcBorders>
                    <w:tl2br w:val="nil"/>
                    <w:tr2bl w:val="nil"/>
                  </w:tcBorders>
                  <w:noWrap/>
                  <w:vAlign w:val="center"/>
                </w:tcPr>
                <w:p w14:paraId="3223F3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0B1249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F0820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36.97</w:t>
                  </w:r>
                </w:p>
              </w:tc>
              <w:tc>
                <w:tcPr>
                  <w:tcW w:w="799" w:type="dxa"/>
                  <w:tcBorders>
                    <w:tl2br w:val="nil"/>
                    <w:tr2bl w:val="nil"/>
                  </w:tcBorders>
                  <w:noWrap/>
                  <w:vAlign w:val="center"/>
                </w:tcPr>
                <w:p w14:paraId="714AA4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381FA0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A1EE5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59</w:t>
                  </w:r>
                </w:p>
              </w:tc>
              <w:tc>
                <w:tcPr>
                  <w:tcW w:w="338" w:type="pct"/>
                  <w:tcBorders>
                    <w:tl2br w:val="nil"/>
                    <w:tr2bl w:val="nil"/>
                  </w:tcBorders>
                  <w:noWrap/>
                  <w:vAlign w:val="center"/>
                </w:tcPr>
                <w:p w14:paraId="327AC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FC0EA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离心机DA003</w:t>
                  </w:r>
                </w:p>
              </w:tc>
              <w:tc>
                <w:tcPr>
                  <w:tcW w:w="219" w:type="pct"/>
                  <w:tcBorders>
                    <w:tl2br w:val="nil"/>
                    <w:tr2bl w:val="nil"/>
                  </w:tcBorders>
                  <w:noWrap/>
                  <w:vAlign w:val="center"/>
                </w:tcPr>
                <w:p w14:paraId="5F510A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F7FBA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2666A0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04F65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27.84</w:t>
                  </w:r>
                </w:p>
              </w:tc>
              <w:tc>
                <w:tcPr>
                  <w:tcW w:w="765" w:type="dxa"/>
                  <w:tcBorders>
                    <w:tl2br w:val="nil"/>
                    <w:tr2bl w:val="nil"/>
                  </w:tcBorders>
                  <w:noWrap/>
                  <w:vAlign w:val="center"/>
                </w:tcPr>
                <w:p w14:paraId="7E4DFF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40.86</w:t>
                  </w:r>
                </w:p>
              </w:tc>
              <w:tc>
                <w:tcPr>
                  <w:tcW w:w="705" w:type="dxa"/>
                  <w:tcBorders>
                    <w:tl2br w:val="nil"/>
                    <w:tr2bl w:val="nil"/>
                  </w:tcBorders>
                  <w:noWrap/>
                  <w:vAlign w:val="center"/>
                </w:tcPr>
                <w:p w14:paraId="6312A5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48C569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126.57</w:t>
                  </w:r>
                </w:p>
              </w:tc>
              <w:tc>
                <w:tcPr>
                  <w:tcW w:w="1020" w:type="dxa"/>
                  <w:tcBorders>
                    <w:tl2br w:val="nil"/>
                    <w:tr2bl w:val="nil"/>
                  </w:tcBorders>
                  <w:noWrap/>
                  <w:vAlign w:val="center"/>
                </w:tcPr>
                <w:p w14:paraId="6C369E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34D65F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5878D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084E2A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2BECBF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7B65941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BE8C4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60</w:t>
                  </w:r>
                </w:p>
              </w:tc>
              <w:tc>
                <w:tcPr>
                  <w:tcW w:w="338" w:type="pct"/>
                  <w:tcBorders>
                    <w:tl2br w:val="nil"/>
                    <w:tr2bl w:val="nil"/>
                  </w:tcBorders>
                  <w:noWrap/>
                  <w:vAlign w:val="center"/>
                </w:tcPr>
                <w:p w14:paraId="65B004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525B4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离心机DA003</w:t>
                  </w:r>
                </w:p>
              </w:tc>
              <w:tc>
                <w:tcPr>
                  <w:tcW w:w="219" w:type="pct"/>
                  <w:tcBorders>
                    <w:tl2br w:val="nil"/>
                    <w:tr2bl w:val="nil"/>
                  </w:tcBorders>
                  <w:noWrap/>
                  <w:vAlign w:val="center"/>
                </w:tcPr>
                <w:p w14:paraId="7587D4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25E68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180044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90B5D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27.84</w:t>
                  </w:r>
                </w:p>
              </w:tc>
              <w:tc>
                <w:tcPr>
                  <w:tcW w:w="765" w:type="dxa"/>
                  <w:tcBorders>
                    <w:tl2br w:val="nil"/>
                    <w:tr2bl w:val="nil"/>
                  </w:tcBorders>
                  <w:noWrap/>
                  <w:vAlign w:val="center"/>
                </w:tcPr>
                <w:p w14:paraId="025BEB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40.86</w:t>
                  </w:r>
                </w:p>
              </w:tc>
              <w:tc>
                <w:tcPr>
                  <w:tcW w:w="705" w:type="dxa"/>
                  <w:tcBorders>
                    <w:tl2br w:val="nil"/>
                    <w:tr2bl w:val="nil"/>
                  </w:tcBorders>
                  <w:noWrap/>
                  <w:vAlign w:val="center"/>
                </w:tcPr>
                <w:p w14:paraId="478959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428B0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23.67</w:t>
                  </w:r>
                </w:p>
              </w:tc>
              <w:tc>
                <w:tcPr>
                  <w:tcW w:w="1020" w:type="dxa"/>
                  <w:tcBorders>
                    <w:tl2br w:val="nil"/>
                    <w:tr2bl w:val="nil"/>
                  </w:tcBorders>
                  <w:noWrap/>
                  <w:vAlign w:val="center"/>
                </w:tcPr>
                <w:p w14:paraId="121394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62.00</w:t>
                  </w:r>
                </w:p>
              </w:tc>
              <w:tc>
                <w:tcPr>
                  <w:tcW w:w="735" w:type="dxa"/>
                  <w:tcBorders>
                    <w:tl2br w:val="nil"/>
                    <w:tr2bl w:val="nil"/>
                  </w:tcBorders>
                  <w:noWrap/>
                  <w:vAlign w:val="center"/>
                </w:tcPr>
                <w:p w14:paraId="08B2C2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263D0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AB947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w:t>
                  </w:r>
                </w:p>
              </w:tc>
              <w:tc>
                <w:tcPr>
                  <w:tcW w:w="799" w:type="dxa"/>
                  <w:tcBorders>
                    <w:tl2br w:val="nil"/>
                    <w:tr2bl w:val="nil"/>
                  </w:tcBorders>
                  <w:noWrap/>
                  <w:vAlign w:val="center"/>
                </w:tcPr>
                <w:p w14:paraId="513861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5106A88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DEDFA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w:t>
                  </w:r>
                </w:p>
              </w:tc>
              <w:tc>
                <w:tcPr>
                  <w:tcW w:w="338" w:type="pct"/>
                  <w:tcBorders>
                    <w:tl2br w:val="nil"/>
                    <w:tr2bl w:val="nil"/>
                  </w:tcBorders>
                  <w:noWrap/>
                  <w:vAlign w:val="center"/>
                </w:tcPr>
                <w:p w14:paraId="211DAE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AB586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离心机DA004</w:t>
                  </w:r>
                </w:p>
              </w:tc>
              <w:tc>
                <w:tcPr>
                  <w:tcW w:w="219" w:type="pct"/>
                  <w:tcBorders>
                    <w:tl2br w:val="nil"/>
                    <w:tr2bl w:val="nil"/>
                  </w:tcBorders>
                  <w:noWrap/>
                  <w:vAlign w:val="center"/>
                </w:tcPr>
                <w:p w14:paraId="207710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F074B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277CC3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5DDEA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69.7</w:t>
                  </w:r>
                </w:p>
              </w:tc>
              <w:tc>
                <w:tcPr>
                  <w:tcW w:w="765" w:type="dxa"/>
                  <w:tcBorders>
                    <w:tl2br w:val="nil"/>
                    <w:tr2bl w:val="nil"/>
                  </w:tcBorders>
                  <w:noWrap/>
                  <w:vAlign w:val="center"/>
                </w:tcPr>
                <w:p w14:paraId="326119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54.82</w:t>
                  </w:r>
                </w:p>
              </w:tc>
              <w:tc>
                <w:tcPr>
                  <w:tcW w:w="705" w:type="dxa"/>
                  <w:tcBorders>
                    <w:tl2br w:val="nil"/>
                    <w:tr2bl w:val="nil"/>
                  </w:tcBorders>
                  <w:noWrap/>
                  <w:vAlign w:val="center"/>
                </w:tcPr>
                <w:p w14:paraId="7A58A6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DA142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69.13</w:t>
                  </w:r>
                </w:p>
              </w:tc>
              <w:tc>
                <w:tcPr>
                  <w:tcW w:w="1020" w:type="dxa"/>
                  <w:tcBorders>
                    <w:tl2br w:val="nil"/>
                    <w:tr2bl w:val="nil"/>
                  </w:tcBorders>
                  <w:noWrap/>
                  <w:vAlign w:val="center"/>
                </w:tcPr>
                <w:p w14:paraId="2972D0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3420C0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999EC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674AB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42A367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1FACF9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7780E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w:t>
                  </w:r>
                </w:p>
              </w:tc>
              <w:tc>
                <w:tcPr>
                  <w:tcW w:w="338" w:type="pct"/>
                  <w:tcBorders>
                    <w:tl2br w:val="nil"/>
                    <w:tr2bl w:val="nil"/>
                  </w:tcBorders>
                  <w:noWrap/>
                  <w:vAlign w:val="center"/>
                </w:tcPr>
                <w:p w14:paraId="295ADB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229B9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离心机DA004</w:t>
                  </w:r>
                </w:p>
              </w:tc>
              <w:tc>
                <w:tcPr>
                  <w:tcW w:w="219" w:type="pct"/>
                  <w:tcBorders>
                    <w:tl2br w:val="nil"/>
                    <w:tr2bl w:val="nil"/>
                  </w:tcBorders>
                  <w:noWrap/>
                  <w:vAlign w:val="center"/>
                </w:tcPr>
                <w:p w14:paraId="2FC34F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2C02D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71B8F7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65B2BB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69.7</w:t>
                  </w:r>
                </w:p>
              </w:tc>
              <w:tc>
                <w:tcPr>
                  <w:tcW w:w="765" w:type="dxa"/>
                  <w:tcBorders>
                    <w:tl2br w:val="nil"/>
                    <w:tr2bl w:val="nil"/>
                  </w:tcBorders>
                  <w:noWrap/>
                  <w:vAlign w:val="center"/>
                </w:tcPr>
                <w:p w14:paraId="546AB3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54.82</w:t>
                  </w:r>
                </w:p>
              </w:tc>
              <w:tc>
                <w:tcPr>
                  <w:tcW w:w="705" w:type="dxa"/>
                  <w:tcBorders>
                    <w:tl2br w:val="nil"/>
                    <w:tr2bl w:val="nil"/>
                  </w:tcBorders>
                  <w:noWrap/>
                  <w:vAlign w:val="center"/>
                </w:tcPr>
                <w:p w14:paraId="55F949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6C18E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55.31</w:t>
                  </w:r>
                </w:p>
              </w:tc>
              <w:tc>
                <w:tcPr>
                  <w:tcW w:w="1020" w:type="dxa"/>
                  <w:tcBorders>
                    <w:tl2br w:val="nil"/>
                    <w:tr2bl w:val="nil"/>
                  </w:tcBorders>
                  <w:noWrap/>
                  <w:vAlign w:val="center"/>
                </w:tcPr>
                <w:p w14:paraId="3F4051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5BCDEE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10E95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49D9E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06507F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B6BFE4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625F0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63</w:t>
                  </w:r>
                </w:p>
              </w:tc>
              <w:tc>
                <w:tcPr>
                  <w:tcW w:w="338" w:type="pct"/>
                  <w:tcBorders>
                    <w:tl2br w:val="nil"/>
                    <w:tr2bl w:val="nil"/>
                  </w:tcBorders>
                  <w:noWrap/>
                  <w:vAlign w:val="center"/>
                </w:tcPr>
                <w:p w14:paraId="4DAD1A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7C48DF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离心机DA004</w:t>
                  </w:r>
                </w:p>
              </w:tc>
              <w:tc>
                <w:tcPr>
                  <w:tcW w:w="219" w:type="pct"/>
                  <w:tcBorders>
                    <w:tl2br w:val="nil"/>
                    <w:tr2bl w:val="nil"/>
                  </w:tcBorders>
                  <w:noWrap/>
                  <w:vAlign w:val="center"/>
                </w:tcPr>
                <w:p w14:paraId="1C9A81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AF9AF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0507D3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0CC64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69.7</w:t>
                  </w:r>
                </w:p>
              </w:tc>
              <w:tc>
                <w:tcPr>
                  <w:tcW w:w="765" w:type="dxa"/>
                  <w:tcBorders>
                    <w:tl2br w:val="nil"/>
                    <w:tr2bl w:val="nil"/>
                  </w:tcBorders>
                  <w:noWrap/>
                  <w:vAlign w:val="center"/>
                </w:tcPr>
                <w:p w14:paraId="19BCD6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54.82</w:t>
                  </w:r>
                </w:p>
              </w:tc>
              <w:tc>
                <w:tcPr>
                  <w:tcW w:w="705" w:type="dxa"/>
                  <w:tcBorders>
                    <w:tl2br w:val="nil"/>
                    <w:tr2bl w:val="nil"/>
                  </w:tcBorders>
                  <w:noWrap/>
                  <w:vAlign w:val="center"/>
                </w:tcPr>
                <w:p w14:paraId="09272C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4C8C8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84.69</w:t>
                  </w:r>
                </w:p>
              </w:tc>
              <w:tc>
                <w:tcPr>
                  <w:tcW w:w="1020" w:type="dxa"/>
                  <w:tcBorders>
                    <w:tl2br w:val="nil"/>
                    <w:tr2bl w:val="nil"/>
                  </w:tcBorders>
                  <w:noWrap/>
                  <w:vAlign w:val="center"/>
                </w:tcPr>
                <w:p w14:paraId="0B1744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7804CF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5285C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7FEA13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307CC8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CC931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1123C6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64</w:t>
                  </w:r>
                </w:p>
              </w:tc>
              <w:tc>
                <w:tcPr>
                  <w:tcW w:w="338" w:type="pct"/>
                  <w:tcBorders>
                    <w:tl2br w:val="nil"/>
                    <w:tr2bl w:val="nil"/>
                  </w:tcBorders>
                  <w:noWrap/>
                  <w:vAlign w:val="center"/>
                </w:tcPr>
                <w:p w14:paraId="14801F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8B572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离心机DA004</w:t>
                  </w:r>
                </w:p>
              </w:tc>
              <w:tc>
                <w:tcPr>
                  <w:tcW w:w="219" w:type="pct"/>
                  <w:tcBorders>
                    <w:tl2br w:val="nil"/>
                    <w:tr2bl w:val="nil"/>
                  </w:tcBorders>
                  <w:noWrap/>
                  <w:vAlign w:val="center"/>
                </w:tcPr>
                <w:p w14:paraId="6782B8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751293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5DD333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5C625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69.7</w:t>
                  </w:r>
                </w:p>
              </w:tc>
              <w:tc>
                <w:tcPr>
                  <w:tcW w:w="765" w:type="dxa"/>
                  <w:tcBorders>
                    <w:tl2br w:val="nil"/>
                    <w:tr2bl w:val="nil"/>
                  </w:tcBorders>
                  <w:noWrap/>
                  <w:vAlign w:val="center"/>
                </w:tcPr>
                <w:p w14:paraId="6800AF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54.82</w:t>
                  </w:r>
                </w:p>
              </w:tc>
              <w:tc>
                <w:tcPr>
                  <w:tcW w:w="705" w:type="dxa"/>
                  <w:tcBorders>
                    <w:tl2br w:val="nil"/>
                    <w:tr2bl w:val="nil"/>
                  </w:tcBorders>
                  <w:noWrap/>
                  <w:vAlign w:val="center"/>
                </w:tcPr>
                <w:p w14:paraId="712747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7641DA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9.62</w:t>
                  </w:r>
                </w:p>
              </w:tc>
              <w:tc>
                <w:tcPr>
                  <w:tcW w:w="1020" w:type="dxa"/>
                  <w:tcBorders>
                    <w:tl2br w:val="nil"/>
                    <w:tr2bl w:val="nil"/>
                  </w:tcBorders>
                  <w:noWrap/>
                  <w:vAlign w:val="center"/>
                </w:tcPr>
                <w:p w14:paraId="4B2236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62.19</w:t>
                  </w:r>
                </w:p>
              </w:tc>
              <w:tc>
                <w:tcPr>
                  <w:tcW w:w="735" w:type="dxa"/>
                  <w:tcBorders>
                    <w:tl2br w:val="nil"/>
                    <w:tr2bl w:val="nil"/>
                  </w:tcBorders>
                  <w:noWrap/>
                  <w:vAlign w:val="center"/>
                </w:tcPr>
                <w:p w14:paraId="0250E4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16771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66938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37.19</w:t>
                  </w:r>
                </w:p>
              </w:tc>
              <w:tc>
                <w:tcPr>
                  <w:tcW w:w="799" w:type="dxa"/>
                  <w:tcBorders>
                    <w:tl2br w:val="nil"/>
                    <w:tr2bl w:val="nil"/>
                  </w:tcBorders>
                  <w:noWrap/>
                  <w:vAlign w:val="center"/>
                </w:tcPr>
                <w:p w14:paraId="35ACA7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372DDB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F93BD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65</w:t>
                  </w:r>
                </w:p>
              </w:tc>
              <w:tc>
                <w:tcPr>
                  <w:tcW w:w="338" w:type="pct"/>
                  <w:tcBorders>
                    <w:tl2br w:val="nil"/>
                    <w:tr2bl w:val="nil"/>
                  </w:tcBorders>
                  <w:noWrap/>
                  <w:vAlign w:val="center"/>
                </w:tcPr>
                <w:p w14:paraId="1B63E1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D09F0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离心机DA005</w:t>
                  </w:r>
                </w:p>
              </w:tc>
              <w:tc>
                <w:tcPr>
                  <w:tcW w:w="219" w:type="pct"/>
                  <w:tcBorders>
                    <w:tl2br w:val="nil"/>
                    <w:tr2bl w:val="nil"/>
                  </w:tcBorders>
                  <w:noWrap/>
                  <w:vAlign w:val="center"/>
                </w:tcPr>
                <w:p w14:paraId="21CDC9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4912A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635234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1A585C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69.92</w:t>
                  </w:r>
                </w:p>
              </w:tc>
              <w:tc>
                <w:tcPr>
                  <w:tcW w:w="765" w:type="dxa"/>
                  <w:tcBorders>
                    <w:tl2br w:val="nil"/>
                    <w:tr2bl w:val="nil"/>
                  </w:tcBorders>
                  <w:noWrap/>
                  <w:vAlign w:val="center"/>
                </w:tcPr>
                <w:p w14:paraId="5FC628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26.91</w:t>
                  </w:r>
                </w:p>
              </w:tc>
              <w:tc>
                <w:tcPr>
                  <w:tcW w:w="705" w:type="dxa"/>
                  <w:tcBorders>
                    <w:tl2br w:val="nil"/>
                    <w:tr2bl w:val="nil"/>
                  </w:tcBorders>
                  <w:noWrap/>
                  <w:vAlign w:val="center"/>
                </w:tcPr>
                <w:p w14:paraId="3A9BF5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BD474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69.40</w:t>
                  </w:r>
                </w:p>
              </w:tc>
              <w:tc>
                <w:tcPr>
                  <w:tcW w:w="1020" w:type="dxa"/>
                  <w:tcBorders>
                    <w:tl2br w:val="nil"/>
                    <w:tr2bl w:val="nil"/>
                  </w:tcBorders>
                  <w:noWrap/>
                  <w:vAlign w:val="center"/>
                </w:tcPr>
                <w:p w14:paraId="1A6830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362FE6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25D73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62787D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7068A4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20F0121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42E6DD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w:t>
                  </w:r>
                </w:p>
              </w:tc>
              <w:tc>
                <w:tcPr>
                  <w:tcW w:w="338" w:type="pct"/>
                  <w:tcBorders>
                    <w:tl2br w:val="nil"/>
                    <w:tr2bl w:val="nil"/>
                  </w:tcBorders>
                  <w:noWrap/>
                  <w:vAlign w:val="center"/>
                </w:tcPr>
                <w:p w14:paraId="5E7136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560CF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离心机DA005</w:t>
                  </w:r>
                </w:p>
              </w:tc>
              <w:tc>
                <w:tcPr>
                  <w:tcW w:w="219" w:type="pct"/>
                  <w:tcBorders>
                    <w:tl2br w:val="nil"/>
                    <w:tr2bl w:val="nil"/>
                  </w:tcBorders>
                  <w:noWrap/>
                  <w:vAlign w:val="center"/>
                </w:tcPr>
                <w:p w14:paraId="0B08F5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7A6DC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0AA6D6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4F2D0B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69.92</w:t>
                  </w:r>
                </w:p>
              </w:tc>
              <w:tc>
                <w:tcPr>
                  <w:tcW w:w="765" w:type="dxa"/>
                  <w:tcBorders>
                    <w:tl2br w:val="nil"/>
                    <w:tr2bl w:val="nil"/>
                  </w:tcBorders>
                  <w:noWrap/>
                  <w:vAlign w:val="center"/>
                </w:tcPr>
                <w:p w14:paraId="7F6CE0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26.91</w:t>
                  </w:r>
                </w:p>
              </w:tc>
              <w:tc>
                <w:tcPr>
                  <w:tcW w:w="705" w:type="dxa"/>
                  <w:tcBorders>
                    <w:tl2br w:val="nil"/>
                    <w:tr2bl w:val="nil"/>
                  </w:tcBorders>
                  <w:noWrap/>
                  <w:vAlign w:val="center"/>
                </w:tcPr>
                <w:p w14:paraId="3CBE99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3D2A89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27.41</w:t>
                  </w:r>
                </w:p>
              </w:tc>
              <w:tc>
                <w:tcPr>
                  <w:tcW w:w="1020" w:type="dxa"/>
                  <w:tcBorders>
                    <w:tl2br w:val="nil"/>
                    <w:tr2bl w:val="nil"/>
                  </w:tcBorders>
                  <w:noWrap/>
                  <w:vAlign w:val="center"/>
                </w:tcPr>
                <w:p w14:paraId="4295A1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61.99</w:t>
                  </w:r>
                </w:p>
              </w:tc>
              <w:tc>
                <w:tcPr>
                  <w:tcW w:w="735" w:type="dxa"/>
                  <w:tcBorders>
                    <w:tl2br w:val="nil"/>
                    <w:tr2bl w:val="nil"/>
                  </w:tcBorders>
                  <w:noWrap/>
                  <w:vAlign w:val="center"/>
                </w:tcPr>
                <w:p w14:paraId="329AE6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4AB46A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65004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36.99</w:t>
                  </w:r>
                </w:p>
              </w:tc>
              <w:tc>
                <w:tcPr>
                  <w:tcW w:w="799" w:type="dxa"/>
                  <w:tcBorders>
                    <w:tl2br w:val="nil"/>
                    <w:tr2bl w:val="nil"/>
                  </w:tcBorders>
                  <w:noWrap/>
                  <w:vAlign w:val="center"/>
                </w:tcPr>
                <w:p w14:paraId="0DA889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33C9B24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0D156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67</w:t>
                  </w:r>
                </w:p>
              </w:tc>
              <w:tc>
                <w:tcPr>
                  <w:tcW w:w="338" w:type="pct"/>
                  <w:tcBorders>
                    <w:tl2br w:val="nil"/>
                    <w:tr2bl w:val="nil"/>
                  </w:tcBorders>
                  <w:noWrap/>
                  <w:vAlign w:val="center"/>
                </w:tcPr>
                <w:p w14:paraId="0C7F26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82ABE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离心机DA005</w:t>
                  </w:r>
                </w:p>
              </w:tc>
              <w:tc>
                <w:tcPr>
                  <w:tcW w:w="219" w:type="pct"/>
                  <w:tcBorders>
                    <w:tl2br w:val="nil"/>
                    <w:tr2bl w:val="nil"/>
                  </w:tcBorders>
                  <w:noWrap/>
                  <w:vAlign w:val="center"/>
                </w:tcPr>
                <w:p w14:paraId="4E38D7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4C05E7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177F2D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731CFC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69.92</w:t>
                  </w:r>
                </w:p>
              </w:tc>
              <w:tc>
                <w:tcPr>
                  <w:tcW w:w="765" w:type="dxa"/>
                  <w:tcBorders>
                    <w:tl2br w:val="nil"/>
                    <w:tr2bl w:val="nil"/>
                  </w:tcBorders>
                  <w:noWrap/>
                  <w:vAlign w:val="center"/>
                </w:tcPr>
                <w:p w14:paraId="6ABD12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26.91</w:t>
                  </w:r>
                </w:p>
              </w:tc>
              <w:tc>
                <w:tcPr>
                  <w:tcW w:w="705" w:type="dxa"/>
                  <w:tcBorders>
                    <w:tl2br w:val="nil"/>
                    <w:tr2bl w:val="nil"/>
                  </w:tcBorders>
                  <w:noWrap/>
                  <w:vAlign w:val="center"/>
                </w:tcPr>
                <w:p w14:paraId="436D89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5BB70D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84.52</w:t>
                  </w:r>
                </w:p>
              </w:tc>
              <w:tc>
                <w:tcPr>
                  <w:tcW w:w="1020" w:type="dxa"/>
                  <w:tcBorders>
                    <w:tl2br w:val="nil"/>
                    <w:tr2bl w:val="nil"/>
                  </w:tcBorders>
                  <w:noWrap/>
                  <w:vAlign w:val="center"/>
                </w:tcPr>
                <w:p w14:paraId="602137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67BC8C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55DAE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5ED2E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24CF3F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01435DB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161E0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68</w:t>
                  </w:r>
                </w:p>
              </w:tc>
              <w:tc>
                <w:tcPr>
                  <w:tcW w:w="338" w:type="pct"/>
                  <w:tcBorders>
                    <w:tl2br w:val="nil"/>
                    <w:tr2bl w:val="nil"/>
                  </w:tcBorders>
                  <w:noWrap/>
                  <w:vAlign w:val="center"/>
                </w:tcPr>
                <w:p w14:paraId="46522E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1FF2D4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离心机DA005</w:t>
                  </w:r>
                </w:p>
              </w:tc>
              <w:tc>
                <w:tcPr>
                  <w:tcW w:w="219" w:type="pct"/>
                  <w:tcBorders>
                    <w:tl2br w:val="nil"/>
                    <w:tr2bl w:val="nil"/>
                  </w:tcBorders>
                  <w:noWrap/>
                  <w:vAlign w:val="center"/>
                </w:tcPr>
                <w:p w14:paraId="4540A7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01DA25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5E4A22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5E916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69.92</w:t>
                  </w:r>
                </w:p>
              </w:tc>
              <w:tc>
                <w:tcPr>
                  <w:tcW w:w="765" w:type="dxa"/>
                  <w:tcBorders>
                    <w:tl2br w:val="nil"/>
                    <w:tr2bl w:val="nil"/>
                  </w:tcBorders>
                  <w:noWrap/>
                  <w:vAlign w:val="center"/>
                </w:tcPr>
                <w:p w14:paraId="0FC757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26.91</w:t>
                  </w:r>
                </w:p>
              </w:tc>
              <w:tc>
                <w:tcPr>
                  <w:tcW w:w="705" w:type="dxa"/>
                  <w:tcBorders>
                    <w:tl2br w:val="nil"/>
                    <w:tr2bl w:val="nil"/>
                  </w:tcBorders>
                  <w:noWrap/>
                  <w:vAlign w:val="center"/>
                </w:tcPr>
                <w:p w14:paraId="3BAE27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92550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37.53</w:t>
                  </w:r>
                </w:p>
              </w:tc>
              <w:tc>
                <w:tcPr>
                  <w:tcW w:w="1020" w:type="dxa"/>
                  <w:tcBorders>
                    <w:tl2br w:val="nil"/>
                    <w:tr2bl w:val="nil"/>
                  </w:tcBorders>
                  <w:noWrap/>
                  <w:vAlign w:val="center"/>
                </w:tcPr>
                <w:p w14:paraId="7E820A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61.97</w:t>
                  </w:r>
                </w:p>
              </w:tc>
              <w:tc>
                <w:tcPr>
                  <w:tcW w:w="735" w:type="dxa"/>
                  <w:tcBorders>
                    <w:tl2br w:val="nil"/>
                    <w:tr2bl w:val="nil"/>
                  </w:tcBorders>
                  <w:noWrap/>
                  <w:vAlign w:val="center"/>
                </w:tcPr>
                <w:p w14:paraId="11287D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38E7E8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476F7F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36.97</w:t>
                  </w:r>
                </w:p>
              </w:tc>
              <w:tc>
                <w:tcPr>
                  <w:tcW w:w="799" w:type="dxa"/>
                  <w:tcBorders>
                    <w:tl2br w:val="nil"/>
                    <w:tr2bl w:val="nil"/>
                  </w:tcBorders>
                  <w:noWrap/>
                  <w:vAlign w:val="center"/>
                </w:tcPr>
                <w:p w14:paraId="44CD90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453CCBC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25497A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69</w:t>
                  </w:r>
                </w:p>
              </w:tc>
              <w:tc>
                <w:tcPr>
                  <w:tcW w:w="338" w:type="pct"/>
                  <w:tcBorders>
                    <w:tl2br w:val="nil"/>
                    <w:tr2bl w:val="nil"/>
                  </w:tcBorders>
                  <w:noWrap/>
                  <w:vAlign w:val="center"/>
                </w:tcPr>
                <w:p w14:paraId="2D89A4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2926B2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离心机DA007</w:t>
                  </w:r>
                </w:p>
              </w:tc>
              <w:tc>
                <w:tcPr>
                  <w:tcW w:w="219" w:type="pct"/>
                  <w:tcBorders>
                    <w:tl2br w:val="nil"/>
                    <w:tr2bl w:val="nil"/>
                  </w:tcBorders>
                  <w:noWrap/>
                  <w:vAlign w:val="center"/>
                </w:tcPr>
                <w:p w14:paraId="7A8863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1D8E5E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7E48B8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E2DBC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22.21</w:t>
                  </w:r>
                </w:p>
              </w:tc>
              <w:tc>
                <w:tcPr>
                  <w:tcW w:w="765" w:type="dxa"/>
                  <w:tcBorders>
                    <w:tl2br w:val="nil"/>
                    <w:tr2bl w:val="nil"/>
                  </w:tcBorders>
                  <w:noWrap/>
                  <w:vAlign w:val="center"/>
                </w:tcPr>
                <w:p w14:paraId="484490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1.25</w:t>
                  </w:r>
                </w:p>
              </w:tc>
              <w:tc>
                <w:tcPr>
                  <w:tcW w:w="705" w:type="dxa"/>
                  <w:tcBorders>
                    <w:tl2br w:val="nil"/>
                    <w:tr2bl w:val="nil"/>
                  </w:tcBorders>
                  <w:noWrap/>
                  <w:vAlign w:val="center"/>
                </w:tcPr>
                <w:p w14:paraId="69CCF7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9BF7D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21.74</w:t>
                  </w:r>
                </w:p>
              </w:tc>
              <w:tc>
                <w:tcPr>
                  <w:tcW w:w="1020" w:type="dxa"/>
                  <w:tcBorders>
                    <w:tl2br w:val="nil"/>
                    <w:tr2bl w:val="nil"/>
                  </w:tcBorders>
                  <w:noWrap/>
                  <w:vAlign w:val="center"/>
                </w:tcPr>
                <w:p w14:paraId="3C9284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62.00</w:t>
                  </w:r>
                </w:p>
              </w:tc>
              <w:tc>
                <w:tcPr>
                  <w:tcW w:w="735" w:type="dxa"/>
                  <w:tcBorders>
                    <w:tl2br w:val="nil"/>
                    <w:tr2bl w:val="nil"/>
                  </w:tcBorders>
                  <w:noWrap/>
                  <w:vAlign w:val="center"/>
                </w:tcPr>
                <w:p w14:paraId="09317E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128914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506A6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37</w:t>
                  </w:r>
                </w:p>
              </w:tc>
              <w:tc>
                <w:tcPr>
                  <w:tcW w:w="799" w:type="dxa"/>
                  <w:tcBorders>
                    <w:tl2br w:val="nil"/>
                    <w:tr2bl w:val="nil"/>
                  </w:tcBorders>
                  <w:noWrap/>
                  <w:vAlign w:val="center"/>
                </w:tcPr>
                <w:p w14:paraId="6626AE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1D0EBFA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3EA0D2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70</w:t>
                  </w:r>
                </w:p>
              </w:tc>
              <w:tc>
                <w:tcPr>
                  <w:tcW w:w="338" w:type="pct"/>
                  <w:tcBorders>
                    <w:tl2br w:val="nil"/>
                    <w:tr2bl w:val="nil"/>
                  </w:tcBorders>
                  <w:noWrap/>
                  <w:vAlign w:val="center"/>
                </w:tcPr>
                <w:p w14:paraId="2C1357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392385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离心机DA007</w:t>
                  </w:r>
                </w:p>
              </w:tc>
              <w:tc>
                <w:tcPr>
                  <w:tcW w:w="219" w:type="pct"/>
                  <w:tcBorders>
                    <w:tl2br w:val="nil"/>
                    <w:tr2bl w:val="nil"/>
                  </w:tcBorders>
                  <w:noWrap/>
                  <w:vAlign w:val="center"/>
                </w:tcPr>
                <w:p w14:paraId="638EAD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221A42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1FC05C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575DF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22.21</w:t>
                  </w:r>
                </w:p>
              </w:tc>
              <w:tc>
                <w:tcPr>
                  <w:tcW w:w="765" w:type="dxa"/>
                  <w:tcBorders>
                    <w:tl2br w:val="nil"/>
                    <w:tr2bl w:val="nil"/>
                  </w:tcBorders>
                  <w:noWrap/>
                  <w:vAlign w:val="center"/>
                </w:tcPr>
                <w:p w14:paraId="7EDCDD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1.25</w:t>
                  </w:r>
                </w:p>
              </w:tc>
              <w:tc>
                <w:tcPr>
                  <w:tcW w:w="705" w:type="dxa"/>
                  <w:tcBorders>
                    <w:tl2br w:val="nil"/>
                    <w:tr2bl w:val="nil"/>
                  </w:tcBorders>
                  <w:noWrap/>
                  <w:vAlign w:val="center"/>
                </w:tcPr>
                <w:p w14:paraId="72A204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011B76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1.71</w:t>
                  </w:r>
                </w:p>
              </w:tc>
              <w:tc>
                <w:tcPr>
                  <w:tcW w:w="1020" w:type="dxa"/>
                  <w:tcBorders>
                    <w:tl2br w:val="nil"/>
                    <w:tr2bl w:val="nil"/>
                  </w:tcBorders>
                  <w:noWrap/>
                  <w:vAlign w:val="center"/>
                </w:tcPr>
                <w:p w14:paraId="73B480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66.33</w:t>
                  </w:r>
                </w:p>
              </w:tc>
              <w:tc>
                <w:tcPr>
                  <w:tcW w:w="735" w:type="dxa"/>
                  <w:tcBorders>
                    <w:tl2br w:val="nil"/>
                    <w:tr2bl w:val="nil"/>
                  </w:tcBorders>
                  <w:noWrap/>
                  <w:vAlign w:val="center"/>
                </w:tcPr>
                <w:p w14:paraId="016DCE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5CB429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3D3480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41.33</w:t>
                  </w:r>
                </w:p>
              </w:tc>
              <w:tc>
                <w:tcPr>
                  <w:tcW w:w="799" w:type="dxa"/>
                  <w:tcBorders>
                    <w:tl2br w:val="nil"/>
                    <w:tr2bl w:val="nil"/>
                  </w:tcBorders>
                  <w:noWrap/>
                  <w:vAlign w:val="center"/>
                </w:tcPr>
                <w:p w14:paraId="265B64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6921832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6DA1C3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71</w:t>
                  </w:r>
                </w:p>
              </w:tc>
              <w:tc>
                <w:tcPr>
                  <w:tcW w:w="338" w:type="pct"/>
                  <w:tcBorders>
                    <w:tl2br w:val="nil"/>
                    <w:tr2bl w:val="nil"/>
                  </w:tcBorders>
                  <w:noWrap/>
                  <w:vAlign w:val="center"/>
                </w:tcPr>
                <w:p w14:paraId="4291B8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6C9679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离心机DA007</w:t>
                  </w:r>
                </w:p>
              </w:tc>
              <w:tc>
                <w:tcPr>
                  <w:tcW w:w="219" w:type="pct"/>
                  <w:tcBorders>
                    <w:tl2br w:val="nil"/>
                    <w:tr2bl w:val="nil"/>
                  </w:tcBorders>
                  <w:noWrap/>
                  <w:vAlign w:val="center"/>
                </w:tcPr>
                <w:p w14:paraId="3B7038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32BC8C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778F9D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0A37A6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22.21</w:t>
                  </w:r>
                </w:p>
              </w:tc>
              <w:tc>
                <w:tcPr>
                  <w:tcW w:w="765" w:type="dxa"/>
                  <w:tcBorders>
                    <w:tl2br w:val="nil"/>
                    <w:tr2bl w:val="nil"/>
                  </w:tcBorders>
                  <w:noWrap/>
                  <w:vAlign w:val="center"/>
                </w:tcPr>
                <w:p w14:paraId="7B1F25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1.25</w:t>
                  </w:r>
                </w:p>
              </w:tc>
              <w:tc>
                <w:tcPr>
                  <w:tcW w:w="705" w:type="dxa"/>
                  <w:tcBorders>
                    <w:tl2br w:val="nil"/>
                    <w:tr2bl w:val="nil"/>
                  </w:tcBorders>
                  <w:noWrap/>
                  <w:vAlign w:val="center"/>
                </w:tcPr>
                <w:p w14:paraId="680626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1606D7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132.28</w:t>
                  </w:r>
                </w:p>
              </w:tc>
              <w:tc>
                <w:tcPr>
                  <w:tcW w:w="1020" w:type="dxa"/>
                  <w:tcBorders>
                    <w:tl2br w:val="nil"/>
                    <w:tr2bl w:val="nil"/>
                  </w:tcBorders>
                  <w:noWrap/>
                  <w:vAlign w:val="center"/>
                </w:tcPr>
                <w:p w14:paraId="338ED1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1A3406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72BDA9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2CFD3F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7B993B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r w14:paraId="0595C25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83" w:type="pct"/>
                  <w:tcBorders>
                    <w:tl2br w:val="nil"/>
                    <w:tr2bl w:val="nil"/>
                  </w:tcBorders>
                  <w:noWrap/>
                  <w:vAlign w:val="center"/>
                </w:tcPr>
                <w:p w14:paraId="5ADA12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72</w:t>
                  </w:r>
                </w:p>
              </w:tc>
              <w:tc>
                <w:tcPr>
                  <w:tcW w:w="338" w:type="pct"/>
                  <w:tcBorders>
                    <w:tl2br w:val="nil"/>
                    <w:tr2bl w:val="nil"/>
                  </w:tcBorders>
                  <w:noWrap/>
                  <w:vAlign w:val="center"/>
                </w:tcPr>
                <w:p w14:paraId="63A32E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C10车间</w:t>
                  </w:r>
                </w:p>
              </w:tc>
              <w:tc>
                <w:tcPr>
                  <w:tcW w:w="545" w:type="pct"/>
                  <w:tcBorders>
                    <w:tl2br w:val="nil"/>
                    <w:tr2bl w:val="nil"/>
                  </w:tcBorders>
                  <w:noWrap/>
                  <w:vAlign w:val="center"/>
                </w:tcPr>
                <w:p w14:paraId="53CA56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离心机DA007</w:t>
                  </w:r>
                </w:p>
              </w:tc>
              <w:tc>
                <w:tcPr>
                  <w:tcW w:w="219" w:type="pct"/>
                  <w:tcBorders>
                    <w:tl2br w:val="nil"/>
                    <w:tr2bl w:val="nil"/>
                  </w:tcBorders>
                  <w:noWrap/>
                  <w:vAlign w:val="center"/>
                </w:tcPr>
                <w:p w14:paraId="7F4C4A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w:t>
                  </w:r>
                </w:p>
              </w:tc>
              <w:tc>
                <w:tcPr>
                  <w:tcW w:w="1230" w:type="dxa"/>
                  <w:tcBorders>
                    <w:tl2br w:val="nil"/>
                    <w:tr2bl w:val="nil"/>
                  </w:tcBorders>
                  <w:noWrap/>
                  <w:vAlign w:val="center"/>
                </w:tcPr>
                <w:p w14:paraId="68E2A3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80/1</w:t>
                  </w:r>
                </w:p>
              </w:tc>
              <w:tc>
                <w:tcPr>
                  <w:tcW w:w="432" w:type="pct"/>
                  <w:vMerge w:val="continue"/>
                  <w:tcBorders>
                    <w:tl2br w:val="nil"/>
                    <w:tr2bl w:val="nil"/>
                  </w:tcBorders>
                  <w:noWrap w:val="0"/>
                  <w:vAlign w:val="center"/>
                </w:tcPr>
                <w:p w14:paraId="2D9AA5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p>
              </w:tc>
              <w:tc>
                <w:tcPr>
                  <w:tcW w:w="810" w:type="dxa"/>
                  <w:tcBorders>
                    <w:tl2br w:val="nil"/>
                    <w:tr2bl w:val="nil"/>
                  </w:tcBorders>
                  <w:noWrap/>
                  <w:vAlign w:val="center"/>
                </w:tcPr>
                <w:p w14:paraId="351281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22.21</w:t>
                  </w:r>
                </w:p>
              </w:tc>
              <w:tc>
                <w:tcPr>
                  <w:tcW w:w="765" w:type="dxa"/>
                  <w:tcBorders>
                    <w:tl2br w:val="nil"/>
                    <w:tr2bl w:val="nil"/>
                  </w:tcBorders>
                  <w:noWrap/>
                  <w:vAlign w:val="center"/>
                </w:tcPr>
                <w:p w14:paraId="253B3C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1.25</w:t>
                  </w:r>
                </w:p>
              </w:tc>
              <w:tc>
                <w:tcPr>
                  <w:tcW w:w="705" w:type="dxa"/>
                  <w:tcBorders>
                    <w:tl2br w:val="nil"/>
                    <w:tr2bl w:val="nil"/>
                  </w:tcBorders>
                  <w:noWrap/>
                  <w:vAlign w:val="center"/>
                </w:tcPr>
                <w:p w14:paraId="4DD8AA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c>
                <w:tcPr>
                  <w:tcW w:w="945" w:type="dxa"/>
                  <w:tcBorders>
                    <w:tl2br w:val="nil"/>
                    <w:tr2bl w:val="nil"/>
                  </w:tcBorders>
                  <w:noWrap/>
                  <w:vAlign w:val="center"/>
                </w:tcPr>
                <w:p w14:paraId="63673F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63.29</w:t>
                  </w:r>
                </w:p>
              </w:tc>
              <w:tc>
                <w:tcPr>
                  <w:tcW w:w="1020" w:type="dxa"/>
                  <w:tcBorders>
                    <w:tl2br w:val="nil"/>
                    <w:tr2bl w:val="nil"/>
                  </w:tcBorders>
                  <w:noWrap/>
                  <w:vAlign w:val="center"/>
                </w:tcPr>
                <w:p w14:paraId="50803A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61.96</w:t>
                  </w:r>
                </w:p>
              </w:tc>
              <w:tc>
                <w:tcPr>
                  <w:tcW w:w="735" w:type="dxa"/>
                  <w:tcBorders>
                    <w:tl2br w:val="nil"/>
                    <w:tr2bl w:val="nil"/>
                  </w:tcBorders>
                  <w:noWrap/>
                  <w:vAlign w:val="center"/>
                </w:tcPr>
                <w:p w14:paraId="149AAE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昼间</w:t>
                  </w:r>
                </w:p>
              </w:tc>
              <w:tc>
                <w:tcPr>
                  <w:tcW w:w="960" w:type="dxa"/>
                  <w:tcBorders>
                    <w:tl2br w:val="nil"/>
                    <w:tr2bl w:val="nil"/>
                  </w:tcBorders>
                  <w:noWrap/>
                  <w:vAlign w:val="center"/>
                </w:tcPr>
                <w:p w14:paraId="6CF944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25</w:t>
                  </w:r>
                </w:p>
              </w:tc>
              <w:tc>
                <w:tcPr>
                  <w:tcW w:w="795" w:type="dxa"/>
                  <w:tcBorders>
                    <w:tl2br w:val="nil"/>
                    <w:tr2bl w:val="nil"/>
                  </w:tcBorders>
                  <w:noWrap/>
                  <w:vAlign w:val="center"/>
                </w:tcPr>
                <w:p w14:paraId="5E068E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36.96</w:t>
                  </w:r>
                </w:p>
              </w:tc>
              <w:tc>
                <w:tcPr>
                  <w:tcW w:w="799" w:type="dxa"/>
                  <w:tcBorders>
                    <w:tl2br w:val="nil"/>
                    <w:tr2bl w:val="nil"/>
                  </w:tcBorders>
                  <w:noWrap/>
                  <w:vAlign w:val="center"/>
                </w:tcPr>
                <w:p w14:paraId="1EFB20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18"/>
                      <w:szCs w:val="18"/>
                      <w:u w:val="none"/>
                      <w:lang w:val="en-US" w:eastAsia="zh-CN" w:bidi="ar"/>
                      <w14:textFill>
                        <w14:solidFill>
                          <w14:schemeClr w14:val="tx1"/>
                        </w14:solidFill>
                      </w14:textFill>
                    </w:rPr>
                    <w:t>1</w:t>
                  </w:r>
                </w:p>
              </w:tc>
            </w:tr>
          </w:tbl>
          <w:p w14:paraId="5BE2DD93">
            <w:pPr>
              <w:pStyle w:val="122"/>
              <w:numPr>
                <w:ilvl w:val="0"/>
                <w:numId w:val="0"/>
              </w:numPr>
              <w:shd w:val="clear" w:color="auto" w:fill="auto"/>
              <w:spacing w:line="240" w:lineRule="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表4-</w:t>
            </w:r>
            <w:r>
              <w:rPr>
                <w:rFonts w:hint="eastAsia"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 xml:space="preserve"> 工业企业噪声源强调查清单（室</w:t>
            </w:r>
            <w:r>
              <w:rPr>
                <w:rFonts w:hint="eastAsia" w:cs="Times New Roman"/>
                <w:color w:val="000000" w:themeColor="text1"/>
                <w:highlight w:val="none"/>
                <w:lang w:val="en-US" w:eastAsia="zh-CN"/>
                <w14:textFill>
                  <w14:solidFill>
                    <w14:schemeClr w14:val="tx1"/>
                  </w14:solidFill>
                </w14:textFill>
              </w:rPr>
              <w:t>外</w:t>
            </w:r>
            <w:r>
              <w:rPr>
                <w:rFonts w:hint="default" w:ascii="Times New Roman" w:hAnsi="Times New Roman" w:cs="Times New Roman"/>
                <w:color w:val="000000" w:themeColor="text1"/>
                <w:highlight w:val="none"/>
                <w14:textFill>
                  <w14:solidFill>
                    <w14:schemeClr w14:val="tx1"/>
                  </w14:solidFill>
                </w14:textFill>
              </w:rPr>
              <w:t>声源）</w:t>
            </w:r>
          </w:p>
          <w:tbl>
            <w:tblPr>
              <w:tblStyle w:val="32"/>
              <w:tblW w:w="499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876"/>
              <w:gridCol w:w="1498"/>
              <w:gridCol w:w="887"/>
              <w:gridCol w:w="1109"/>
              <w:gridCol w:w="1119"/>
              <w:gridCol w:w="908"/>
              <w:gridCol w:w="2038"/>
              <w:gridCol w:w="3410"/>
              <w:gridCol w:w="1501"/>
            </w:tblGrid>
            <w:tr w14:paraId="583BF61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8" w:type="pct"/>
                  <w:vMerge w:val="restart"/>
                  <w:tcBorders>
                    <w:tl2br w:val="nil"/>
                    <w:tr2bl w:val="nil"/>
                  </w:tcBorders>
                  <w:noWrap/>
                  <w:vAlign w:val="center"/>
                </w:tcPr>
                <w:p w14:paraId="6C0D3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序号</w:t>
                  </w:r>
                </w:p>
              </w:tc>
              <w:tc>
                <w:tcPr>
                  <w:tcW w:w="561" w:type="pct"/>
                  <w:vMerge w:val="restart"/>
                  <w:tcBorders>
                    <w:tl2br w:val="nil"/>
                    <w:tr2bl w:val="nil"/>
                  </w:tcBorders>
                  <w:noWrap/>
                  <w:vAlign w:val="center"/>
                </w:tcPr>
                <w:p w14:paraId="1D7149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声源名称</w:t>
                  </w:r>
                </w:p>
              </w:tc>
              <w:tc>
                <w:tcPr>
                  <w:tcW w:w="332" w:type="pct"/>
                  <w:vMerge w:val="restart"/>
                  <w:tcBorders>
                    <w:tl2br w:val="nil"/>
                    <w:tr2bl w:val="nil"/>
                  </w:tcBorders>
                  <w:noWrap/>
                  <w:vAlign w:val="center"/>
                </w:tcPr>
                <w:p w14:paraId="388B7F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型号</w:t>
                  </w:r>
                </w:p>
              </w:tc>
              <w:tc>
                <w:tcPr>
                  <w:tcW w:w="1174" w:type="pct"/>
                  <w:gridSpan w:val="3"/>
                  <w:tcBorders>
                    <w:tl2br w:val="nil"/>
                    <w:tr2bl w:val="nil"/>
                  </w:tcBorders>
                  <w:noWrap/>
                  <w:vAlign w:val="center"/>
                </w:tcPr>
                <w:p w14:paraId="0C2461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空间相对位置/m</w:t>
                  </w:r>
                </w:p>
              </w:tc>
              <w:tc>
                <w:tcPr>
                  <w:tcW w:w="763" w:type="pct"/>
                  <w:vMerge w:val="restart"/>
                  <w:tcBorders>
                    <w:tl2br w:val="nil"/>
                    <w:tr2bl w:val="nil"/>
                  </w:tcBorders>
                  <w:noWrap w:val="0"/>
                  <w:vAlign w:val="center"/>
                </w:tcPr>
                <w:p w14:paraId="2E741C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(声压级/距声源距离)(dB(A)/m)</w:t>
                  </w:r>
                </w:p>
              </w:tc>
              <w:tc>
                <w:tcPr>
                  <w:tcW w:w="1277" w:type="pct"/>
                  <w:vMerge w:val="restart"/>
                  <w:tcBorders>
                    <w:tl2br w:val="nil"/>
                    <w:tr2bl w:val="nil"/>
                  </w:tcBorders>
                  <w:noWrap/>
                  <w:vAlign w:val="center"/>
                </w:tcPr>
                <w:p w14:paraId="3D850B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声源控制措施</w:t>
                  </w:r>
                </w:p>
              </w:tc>
              <w:tc>
                <w:tcPr>
                  <w:tcW w:w="562" w:type="pct"/>
                  <w:vMerge w:val="restart"/>
                  <w:tcBorders>
                    <w:tl2br w:val="nil"/>
                    <w:tr2bl w:val="nil"/>
                  </w:tcBorders>
                  <w:noWrap/>
                  <w:vAlign w:val="center"/>
                </w:tcPr>
                <w:p w14:paraId="7DBD3B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运行时段</w:t>
                  </w:r>
                </w:p>
              </w:tc>
            </w:tr>
            <w:tr w14:paraId="7153A4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8" w:type="pct"/>
                  <w:vMerge w:val="continue"/>
                  <w:tcBorders>
                    <w:tl2br w:val="nil"/>
                    <w:tr2bl w:val="nil"/>
                  </w:tcBorders>
                  <w:noWrap/>
                  <w:vAlign w:val="center"/>
                </w:tcPr>
                <w:p w14:paraId="29FE5E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561" w:type="pct"/>
                  <w:vMerge w:val="continue"/>
                  <w:tcBorders>
                    <w:tl2br w:val="nil"/>
                    <w:tr2bl w:val="nil"/>
                  </w:tcBorders>
                  <w:noWrap/>
                  <w:vAlign w:val="center"/>
                </w:tcPr>
                <w:p w14:paraId="3A9E7F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332" w:type="pct"/>
                  <w:vMerge w:val="continue"/>
                  <w:tcBorders>
                    <w:tl2br w:val="nil"/>
                    <w:tr2bl w:val="nil"/>
                  </w:tcBorders>
                  <w:noWrap/>
                  <w:vAlign w:val="center"/>
                </w:tcPr>
                <w:p w14:paraId="76AC62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415" w:type="pct"/>
                  <w:tcBorders>
                    <w:tl2br w:val="nil"/>
                    <w:tr2bl w:val="nil"/>
                  </w:tcBorders>
                  <w:noWrap/>
                  <w:vAlign w:val="center"/>
                </w:tcPr>
                <w:p w14:paraId="737DE9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X</w:t>
                  </w:r>
                </w:p>
              </w:tc>
              <w:tc>
                <w:tcPr>
                  <w:tcW w:w="419" w:type="pct"/>
                  <w:tcBorders>
                    <w:tl2br w:val="nil"/>
                    <w:tr2bl w:val="nil"/>
                  </w:tcBorders>
                  <w:noWrap/>
                  <w:vAlign w:val="center"/>
                </w:tcPr>
                <w:p w14:paraId="7B5B01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Y</w:t>
                  </w:r>
                </w:p>
              </w:tc>
              <w:tc>
                <w:tcPr>
                  <w:tcW w:w="340" w:type="pct"/>
                  <w:tcBorders>
                    <w:tl2br w:val="nil"/>
                    <w:tr2bl w:val="nil"/>
                  </w:tcBorders>
                  <w:noWrap/>
                  <w:vAlign w:val="center"/>
                </w:tcPr>
                <w:p w14:paraId="3559B6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Z</w:t>
                  </w:r>
                </w:p>
              </w:tc>
              <w:tc>
                <w:tcPr>
                  <w:tcW w:w="763" w:type="pct"/>
                  <w:vMerge w:val="continue"/>
                  <w:tcBorders>
                    <w:tl2br w:val="nil"/>
                    <w:tr2bl w:val="nil"/>
                  </w:tcBorders>
                  <w:noWrap w:val="0"/>
                  <w:vAlign w:val="center"/>
                </w:tcPr>
                <w:p w14:paraId="318C78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1277" w:type="pct"/>
                  <w:vMerge w:val="continue"/>
                  <w:tcBorders>
                    <w:tl2br w:val="nil"/>
                    <w:tr2bl w:val="nil"/>
                  </w:tcBorders>
                  <w:noWrap/>
                  <w:vAlign w:val="center"/>
                </w:tcPr>
                <w:p w14:paraId="4135FF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c>
                <w:tcPr>
                  <w:tcW w:w="562" w:type="pct"/>
                  <w:vMerge w:val="continue"/>
                  <w:tcBorders>
                    <w:tl2br w:val="nil"/>
                    <w:tr2bl w:val="nil"/>
                  </w:tcBorders>
                  <w:noWrap/>
                  <w:vAlign w:val="center"/>
                </w:tcPr>
                <w:p w14:paraId="71365F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p>
              </w:tc>
            </w:tr>
            <w:tr w14:paraId="5EB7631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28" w:type="pct"/>
                  <w:tcBorders>
                    <w:tl2br w:val="nil"/>
                    <w:tr2bl w:val="nil"/>
                  </w:tcBorders>
                  <w:noWrap/>
                  <w:vAlign w:val="center"/>
                </w:tcPr>
                <w:p w14:paraId="16194B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w:t>
                  </w:r>
                </w:p>
              </w:tc>
              <w:tc>
                <w:tcPr>
                  <w:tcW w:w="561" w:type="pct"/>
                  <w:tcBorders>
                    <w:tl2br w:val="nil"/>
                    <w:tr2bl w:val="nil"/>
                  </w:tcBorders>
                  <w:noWrap/>
                  <w:vAlign w:val="center"/>
                </w:tcPr>
                <w:p w14:paraId="66163D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离心机DA006</w:t>
                  </w:r>
                </w:p>
              </w:tc>
              <w:tc>
                <w:tcPr>
                  <w:tcW w:w="332" w:type="pct"/>
                  <w:tcBorders>
                    <w:tl2br w:val="nil"/>
                    <w:tr2bl w:val="nil"/>
                  </w:tcBorders>
                  <w:noWrap/>
                  <w:vAlign w:val="center"/>
                </w:tcPr>
                <w:p w14:paraId="18FD0D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w:t>
                  </w:r>
                </w:p>
              </w:tc>
              <w:tc>
                <w:tcPr>
                  <w:tcW w:w="415" w:type="pct"/>
                  <w:tcBorders>
                    <w:tl2br w:val="nil"/>
                    <w:tr2bl w:val="nil"/>
                  </w:tcBorders>
                  <w:noWrap/>
                  <w:vAlign w:val="center"/>
                </w:tcPr>
                <w:p w14:paraId="37CF42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-0.98</w:t>
                  </w:r>
                </w:p>
              </w:tc>
              <w:tc>
                <w:tcPr>
                  <w:tcW w:w="419" w:type="pct"/>
                  <w:tcBorders>
                    <w:tl2br w:val="nil"/>
                    <w:tr2bl w:val="nil"/>
                  </w:tcBorders>
                  <w:noWrap/>
                  <w:vAlign w:val="center"/>
                </w:tcPr>
                <w:p w14:paraId="3AEFED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20.6</w:t>
                  </w:r>
                </w:p>
              </w:tc>
              <w:tc>
                <w:tcPr>
                  <w:tcW w:w="340" w:type="pct"/>
                  <w:tcBorders>
                    <w:tl2br w:val="nil"/>
                    <w:tr2bl w:val="nil"/>
                  </w:tcBorders>
                  <w:noWrap/>
                  <w:vAlign w:val="center"/>
                </w:tcPr>
                <w:p w14:paraId="0CBF29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w:t>
                  </w:r>
                </w:p>
              </w:tc>
              <w:tc>
                <w:tcPr>
                  <w:tcW w:w="763" w:type="pct"/>
                  <w:tcBorders>
                    <w:tl2br w:val="nil"/>
                    <w:tr2bl w:val="nil"/>
                  </w:tcBorders>
                  <w:noWrap/>
                  <w:vAlign w:val="center"/>
                </w:tcPr>
                <w:p w14:paraId="6C46B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80/1</w:t>
                  </w:r>
                </w:p>
              </w:tc>
              <w:tc>
                <w:tcPr>
                  <w:tcW w:w="1277" w:type="pct"/>
                  <w:tcBorders>
                    <w:tl2br w:val="nil"/>
                    <w:tr2bl w:val="nil"/>
                  </w:tcBorders>
                  <w:noWrap w:val="0"/>
                  <w:vAlign w:val="center"/>
                </w:tcPr>
                <w:p w14:paraId="62EA6C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选用低噪设备</w:t>
                  </w:r>
                  <w:r>
                    <w:rPr>
                      <w:rFonts w:hint="eastAsia" w:ascii="Times New Roman" w:hAnsi="Times New Roman" w:cs="Times New Roman"/>
                      <w:color w:val="000000" w:themeColor="text1"/>
                      <w:sz w:val="21"/>
                      <w:szCs w:val="21"/>
                      <w:highlight w:val="none"/>
                      <w:lang w:eastAsia="zh-CN"/>
                      <w14:textFill>
                        <w14:solidFill>
                          <w14:schemeClr w14:val="tx1"/>
                        </w14:solidFill>
                      </w14:textFill>
                    </w:rPr>
                    <w:t>；</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厂房外引风机采取隔声罩隔声、减震措施</w:t>
                  </w:r>
                  <w:r>
                    <w:rPr>
                      <w:rFonts w:hint="default" w:ascii="Times New Roman" w:hAnsi="Times New Roman" w:cs="Times New Roman"/>
                      <w:color w:val="000000" w:themeColor="text1"/>
                      <w:sz w:val="21"/>
                      <w:szCs w:val="21"/>
                      <w:highlight w:val="none"/>
                      <w:lang w:eastAsia="zh-CN"/>
                      <w14:textFill>
                        <w14:solidFill>
                          <w14:schemeClr w14:val="tx1"/>
                        </w14:solidFill>
                      </w14:textFill>
                    </w:rPr>
                    <w:t>。</w:t>
                  </w:r>
                </w:p>
              </w:tc>
              <w:tc>
                <w:tcPr>
                  <w:tcW w:w="562" w:type="pct"/>
                  <w:tcBorders>
                    <w:tl2br w:val="nil"/>
                    <w:tr2bl w:val="nil"/>
                  </w:tcBorders>
                  <w:noWrap/>
                  <w:vAlign w:val="center"/>
                </w:tcPr>
                <w:p w14:paraId="30D01F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昼间</w:t>
                  </w:r>
                </w:p>
              </w:tc>
            </w:tr>
          </w:tbl>
          <w:p w14:paraId="1B3FA22A">
            <w:pPr>
              <w:shd w:val="clear" w:color="auto" w:fill="auto"/>
              <w:ind w:firstLine="482"/>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b/>
                <w:bCs/>
                <w:color w:val="000000" w:themeColor="text1"/>
                <w:szCs w:val="21"/>
                <w:highlight w:val="none"/>
                <w:lang w:val="zh-CN" w:bidi="zh-CN"/>
                <w14:textFill>
                  <w14:solidFill>
                    <w14:schemeClr w14:val="tx1"/>
                  </w14:solidFill>
                </w14:textFill>
              </w:rPr>
              <w:t>2、厂界噪声达标情况及环境影响分析</w:t>
            </w:r>
          </w:p>
          <w:p w14:paraId="097E496D">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预测模式采用《环境影响评价技术导则</w:t>
            </w:r>
            <w:r>
              <w:rPr>
                <w:rFonts w:hint="default" w:ascii="Times New Roman" w:hAnsi="Times New Roman" w:cs="Times New Roman"/>
                <w:color w:val="000000" w:themeColor="text1"/>
                <w:szCs w:val="21"/>
                <w:highlight w:val="none"/>
                <w:lang w:bidi="zh-CN"/>
                <w14:textFill>
                  <w14:solidFill>
                    <w14:schemeClr w14:val="tx1"/>
                  </w14:solidFill>
                </w14:textFill>
              </w:rPr>
              <w:t xml:space="preserve"> </w:t>
            </w:r>
            <w:r>
              <w:rPr>
                <w:rFonts w:hint="default" w:ascii="Times New Roman" w:hAnsi="Times New Roman" w:cs="Times New Roman"/>
                <w:color w:val="000000" w:themeColor="text1"/>
                <w:szCs w:val="21"/>
                <w:highlight w:val="none"/>
                <w:lang w:val="zh-CN" w:bidi="zh-CN"/>
                <w14:textFill>
                  <w14:solidFill>
                    <w14:schemeClr w14:val="tx1"/>
                  </w14:solidFill>
                </w14:textFill>
              </w:rPr>
              <w:t>声环境》（HJ2.4-2021）中推荐的模型。噪声在传播过程中受到多种因素的干扰，使其产生衰减，根据建设项目噪声源和环境特征，预测过程中考虑了厂房等建筑物的屏障作用、空气吸收、地面效应等。预测模式采用点声源处于自由空间的几何发散模式。</w:t>
            </w:r>
          </w:p>
          <w:p w14:paraId="68200757">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（1）室内外声源计算</w:t>
            </w:r>
          </w:p>
          <w:p w14:paraId="56BCA6E6">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①室内某一声源在靠近围护结构处的声压级</w:t>
            </w:r>
          </w:p>
          <w:p w14:paraId="5B70948E">
            <w:pPr>
              <w:pStyle w:val="128"/>
              <w:widowControl w:val="0"/>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648460" cy="412115"/>
                  <wp:effectExtent l="0" t="0" r="8890" b="6985"/>
                  <wp:docPr id="3"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88"/>
                          <pic:cNvPicPr>
                            <a:picLocks noChangeAspect="1"/>
                          </pic:cNvPicPr>
                        </pic:nvPicPr>
                        <pic:blipFill>
                          <a:blip r:embed="rId25"/>
                          <a:stretch>
                            <a:fillRect/>
                          </a:stretch>
                        </pic:blipFill>
                        <pic:spPr>
                          <a:xfrm>
                            <a:off x="0" y="0"/>
                            <a:ext cx="1648460" cy="412115"/>
                          </a:xfrm>
                          <a:prstGeom prst="rect">
                            <a:avLst/>
                          </a:prstGeom>
                          <a:noFill/>
                          <a:ln>
                            <a:noFill/>
                          </a:ln>
                        </pic:spPr>
                      </pic:pic>
                    </a:graphicData>
                  </a:graphic>
                </wp:inline>
              </w:drawing>
            </w:r>
          </w:p>
          <w:p w14:paraId="2094EC45">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5571F0DA">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p1</w:t>
            </w:r>
            <w:r>
              <w:rPr>
                <w:rFonts w:hint="default" w:ascii="Times New Roman" w:hAnsi="Times New Roman" w:cs="Times New Roman"/>
                <w:color w:val="000000" w:themeColor="text1"/>
                <w:szCs w:val="21"/>
                <w:highlight w:val="none"/>
                <w:lang w:val="zh-CN" w:bidi="zh-CN"/>
                <w14:textFill>
                  <w14:solidFill>
                    <w14:schemeClr w14:val="tx1"/>
                  </w14:solidFill>
                </w14:textFill>
              </w:rPr>
              <w:t>——靠近开口处（或窗户）室内某倍频带的声压级或A声级，dB；</w:t>
            </w:r>
          </w:p>
          <w:p w14:paraId="5E5AC8CC">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w</w:t>
            </w:r>
            <w:r>
              <w:rPr>
                <w:rFonts w:hint="default" w:ascii="Times New Roman" w:hAnsi="Times New Roman" w:cs="Times New Roman"/>
                <w:color w:val="000000" w:themeColor="text1"/>
                <w:szCs w:val="21"/>
                <w:highlight w:val="none"/>
                <w:lang w:val="zh-CN" w:bidi="zh-CN"/>
                <w14:textFill>
                  <w14:solidFill>
                    <w14:schemeClr w14:val="tx1"/>
                  </w14:solidFill>
                </w14:textFill>
              </w:rPr>
              <w:t>——点声源声功率级（A计权或倍频带），dB；</w:t>
            </w:r>
          </w:p>
          <w:p w14:paraId="15EFE54A">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Q——指向性因数；通常对无指向性声源，当声源放在房间中心时，Q=1；当放在一面墙的中心时，Q=2；当放在两面墙夹角处时，Q=4；当放在三面墙夹角处时，Q=8；</w:t>
            </w:r>
          </w:p>
          <w:p w14:paraId="1E7EF50A">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R——房间常数；</w:t>
            </w:r>
            <w:r>
              <w:rPr>
                <w:rFonts w:hint="default" w:ascii="Times New Roman" w:hAnsi="Times New Roman" w:cs="Times New Roman"/>
                <w:color w:val="000000" w:themeColor="text1"/>
                <w:szCs w:val="21"/>
                <w:highlight w:val="none"/>
                <w:lang w:val="zh-CN" w:bidi="zh-CN"/>
                <w14:textFill>
                  <w14:solidFill>
                    <w14:schemeClr w14:val="tx1"/>
                  </w14:solidFill>
                </w14:textFill>
              </w:rPr>
              <w:drawing>
                <wp:inline distT="0" distB="0" distL="114300" distR="114300">
                  <wp:extent cx="789305" cy="182245"/>
                  <wp:effectExtent l="0" t="0" r="10795" b="8255"/>
                  <wp:docPr id="4"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89"/>
                          <pic:cNvPicPr>
                            <a:picLocks noChangeAspect="1"/>
                          </pic:cNvPicPr>
                        </pic:nvPicPr>
                        <pic:blipFill>
                          <a:blip r:embed="rId26"/>
                          <a:stretch>
                            <a:fillRect/>
                          </a:stretch>
                        </pic:blipFill>
                        <pic:spPr>
                          <a:xfrm>
                            <a:off x="0" y="0"/>
                            <a:ext cx="789305" cy="182245"/>
                          </a:xfrm>
                          <a:prstGeom prst="rect">
                            <a:avLst/>
                          </a:prstGeom>
                          <a:noFill/>
                          <a:ln>
                            <a:noFill/>
                          </a:ln>
                        </pic:spPr>
                      </pic:pic>
                    </a:graphicData>
                  </a:graphic>
                </wp:inline>
              </w:drawing>
            </w:r>
            <w:r>
              <w:rPr>
                <w:rFonts w:hint="default" w:ascii="Times New Roman" w:hAnsi="Times New Roman" w:cs="Times New Roman"/>
                <w:color w:val="000000" w:themeColor="text1"/>
                <w:szCs w:val="21"/>
                <w:highlight w:val="none"/>
                <w:lang w:val="zh-CN" w:bidi="zh-CN"/>
                <w14:textFill>
                  <w14:solidFill>
                    <w14:schemeClr w14:val="tx1"/>
                  </w14:solidFill>
                </w14:textFill>
              </w:rPr>
              <w:t>，S为房间内表面面积，m</w:t>
            </w:r>
            <w:r>
              <w:rPr>
                <w:rFonts w:hint="default" w:ascii="Times New Roman" w:hAnsi="Times New Roman" w:cs="Times New Roman"/>
                <w:color w:val="000000" w:themeColor="text1"/>
                <w:szCs w:val="21"/>
                <w:highlight w:val="none"/>
                <w:vertAlign w:val="superscript"/>
                <w:lang w:val="zh-CN" w:bidi="zh-CN"/>
                <w14:textFill>
                  <w14:solidFill>
                    <w14:schemeClr w14:val="tx1"/>
                  </w14:solidFill>
                </w14:textFill>
              </w:rPr>
              <w:t>2</w:t>
            </w:r>
            <w:r>
              <w:rPr>
                <w:rFonts w:hint="default" w:ascii="Times New Roman" w:hAnsi="Times New Roman" w:cs="Times New Roman"/>
                <w:color w:val="000000" w:themeColor="text1"/>
                <w:szCs w:val="21"/>
                <w:highlight w:val="none"/>
                <w:lang w:val="zh-CN" w:bidi="zh-CN"/>
                <w14:textFill>
                  <w14:solidFill>
                    <w14:schemeClr w14:val="tx1"/>
                  </w14:solidFill>
                </w14:textFill>
              </w:rPr>
              <w:t>；α为平均吸声系数；</w:t>
            </w:r>
          </w:p>
          <w:p w14:paraId="3E669AD7">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r ——声源到靠近围护结构某点处的距离，m。</w:t>
            </w:r>
          </w:p>
          <w:p w14:paraId="7F9AC543">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②所有室内声源在靠近围护结构处产生的总声压级</w:t>
            </w:r>
          </w:p>
          <w:p w14:paraId="7E126B97">
            <w:pPr>
              <w:pStyle w:val="128"/>
              <w:widowControl w:val="0"/>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950085" cy="513080"/>
                  <wp:effectExtent l="0" t="0" r="12065" b="1270"/>
                  <wp:docPr id="5"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90"/>
                          <pic:cNvPicPr>
                            <a:picLocks noChangeAspect="1"/>
                          </pic:cNvPicPr>
                        </pic:nvPicPr>
                        <pic:blipFill>
                          <a:blip r:embed="rId27"/>
                          <a:stretch>
                            <a:fillRect/>
                          </a:stretch>
                        </pic:blipFill>
                        <pic:spPr>
                          <a:xfrm>
                            <a:off x="0" y="0"/>
                            <a:ext cx="1950085" cy="513080"/>
                          </a:xfrm>
                          <a:prstGeom prst="rect">
                            <a:avLst/>
                          </a:prstGeom>
                          <a:noFill/>
                          <a:ln>
                            <a:noFill/>
                          </a:ln>
                        </pic:spPr>
                      </pic:pic>
                    </a:graphicData>
                  </a:graphic>
                </wp:inline>
              </w:drawing>
            </w:r>
          </w:p>
          <w:p w14:paraId="13123520">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53CACCE6">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p1i</w:t>
            </w:r>
            <w:r>
              <w:rPr>
                <w:rFonts w:hint="default" w:ascii="Times New Roman" w:hAnsi="Times New Roman" w:cs="Times New Roman"/>
                <w:color w:val="000000" w:themeColor="text1"/>
                <w:szCs w:val="21"/>
                <w:highlight w:val="none"/>
                <w:lang w:val="zh-CN" w:bidi="zh-CN"/>
                <w14:textFill>
                  <w14:solidFill>
                    <w14:schemeClr w14:val="tx1"/>
                  </w14:solidFill>
                </w14:textFill>
              </w:rPr>
              <w:t>（T）——靠近围护结构处室内N个声源i倍频带的叠加声压级，dB；</w:t>
            </w:r>
          </w:p>
          <w:p w14:paraId="7EA0B245">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p1ij</w:t>
            </w:r>
            <w:r>
              <w:rPr>
                <w:rFonts w:hint="default" w:ascii="Times New Roman" w:hAnsi="Times New Roman" w:cs="Times New Roman"/>
                <w:color w:val="000000" w:themeColor="text1"/>
                <w:szCs w:val="21"/>
                <w:highlight w:val="none"/>
                <w:lang w:val="zh-CN" w:bidi="zh-CN"/>
                <w14:textFill>
                  <w14:solidFill>
                    <w14:schemeClr w14:val="tx1"/>
                  </w14:solidFill>
                </w14:textFill>
              </w:rPr>
              <w:t>——室内j声源i倍频带的声压级，dB；</w:t>
            </w:r>
          </w:p>
          <w:p w14:paraId="6AB0FD4B">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N——室内声源总数。</w:t>
            </w:r>
          </w:p>
          <w:p w14:paraId="06FFD961">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③在室外靠近围护结构处产生的声压级</w:t>
            </w:r>
          </w:p>
          <w:p w14:paraId="299F9377">
            <w:pPr>
              <w:pStyle w:val="128"/>
              <w:widowControl w:val="0"/>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824355" cy="287655"/>
                  <wp:effectExtent l="0" t="0" r="4445" b="17145"/>
                  <wp:docPr id="6"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91"/>
                          <pic:cNvPicPr>
                            <a:picLocks noChangeAspect="1"/>
                          </pic:cNvPicPr>
                        </pic:nvPicPr>
                        <pic:blipFill>
                          <a:blip r:embed="rId28"/>
                          <a:stretch>
                            <a:fillRect/>
                          </a:stretch>
                        </pic:blipFill>
                        <pic:spPr>
                          <a:xfrm>
                            <a:off x="0" y="0"/>
                            <a:ext cx="1824355" cy="287655"/>
                          </a:xfrm>
                          <a:prstGeom prst="rect">
                            <a:avLst/>
                          </a:prstGeom>
                          <a:noFill/>
                          <a:ln>
                            <a:noFill/>
                          </a:ln>
                        </pic:spPr>
                      </pic:pic>
                    </a:graphicData>
                  </a:graphic>
                </wp:inline>
              </w:drawing>
            </w:r>
          </w:p>
          <w:p w14:paraId="7E49D5FF">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3A61ACF6">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 xml:space="preserve">p2i </w:t>
            </w:r>
            <w:r>
              <w:rPr>
                <w:rFonts w:hint="default" w:ascii="Times New Roman" w:hAnsi="Times New Roman" w:cs="Times New Roman"/>
                <w:color w:val="000000" w:themeColor="text1"/>
                <w:szCs w:val="21"/>
                <w:highlight w:val="none"/>
                <w:lang w:val="zh-CN" w:bidi="zh-CN"/>
                <w14:textFill>
                  <w14:solidFill>
                    <w14:schemeClr w14:val="tx1"/>
                  </w14:solidFill>
                </w14:textFill>
              </w:rPr>
              <w:t xml:space="preserve">(T)——靠近围护结构处室外N个声源i倍频带的叠加声压级，dB； </w:t>
            </w:r>
          </w:p>
          <w:p w14:paraId="61FC5244">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 xml:space="preserve">p1i </w:t>
            </w:r>
            <w:r>
              <w:rPr>
                <w:rFonts w:hint="default" w:ascii="Times New Roman" w:hAnsi="Times New Roman" w:cs="Times New Roman"/>
                <w:color w:val="000000" w:themeColor="text1"/>
                <w:szCs w:val="21"/>
                <w:highlight w:val="none"/>
                <w:lang w:val="zh-CN" w:bidi="zh-CN"/>
                <w14:textFill>
                  <w14:solidFill>
                    <w14:schemeClr w14:val="tx1"/>
                  </w14:solidFill>
                </w14:textFill>
              </w:rPr>
              <w:t>(T)——靠近围护结构处室内N个声源i倍频带的叠加声压级，dB</w:t>
            </w:r>
          </w:p>
          <w:p w14:paraId="56D2DFF7">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T</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Li</w:t>
            </w:r>
            <w:r>
              <w:rPr>
                <w:rFonts w:hint="default" w:ascii="Times New Roman" w:hAnsi="Times New Roman" w:cs="Times New Roman"/>
                <w:color w:val="000000" w:themeColor="text1"/>
                <w:szCs w:val="21"/>
                <w:highlight w:val="none"/>
                <w:lang w:val="zh-CN" w:bidi="zh-CN"/>
                <w14:textFill>
                  <w14:solidFill>
                    <w14:schemeClr w14:val="tx1"/>
                  </w14:solidFill>
                </w14:textFill>
              </w:rPr>
              <w:t xml:space="preserve"> ——围护结构i倍频带的隔声量，dB。</w:t>
            </w:r>
          </w:p>
          <w:p w14:paraId="280E894B">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④等效室外声级</w:t>
            </w:r>
          </w:p>
          <w:p w14:paraId="43506F4B">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将室外声源的声压级和透过面积换算成等效的室外声源，计算出中心位置位于透声面积（S）处的等效声源的倍频带声功率级。</w:t>
            </w:r>
          </w:p>
          <w:p w14:paraId="5CE0AC16">
            <w:pPr>
              <w:pStyle w:val="128"/>
              <w:widowControl w:val="0"/>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1617980" cy="248920"/>
                  <wp:effectExtent l="0" t="0" r="1270" b="17780"/>
                  <wp:docPr id="7"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2"/>
                          <pic:cNvPicPr>
                            <a:picLocks noChangeAspect="1"/>
                          </pic:cNvPicPr>
                        </pic:nvPicPr>
                        <pic:blipFill>
                          <a:blip r:embed="rId29"/>
                          <a:stretch>
                            <a:fillRect/>
                          </a:stretch>
                        </pic:blipFill>
                        <pic:spPr>
                          <a:xfrm>
                            <a:off x="0" y="0"/>
                            <a:ext cx="1617980" cy="248920"/>
                          </a:xfrm>
                          <a:prstGeom prst="rect">
                            <a:avLst/>
                          </a:prstGeom>
                          <a:noFill/>
                          <a:ln>
                            <a:noFill/>
                          </a:ln>
                        </pic:spPr>
                      </pic:pic>
                    </a:graphicData>
                  </a:graphic>
                </wp:inline>
              </w:drawing>
            </w:r>
          </w:p>
          <w:p w14:paraId="58A6608F">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41E10623">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w</w:t>
            </w:r>
            <w:r>
              <w:rPr>
                <w:rFonts w:hint="default" w:ascii="Times New Roman" w:hAnsi="Times New Roman" w:cs="Times New Roman"/>
                <w:color w:val="000000" w:themeColor="text1"/>
                <w:szCs w:val="21"/>
                <w:highlight w:val="none"/>
                <w:lang w:val="zh-CN" w:bidi="zh-CN"/>
                <w14:textFill>
                  <w14:solidFill>
                    <w14:schemeClr w14:val="tx1"/>
                  </w14:solidFill>
                </w14:textFill>
              </w:rPr>
              <w:t>——中心位置位于透声面积（S）处的等效声源的倍频带声功率级，dB；</w:t>
            </w:r>
          </w:p>
          <w:p w14:paraId="7AAE65C6">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p2</w:t>
            </w:r>
            <w:r>
              <w:rPr>
                <w:rFonts w:hint="default" w:ascii="Times New Roman" w:hAnsi="Times New Roman" w:cs="Times New Roman"/>
                <w:color w:val="000000" w:themeColor="text1"/>
                <w:szCs w:val="21"/>
                <w:highlight w:val="none"/>
                <w:lang w:val="zh-CN" w:bidi="zh-CN"/>
                <w14:textFill>
                  <w14:solidFill>
                    <w14:schemeClr w14:val="tx1"/>
                  </w14:solidFill>
                </w14:textFill>
              </w:rPr>
              <w:t>(T)——靠近围护结构处室外声源的声压级，dB；</w:t>
            </w:r>
          </w:p>
          <w:p w14:paraId="313D882E">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S——透声面积，m</w:t>
            </w:r>
            <w:r>
              <w:rPr>
                <w:rFonts w:hint="default" w:ascii="Times New Roman" w:hAnsi="Times New Roman" w:cs="Times New Roman"/>
                <w:color w:val="000000" w:themeColor="text1"/>
                <w:szCs w:val="21"/>
                <w:highlight w:val="none"/>
                <w:vertAlign w:val="superscript"/>
                <w:lang w:val="zh-CN" w:bidi="zh-CN"/>
                <w14:textFill>
                  <w14:solidFill>
                    <w14:schemeClr w14:val="tx1"/>
                  </w14:solidFill>
                </w14:textFill>
              </w:rPr>
              <w:t>2</w:t>
            </w:r>
            <w:r>
              <w:rPr>
                <w:rFonts w:hint="default" w:ascii="Times New Roman" w:hAnsi="Times New Roman" w:cs="Times New Roman"/>
                <w:color w:val="000000" w:themeColor="text1"/>
                <w:szCs w:val="21"/>
                <w:highlight w:val="none"/>
                <w:lang w:val="zh-CN" w:bidi="zh-CN"/>
                <w14:textFill>
                  <w14:solidFill>
                    <w14:schemeClr w14:val="tx1"/>
                  </w14:solidFill>
                </w14:textFill>
              </w:rPr>
              <w:t>。</w:t>
            </w:r>
          </w:p>
          <w:p w14:paraId="64E5AF1D">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w:t>
            </w:r>
            <w:r>
              <w:rPr>
                <w:rFonts w:hint="default" w:ascii="Times New Roman" w:hAnsi="Times New Roman" w:cs="Times New Roman"/>
                <w:color w:val="000000" w:themeColor="text1"/>
                <w:szCs w:val="21"/>
                <w:highlight w:val="none"/>
                <w:lang w:bidi="zh-CN"/>
                <w14:textFill>
                  <w14:solidFill>
                    <w14:schemeClr w14:val="tx1"/>
                  </w14:solidFill>
                </w14:textFill>
              </w:rPr>
              <w:t>2</w:t>
            </w:r>
            <w:r>
              <w:rPr>
                <w:rFonts w:hint="default" w:ascii="Times New Roman" w:hAnsi="Times New Roman" w:cs="Times New Roman"/>
                <w:color w:val="000000" w:themeColor="text1"/>
                <w:szCs w:val="21"/>
                <w:highlight w:val="none"/>
                <w:lang w:val="zh-CN" w:bidi="zh-CN"/>
                <w14:textFill>
                  <w14:solidFill>
                    <w14:schemeClr w14:val="tx1"/>
                  </w14:solidFill>
                </w14:textFill>
              </w:rPr>
              <w:t>）工业企业噪声计算</w:t>
            </w:r>
          </w:p>
          <w:p w14:paraId="3B018739">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设第i个室外声源在预测点产生的A声级为L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Ai</w:t>
            </w:r>
            <w:r>
              <w:rPr>
                <w:rFonts w:hint="default" w:ascii="Times New Roman" w:hAnsi="Times New Roman" w:cs="Times New Roman"/>
                <w:color w:val="000000" w:themeColor="text1"/>
                <w:szCs w:val="21"/>
                <w:highlight w:val="none"/>
                <w:lang w:val="zh-CN" w:bidi="zh-CN"/>
                <w14:textFill>
                  <w14:solidFill>
                    <w14:schemeClr w14:val="tx1"/>
                  </w14:solidFill>
                </w14:textFill>
              </w:rPr>
              <w:t>，在T时间内该声源工作时间为t</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i</w:t>
            </w:r>
            <w:r>
              <w:rPr>
                <w:rFonts w:hint="default" w:ascii="Times New Roman" w:hAnsi="Times New Roman" w:cs="Times New Roman"/>
                <w:color w:val="000000" w:themeColor="text1"/>
                <w:szCs w:val="21"/>
                <w:highlight w:val="none"/>
                <w:lang w:val="zh-CN" w:bidi="zh-CN"/>
                <w14:textFill>
                  <w14:solidFill>
                    <w14:schemeClr w14:val="tx1"/>
                  </w14:solidFill>
                </w14:textFill>
              </w:rPr>
              <w:t>；第j个等效室外声源在预测点产生的A声级为L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Aj</w:t>
            </w:r>
            <w:r>
              <w:rPr>
                <w:rFonts w:hint="default" w:ascii="Times New Roman" w:hAnsi="Times New Roman" w:cs="Times New Roman"/>
                <w:color w:val="000000" w:themeColor="text1"/>
                <w:szCs w:val="21"/>
                <w:highlight w:val="none"/>
                <w:lang w:val="zh-CN" w:bidi="zh-CN"/>
                <w14:textFill>
                  <w14:solidFill>
                    <w14:schemeClr w14:val="tx1"/>
                  </w14:solidFill>
                </w14:textFill>
              </w:rPr>
              <w:t>，在T时间内该声源工作时间为t</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j</w:t>
            </w:r>
            <w:r>
              <w:rPr>
                <w:rFonts w:hint="default" w:ascii="Times New Roman" w:hAnsi="Times New Roman" w:cs="Times New Roman"/>
                <w:color w:val="000000" w:themeColor="text1"/>
                <w:szCs w:val="21"/>
                <w:highlight w:val="none"/>
                <w:lang w:val="zh-CN" w:bidi="zh-CN"/>
                <w14:textFill>
                  <w14:solidFill>
                    <w14:schemeClr w14:val="tx1"/>
                  </w14:solidFill>
                </w14:textFill>
              </w:rPr>
              <w:t>，则拟建工程声源对预测点产生的贡献值（L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eqg</w:t>
            </w:r>
            <w:r>
              <w:rPr>
                <w:rFonts w:hint="default" w:ascii="Times New Roman" w:hAnsi="Times New Roman" w:cs="Times New Roman"/>
                <w:color w:val="000000" w:themeColor="text1"/>
                <w:szCs w:val="21"/>
                <w:highlight w:val="none"/>
                <w:lang w:val="zh-CN" w:bidi="zh-CN"/>
                <w14:textFill>
                  <w14:solidFill>
                    <w14:schemeClr w14:val="tx1"/>
                  </w14:solidFill>
                </w14:textFill>
              </w:rPr>
              <w:t>）为：</w:t>
            </w:r>
          </w:p>
          <w:p w14:paraId="1DA40726">
            <w:pPr>
              <w:pStyle w:val="128"/>
              <w:widowControl w:val="0"/>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2994025" cy="635635"/>
                  <wp:effectExtent l="0" t="0" r="15875" b="12065"/>
                  <wp:docPr id="8"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93"/>
                          <pic:cNvPicPr>
                            <a:picLocks noChangeAspect="1"/>
                          </pic:cNvPicPr>
                        </pic:nvPicPr>
                        <pic:blipFill>
                          <a:blip r:embed="rId30"/>
                          <a:stretch>
                            <a:fillRect/>
                          </a:stretch>
                        </pic:blipFill>
                        <pic:spPr>
                          <a:xfrm>
                            <a:off x="0" y="0"/>
                            <a:ext cx="2994025" cy="635635"/>
                          </a:xfrm>
                          <a:prstGeom prst="rect">
                            <a:avLst/>
                          </a:prstGeom>
                          <a:noFill/>
                          <a:ln>
                            <a:noFill/>
                          </a:ln>
                        </pic:spPr>
                      </pic:pic>
                    </a:graphicData>
                  </a:graphic>
                </wp:inline>
              </w:drawing>
            </w:r>
          </w:p>
          <w:p w14:paraId="02C112ED">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0190277A">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eqg</w:t>
            </w:r>
            <w:r>
              <w:rPr>
                <w:rFonts w:hint="default" w:ascii="Times New Roman" w:hAnsi="Times New Roman" w:cs="Times New Roman"/>
                <w:color w:val="000000" w:themeColor="text1"/>
                <w:szCs w:val="21"/>
                <w:highlight w:val="none"/>
                <w:lang w:val="zh-CN" w:bidi="zh-CN"/>
                <w14:textFill>
                  <w14:solidFill>
                    <w14:schemeClr w14:val="tx1"/>
                  </w14:solidFill>
                </w14:textFill>
              </w:rPr>
              <w:t>——建设项目声源在预测点产生的噪声贡献值，dB；</w:t>
            </w:r>
          </w:p>
          <w:p w14:paraId="12B2B5C8">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T——用于计算等效声级的时间，s；</w:t>
            </w:r>
          </w:p>
          <w:p w14:paraId="0058340E">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N——室外声源个数；</w:t>
            </w:r>
          </w:p>
          <w:p w14:paraId="12C9564C">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t</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i</w:t>
            </w:r>
            <w:r>
              <w:rPr>
                <w:rFonts w:hint="default" w:ascii="Times New Roman" w:hAnsi="Times New Roman" w:cs="Times New Roman"/>
                <w:color w:val="000000" w:themeColor="text1"/>
                <w:szCs w:val="21"/>
                <w:highlight w:val="none"/>
                <w:lang w:val="zh-CN" w:bidi="zh-CN"/>
                <w14:textFill>
                  <w14:solidFill>
                    <w14:schemeClr w14:val="tx1"/>
                  </w14:solidFill>
                </w14:textFill>
              </w:rPr>
              <w:t>——在T时间内i声源工作时间，s；</w:t>
            </w:r>
          </w:p>
          <w:p w14:paraId="2FA17CF7">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M——等效室外声源个数；</w:t>
            </w:r>
          </w:p>
          <w:p w14:paraId="1BD447A5">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t</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j</w:t>
            </w:r>
            <w:r>
              <w:rPr>
                <w:rFonts w:hint="default" w:ascii="Times New Roman" w:hAnsi="Times New Roman" w:cs="Times New Roman"/>
                <w:color w:val="000000" w:themeColor="text1"/>
                <w:szCs w:val="21"/>
                <w:highlight w:val="none"/>
                <w:lang w:val="zh-CN" w:bidi="zh-CN"/>
                <w14:textFill>
                  <w14:solidFill>
                    <w14:schemeClr w14:val="tx1"/>
                  </w14:solidFill>
                </w14:textFill>
              </w:rPr>
              <w:t>——在T时间内j声源工作时间，s。</w:t>
            </w:r>
          </w:p>
          <w:p w14:paraId="0ACF9777">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 xml:space="preserve">（3）预测值计算 </w:t>
            </w:r>
          </w:p>
          <w:p w14:paraId="068DCE58">
            <w:pPr>
              <w:pStyle w:val="128"/>
              <w:widowControl w:val="0"/>
              <w:shd w:val="clear" w:color="auto" w:fill="auto"/>
              <w:ind w:firstLine="643"/>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2296160" cy="381000"/>
                  <wp:effectExtent l="0" t="0" r="8890" b="0"/>
                  <wp:docPr id="9"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94"/>
                          <pic:cNvPicPr>
                            <a:picLocks noChangeAspect="1"/>
                          </pic:cNvPicPr>
                        </pic:nvPicPr>
                        <pic:blipFill>
                          <a:blip r:embed="rId31"/>
                          <a:stretch>
                            <a:fillRect/>
                          </a:stretch>
                        </pic:blipFill>
                        <pic:spPr>
                          <a:xfrm>
                            <a:off x="0" y="0"/>
                            <a:ext cx="2296160" cy="381000"/>
                          </a:xfrm>
                          <a:prstGeom prst="rect">
                            <a:avLst/>
                          </a:prstGeom>
                          <a:noFill/>
                          <a:ln>
                            <a:noFill/>
                          </a:ln>
                        </pic:spPr>
                      </pic:pic>
                    </a:graphicData>
                  </a:graphic>
                </wp:inline>
              </w:drawing>
            </w:r>
          </w:p>
          <w:p w14:paraId="6C330480">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式中：</w:t>
            </w:r>
          </w:p>
          <w:p w14:paraId="7BE84E6F">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eqg</w:t>
            </w:r>
            <w:r>
              <w:rPr>
                <w:rFonts w:hint="default" w:ascii="Times New Roman" w:hAnsi="Times New Roman" w:cs="Times New Roman"/>
                <w:color w:val="000000" w:themeColor="text1"/>
                <w:szCs w:val="21"/>
                <w:highlight w:val="none"/>
                <w:lang w:val="zh-CN" w:bidi="zh-CN"/>
                <w14:textFill>
                  <w14:solidFill>
                    <w14:schemeClr w14:val="tx1"/>
                  </w14:solidFill>
                </w14:textFill>
              </w:rPr>
              <w:t>——建设项目声源在预测点的等效声级贡献值，dB(A)；</w:t>
            </w:r>
          </w:p>
          <w:p w14:paraId="080A8C22">
            <w:pPr>
              <w:shd w:val="clear" w:color="auto" w:fill="auto"/>
              <w:ind w:firstLine="480"/>
              <w:jc w:val="both"/>
              <w:rPr>
                <w:rFonts w:hint="default" w:ascii="Times New Roman" w:hAnsi="Times New Roman" w:cs="Times New Roman"/>
                <w:color w:val="000000" w:themeColor="text1"/>
                <w:szCs w:val="21"/>
                <w:highlight w:val="none"/>
                <w:lang w:val="zh-CN" w:bidi="zh-CN"/>
                <w14:textFill>
                  <w14:solidFill>
                    <w14:schemeClr w14:val="tx1"/>
                  </w14:solidFill>
                </w14:textFill>
              </w:rPr>
            </w:pPr>
            <w:r>
              <w:rPr>
                <w:rFonts w:hint="default" w:ascii="Times New Roman" w:hAnsi="Times New Roman" w:cs="Times New Roman"/>
                <w:color w:val="000000" w:themeColor="text1"/>
                <w:szCs w:val="21"/>
                <w:highlight w:val="none"/>
                <w:lang w:val="zh-CN" w:bidi="zh-CN"/>
                <w14:textFill>
                  <w14:solidFill>
                    <w14:schemeClr w14:val="tx1"/>
                  </w14:solidFill>
                </w14:textFill>
              </w:rPr>
              <w:t>L</w:t>
            </w:r>
            <w:r>
              <w:rPr>
                <w:rFonts w:hint="default" w:ascii="Times New Roman" w:hAnsi="Times New Roman" w:cs="Times New Roman"/>
                <w:color w:val="000000" w:themeColor="text1"/>
                <w:szCs w:val="21"/>
                <w:highlight w:val="none"/>
                <w:vertAlign w:val="subscript"/>
                <w:lang w:val="zh-CN" w:bidi="zh-CN"/>
                <w14:textFill>
                  <w14:solidFill>
                    <w14:schemeClr w14:val="tx1"/>
                  </w14:solidFill>
                </w14:textFill>
              </w:rPr>
              <w:t>eqb</w:t>
            </w:r>
            <w:r>
              <w:rPr>
                <w:rFonts w:hint="default" w:ascii="Times New Roman" w:hAnsi="Times New Roman" w:cs="Times New Roman"/>
                <w:color w:val="000000" w:themeColor="text1"/>
                <w:szCs w:val="21"/>
                <w:highlight w:val="none"/>
                <w:lang w:val="zh-CN" w:bidi="zh-CN"/>
                <w14:textFill>
                  <w14:solidFill>
                    <w14:schemeClr w14:val="tx1"/>
                  </w14:solidFill>
                </w14:textFill>
              </w:rPr>
              <w:t>——预测点的背景值，dB(A)。</w:t>
            </w:r>
          </w:p>
          <w:p w14:paraId="1C0B46E8">
            <w:pPr>
              <w:shd w:val="clear" w:color="auto" w:fill="auto"/>
              <w:adjustRightInd w:val="0"/>
              <w:snapToGrid w:val="0"/>
              <w:ind w:firstLine="480"/>
              <w:jc w:val="both"/>
              <w:rPr>
                <w:rFonts w:hint="default" w:ascii="Times New Roman" w:hAnsi="Times New Roman" w:cs="Times New Roman"/>
                <w:color w:val="000000" w:themeColor="text1"/>
                <w:kern w:val="0"/>
                <w:highlight w:val="none"/>
                <w:lang w:bidi="zh-CN"/>
                <w14:textFill>
                  <w14:solidFill>
                    <w14:schemeClr w14:val="tx1"/>
                  </w14:solidFill>
                </w14:textFill>
              </w:rPr>
            </w:pPr>
            <w:r>
              <w:rPr>
                <w:rFonts w:hint="default" w:ascii="Times New Roman" w:hAnsi="Times New Roman" w:cs="Times New Roman"/>
                <w:color w:val="000000" w:themeColor="text1"/>
                <w:kern w:val="0"/>
                <w:highlight w:val="none"/>
                <w:lang w:bidi="zh-CN"/>
                <w14:textFill>
                  <w14:solidFill>
                    <w14:schemeClr w14:val="tx1"/>
                  </w14:solidFill>
                </w14:textFill>
              </w:rPr>
              <w:t>（4）预测结果</w:t>
            </w:r>
          </w:p>
          <w:p w14:paraId="1CC059F6">
            <w:pPr>
              <w:pStyle w:val="127"/>
              <w:shd w:val="clear" w:color="auto" w:fill="auto"/>
              <w:adjustRightInd w:val="0"/>
              <w:snapToGrid w:val="0"/>
              <w:jc w:val="both"/>
              <w:rPr>
                <w:rFonts w:hint="default" w:ascii="Times New Roman" w:hAnsi="Times New Roman" w:cs="Times New Roman"/>
                <w:color w:val="000000" w:themeColor="text1"/>
                <w:kern w:val="0"/>
                <w:highlight w:val="none"/>
                <w:lang w:val="zh-CN" w:bidi="zh-CN"/>
                <w14:textFill>
                  <w14:solidFill>
                    <w14:schemeClr w14:val="tx1"/>
                  </w14:solidFill>
                </w14:textFill>
              </w:rPr>
            </w:pPr>
            <w:r>
              <w:rPr>
                <w:rFonts w:hint="default" w:ascii="Times New Roman" w:hAnsi="Times New Roman" w:cs="Times New Roman"/>
                <w:color w:val="000000" w:themeColor="text1"/>
                <w:kern w:val="0"/>
                <w:highlight w:val="none"/>
                <w:lang w:val="zh-CN" w:bidi="zh-CN"/>
                <w14:textFill>
                  <w14:solidFill>
                    <w14:schemeClr w14:val="tx1"/>
                  </w14:solidFill>
                </w14:textFill>
              </w:rPr>
              <w:t>厂界噪声排放值预测结果具体见表</w:t>
            </w:r>
            <w:r>
              <w:rPr>
                <w:rFonts w:hint="default" w:ascii="Times New Roman" w:hAnsi="Times New Roman" w:cs="Times New Roman"/>
                <w:color w:val="000000" w:themeColor="text1"/>
                <w:kern w:val="0"/>
                <w:highlight w:val="none"/>
                <w:lang w:bidi="zh-CN"/>
                <w14:textFill>
                  <w14:solidFill>
                    <w14:schemeClr w14:val="tx1"/>
                  </w14:solidFill>
                </w14:textFill>
              </w:rPr>
              <w:t>4-</w:t>
            </w:r>
            <w:r>
              <w:rPr>
                <w:rFonts w:hint="eastAsia" w:cs="Times New Roman"/>
                <w:color w:val="000000" w:themeColor="text1"/>
                <w:kern w:val="0"/>
                <w:highlight w:val="none"/>
                <w:lang w:val="en-US" w:bidi="zh-CN"/>
                <w14:textFill>
                  <w14:solidFill>
                    <w14:schemeClr w14:val="tx1"/>
                  </w14:solidFill>
                </w14:textFill>
              </w:rPr>
              <w:t>7</w:t>
            </w:r>
            <w:r>
              <w:rPr>
                <w:rFonts w:hint="default" w:ascii="Times New Roman" w:hAnsi="Times New Roman" w:cs="Times New Roman"/>
                <w:color w:val="000000" w:themeColor="text1"/>
                <w:kern w:val="0"/>
                <w:highlight w:val="none"/>
                <w:lang w:val="zh-CN" w:bidi="zh-CN"/>
                <w14:textFill>
                  <w14:solidFill>
                    <w14:schemeClr w14:val="tx1"/>
                  </w14:solidFill>
                </w14:textFill>
              </w:rPr>
              <w:t>。</w:t>
            </w:r>
          </w:p>
          <w:p w14:paraId="053395D9">
            <w:pPr>
              <w:pStyle w:val="127"/>
              <w:shd w:val="clear" w:color="auto" w:fill="auto"/>
              <w:adjustRightInd w:val="0"/>
              <w:snapToGrid w:val="0"/>
              <w:spacing w:line="240" w:lineRule="auto"/>
              <w:ind w:firstLine="0" w:firstLineChars="0"/>
              <w:jc w:val="center"/>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表4-</w:t>
            </w:r>
            <w:r>
              <w:rPr>
                <w:rFonts w:hint="eastAsia" w:cs="Times New Roman"/>
                <w:b/>
                <w:color w:val="000000" w:themeColor="text1"/>
                <w:highlight w:val="none"/>
                <w:lang w:val="en-US" w:eastAsia="zh-CN"/>
                <w14:textFill>
                  <w14:solidFill>
                    <w14:schemeClr w14:val="tx1"/>
                  </w14:solidFill>
                </w14:textFill>
              </w:rPr>
              <w:t>7</w:t>
            </w:r>
            <w:r>
              <w:rPr>
                <w:rFonts w:hint="default" w:ascii="Times New Roman" w:hAnsi="Times New Roman" w:cs="Times New Roman"/>
                <w:b/>
                <w:color w:val="000000" w:themeColor="text1"/>
                <w:highlight w:val="none"/>
                <w:lang w:val="en-US" w:eastAsia="zh-CN"/>
                <w14:textFill>
                  <w14:solidFill>
                    <w14:schemeClr w14:val="tx1"/>
                  </w14:solidFill>
                </w14:textFill>
              </w:rPr>
              <w:t xml:space="preserve"> </w:t>
            </w:r>
            <w:r>
              <w:rPr>
                <w:rFonts w:hint="default" w:ascii="Times New Roman" w:hAnsi="Times New Roman" w:cs="Times New Roman"/>
                <w:b/>
                <w:color w:val="000000" w:themeColor="text1"/>
                <w:highlight w:val="none"/>
                <w14:textFill>
                  <w14:solidFill>
                    <w14:schemeClr w14:val="tx1"/>
                  </w14:solidFill>
                </w14:textFill>
              </w:rPr>
              <w:t>项目厂界噪声影响贡献结果   单位：dB（A）</w:t>
            </w:r>
          </w:p>
          <w:tbl>
            <w:tblPr>
              <w:tblStyle w:val="32"/>
              <w:tblW w:w="4996"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697"/>
              <w:gridCol w:w="2270"/>
              <w:gridCol w:w="983"/>
              <w:gridCol w:w="983"/>
              <w:gridCol w:w="1536"/>
              <w:gridCol w:w="1421"/>
              <w:gridCol w:w="1361"/>
              <w:gridCol w:w="1230"/>
              <w:gridCol w:w="1444"/>
              <w:gridCol w:w="1419"/>
            </w:tblGrid>
            <w:tr w14:paraId="7DE739A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vMerge w:val="restart"/>
                  <w:tcBorders>
                    <w:tl2br w:val="nil"/>
                    <w:tr2bl w:val="nil"/>
                  </w:tcBorders>
                  <w:noWrap w:val="0"/>
                  <w:vAlign w:val="center"/>
                </w:tcPr>
                <w:p w14:paraId="5F2644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序号</w:t>
                  </w:r>
                </w:p>
              </w:tc>
              <w:tc>
                <w:tcPr>
                  <w:tcW w:w="850" w:type="pct"/>
                  <w:vMerge w:val="restart"/>
                  <w:tcBorders>
                    <w:tl2br w:val="nil"/>
                    <w:tr2bl w:val="nil"/>
                  </w:tcBorders>
                  <w:noWrap w:val="0"/>
                  <w:vAlign w:val="center"/>
                </w:tcPr>
                <w:p w14:paraId="49F75F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名称</w:t>
                  </w:r>
                </w:p>
              </w:tc>
              <w:tc>
                <w:tcPr>
                  <w:tcW w:w="368" w:type="pct"/>
                  <w:vMerge w:val="restart"/>
                  <w:tcBorders>
                    <w:tl2br w:val="nil"/>
                    <w:tr2bl w:val="nil"/>
                  </w:tcBorders>
                  <w:noWrap w:val="0"/>
                  <w:vAlign w:val="center"/>
                </w:tcPr>
                <w:p w14:paraId="79B70A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X(m)</w:t>
                  </w:r>
                </w:p>
              </w:tc>
              <w:tc>
                <w:tcPr>
                  <w:tcW w:w="368" w:type="pct"/>
                  <w:vMerge w:val="restart"/>
                  <w:tcBorders>
                    <w:tl2br w:val="nil"/>
                    <w:tr2bl w:val="nil"/>
                  </w:tcBorders>
                  <w:noWrap w:val="0"/>
                  <w:vAlign w:val="center"/>
                </w:tcPr>
                <w:p w14:paraId="778C63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Y(m)</w:t>
                  </w:r>
                </w:p>
              </w:tc>
              <w:tc>
                <w:tcPr>
                  <w:tcW w:w="575" w:type="pct"/>
                  <w:vMerge w:val="restart"/>
                  <w:tcBorders>
                    <w:tl2br w:val="nil"/>
                    <w:tr2bl w:val="nil"/>
                  </w:tcBorders>
                  <w:noWrap w:val="0"/>
                  <w:vAlign w:val="center"/>
                </w:tcPr>
                <w:p w14:paraId="1B122C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离地高度(m)</w:t>
                  </w:r>
                </w:p>
              </w:tc>
              <w:tc>
                <w:tcPr>
                  <w:tcW w:w="532" w:type="pct"/>
                  <w:tcBorders>
                    <w:tl2br w:val="nil"/>
                    <w:tr2bl w:val="nil"/>
                  </w:tcBorders>
                  <w:noWrap w:val="0"/>
                  <w:vAlign w:val="center"/>
                </w:tcPr>
                <w:p w14:paraId="7B368A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昼间</w:t>
                  </w:r>
                </w:p>
              </w:tc>
              <w:tc>
                <w:tcPr>
                  <w:tcW w:w="1511" w:type="pct"/>
                  <w:gridSpan w:val="3"/>
                  <w:tcBorders>
                    <w:tl2br w:val="nil"/>
                    <w:tr2bl w:val="nil"/>
                  </w:tcBorders>
                  <w:noWrap w:val="0"/>
                  <w:vAlign w:val="center"/>
                </w:tcPr>
                <w:p w14:paraId="3C50B1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场界标准</w:t>
                  </w:r>
                </w:p>
              </w:tc>
              <w:tc>
                <w:tcPr>
                  <w:tcW w:w="531" w:type="pct"/>
                  <w:vMerge w:val="restart"/>
                  <w:tcBorders>
                    <w:tl2br w:val="nil"/>
                    <w:tr2bl w:val="nil"/>
                  </w:tcBorders>
                  <w:noWrap w:val="0"/>
                  <w:vAlign w:val="center"/>
                </w:tcPr>
                <w:p w14:paraId="2B5E63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功能区类型</w:t>
                  </w:r>
                </w:p>
              </w:tc>
            </w:tr>
            <w:tr w14:paraId="22086C0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vMerge w:val="continue"/>
                  <w:tcBorders>
                    <w:tl2br w:val="nil"/>
                    <w:tr2bl w:val="nil"/>
                  </w:tcBorders>
                  <w:noWrap w:val="0"/>
                  <w:vAlign w:val="center"/>
                </w:tcPr>
                <w:p w14:paraId="03B3636F">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c>
                <w:tcPr>
                  <w:tcW w:w="850" w:type="pct"/>
                  <w:vMerge w:val="continue"/>
                  <w:tcBorders>
                    <w:tl2br w:val="nil"/>
                    <w:tr2bl w:val="nil"/>
                  </w:tcBorders>
                  <w:noWrap w:val="0"/>
                  <w:vAlign w:val="center"/>
                </w:tcPr>
                <w:p w14:paraId="0E9BC2C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c>
                <w:tcPr>
                  <w:tcW w:w="368" w:type="pct"/>
                  <w:vMerge w:val="continue"/>
                  <w:tcBorders>
                    <w:tl2br w:val="nil"/>
                    <w:tr2bl w:val="nil"/>
                  </w:tcBorders>
                  <w:noWrap w:val="0"/>
                  <w:vAlign w:val="center"/>
                </w:tcPr>
                <w:p w14:paraId="4446037B">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c>
                <w:tcPr>
                  <w:tcW w:w="368" w:type="pct"/>
                  <w:vMerge w:val="continue"/>
                  <w:tcBorders>
                    <w:tl2br w:val="nil"/>
                    <w:tr2bl w:val="nil"/>
                  </w:tcBorders>
                  <w:noWrap w:val="0"/>
                  <w:vAlign w:val="center"/>
                </w:tcPr>
                <w:p w14:paraId="70B6D565">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c>
                <w:tcPr>
                  <w:tcW w:w="575" w:type="pct"/>
                  <w:vMerge w:val="continue"/>
                  <w:tcBorders>
                    <w:tl2br w:val="nil"/>
                    <w:tr2bl w:val="nil"/>
                  </w:tcBorders>
                  <w:noWrap w:val="0"/>
                  <w:vAlign w:val="center"/>
                </w:tcPr>
                <w:p w14:paraId="0D4D1479">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c>
                <w:tcPr>
                  <w:tcW w:w="532" w:type="pct"/>
                  <w:tcBorders>
                    <w:tl2br w:val="nil"/>
                    <w:tr2bl w:val="nil"/>
                  </w:tcBorders>
                  <w:noWrap w:val="0"/>
                  <w:vAlign w:val="center"/>
                </w:tcPr>
                <w:p w14:paraId="6CB6EC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贡献值(dB)</w:t>
                  </w:r>
                </w:p>
              </w:tc>
              <w:tc>
                <w:tcPr>
                  <w:tcW w:w="509" w:type="pct"/>
                  <w:tcBorders>
                    <w:tl2br w:val="nil"/>
                    <w:tr2bl w:val="nil"/>
                  </w:tcBorders>
                  <w:noWrap w:val="0"/>
                  <w:vAlign w:val="center"/>
                </w:tcPr>
                <w:p w14:paraId="301925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场界标准值</w:t>
                  </w:r>
                </w:p>
              </w:tc>
              <w:tc>
                <w:tcPr>
                  <w:tcW w:w="460" w:type="pct"/>
                  <w:tcBorders>
                    <w:tl2br w:val="nil"/>
                    <w:tr2bl w:val="nil"/>
                  </w:tcBorders>
                  <w:noWrap w:val="0"/>
                  <w:vAlign w:val="center"/>
                </w:tcPr>
                <w:p w14:paraId="061BC8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是否达标</w:t>
                  </w:r>
                </w:p>
              </w:tc>
              <w:tc>
                <w:tcPr>
                  <w:tcW w:w="541" w:type="pct"/>
                  <w:tcBorders>
                    <w:tl2br w:val="nil"/>
                    <w:tr2bl w:val="nil"/>
                  </w:tcBorders>
                  <w:noWrap w:val="0"/>
                  <w:vAlign w:val="center"/>
                </w:tcPr>
                <w:p w14:paraId="2699D2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与标准差值</w:t>
                  </w:r>
                </w:p>
              </w:tc>
              <w:tc>
                <w:tcPr>
                  <w:tcW w:w="531" w:type="pct"/>
                  <w:vMerge w:val="continue"/>
                  <w:tcBorders>
                    <w:tl2br w:val="nil"/>
                    <w:tr2bl w:val="nil"/>
                  </w:tcBorders>
                  <w:noWrap w:val="0"/>
                  <w:vAlign w:val="center"/>
                </w:tcPr>
                <w:p w14:paraId="10CBC9E8">
                  <w:pPr>
                    <w:keepNext w:val="0"/>
                    <w:keepLines w:val="0"/>
                    <w:pageBreakBefore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p>
              </w:tc>
            </w:tr>
            <w:tr w14:paraId="3BB6ED4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tcBorders>
                    <w:tl2br w:val="nil"/>
                    <w:tr2bl w:val="nil"/>
                  </w:tcBorders>
                  <w:noWrap w:val="0"/>
                  <w:vAlign w:val="center"/>
                </w:tcPr>
                <w:p w14:paraId="0969C6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w:t>
                  </w:r>
                </w:p>
              </w:tc>
              <w:tc>
                <w:tcPr>
                  <w:tcW w:w="850" w:type="pct"/>
                  <w:tcBorders>
                    <w:tl2br w:val="nil"/>
                    <w:tr2bl w:val="nil"/>
                  </w:tcBorders>
                  <w:noWrap w:val="0"/>
                  <w:vAlign w:val="center"/>
                </w:tcPr>
                <w:p w14:paraId="75100A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西厂界贡献最大值</w:t>
                  </w:r>
                </w:p>
              </w:tc>
              <w:tc>
                <w:tcPr>
                  <w:tcW w:w="368" w:type="pct"/>
                  <w:tcBorders>
                    <w:tl2br w:val="nil"/>
                    <w:tr2bl w:val="nil"/>
                  </w:tcBorders>
                  <w:noWrap w:val="0"/>
                  <w:vAlign w:val="center"/>
                </w:tcPr>
                <w:p w14:paraId="3A7AA5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-0.50</w:t>
                  </w:r>
                </w:p>
              </w:tc>
              <w:tc>
                <w:tcPr>
                  <w:tcW w:w="368" w:type="pct"/>
                  <w:tcBorders>
                    <w:tl2br w:val="nil"/>
                    <w:tr2bl w:val="nil"/>
                  </w:tcBorders>
                  <w:noWrap w:val="0"/>
                  <w:vAlign w:val="center"/>
                </w:tcPr>
                <w:p w14:paraId="50C2B9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18.95</w:t>
                  </w:r>
                </w:p>
              </w:tc>
              <w:tc>
                <w:tcPr>
                  <w:tcW w:w="575" w:type="pct"/>
                  <w:tcBorders>
                    <w:tl2br w:val="nil"/>
                    <w:tr2bl w:val="nil"/>
                  </w:tcBorders>
                  <w:noWrap w:val="0"/>
                  <w:vAlign w:val="center"/>
                </w:tcPr>
                <w:p w14:paraId="554382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532" w:type="pct"/>
                  <w:tcBorders>
                    <w:tl2br w:val="nil"/>
                    <w:tr2bl w:val="nil"/>
                  </w:tcBorders>
                  <w:noWrap w:val="0"/>
                  <w:vAlign w:val="center"/>
                </w:tcPr>
                <w:p w14:paraId="365425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63.92</w:t>
                  </w:r>
                </w:p>
              </w:tc>
              <w:tc>
                <w:tcPr>
                  <w:tcW w:w="509" w:type="pct"/>
                  <w:tcBorders>
                    <w:tl2br w:val="nil"/>
                    <w:tr2bl w:val="nil"/>
                  </w:tcBorders>
                  <w:noWrap w:val="0"/>
                  <w:vAlign w:val="center"/>
                </w:tcPr>
                <w:p w14:paraId="56985F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460" w:type="pct"/>
                  <w:tcBorders>
                    <w:tl2br w:val="nil"/>
                    <w:tr2bl w:val="nil"/>
                  </w:tcBorders>
                  <w:noWrap w:val="0"/>
                  <w:vAlign w:val="center"/>
                </w:tcPr>
                <w:p w14:paraId="04968D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是</w:t>
                  </w:r>
                </w:p>
              </w:tc>
              <w:tc>
                <w:tcPr>
                  <w:tcW w:w="541" w:type="pct"/>
                  <w:tcBorders>
                    <w:tl2br w:val="nil"/>
                    <w:tr2bl w:val="nil"/>
                  </w:tcBorders>
                  <w:noWrap w:val="0"/>
                  <w:vAlign w:val="center"/>
                </w:tcPr>
                <w:p w14:paraId="5CE197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-1.08</w:t>
                  </w:r>
                </w:p>
              </w:tc>
              <w:tc>
                <w:tcPr>
                  <w:tcW w:w="531" w:type="pct"/>
                  <w:tcBorders>
                    <w:tl2br w:val="nil"/>
                    <w:tr2bl w:val="nil"/>
                  </w:tcBorders>
                  <w:noWrap w:val="0"/>
                  <w:vAlign w:val="center"/>
                </w:tcPr>
                <w:p w14:paraId="624466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3类</w:t>
                  </w:r>
                </w:p>
              </w:tc>
            </w:tr>
            <w:tr w14:paraId="11AD52B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tcBorders>
                    <w:tl2br w:val="nil"/>
                    <w:tr2bl w:val="nil"/>
                  </w:tcBorders>
                  <w:noWrap w:val="0"/>
                  <w:vAlign w:val="center"/>
                </w:tcPr>
                <w:p w14:paraId="200284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sz w:val="21"/>
                      <w:szCs w:val="21"/>
                      <w:highlight w:val="none"/>
                      <w:u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2</w:t>
                  </w:r>
                </w:p>
              </w:tc>
              <w:tc>
                <w:tcPr>
                  <w:tcW w:w="850" w:type="pct"/>
                  <w:tcBorders>
                    <w:tl2br w:val="nil"/>
                    <w:tr2bl w:val="nil"/>
                  </w:tcBorders>
                  <w:noWrap w:val="0"/>
                  <w:vAlign w:val="center"/>
                </w:tcPr>
                <w:p w14:paraId="0D0822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南厂界贡献最大值</w:t>
                  </w:r>
                </w:p>
              </w:tc>
              <w:tc>
                <w:tcPr>
                  <w:tcW w:w="368" w:type="pct"/>
                  <w:tcBorders>
                    <w:tl2br w:val="nil"/>
                    <w:tr2bl w:val="nil"/>
                  </w:tcBorders>
                  <w:noWrap w:val="0"/>
                  <w:vAlign w:val="center"/>
                </w:tcPr>
                <w:p w14:paraId="4BDB5D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69.43</w:t>
                  </w:r>
                </w:p>
              </w:tc>
              <w:tc>
                <w:tcPr>
                  <w:tcW w:w="368" w:type="pct"/>
                  <w:tcBorders>
                    <w:tl2br w:val="nil"/>
                    <w:tr2bl w:val="nil"/>
                  </w:tcBorders>
                  <w:noWrap w:val="0"/>
                  <w:vAlign w:val="center"/>
                </w:tcPr>
                <w:p w14:paraId="73FC9C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-1.60</w:t>
                  </w:r>
                </w:p>
              </w:tc>
              <w:tc>
                <w:tcPr>
                  <w:tcW w:w="575" w:type="pct"/>
                  <w:tcBorders>
                    <w:tl2br w:val="nil"/>
                    <w:tr2bl w:val="nil"/>
                  </w:tcBorders>
                  <w:noWrap w:val="0"/>
                  <w:vAlign w:val="center"/>
                </w:tcPr>
                <w:p w14:paraId="6B550F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532" w:type="pct"/>
                  <w:tcBorders>
                    <w:tl2br w:val="nil"/>
                    <w:tr2bl w:val="nil"/>
                  </w:tcBorders>
                  <w:noWrap w:val="0"/>
                  <w:vAlign w:val="center"/>
                </w:tcPr>
                <w:p w14:paraId="7CA3BC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63.63</w:t>
                  </w:r>
                </w:p>
              </w:tc>
              <w:tc>
                <w:tcPr>
                  <w:tcW w:w="509" w:type="pct"/>
                  <w:tcBorders>
                    <w:tl2br w:val="nil"/>
                    <w:tr2bl w:val="nil"/>
                  </w:tcBorders>
                  <w:noWrap w:val="0"/>
                  <w:vAlign w:val="center"/>
                </w:tcPr>
                <w:p w14:paraId="198B61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460" w:type="pct"/>
                  <w:tcBorders>
                    <w:tl2br w:val="nil"/>
                    <w:tr2bl w:val="nil"/>
                  </w:tcBorders>
                  <w:noWrap w:val="0"/>
                  <w:vAlign w:val="center"/>
                </w:tcPr>
                <w:p w14:paraId="72069C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是</w:t>
                  </w:r>
                </w:p>
              </w:tc>
              <w:tc>
                <w:tcPr>
                  <w:tcW w:w="541" w:type="pct"/>
                  <w:tcBorders>
                    <w:tl2br w:val="nil"/>
                    <w:tr2bl w:val="nil"/>
                  </w:tcBorders>
                  <w:noWrap w:val="0"/>
                  <w:vAlign w:val="center"/>
                </w:tcPr>
                <w:p w14:paraId="04020E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-1.37</w:t>
                  </w:r>
                </w:p>
              </w:tc>
              <w:tc>
                <w:tcPr>
                  <w:tcW w:w="531" w:type="pct"/>
                  <w:tcBorders>
                    <w:tl2br w:val="nil"/>
                    <w:tr2bl w:val="nil"/>
                  </w:tcBorders>
                  <w:noWrap w:val="0"/>
                  <w:vAlign w:val="center"/>
                </w:tcPr>
                <w:p w14:paraId="1C94E8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3类</w:t>
                  </w:r>
                </w:p>
              </w:tc>
            </w:tr>
            <w:tr w14:paraId="3DED03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tcBorders>
                    <w:tl2br w:val="nil"/>
                    <w:tr2bl w:val="nil"/>
                  </w:tcBorders>
                  <w:noWrap w:val="0"/>
                  <w:vAlign w:val="center"/>
                </w:tcPr>
                <w:p w14:paraId="59E1ED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3</w:t>
                  </w:r>
                </w:p>
              </w:tc>
              <w:tc>
                <w:tcPr>
                  <w:tcW w:w="850" w:type="pct"/>
                  <w:tcBorders>
                    <w:tl2br w:val="nil"/>
                    <w:tr2bl w:val="nil"/>
                  </w:tcBorders>
                  <w:noWrap w:val="0"/>
                  <w:vAlign w:val="center"/>
                </w:tcPr>
                <w:p w14:paraId="400C48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东厂界贡献最大值</w:t>
                  </w:r>
                </w:p>
              </w:tc>
              <w:tc>
                <w:tcPr>
                  <w:tcW w:w="368" w:type="pct"/>
                  <w:tcBorders>
                    <w:tl2br w:val="nil"/>
                    <w:tr2bl w:val="nil"/>
                  </w:tcBorders>
                  <w:noWrap w:val="0"/>
                  <w:vAlign w:val="center"/>
                </w:tcPr>
                <w:p w14:paraId="128568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155.44</w:t>
                  </w:r>
                </w:p>
              </w:tc>
              <w:tc>
                <w:tcPr>
                  <w:tcW w:w="368" w:type="pct"/>
                  <w:tcBorders>
                    <w:tl2br w:val="nil"/>
                    <w:tr2bl w:val="nil"/>
                  </w:tcBorders>
                  <w:noWrap w:val="0"/>
                  <w:vAlign w:val="center"/>
                </w:tcPr>
                <w:p w14:paraId="57800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48.28</w:t>
                  </w:r>
                </w:p>
              </w:tc>
              <w:tc>
                <w:tcPr>
                  <w:tcW w:w="575" w:type="pct"/>
                  <w:tcBorders>
                    <w:tl2br w:val="nil"/>
                    <w:tr2bl w:val="nil"/>
                  </w:tcBorders>
                  <w:noWrap w:val="0"/>
                  <w:vAlign w:val="center"/>
                </w:tcPr>
                <w:p w14:paraId="2C2FB1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532" w:type="pct"/>
                  <w:tcBorders>
                    <w:tl2br w:val="nil"/>
                    <w:tr2bl w:val="nil"/>
                  </w:tcBorders>
                  <w:noWrap w:val="0"/>
                  <w:vAlign w:val="center"/>
                </w:tcPr>
                <w:p w14:paraId="1882C7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61.90</w:t>
                  </w:r>
                </w:p>
              </w:tc>
              <w:tc>
                <w:tcPr>
                  <w:tcW w:w="509" w:type="pct"/>
                  <w:tcBorders>
                    <w:tl2br w:val="nil"/>
                    <w:tr2bl w:val="nil"/>
                  </w:tcBorders>
                  <w:noWrap w:val="0"/>
                  <w:vAlign w:val="center"/>
                </w:tcPr>
                <w:p w14:paraId="6B99FD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460" w:type="pct"/>
                  <w:tcBorders>
                    <w:tl2br w:val="nil"/>
                    <w:tr2bl w:val="nil"/>
                  </w:tcBorders>
                  <w:noWrap w:val="0"/>
                  <w:vAlign w:val="center"/>
                </w:tcPr>
                <w:p w14:paraId="5F9B0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是</w:t>
                  </w:r>
                </w:p>
              </w:tc>
              <w:tc>
                <w:tcPr>
                  <w:tcW w:w="541" w:type="pct"/>
                  <w:tcBorders>
                    <w:tl2br w:val="nil"/>
                    <w:tr2bl w:val="nil"/>
                  </w:tcBorders>
                  <w:noWrap w:val="0"/>
                  <w:vAlign w:val="center"/>
                </w:tcPr>
                <w:p w14:paraId="308A2C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-3.10</w:t>
                  </w:r>
                </w:p>
              </w:tc>
              <w:tc>
                <w:tcPr>
                  <w:tcW w:w="531" w:type="pct"/>
                  <w:tcBorders>
                    <w:tl2br w:val="nil"/>
                    <w:tr2bl w:val="nil"/>
                  </w:tcBorders>
                  <w:noWrap w:val="0"/>
                  <w:vAlign w:val="center"/>
                </w:tcPr>
                <w:p w14:paraId="73D96D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3类</w:t>
                  </w:r>
                </w:p>
              </w:tc>
            </w:tr>
            <w:tr w14:paraId="088CBB9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261" w:type="pct"/>
                  <w:tcBorders>
                    <w:tl2br w:val="nil"/>
                    <w:tr2bl w:val="nil"/>
                  </w:tcBorders>
                  <w:noWrap w:val="0"/>
                  <w:vAlign w:val="center"/>
                </w:tcPr>
                <w:p w14:paraId="4E546C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4</w:t>
                  </w:r>
                </w:p>
              </w:tc>
              <w:tc>
                <w:tcPr>
                  <w:tcW w:w="850" w:type="pct"/>
                  <w:tcBorders>
                    <w:tl2br w:val="nil"/>
                    <w:tr2bl w:val="nil"/>
                  </w:tcBorders>
                  <w:noWrap w:val="0"/>
                  <w:vAlign w:val="center"/>
                </w:tcPr>
                <w:p w14:paraId="7642E2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北厂界贡献最大值</w:t>
                  </w:r>
                </w:p>
              </w:tc>
              <w:tc>
                <w:tcPr>
                  <w:tcW w:w="368" w:type="pct"/>
                  <w:tcBorders>
                    <w:tl2br w:val="nil"/>
                    <w:tr2bl w:val="nil"/>
                  </w:tcBorders>
                  <w:noWrap w:val="0"/>
                  <w:vAlign w:val="center"/>
                </w:tcPr>
                <w:p w14:paraId="539621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124.77</w:t>
                  </w:r>
                </w:p>
              </w:tc>
              <w:tc>
                <w:tcPr>
                  <w:tcW w:w="368" w:type="pct"/>
                  <w:tcBorders>
                    <w:tl2br w:val="nil"/>
                    <w:tr2bl w:val="nil"/>
                  </w:tcBorders>
                  <w:noWrap w:val="0"/>
                  <w:vAlign w:val="center"/>
                </w:tcPr>
                <w:p w14:paraId="00BF8B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88.79</w:t>
                  </w:r>
                </w:p>
              </w:tc>
              <w:tc>
                <w:tcPr>
                  <w:tcW w:w="575" w:type="pct"/>
                  <w:tcBorders>
                    <w:tl2br w:val="nil"/>
                    <w:tr2bl w:val="nil"/>
                  </w:tcBorders>
                  <w:noWrap w:val="0"/>
                  <w:vAlign w:val="center"/>
                </w:tcPr>
                <w:p w14:paraId="2F8D9B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1.20</w:t>
                  </w:r>
                </w:p>
              </w:tc>
              <w:tc>
                <w:tcPr>
                  <w:tcW w:w="532" w:type="pct"/>
                  <w:tcBorders>
                    <w:tl2br w:val="nil"/>
                    <w:tr2bl w:val="nil"/>
                  </w:tcBorders>
                  <w:noWrap w:val="0"/>
                  <w:vAlign w:val="center"/>
                </w:tcPr>
                <w:p w14:paraId="65A49E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49.43</w:t>
                  </w:r>
                </w:p>
              </w:tc>
              <w:tc>
                <w:tcPr>
                  <w:tcW w:w="509" w:type="pct"/>
                  <w:tcBorders>
                    <w:tl2br w:val="nil"/>
                    <w:tr2bl w:val="nil"/>
                  </w:tcBorders>
                  <w:noWrap w:val="0"/>
                  <w:vAlign w:val="center"/>
                </w:tcPr>
                <w:p w14:paraId="75CD0D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65</w:t>
                  </w:r>
                </w:p>
              </w:tc>
              <w:tc>
                <w:tcPr>
                  <w:tcW w:w="460" w:type="pct"/>
                  <w:tcBorders>
                    <w:tl2br w:val="nil"/>
                    <w:tr2bl w:val="nil"/>
                  </w:tcBorders>
                  <w:noWrap w:val="0"/>
                  <w:vAlign w:val="center"/>
                </w:tcPr>
                <w:p w14:paraId="2933E9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是</w:t>
                  </w:r>
                </w:p>
              </w:tc>
              <w:tc>
                <w:tcPr>
                  <w:tcW w:w="541" w:type="pct"/>
                  <w:tcBorders>
                    <w:tl2br w:val="nil"/>
                    <w:tr2bl w:val="nil"/>
                  </w:tcBorders>
                  <w:noWrap w:val="0"/>
                  <w:vAlign w:val="center"/>
                </w:tcPr>
                <w:p w14:paraId="46EDC0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-15.57</w:t>
                  </w:r>
                </w:p>
              </w:tc>
              <w:tc>
                <w:tcPr>
                  <w:tcW w:w="531" w:type="pct"/>
                  <w:tcBorders>
                    <w:tl2br w:val="nil"/>
                    <w:tr2bl w:val="nil"/>
                  </w:tcBorders>
                  <w:noWrap w:val="0"/>
                  <w:vAlign w:val="center"/>
                </w:tcPr>
                <w:p w14:paraId="6B9CE0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t>3类</w:t>
                  </w:r>
                </w:p>
              </w:tc>
            </w:tr>
          </w:tbl>
          <w:p w14:paraId="2F099715">
            <w:pPr>
              <w:adjustRightInd w:val="0"/>
              <w:snapToGrid w:val="0"/>
              <w:spacing w:line="360" w:lineRule="auto"/>
              <w:ind w:left="0" w:leftChars="0" w:firstLine="0" w:firstLineChars="0"/>
              <w:jc w:val="center"/>
              <w:rPr>
                <w:rFonts w:hint="eastAsia" w:ascii="Times New Roman" w:hAnsi="Times New Roman" w:eastAsia="宋体" w:cs="Times New Roman"/>
                <w:color w:val="000000" w:themeColor="text1"/>
                <w:kern w:val="0"/>
                <w:sz w:val="24"/>
                <w:highlight w:val="none"/>
                <w:lang w:eastAsia="zh-CN"/>
                <w14:textFill>
                  <w14:solidFill>
                    <w14:schemeClr w14:val="tx1"/>
                  </w14:solidFill>
                </w14:textFill>
              </w:rPr>
            </w:pPr>
            <w:r>
              <w:rPr>
                <w:rFonts w:hint="eastAsia" w:ascii="Times New Roman" w:hAnsi="Times New Roman" w:eastAsia="宋体" w:cs="Times New Roman"/>
                <w:color w:val="000000" w:themeColor="text1"/>
                <w:kern w:val="0"/>
                <w:sz w:val="24"/>
                <w:highlight w:val="none"/>
                <w:lang w:eastAsia="zh-CN"/>
                <w14:textFill>
                  <w14:solidFill>
                    <w14:schemeClr w14:val="tx1"/>
                  </w14:solidFill>
                </w14:textFill>
              </w:rPr>
              <w:drawing>
                <wp:inline distT="0" distB="0" distL="114300" distR="114300">
                  <wp:extent cx="6498590" cy="4392295"/>
                  <wp:effectExtent l="0" t="0" r="16510" b="8255"/>
                  <wp:docPr id="11" name="图片 11" descr="预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预测图"/>
                          <pic:cNvPicPr>
                            <a:picLocks noChangeAspect="1"/>
                          </pic:cNvPicPr>
                        </pic:nvPicPr>
                        <pic:blipFill>
                          <a:blip r:embed="rId32"/>
                          <a:srcRect t="2386" b="2073"/>
                          <a:stretch>
                            <a:fillRect/>
                          </a:stretch>
                        </pic:blipFill>
                        <pic:spPr>
                          <a:xfrm>
                            <a:off x="0" y="0"/>
                            <a:ext cx="6498590" cy="4392295"/>
                          </a:xfrm>
                          <a:prstGeom prst="rect">
                            <a:avLst/>
                          </a:prstGeom>
                        </pic:spPr>
                      </pic:pic>
                    </a:graphicData>
                  </a:graphic>
                </wp:inline>
              </w:drawing>
            </w:r>
          </w:p>
          <w:p w14:paraId="7F76DDB2">
            <w:pPr>
              <w:adjustRightInd w:val="0"/>
              <w:snapToGrid w:val="0"/>
              <w:spacing w:line="360" w:lineRule="auto"/>
              <w:ind w:left="0" w:leftChars="0" w:firstLine="0" w:firstLineChars="0"/>
              <w:jc w:val="center"/>
              <w:rPr>
                <w:rFonts w:hint="eastAsia" w:ascii="Times New Roman" w:hAnsi="Times New Roman" w:eastAsia="宋体" w:cs="Times New Roman"/>
                <w:color w:val="000000" w:themeColor="text1"/>
                <w:kern w:val="0"/>
                <w:sz w:val="24"/>
                <w:highlight w:val="none"/>
                <w:lang w:eastAsia="zh-CN"/>
                <w14:textFill>
                  <w14:solidFill>
                    <w14:schemeClr w14:val="tx1"/>
                  </w14:solidFill>
                </w14:textFill>
              </w:rPr>
            </w:pPr>
            <w:r>
              <w:rPr>
                <w:rFonts w:hint="default" w:ascii="Times New Roman" w:hAnsi="Times New Roman" w:cs="Times New Roman"/>
                <w:b/>
                <w:bCs/>
                <w:color w:val="000000" w:themeColor="text1"/>
                <w:kern w:val="0"/>
                <w:sz w:val="24"/>
                <w:highlight w:val="none"/>
                <w14:textFill>
                  <w14:solidFill>
                    <w14:schemeClr w14:val="tx1"/>
                  </w14:solidFill>
                </w14:textFill>
              </w:rPr>
              <w:t>图4</w:t>
            </w:r>
            <w:r>
              <w:rPr>
                <w:rFonts w:hint="eastAsia" w:cs="Times New Roman"/>
                <w:b/>
                <w:bCs/>
                <w:color w:val="000000" w:themeColor="text1"/>
                <w:kern w:val="0"/>
                <w:sz w:val="24"/>
                <w:highlight w:val="none"/>
                <w:lang w:val="en-US" w:eastAsia="zh-CN"/>
                <w14:textFill>
                  <w14:solidFill>
                    <w14:schemeClr w14:val="tx1"/>
                  </w14:solidFill>
                </w14:textFill>
              </w:rPr>
              <w:t>-2</w:t>
            </w:r>
            <w:r>
              <w:rPr>
                <w:rFonts w:hint="default" w:ascii="Times New Roman" w:hAnsi="Times New Roman" w:cs="Times New Roman"/>
                <w:b/>
                <w:bCs/>
                <w:color w:val="000000" w:themeColor="text1"/>
                <w:kern w:val="0"/>
                <w:sz w:val="24"/>
                <w:highlight w:val="none"/>
                <w14:textFill>
                  <w14:solidFill>
                    <w14:schemeClr w14:val="tx1"/>
                  </w14:solidFill>
                </w14:textFill>
              </w:rPr>
              <w:t xml:space="preserve">  噪声预测图</w:t>
            </w:r>
          </w:p>
          <w:p w14:paraId="78D9D414">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根据《环境影响评价技术导则—声环境》（HJ2.4-2021）中声环境评价方法的规定：进行边界噪声评价时，建设项目以工程噪声贡献值作为评价量。</w:t>
            </w:r>
          </w:p>
          <w:p w14:paraId="7AFFC91B">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预测结果表明，厂界昼间噪声预测值在</w:t>
            </w:r>
            <w:r>
              <w:rPr>
                <w:rFonts w:hint="eastAsia" w:cs="Times New Roman"/>
                <w:color w:val="000000" w:themeColor="text1"/>
                <w:kern w:val="0"/>
                <w:sz w:val="24"/>
                <w:highlight w:val="none"/>
                <w:lang w:val="en-US" w:eastAsia="zh-CN"/>
                <w14:textFill>
                  <w14:solidFill>
                    <w14:schemeClr w14:val="tx1"/>
                  </w14:solidFill>
                </w14:textFill>
              </w:rPr>
              <w:t>49.43~63.92</w:t>
            </w:r>
            <w:r>
              <w:rPr>
                <w:rFonts w:hint="default" w:ascii="Times New Roman" w:hAnsi="Times New Roman" w:cs="Times New Roman"/>
                <w:color w:val="000000" w:themeColor="text1"/>
                <w:kern w:val="0"/>
                <w:sz w:val="24"/>
                <w:highlight w:val="none"/>
                <w14:textFill>
                  <w14:solidFill>
                    <w14:schemeClr w14:val="tx1"/>
                  </w14:solidFill>
                </w14:textFill>
              </w:rPr>
              <w:t>dB（A）之间，满足《工业企业厂界环境噪声排放标准》（GB12348-2008）3类昼间标准（65dB（A））限值要求</w:t>
            </w:r>
            <w:r>
              <w:rPr>
                <w:rFonts w:hint="default" w:ascii="Times New Roman" w:hAnsi="Times New Roman" w:cs="Times New Roman"/>
                <w:color w:val="000000" w:themeColor="text1"/>
                <w:kern w:val="0"/>
                <w:sz w:val="24"/>
                <w:highlight w:val="none"/>
                <w:lang w:eastAsia="zh-CN"/>
                <w14:textFill>
                  <w14:solidFill>
                    <w14:schemeClr w14:val="tx1"/>
                  </w14:solidFill>
                </w14:textFill>
              </w:rPr>
              <w:t>。</w:t>
            </w:r>
          </w:p>
          <w:p w14:paraId="6690CCAC">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（5）治理措施</w:t>
            </w:r>
          </w:p>
          <w:p w14:paraId="48F9E378">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为保证项目厂界噪声值符合《工业企业厂界环境噪声排放标准》（GB12348 -2008）中3类标准，减少生产噪声对周围环境的影响，同时还需对噪声源采取减震、合理布局等综合治理措施。</w:t>
            </w:r>
          </w:p>
          <w:p w14:paraId="65023CAF">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建议建设单位采取以下措施降低噪声对周围环境的影响：</w:t>
            </w:r>
          </w:p>
          <w:p w14:paraId="0725C766">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①选用低噪声设备</w:t>
            </w:r>
          </w:p>
          <w:p w14:paraId="0CF036E8">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目前各设备生产单位已把低噪声作为衡量设备质量的重要标志。在满足工艺生产的前提下，设计中考虑选用设备加工精度高、装配质量好、低噪声的设备是必要且可行的，特别是噪声较大的设备，更应尽可能选用低噪声产品。</w:t>
            </w:r>
          </w:p>
          <w:p w14:paraId="19131AFC">
            <w:pPr>
              <w:adjustRightInd w:val="0"/>
              <w:snapToGrid w:val="0"/>
              <w:spacing w:line="360" w:lineRule="auto"/>
              <w:ind w:firstLine="480" w:firstLineChars="200"/>
              <w:rPr>
                <w:rFonts w:hint="eastAsia" w:ascii="Times New Roman" w:hAnsi="Times New Roman" w:eastAsia="宋体" w:cs="Times New Roman"/>
                <w:color w:val="000000" w:themeColor="text1"/>
                <w:kern w:val="0"/>
                <w:sz w:val="24"/>
                <w:highlight w:val="none"/>
                <w:lang w:val="en-US" w:eastAsia="zh-CN"/>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②</w:t>
            </w:r>
            <w:r>
              <w:rPr>
                <w:rFonts w:hint="eastAsia" w:ascii="Times New Roman" w:hAnsi="Times New Roman" w:cs="Times New Roman"/>
                <w:color w:val="000000" w:themeColor="text1"/>
                <w:kern w:val="0"/>
                <w:sz w:val="24"/>
                <w:highlight w:val="none"/>
                <w:lang w:val="en-US" w:eastAsia="zh-CN"/>
                <w14:textFill>
                  <w14:solidFill>
                    <w14:schemeClr w14:val="tx1"/>
                  </w14:solidFill>
                </w14:textFill>
              </w:rPr>
              <w:t>室外引风机隔声</w:t>
            </w:r>
          </w:p>
          <w:p w14:paraId="1973FFD4">
            <w:pPr>
              <w:adjustRightInd w:val="0"/>
              <w:snapToGrid w:val="0"/>
              <w:spacing w:line="360" w:lineRule="auto"/>
              <w:ind w:firstLine="480" w:firstLineChars="200"/>
              <w:rPr>
                <w:rFonts w:hint="default" w:ascii="Times New Roman" w:hAnsi="Times New Roman" w:eastAsia="宋体" w:cs="Times New Roman"/>
                <w:color w:val="000000" w:themeColor="text1"/>
                <w:kern w:val="0"/>
                <w:sz w:val="24"/>
                <w:highlight w:val="none"/>
                <w:lang w:val="en-US" w:eastAsia="zh-CN"/>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隔声原理及其应用具体内容包括单、多层板以及复合板的隔声原理，隔声罩的设计原理，室内和室外隔声屏障的设计。利用材料（构件、结构或系统）来阻碍噪声的传播，使通过材料后噪声能量减少的方法，称为隔声。隔绝空气声往往采用木板、金属板、墙体等固体介质阻挡并减弱在空气中声波的传播，这些专门用来隔绝声波的固体介质称为隔声材料。</w:t>
            </w:r>
            <w:r>
              <w:rPr>
                <w:rFonts w:hint="eastAsia" w:ascii="Times New Roman" w:hAnsi="Times New Roman" w:cs="Times New Roman"/>
                <w:color w:val="000000" w:themeColor="text1"/>
                <w:kern w:val="0"/>
                <w:sz w:val="24"/>
                <w:highlight w:val="none"/>
                <w:lang w:val="en-US" w:eastAsia="zh-CN"/>
                <w14:textFill>
                  <w14:solidFill>
                    <w14:schemeClr w14:val="tx1"/>
                  </w14:solidFill>
                </w14:textFill>
              </w:rPr>
              <w:t>本项目室外引风机须采取隔声及以上治理措施后，根据预测可实现厂界噪声达标排放。</w:t>
            </w:r>
          </w:p>
          <w:p w14:paraId="6F131191">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③隔振与减振</w:t>
            </w:r>
          </w:p>
          <w:p w14:paraId="37B6ED96">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default" w:ascii="Times New Roman" w:hAnsi="Times New Roman" w:cs="Times New Roman"/>
                <w:color w:val="000000" w:themeColor="text1"/>
                <w:kern w:val="0"/>
                <w:sz w:val="24"/>
                <w:highlight w:val="none"/>
                <w14:textFill>
                  <w14:solidFill>
                    <w14:schemeClr w14:val="tx1"/>
                  </w14:solidFill>
                </w14:textFill>
              </w:rPr>
              <w:t>许多噪声是由于机械或板的振动而产生的，对于这种机械性噪声的治理，最常采用的方法是隔振与减振（阻尼）。在产生噪声较大的设备，与地基应避免刚性连接，采用隔振器或自行设置隔振装置来实现弹性连接；对于由金属薄板制成的空气动力机械的管道壁机器外壳，隔声罩等则应采用阻尼减振措施，其阻尼位置、种类、阻尼材料应据实际情况设计和选择。</w:t>
            </w:r>
          </w:p>
          <w:p w14:paraId="1DBEA38F">
            <w:pPr>
              <w:adjustRightInd w:val="0"/>
              <w:snapToGrid w:val="0"/>
              <w:spacing w:line="360" w:lineRule="auto"/>
              <w:ind w:firstLine="480" w:firstLineChars="200"/>
              <w:rPr>
                <w:rFonts w:hint="default" w:ascii="Times New Roman" w:hAnsi="Times New Roman" w:cs="Times New Roman"/>
                <w:color w:val="000000" w:themeColor="text1"/>
                <w:kern w:val="0"/>
                <w:sz w:val="24"/>
                <w:highlight w:val="none"/>
                <w14:textFill>
                  <w14:solidFill>
                    <w14:schemeClr w14:val="tx1"/>
                  </w14:solidFill>
                </w14:textFill>
              </w:rPr>
            </w:pPr>
            <w:r>
              <w:rPr>
                <w:rFonts w:hint="eastAsia" w:ascii="宋体" w:hAnsi="宋体" w:eastAsia="宋体" w:cs="宋体"/>
                <w:color w:val="000000" w:themeColor="text1"/>
                <w:kern w:val="0"/>
                <w:sz w:val="24"/>
                <w:highlight w:val="none"/>
                <w14:textFill>
                  <w14:solidFill>
                    <w14:schemeClr w14:val="tx1"/>
                  </w14:solidFill>
                </w14:textFill>
              </w:rPr>
              <w:t>④</w:t>
            </w:r>
            <w:r>
              <w:rPr>
                <w:rFonts w:hint="default" w:ascii="Times New Roman" w:hAnsi="Times New Roman" w:cs="Times New Roman"/>
                <w:color w:val="000000" w:themeColor="text1"/>
                <w:kern w:val="0"/>
                <w:sz w:val="24"/>
                <w:highlight w:val="none"/>
                <w14:textFill>
                  <w14:solidFill>
                    <w14:schemeClr w14:val="tx1"/>
                  </w14:solidFill>
                </w14:textFill>
              </w:rPr>
              <w:t>控制噪声声波的传播途径，采用封闭式厂房，利用建筑物、构筑物来阻隔声波的传播；同时在厂区四周采取绿化等措施，利用其屏蔽作用使噪声受到不同程度的隔绝，使厂界噪声达到国家标准。</w:t>
            </w:r>
          </w:p>
          <w:p w14:paraId="753F1304">
            <w:pPr>
              <w:pStyle w:val="16"/>
              <w:shd w:val="clear" w:color="auto" w:fill="auto"/>
              <w:adjustRightInd w:val="0"/>
              <w:snapToGrid w:val="0"/>
              <w:spacing w:before="0" w:beforeAutospacing="0" w:after="0"/>
              <w:ind w:left="0" w:leftChars="0" w:firstLine="482"/>
              <w:jc w:val="both"/>
              <w:rPr>
                <w:rFonts w:hint="default" w:ascii="Times New Roman" w:hAnsi="Times New Roman" w:cs="Times New Roman"/>
                <w:b/>
                <w:color w:val="000000" w:themeColor="text1"/>
                <w:highlight w:val="none"/>
                <w14:textFill>
                  <w14:solidFill>
                    <w14:schemeClr w14:val="tx1"/>
                  </w14:solidFill>
                </w14:textFill>
              </w:rPr>
            </w:pPr>
            <w:r>
              <w:rPr>
                <w:rFonts w:hint="eastAsia" w:cs="Times New Roman"/>
                <w:b/>
                <w:color w:val="000000" w:themeColor="text1"/>
                <w:highlight w:val="none"/>
                <w:lang w:val="en-US" w:eastAsia="zh-CN"/>
                <w14:textFill>
                  <w14:solidFill>
                    <w14:schemeClr w14:val="tx1"/>
                  </w14:solidFill>
                </w14:textFill>
              </w:rPr>
              <w:t>3</w:t>
            </w:r>
            <w:r>
              <w:rPr>
                <w:rFonts w:hint="default" w:ascii="Times New Roman" w:hAnsi="Times New Roman" w:cs="Times New Roman"/>
                <w:b/>
                <w:color w:val="000000" w:themeColor="text1"/>
                <w:highlight w:val="none"/>
                <w14:textFill>
                  <w14:solidFill>
                    <w14:schemeClr w14:val="tx1"/>
                  </w14:solidFill>
                </w14:textFill>
              </w:rPr>
              <w:t>、噪声监测要求</w:t>
            </w:r>
          </w:p>
          <w:p w14:paraId="2DD998BC">
            <w:pPr>
              <w:shd w:val="clear" w:color="auto" w:fill="auto"/>
              <w:snapToGrid w:val="0"/>
              <w:spacing w:line="240" w:lineRule="auto"/>
              <w:ind w:firstLine="482"/>
              <w:jc w:val="center"/>
              <w:rPr>
                <w:rFonts w:hint="default" w:ascii="Times New Roman" w:hAnsi="Times New Roman" w:cs="Times New Roman"/>
                <w:b/>
                <w:bCs/>
                <w:color w:val="000000" w:themeColor="text1"/>
                <w:kern w:val="2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表4-</w:t>
            </w:r>
            <w:r>
              <w:rPr>
                <w:rFonts w:hint="eastAsia" w:cs="Times New Roman"/>
                <w:b/>
                <w:color w:val="000000" w:themeColor="text1"/>
                <w:highlight w:val="none"/>
                <w:lang w:val="en-US" w:eastAsia="zh-CN"/>
                <w14:textFill>
                  <w14:solidFill>
                    <w14:schemeClr w14:val="tx1"/>
                  </w14:solidFill>
                </w14:textFill>
              </w:rPr>
              <w:t>8</w:t>
            </w:r>
            <w:r>
              <w:rPr>
                <w:rFonts w:hint="default" w:ascii="Times New Roman" w:hAnsi="Times New Roman" w:cs="Times New Roman"/>
                <w:b/>
                <w:color w:val="000000" w:themeColor="text1"/>
                <w:highlight w:val="none"/>
                <w:lang w:val="en-US" w:eastAsia="zh-CN"/>
                <w14:textFill>
                  <w14:solidFill>
                    <w14:schemeClr w14:val="tx1"/>
                  </w14:solidFill>
                </w14:textFill>
              </w:rPr>
              <w:t xml:space="preserve"> </w:t>
            </w:r>
            <w:r>
              <w:rPr>
                <w:rFonts w:hint="default" w:ascii="Times New Roman" w:hAnsi="Times New Roman" w:cs="Times New Roman"/>
                <w:b/>
                <w:color w:val="000000" w:themeColor="text1"/>
                <w:highlight w:val="none"/>
                <w14:textFill>
                  <w14:solidFill>
                    <w14:schemeClr w14:val="tx1"/>
                  </w14:solidFill>
                </w14:textFill>
              </w:rPr>
              <w:t>噪声监测计划一览表</w:t>
            </w:r>
          </w:p>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41"/>
              <w:gridCol w:w="1918"/>
              <w:gridCol w:w="1739"/>
              <w:gridCol w:w="6956"/>
            </w:tblGrid>
            <w:tr w14:paraId="339DA1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26" w:type="pct"/>
                  <w:noWrap w:val="0"/>
                  <w:vAlign w:val="center"/>
                </w:tcPr>
                <w:p w14:paraId="4A467F95">
                  <w:pPr>
                    <w:shd w:val="clear" w:color="auto" w:fill="auto"/>
                    <w:snapToGri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监测点位</w:t>
                  </w:r>
                </w:p>
              </w:tc>
              <w:tc>
                <w:tcPr>
                  <w:tcW w:w="718" w:type="pct"/>
                  <w:noWrap w:val="0"/>
                  <w:vAlign w:val="center"/>
                </w:tcPr>
                <w:p w14:paraId="6F928A74">
                  <w:pPr>
                    <w:shd w:val="clear" w:color="auto" w:fill="auto"/>
                    <w:snapToGri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监测指标</w:t>
                  </w:r>
                </w:p>
              </w:tc>
              <w:tc>
                <w:tcPr>
                  <w:tcW w:w="651" w:type="pct"/>
                  <w:noWrap w:val="0"/>
                  <w:vAlign w:val="center"/>
                </w:tcPr>
                <w:p w14:paraId="06FF0800">
                  <w:pPr>
                    <w:shd w:val="clear" w:color="auto" w:fill="auto"/>
                    <w:snapToGri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监测频次</w:t>
                  </w:r>
                </w:p>
              </w:tc>
              <w:tc>
                <w:tcPr>
                  <w:tcW w:w="2603" w:type="pct"/>
                  <w:noWrap w:val="0"/>
                  <w:vAlign w:val="center"/>
                </w:tcPr>
                <w:p w14:paraId="43B30EC5">
                  <w:pPr>
                    <w:shd w:val="clear" w:color="auto" w:fill="auto"/>
                    <w:snapToGrid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执行排放标准</w:t>
                  </w:r>
                </w:p>
              </w:tc>
            </w:tr>
            <w:tr w14:paraId="616F15D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26" w:type="pct"/>
                  <w:noWrap w:val="0"/>
                  <w:vAlign w:val="center"/>
                </w:tcPr>
                <w:p w14:paraId="4881CE10">
                  <w:pPr>
                    <w:shd w:val="clear" w:color="auto" w:fill="auto"/>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厂房厂界四周1m</w:t>
                  </w:r>
                </w:p>
              </w:tc>
              <w:tc>
                <w:tcPr>
                  <w:tcW w:w="718" w:type="pct"/>
                  <w:noWrap w:val="0"/>
                  <w:vAlign w:val="center"/>
                </w:tcPr>
                <w:p w14:paraId="55DE9686">
                  <w:pPr>
                    <w:shd w:val="clear" w:color="auto" w:fill="auto"/>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噪声</w:t>
                  </w:r>
                </w:p>
              </w:tc>
              <w:tc>
                <w:tcPr>
                  <w:tcW w:w="651" w:type="pct"/>
                  <w:noWrap w:val="0"/>
                  <w:vAlign w:val="center"/>
                </w:tcPr>
                <w:p w14:paraId="6B8FA910">
                  <w:pPr>
                    <w:shd w:val="clear" w:color="auto" w:fill="auto"/>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1次/季</w:t>
                  </w:r>
                </w:p>
              </w:tc>
              <w:tc>
                <w:tcPr>
                  <w:tcW w:w="2603" w:type="pct"/>
                  <w:noWrap w:val="0"/>
                  <w:vAlign w:val="center"/>
                </w:tcPr>
                <w:p w14:paraId="566E39A2">
                  <w:pPr>
                    <w:shd w:val="clear" w:color="auto" w:fill="auto"/>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厂界执行《工业企业厂界环境噪声排放标准》（GB12348-2008）3类标准</w:t>
                  </w:r>
                </w:p>
              </w:tc>
            </w:tr>
          </w:tbl>
          <w:p w14:paraId="35ED7F8E">
            <w:pPr>
              <w:pStyle w:val="58"/>
              <w:shd w:val="clear" w:color="auto" w:fill="auto"/>
              <w:ind w:firstLine="482" w:firstLineChars="20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四、固体废物</w:t>
            </w:r>
          </w:p>
          <w:p w14:paraId="1E794D0F">
            <w:pPr>
              <w:pStyle w:val="108"/>
              <w:shd w:val="clear" w:color="auto" w:fill="auto"/>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项目产生的固体废物主要为生活垃圾、一般固废和危险废物。</w:t>
            </w:r>
          </w:p>
          <w:p w14:paraId="12F84D05">
            <w:pPr>
              <w:pStyle w:val="108"/>
              <w:shd w:val="clear" w:color="auto" w:fill="auto"/>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1、生活垃圾</w:t>
            </w:r>
          </w:p>
          <w:p w14:paraId="5DDCE13B">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本项目定员</w:t>
            </w:r>
            <w:r>
              <w:rPr>
                <w:rFonts w:hint="eastAsia" w:cs="Times New Roman"/>
                <w:color w:val="000000" w:themeColor="text1"/>
                <w:highlight w:val="none"/>
                <w:lang w:val="en-US" w:eastAsia="zh-CN"/>
                <w14:textFill>
                  <w14:solidFill>
                    <w14:schemeClr w14:val="tx1"/>
                  </w14:solidFill>
                </w14:textFill>
              </w:rPr>
              <w:t>60</w:t>
            </w:r>
            <w:r>
              <w:rPr>
                <w:rFonts w:hint="default" w:ascii="Times New Roman" w:hAnsi="Times New Roman" w:cs="Times New Roman"/>
                <w:color w:val="000000" w:themeColor="text1"/>
                <w:highlight w:val="none"/>
                <w14:textFill>
                  <w14:solidFill>
                    <w14:schemeClr w14:val="tx1"/>
                  </w14:solidFill>
                </w14:textFill>
              </w:rPr>
              <w:t>人，生活垃圾的产生量按0.5kg/人∙天计，日产生活垃圾量为</w:t>
            </w:r>
            <w:r>
              <w:rPr>
                <w:rFonts w:hint="eastAsia" w:cs="Times New Roman"/>
                <w:color w:val="000000" w:themeColor="text1"/>
                <w:highlight w:val="none"/>
                <w:lang w:val="en-US" w:eastAsia="zh-CN"/>
                <w14:textFill>
                  <w14:solidFill>
                    <w14:schemeClr w14:val="tx1"/>
                  </w14:solidFill>
                </w14:textFill>
              </w:rPr>
              <w:t>30</w:t>
            </w:r>
            <w:r>
              <w:rPr>
                <w:rFonts w:hint="default" w:ascii="Times New Roman" w:hAnsi="Times New Roman" w:cs="Times New Roman"/>
                <w:color w:val="000000" w:themeColor="text1"/>
                <w:highlight w:val="none"/>
                <w14:textFill>
                  <w14:solidFill>
                    <w14:schemeClr w14:val="tx1"/>
                  </w14:solidFill>
                </w14:textFill>
              </w:rPr>
              <w:t>kg/d，年产生活垃圾量为</w:t>
            </w:r>
            <w:r>
              <w:rPr>
                <w:rFonts w:hint="eastAsia" w:cs="Times New Roman"/>
                <w:color w:val="000000" w:themeColor="text1"/>
                <w:highlight w:val="none"/>
                <w:lang w:val="en-US" w:eastAsia="zh-CN"/>
                <w14:textFill>
                  <w14:solidFill>
                    <w14:schemeClr w14:val="tx1"/>
                  </w14:solidFill>
                </w14:textFill>
              </w:rPr>
              <w:t>9.9</w:t>
            </w:r>
            <w:r>
              <w:rPr>
                <w:rFonts w:hint="default" w:ascii="Times New Roman" w:hAnsi="Times New Roman" w:cs="Times New Roman"/>
                <w:color w:val="000000" w:themeColor="text1"/>
                <w:highlight w:val="none"/>
                <w14:textFill>
                  <w14:solidFill>
                    <w14:schemeClr w14:val="tx1"/>
                  </w14:solidFill>
                </w14:textFill>
              </w:rPr>
              <w:t>t/a。生活垃圾全部袋装化，定时收集，垃圾桶密封无渗漏，集中收集后，委托当地环卫部门收集处置。</w:t>
            </w:r>
          </w:p>
          <w:p w14:paraId="06D0183A">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2、一般固废</w:t>
            </w:r>
          </w:p>
          <w:p w14:paraId="55F33A7C">
            <w:pPr>
              <w:pStyle w:val="118"/>
              <w:shd w:val="clear" w:color="auto" w:fill="auto"/>
              <w:ind w:firstLine="480"/>
              <w:jc w:val="both"/>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（1）钢材边角料及不合格品</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S1-2、S1-3、S1-5</w:t>
            </w:r>
            <w:r>
              <w:rPr>
                <w:rFonts w:hint="default" w:ascii="Times New Roman" w:hAnsi="Times New Roman" w:cs="Times New Roman"/>
                <w:color w:val="000000" w:themeColor="text1"/>
                <w:highlight w:val="none"/>
                <w:lang w:eastAsia="zh-CN"/>
                <w14:textFill>
                  <w14:solidFill>
                    <w14:schemeClr w14:val="tx1"/>
                  </w14:solidFill>
                </w14:textFill>
              </w:rPr>
              <w:t>）</w:t>
            </w:r>
          </w:p>
          <w:p w14:paraId="202FAD47">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lang w:val="en-US" w:eastAsia="zh-CN"/>
                <w14:textFill>
                  <w14:solidFill>
                    <w14:schemeClr w14:val="tx1"/>
                  </w14:solidFill>
                </w14:textFill>
              </w:rPr>
              <w:t>本项目产品产能为</w:t>
            </w:r>
            <w:r>
              <w:rPr>
                <w:rFonts w:hint="eastAsia" w:cs="Times New Roman"/>
                <w:color w:val="000000" w:themeColor="text1"/>
                <w:highlight w:val="none"/>
                <w:lang w:val="en-US" w:eastAsia="zh-CN"/>
                <w14:textFill>
                  <w14:solidFill>
                    <w14:schemeClr w14:val="tx1"/>
                  </w14:solidFill>
                </w14:textFill>
              </w:rPr>
              <w:t>104</w:t>
            </w:r>
            <w:r>
              <w:rPr>
                <w:rFonts w:hint="default" w:ascii="Times New Roman" w:hAnsi="Times New Roman" w:cs="Times New Roman"/>
                <w:color w:val="000000" w:themeColor="text1"/>
                <w:highlight w:val="none"/>
                <w:lang w:val="en-US" w:eastAsia="zh-CN"/>
                <w14:textFill>
                  <w14:solidFill>
                    <w14:schemeClr w14:val="tx1"/>
                  </w14:solidFill>
                </w14:textFill>
              </w:rPr>
              <w:t>00t，</w:t>
            </w:r>
            <w:r>
              <w:rPr>
                <w:rFonts w:hint="default" w:ascii="Times New Roman" w:hAnsi="Times New Roman" w:cs="Times New Roman"/>
                <w:color w:val="000000" w:themeColor="text1"/>
                <w:highlight w:val="none"/>
                <w:lang w:eastAsia="zh-CN"/>
                <w14:textFill>
                  <w14:solidFill>
                    <w14:schemeClr w14:val="tx1"/>
                  </w14:solidFill>
                </w14:textFill>
              </w:rPr>
              <w:t>根据</w:t>
            </w:r>
            <w:r>
              <w:rPr>
                <w:rFonts w:hint="default" w:ascii="Times New Roman" w:hAnsi="Times New Roman" w:eastAsia="宋体" w:cs="Times New Roman"/>
                <w:color w:val="000000" w:themeColor="text1"/>
                <w:kern w:val="2"/>
                <w:sz w:val="24"/>
                <w:szCs w:val="21"/>
                <w:highlight w:val="none"/>
                <w:lang w:val="en-US" w:eastAsia="zh-CN" w:bidi="ar-SA"/>
                <w14:textFill>
                  <w14:solidFill>
                    <w14:schemeClr w14:val="tx1"/>
                  </w14:solidFill>
                </w14:textFill>
              </w:rPr>
              <w:t>《铸造企业生产能力核算方法》（T/CFA030501-2020）</w:t>
            </w:r>
            <w:r>
              <w:rPr>
                <w:rFonts w:hint="default" w:ascii="Times New Roman" w:hAnsi="Times New Roman" w:cs="Times New Roman"/>
                <w:color w:val="000000" w:themeColor="text1"/>
                <w:highlight w:val="none"/>
                <w:lang w:eastAsia="zh-CN"/>
                <w14:textFill>
                  <w14:solidFill>
                    <w14:schemeClr w14:val="tx1"/>
                  </w14:solidFill>
                </w14:textFill>
              </w:rPr>
              <w:t>，项目铸件废品率为</w:t>
            </w:r>
            <w:r>
              <w:rPr>
                <w:rFonts w:hint="default" w:ascii="Times New Roman" w:hAnsi="Times New Roman" w:cs="Times New Roman"/>
                <w:color w:val="000000" w:themeColor="text1"/>
                <w:highlight w:val="none"/>
                <w:lang w:val="en-US" w:eastAsia="zh-CN"/>
                <w14:textFill>
                  <w14:solidFill>
                    <w14:schemeClr w14:val="tx1"/>
                  </w14:solidFill>
                </w14:textFill>
              </w:rPr>
              <w:t>3%，工艺出品率为</w:t>
            </w:r>
            <w:r>
              <w:rPr>
                <w:rFonts w:hint="eastAsia" w:cs="Times New Roman"/>
                <w:color w:val="000000" w:themeColor="text1"/>
                <w:highlight w:val="none"/>
                <w:lang w:val="en-US" w:eastAsia="zh-CN"/>
                <w14:textFill>
                  <w14:solidFill>
                    <w14:schemeClr w14:val="tx1"/>
                  </w14:solidFill>
                </w14:textFill>
              </w:rPr>
              <w:t>85</w:t>
            </w:r>
            <w:r>
              <w:rPr>
                <w:rFonts w:hint="default" w:ascii="Times New Roman" w:hAnsi="Times New Roman" w:cs="Times New Roman"/>
                <w:color w:val="000000" w:themeColor="text1"/>
                <w:highlight w:val="none"/>
                <w:lang w:val="en-US" w:eastAsia="zh-CN"/>
                <w14:textFill>
                  <w14:solidFill>
                    <w14:schemeClr w14:val="tx1"/>
                  </w14:solidFill>
                </w14:textFill>
              </w:rPr>
              <w:t>%，金属液利用率97%可知，</w:t>
            </w:r>
            <w:r>
              <w:rPr>
                <w:rFonts w:hint="default" w:ascii="Times New Roman" w:hAnsi="Times New Roman" w:cs="Times New Roman"/>
                <w:color w:val="000000" w:themeColor="text1"/>
                <w:highlight w:val="none"/>
                <w:lang w:eastAsia="zh-CN"/>
                <w14:textFill>
                  <w14:solidFill>
                    <w14:schemeClr w14:val="tx1"/>
                  </w14:solidFill>
                </w14:textFill>
              </w:rPr>
              <w:t>故</w:t>
            </w:r>
            <w:r>
              <w:rPr>
                <w:rFonts w:hint="default" w:ascii="Times New Roman" w:hAnsi="Times New Roman" w:cs="Times New Roman"/>
                <w:color w:val="000000" w:themeColor="text1"/>
                <w:highlight w:val="none"/>
                <w:lang w:val="en-US" w:eastAsia="zh-CN"/>
                <w14:textFill>
                  <w14:solidFill>
                    <w14:schemeClr w14:val="tx1"/>
                  </w14:solidFill>
                </w14:textFill>
              </w:rPr>
              <w:t>金属边角料和不合格品产生量</w:t>
            </w:r>
            <w:r>
              <w:rPr>
                <w:rFonts w:hint="default" w:ascii="Times New Roman" w:hAnsi="Times New Roman" w:cs="Times New Roman"/>
                <w:color w:val="000000" w:themeColor="text1"/>
                <w:highlight w:val="none"/>
                <w14:textFill>
                  <w14:solidFill>
                    <w14:schemeClr w14:val="tx1"/>
                  </w14:solidFill>
                </w14:textFill>
              </w:rPr>
              <w:t>约</w:t>
            </w:r>
            <w:r>
              <w:rPr>
                <w:rFonts w:hint="eastAsia" w:cs="Times New Roman"/>
                <w:color w:val="000000" w:themeColor="text1"/>
                <w:highlight w:val="none"/>
                <w:lang w:val="en-US" w:eastAsia="zh-CN"/>
                <w14:textFill>
                  <w14:solidFill>
                    <w14:schemeClr w14:val="tx1"/>
                  </w14:solidFill>
                </w14:textFill>
              </w:rPr>
              <w:t>2604</w:t>
            </w:r>
            <w:r>
              <w:rPr>
                <w:rFonts w:hint="default" w:ascii="Times New Roman" w:hAnsi="Times New Roman" w:cs="Times New Roman"/>
                <w:color w:val="000000" w:themeColor="text1"/>
                <w:highlight w:val="none"/>
                <w14:textFill>
                  <w14:solidFill>
                    <w14:schemeClr w14:val="tx1"/>
                  </w14:solidFill>
                </w14:textFill>
              </w:rPr>
              <w:t>t/a，</w:t>
            </w:r>
            <w:r>
              <w:rPr>
                <w:rFonts w:hint="default" w:ascii="Times New Roman" w:hAnsi="Times New Roman" w:cs="Times New Roman"/>
                <w:color w:val="000000" w:themeColor="text1"/>
                <w:highlight w:val="none"/>
                <w:lang w:val="en-US" w:eastAsia="zh-CN"/>
                <w14:textFill>
                  <w14:solidFill>
                    <w14:schemeClr w14:val="tx1"/>
                  </w14:solidFill>
                </w14:textFill>
              </w:rPr>
              <w:t>该部分金属边角料和不合格品</w:t>
            </w:r>
            <w:r>
              <w:rPr>
                <w:rFonts w:hint="default" w:ascii="Times New Roman" w:hAnsi="Times New Roman" w:cs="Times New Roman"/>
                <w:color w:val="000000" w:themeColor="text1"/>
                <w:highlight w:val="none"/>
                <w14:textFill>
                  <w14:solidFill>
                    <w14:schemeClr w14:val="tx1"/>
                  </w14:solidFill>
                </w14:textFill>
              </w:rPr>
              <w:t>全部回炉</w:t>
            </w:r>
            <w:r>
              <w:rPr>
                <w:rFonts w:hint="default" w:ascii="Times New Roman" w:hAnsi="Times New Roman" w:cs="Times New Roman"/>
                <w:color w:val="000000" w:themeColor="text1"/>
                <w:highlight w:val="none"/>
                <w:lang w:val="en-US" w:eastAsia="zh-CN"/>
                <w14:textFill>
                  <w14:solidFill>
                    <w14:schemeClr w14:val="tx1"/>
                  </w14:solidFill>
                </w14:textFill>
              </w:rPr>
              <w:t>重造</w:t>
            </w:r>
            <w:r>
              <w:rPr>
                <w:rFonts w:hint="default" w:ascii="Times New Roman" w:hAnsi="Times New Roman" w:cs="Times New Roman"/>
                <w:color w:val="000000" w:themeColor="text1"/>
                <w:highlight w:val="none"/>
                <w14:textFill>
                  <w14:solidFill>
                    <w14:schemeClr w14:val="tx1"/>
                  </w14:solidFill>
                </w14:textFill>
              </w:rPr>
              <w:t>。</w:t>
            </w:r>
          </w:p>
          <w:p w14:paraId="7ABA5339">
            <w:pPr>
              <w:pStyle w:val="118"/>
              <w:shd w:val="clear" w:color="auto" w:fill="auto"/>
              <w:ind w:firstLine="480"/>
              <w:jc w:val="both"/>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（2）炉渣</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S1-1</w:t>
            </w:r>
            <w:r>
              <w:rPr>
                <w:rFonts w:hint="default" w:ascii="Times New Roman" w:hAnsi="Times New Roman" w:cs="Times New Roman"/>
                <w:color w:val="000000" w:themeColor="text1"/>
                <w:highlight w:val="none"/>
                <w:lang w:eastAsia="zh-CN"/>
                <w14:textFill>
                  <w14:solidFill>
                    <w14:schemeClr w14:val="tx1"/>
                  </w14:solidFill>
                </w14:textFill>
              </w:rPr>
              <w:t>）</w:t>
            </w:r>
          </w:p>
          <w:p w14:paraId="5EC40F69">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中频炉熔化工序会产生一定量的炉渣，根据</w:t>
            </w:r>
            <w:r>
              <w:rPr>
                <w:rFonts w:hint="default" w:ascii="Times New Roman" w:hAnsi="Times New Roman" w:cs="Times New Roman"/>
                <w:color w:val="000000" w:themeColor="text1"/>
                <w:highlight w:val="none"/>
                <w:lang w:eastAsia="zh-CN"/>
                <w14:textFill>
                  <w14:solidFill>
                    <w14:schemeClr w14:val="tx1"/>
                  </w14:solidFill>
                </w14:textFill>
              </w:rPr>
              <w:t>物料平衡</w:t>
            </w:r>
            <w:r>
              <w:rPr>
                <w:rFonts w:hint="default" w:ascii="Times New Roman" w:hAnsi="Times New Roman" w:cs="Times New Roman"/>
                <w:color w:val="000000" w:themeColor="text1"/>
                <w:highlight w:val="none"/>
                <w14:textFill>
                  <w14:solidFill>
                    <w14:schemeClr w14:val="tx1"/>
                  </w14:solidFill>
                </w14:textFill>
              </w:rPr>
              <w:t>介绍，炉渣产生量</w:t>
            </w:r>
            <w:r>
              <w:rPr>
                <w:rFonts w:hint="eastAsia" w:cs="Times New Roman"/>
                <w:color w:val="000000" w:themeColor="text1"/>
                <w:highlight w:val="none"/>
                <w:lang w:val="en-US" w:eastAsia="zh-CN"/>
                <w14:textFill>
                  <w14:solidFill>
                    <w14:schemeClr w14:val="tx1"/>
                  </w14:solidFill>
                </w14:textFill>
              </w:rPr>
              <w:t>约92.378</w:t>
            </w:r>
            <w:r>
              <w:rPr>
                <w:rFonts w:hint="default" w:ascii="Times New Roman" w:hAnsi="Times New Roman" w:cs="Times New Roman"/>
                <w:color w:val="000000" w:themeColor="text1"/>
                <w:highlight w:val="none"/>
                <w:lang w:val="en-US" w:eastAsia="zh-CN"/>
                <w14:textFill>
                  <w14:solidFill>
                    <w14:schemeClr w14:val="tx1"/>
                  </w14:solidFill>
                </w14:textFill>
              </w:rPr>
              <w:t>t</w:t>
            </w:r>
            <w:r>
              <w:rPr>
                <w:rFonts w:hint="default" w:ascii="Times New Roman" w:hAnsi="Times New Roman" w:cs="Times New Roman"/>
                <w:color w:val="000000" w:themeColor="text1"/>
                <w:highlight w:val="none"/>
                <w14:textFill>
                  <w14:solidFill>
                    <w14:schemeClr w14:val="tx1"/>
                  </w14:solidFill>
                </w14:textFill>
              </w:rPr>
              <w:t>/a，熔化炉渣集中收集后外售给物资回收单位作建材。</w:t>
            </w:r>
          </w:p>
          <w:p w14:paraId="7C226AF0">
            <w:pPr>
              <w:pStyle w:val="118"/>
              <w:shd w:val="clear" w:color="auto" w:fill="auto"/>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（3）废</w:t>
            </w:r>
            <w:r>
              <w:rPr>
                <w:rFonts w:hint="eastAsia"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砂</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S1-4</w:t>
            </w:r>
            <w:r>
              <w:rPr>
                <w:rFonts w:hint="eastAsia" w:cs="Times New Roman"/>
                <w:color w:val="000000" w:themeColor="text1"/>
                <w:highlight w:val="none"/>
                <w:lang w:eastAsia="zh-CN"/>
                <w14:textFill>
                  <w14:solidFill>
                    <w14:schemeClr w14:val="tx1"/>
                  </w14:solidFill>
                </w14:textFill>
              </w:rPr>
              <w:t>）</w:t>
            </w:r>
          </w:p>
          <w:p w14:paraId="55033C61">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本项目使用</w:t>
            </w:r>
            <w:r>
              <w:rPr>
                <w:rFonts w:hint="eastAsia" w:cs="Times New Roman"/>
                <w:color w:val="000000" w:themeColor="text1"/>
                <w:highlight w:val="none"/>
                <w:lang w:val="en-US" w:eastAsia="zh-CN"/>
                <w14:textFill>
                  <w14:solidFill>
                    <w14:schemeClr w14:val="tx1"/>
                  </w14:solidFill>
                </w14:textFill>
              </w:rPr>
              <w:t>树脂砂和粘土砂</w:t>
            </w:r>
            <w:r>
              <w:rPr>
                <w:rFonts w:hint="default" w:ascii="Times New Roman" w:hAnsi="Times New Roman" w:cs="Times New Roman"/>
                <w:color w:val="000000" w:themeColor="text1"/>
                <w:highlight w:val="none"/>
                <w14:textFill>
                  <w14:solidFill>
                    <w14:schemeClr w14:val="tx1"/>
                  </w14:solidFill>
                </w14:textFill>
              </w:rPr>
              <w:t>进行生产，运行过程中会有废</w:t>
            </w:r>
            <w:r>
              <w:rPr>
                <w:rFonts w:hint="eastAsia"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砂产生，根据</w:t>
            </w:r>
            <w:r>
              <w:rPr>
                <w:rFonts w:hint="default" w:ascii="Times New Roman" w:hAnsi="Times New Roman" w:cs="Times New Roman"/>
                <w:color w:val="000000" w:themeColor="text1"/>
                <w:highlight w:val="none"/>
                <w:lang w:eastAsia="zh-CN"/>
                <w14:textFill>
                  <w14:solidFill>
                    <w14:schemeClr w14:val="tx1"/>
                  </w14:solidFill>
                </w14:textFill>
              </w:rPr>
              <w:t>物料平衡</w:t>
            </w:r>
            <w:r>
              <w:rPr>
                <w:rFonts w:hint="default" w:ascii="Times New Roman" w:hAnsi="Times New Roman" w:cs="Times New Roman"/>
                <w:color w:val="000000" w:themeColor="text1"/>
                <w:highlight w:val="none"/>
                <w14:textFill>
                  <w14:solidFill>
                    <w14:schemeClr w14:val="tx1"/>
                  </w14:solidFill>
                </w14:textFill>
              </w:rPr>
              <w:t>介绍，废</w:t>
            </w:r>
            <w:r>
              <w:rPr>
                <w:rFonts w:hint="eastAsia"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砂的产生量</w:t>
            </w:r>
            <w:r>
              <w:rPr>
                <w:rFonts w:hint="eastAsia" w:cs="Times New Roman"/>
                <w:color w:val="000000" w:themeColor="text1"/>
                <w:highlight w:val="none"/>
                <w:lang w:val="en-US" w:eastAsia="zh-CN"/>
                <w14:textFill>
                  <w14:solidFill>
                    <w14:schemeClr w14:val="tx1"/>
                  </w14:solidFill>
                </w14:textFill>
              </w:rPr>
              <w:t>47350.864</w:t>
            </w:r>
            <w:r>
              <w:rPr>
                <w:rFonts w:hint="default" w:ascii="Times New Roman" w:hAnsi="Times New Roman" w:cs="Times New Roman"/>
                <w:color w:val="000000" w:themeColor="text1"/>
                <w:highlight w:val="none"/>
                <w14:textFill>
                  <w14:solidFill>
                    <w14:schemeClr w14:val="tx1"/>
                  </w14:solidFill>
                </w14:textFill>
              </w:rPr>
              <w:t>t/a，废</w:t>
            </w:r>
            <w:r>
              <w:rPr>
                <w:rFonts w:hint="eastAsia" w:cs="Times New Roman"/>
                <w:color w:val="000000" w:themeColor="text1"/>
                <w:highlight w:val="none"/>
                <w:lang w:val="en-US" w:eastAsia="zh-CN"/>
                <w14:textFill>
                  <w14:solidFill>
                    <w14:schemeClr w14:val="tx1"/>
                  </w14:solidFill>
                </w14:textFill>
              </w:rPr>
              <w:t>再生</w:t>
            </w:r>
            <w:r>
              <w:rPr>
                <w:rFonts w:hint="default" w:ascii="Times New Roman" w:hAnsi="Times New Roman" w:cs="Times New Roman"/>
                <w:color w:val="000000" w:themeColor="text1"/>
                <w:highlight w:val="none"/>
                <w14:textFill>
                  <w14:solidFill>
                    <w14:schemeClr w14:val="tx1"/>
                  </w14:solidFill>
                </w14:textFill>
              </w:rPr>
              <w:t>砂</w:t>
            </w:r>
            <w:r>
              <w:rPr>
                <w:rFonts w:hint="eastAsia" w:cs="Times New Roman"/>
                <w:color w:val="000000" w:themeColor="text1"/>
                <w:highlight w:val="none"/>
                <w:lang w:val="en-US" w:eastAsia="zh-CN"/>
                <w14:textFill>
                  <w14:solidFill>
                    <w14:schemeClr w14:val="tx1"/>
                  </w14:solidFill>
                </w14:textFill>
              </w:rPr>
              <w:t>进入</w:t>
            </w:r>
            <w:r>
              <w:rPr>
                <w:rFonts w:hint="default" w:ascii="Times New Roman" w:hAnsi="Times New Roman" w:cs="Times New Roman"/>
                <w:color w:val="000000" w:themeColor="text1"/>
                <w:highlight w:val="none"/>
                <w14:textFill>
                  <w14:solidFill>
                    <w14:schemeClr w14:val="tx1"/>
                  </w14:solidFill>
                </w14:textFill>
              </w:rPr>
              <w:t>砂处理再生线再生。</w:t>
            </w:r>
          </w:p>
          <w:p w14:paraId="4FBE4F3C">
            <w:pPr>
              <w:shd w:val="clear" w:color="auto" w:fill="auto"/>
              <w:adjustRightInd w:val="0"/>
              <w:snapToGrid w:val="0"/>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4</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废抛丸（S1-6）</w:t>
            </w:r>
          </w:p>
          <w:p w14:paraId="14882477">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本项目钢丸用量</w:t>
            </w:r>
            <w:r>
              <w:rPr>
                <w:rFonts w:hint="eastAsia"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t/a，废钢丸产生量约为</w:t>
            </w:r>
            <w:r>
              <w:rPr>
                <w:rFonts w:hint="eastAsia" w:cs="Times New Roman"/>
                <w:color w:val="000000" w:themeColor="text1"/>
                <w:highlight w:val="none"/>
                <w:lang w:val="en-US" w:eastAsia="zh-CN"/>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t/a，统一收集后外售综合利用。</w:t>
            </w:r>
          </w:p>
          <w:p w14:paraId="7931E4B1">
            <w:pPr>
              <w:shd w:val="clear" w:color="auto" w:fill="auto"/>
              <w:adjustRightInd w:val="0"/>
              <w:snapToGrid w:val="0"/>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5</w:t>
            </w:r>
            <w:r>
              <w:rPr>
                <w:rFonts w:hint="eastAsia" w:cs="Times New Roman"/>
                <w:color w:val="000000" w:themeColor="text1"/>
                <w:highlight w:val="none"/>
                <w:lang w:eastAsia="zh-CN"/>
                <w14:textFill>
                  <w14:solidFill>
                    <w14:schemeClr w14:val="tx1"/>
                  </w14:solidFill>
                </w14:textFill>
              </w:rPr>
              <w:t>）不可再生砂（</w:t>
            </w:r>
            <w:r>
              <w:rPr>
                <w:rFonts w:hint="eastAsia" w:cs="Times New Roman"/>
                <w:color w:val="000000" w:themeColor="text1"/>
                <w:highlight w:val="none"/>
                <w:lang w:val="en-US" w:eastAsia="zh-CN"/>
                <w14:textFill>
                  <w14:solidFill>
                    <w14:schemeClr w14:val="tx1"/>
                  </w14:solidFill>
                </w14:textFill>
              </w:rPr>
              <w:t>S2-2</w:t>
            </w:r>
            <w:r>
              <w:rPr>
                <w:rFonts w:hint="eastAsia" w:cs="Times New Roman"/>
                <w:color w:val="000000" w:themeColor="text1"/>
                <w:highlight w:val="none"/>
                <w:lang w:eastAsia="zh-CN"/>
                <w14:textFill>
                  <w14:solidFill>
                    <w14:schemeClr w14:val="tx1"/>
                  </w14:solidFill>
                </w14:textFill>
              </w:rPr>
              <w:t>）</w:t>
            </w:r>
          </w:p>
          <w:p w14:paraId="159E0F9D">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树脂砂研磨再生</w:t>
            </w:r>
            <w:r>
              <w:rPr>
                <w:rFonts w:hint="default" w:ascii="Times New Roman" w:hAnsi="Times New Roman" w:cs="Times New Roman"/>
                <w:color w:val="000000" w:themeColor="text1"/>
                <w:highlight w:val="none"/>
                <w14:textFill>
                  <w14:solidFill>
                    <w14:schemeClr w14:val="tx1"/>
                  </w14:solidFill>
                </w14:textFill>
              </w:rPr>
              <w:t>工序会产生一定量的</w:t>
            </w:r>
            <w:r>
              <w:rPr>
                <w:rFonts w:hint="eastAsia" w:cs="Times New Roman"/>
                <w:color w:val="000000" w:themeColor="text1"/>
                <w:highlight w:val="none"/>
                <w:lang w:eastAsia="zh-CN"/>
                <w14:textFill>
                  <w14:solidFill>
                    <w14:schemeClr w14:val="tx1"/>
                  </w14:solidFill>
                </w14:textFill>
              </w:rPr>
              <w:t>不可再生砂</w:t>
            </w:r>
            <w:r>
              <w:rPr>
                <w:rFonts w:hint="default" w:ascii="Times New Roman" w:hAnsi="Times New Roman" w:cs="Times New Roman"/>
                <w:color w:val="000000" w:themeColor="text1"/>
                <w:highlight w:val="none"/>
                <w14:textFill>
                  <w14:solidFill>
                    <w14:schemeClr w14:val="tx1"/>
                  </w14:solidFill>
                </w14:textFill>
              </w:rPr>
              <w:t>，根据</w:t>
            </w:r>
            <w:r>
              <w:rPr>
                <w:rFonts w:hint="default" w:ascii="Times New Roman" w:hAnsi="Times New Roman" w:cs="Times New Roman"/>
                <w:color w:val="000000" w:themeColor="text1"/>
                <w:highlight w:val="none"/>
                <w:lang w:eastAsia="zh-CN"/>
                <w14:textFill>
                  <w14:solidFill>
                    <w14:schemeClr w14:val="tx1"/>
                  </w14:solidFill>
                </w14:textFill>
              </w:rPr>
              <w:t>物料平衡</w:t>
            </w:r>
            <w:r>
              <w:rPr>
                <w:rFonts w:hint="default" w:ascii="Times New Roman" w:hAnsi="Times New Roman" w:cs="Times New Roman"/>
                <w:color w:val="000000" w:themeColor="text1"/>
                <w:highlight w:val="none"/>
                <w14:textFill>
                  <w14:solidFill>
                    <w14:schemeClr w14:val="tx1"/>
                  </w14:solidFill>
                </w14:textFill>
              </w:rPr>
              <w:t>介绍，</w:t>
            </w:r>
            <w:r>
              <w:rPr>
                <w:rFonts w:hint="eastAsia" w:cs="Times New Roman"/>
                <w:color w:val="000000" w:themeColor="text1"/>
                <w:highlight w:val="none"/>
                <w:lang w:eastAsia="zh-CN"/>
                <w14:textFill>
                  <w14:solidFill>
                    <w14:schemeClr w14:val="tx1"/>
                  </w14:solidFill>
                </w14:textFill>
              </w:rPr>
              <w:t>不可再生砂</w:t>
            </w:r>
            <w:r>
              <w:rPr>
                <w:rFonts w:hint="default" w:ascii="Times New Roman" w:hAnsi="Times New Roman" w:cs="Times New Roman"/>
                <w:color w:val="000000" w:themeColor="text1"/>
                <w:highlight w:val="none"/>
                <w14:textFill>
                  <w14:solidFill>
                    <w14:schemeClr w14:val="tx1"/>
                  </w14:solidFill>
                </w14:textFill>
              </w:rPr>
              <w:t>产生量</w:t>
            </w:r>
            <w:r>
              <w:rPr>
                <w:rFonts w:hint="eastAsia" w:cs="Times New Roman"/>
                <w:color w:val="000000" w:themeColor="text1"/>
                <w:highlight w:val="none"/>
                <w:lang w:val="en-US" w:eastAsia="zh-CN"/>
                <w14:textFill>
                  <w14:solidFill>
                    <w14:schemeClr w14:val="tx1"/>
                  </w14:solidFill>
                </w14:textFill>
              </w:rPr>
              <w:t>约330</w:t>
            </w:r>
            <w:r>
              <w:rPr>
                <w:rFonts w:hint="default" w:ascii="Times New Roman" w:hAnsi="Times New Roman" w:cs="Times New Roman"/>
                <w:color w:val="000000" w:themeColor="text1"/>
                <w:highlight w:val="none"/>
                <w:lang w:val="en-US" w:eastAsia="zh-CN"/>
                <w14:textFill>
                  <w14:solidFill>
                    <w14:schemeClr w14:val="tx1"/>
                  </w14:solidFill>
                </w14:textFill>
              </w:rPr>
              <w:t>t</w:t>
            </w:r>
            <w:r>
              <w:rPr>
                <w:rFonts w:hint="default" w:ascii="Times New Roman" w:hAnsi="Times New Roman" w:cs="Times New Roman"/>
                <w:color w:val="000000" w:themeColor="text1"/>
                <w:highlight w:val="none"/>
                <w14:textFill>
                  <w14:solidFill>
                    <w14:schemeClr w14:val="tx1"/>
                  </w14:solidFill>
                </w14:textFill>
              </w:rPr>
              <w:t>/a，</w:t>
            </w:r>
            <w:r>
              <w:rPr>
                <w:rFonts w:hint="eastAsia" w:cs="Times New Roman"/>
                <w:color w:val="000000" w:themeColor="text1"/>
                <w:highlight w:val="none"/>
                <w:lang w:eastAsia="zh-CN"/>
                <w14:textFill>
                  <w14:solidFill>
                    <w14:schemeClr w14:val="tx1"/>
                  </w14:solidFill>
                </w14:textFill>
              </w:rPr>
              <w:t>不可再生砂</w:t>
            </w:r>
            <w:r>
              <w:rPr>
                <w:rFonts w:hint="default" w:ascii="Times New Roman" w:hAnsi="Times New Roman" w:cs="Times New Roman"/>
                <w:color w:val="000000" w:themeColor="text1"/>
                <w:highlight w:val="none"/>
                <w14:textFill>
                  <w14:solidFill>
                    <w14:schemeClr w14:val="tx1"/>
                  </w14:solidFill>
                </w14:textFill>
              </w:rPr>
              <w:t>集中收集后外售给物资回收单位作建材。</w:t>
            </w:r>
          </w:p>
          <w:p w14:paraId="20BFB30C">
            <w:pPr>
              <w:shd w:val="clear" w:color="auto" w:fill="auto"/>
              <w:adjustRightInd w:val="0"/>
              <w:snapToGrid w:val="0"/>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）磁选金属</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S2-1、S3-1</w:t>
            </w:r>
            <w:r>
              <w:rPr>
                <w:rFonts w:hint="eastAsia" w:cs="Times New Roman"/>
                <w:color w:val="000000" w:themeColor="text1"/>
                <w:highlight w:val="none"/>
                <w:lang w:eastAsia="zh-CN"/>
                <w14:textFill>
                  <w14:solidFill>
                    <w14:schemeClr w14:val="tx1"/>
                  </w14:solidFill>
                </w14:textFill>
              </w:rPr>
              <w:t>）</w:t>
            </w:r>
          </w:p>
          <w:p w14:paraId="0DD5478A">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本项目在</w:t>
            </w:r>
            <w:r>
              <w:rPr>
                <w:rFonts w:hint="default" w:ascii="Times New Roman" w:hAnsi="Times New Roman" w:cs="Times New Roman"/>
                <w:color w:val="000000" w:themeColor="text1"/>
                <w:highlight w:val="none"/>
                <w:lang w:val="en-US" w:eastAsia="zh-CN"/>
                <w14:textFill>
                  <w14:solidFill>
                    <w14:schemeClr w14:val="tx1"/>
                  </w14:solidFill>
                </w14:textFill>
              </w:rPr>
              <w:t>废树脂砂和废粘土砂</w:t>
            </w:r>
            <w:r>
              <w:rPr>
                <w:rFonts w:hint="default" w:ascii="Times New Roman" w:hAnsi="Times New Roman" w:cs="Times New Roman"/>
                <w:color w:val="000000" w:themeColor="text1"/>
                <w:highlight w:val="none"/>
                <w14:textFill>
                  <w14:solidFill>
                    <w14:schemeClr w14:val="tx1"/>
                  </w14:solidFill>
                </w14:textFill>
              </w:rPr>
              <w:t>再生过程中，会磁选出</w:t>
            </w:r>
            <w:r>
              <w:rPr>
                <w:rFonts w:hint="default" w:ascii="Times New Roman" w:hAnsi="Times New Roman" w:cs="Times New Roman"/>
                <w:color w:val="000000" w:themeColor="text1"/>
                <w:highlight w:val="none"/>
                <w:lang w:val="en-US" w:eastAsia="zh-CN"/>
                <w14:textFill>
                  <w14:solidFill>
                    <w14:schemeClr w14:val="tx1"/>
                  </w14:solidFill>
                </w14:textFill>
              </w:rPr>
              <w:t>废树脂砂和废粘土砂</w:t>
            </w:r>
            <w:r>
              <w:rPr>
                <w:rFonts w:hint="default" w:ascii="Times New Roman" w:hAnsi="Times New Roman" w:cs="Times New Roman"/>
                <w:color w:val="000000" w:themeColor="text1"/>
                <w:highlight w:val="none"/>
                <w14:textFill>
                  <w14:solidFill>
                    <w14:schemeClr w14:val="tx1"/>
                  </w14:solidFill>
                </w14:textFill>
              </w:rPr>
              <w:t>中的金属，根据</w:t>
            </w:r>
            <w:r>
              <w:rPr>
                <w:rFonts w:hint="default" w:ascii="Times New Roman" w:hAnsi="Times New Roman" w:cs="Times New Roman"/>
                <w:color w:val="000000" w:themeColor="text1"/>
                <w:highlight w:val="none"/>
                <w:lang w:eastAsia="zh-CN"/>
                <w14:textFill>
                  <w14:solidFill>
                    <w14:schemeClr w14:val="tx1"/>
                  </w14:solidFill>
                </w14:textFill>
              </w:rPr>
              <w:t>物料平衡</w:t>
            </w:r>
            <w:r>
              <w:rPr>
                <w:rFonts w:hint="default" w:ascii="Times New Roman" w:hAnsi="Times New Roman" w:cs="Times New Roman"/>
                <w:color w:val="000000" w:themeColor="text1"/>
                <w:highlight w:val="none"/>
                <w14:textFill>
                  <w14:solidFill>
                    <w14:schemeClr w14:val="tx1"/>
                  </w14:solidFill>
                </w14:textFill>
              </w:rPr>
              <w:t>介绍，</w:t>
            </w:r>
            <w:r>
              <w:rPr>
                <w:rFonts w:hint="default" w:ascii="Times New Roman" w:hAnsi="Times New Roman" w:cs="Times New Roman"/>
                <w:color w:val="000000" w:themeColor="text1"/>
                <w:highlight w:val="none"/>
                <w:lang w:val="en-US" w:eastAsia="zh-CN"/>
                <w14:textFill>
                  <w14:solidFill>
                    <w14:schemeClr w14:val="tx1"/>
                  </w14:solidFill>
                </w14:textFill>
              </w:rPr>
              <w:t>磁选出的</w:t>
            </w:r>
            <w:r>
              <w:rPr>
                <w:rFonts w:hint="default" w:ascii="Times New Roman" w:hAnsi="Times New Roman" w:cs="Times New Roman"/>
                <w:color w:val="000000" w:themeColor="text1"/>
                <w:highlight w:val="none"/>
                <w14:textFill>
                  <w14:solidFill>
                    <w14:schemeClr w14:val="tx1"/>
                  </w14:solidFill>
                </w14:textFill>
              </w:rPr>
              <w:t>的产生量约为1</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t/a，收集后外售综合利用。</w:t>
            </w:r>
          </w:p>
          <w:p w14:paraId="14A2B476">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7</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布袋</w:t>
            </w:r>
            <w:r>
              <w:rPr>
                <w:rFonts w:hint="default" w:ascii="Times New Roman" w:hAnsi="Times New Roman" w:cs="Times New Roman"/>
                <w:color w:val="000000" w:themeColor="text1"/>
                <w:highlight w:val="none"/>
                <w14:textFill>
                  <w14:solidFill>
                    <w14:schemeClr w14:val="tx1"/>
                  </w14:solidFill>
                </w14:textFill>
              </w:rPr>
              <w:t>除尘灰</w:t>
            </w:r>
          </w:p>
          <w:p w14:paraId="5CEFB55C">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根据工程分析可得，浇注、造型、</w:t>
            </w:r>
            <w:r>
              <w:rPr>
                <w:rFonts w:hint="eastAsia" w:cs="Times New Roman"/>
                <w:color w:val="000000" w:themeColor="text1"/>
                <w:highlight w:val="none"/>
                <w:lang w:val="en-US" w:eastAsia="zh-CN"/>
                <w14:textFill>
                  <w14:solidFill>
                    <w14:schemeClr w14:val="tx1"/>
                  </w14:solidFill>
                </w14:textFill>
              </w:rPr>
              <w:t>落砂</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砂再生、打磨</w:t>
            </w:r>
            <w:r>
              <w:rPr>
                <w:rFonts w:hint="default" w:ascii="Times New Roman" w:hAnsi="Times New Roman" w:cs="Times New Roman"/>
                <w:color w:val="000000" w:themeColor="text1"/>
                <w:highlight w:val="none"/>
                <w14:textFill>
                  <w14:solidFill>
                    <w14:schemeClr w14:val="tx1"/>
                  </w14:solidFill>
                </w14:textFill>
              </w:rPr>
              <w:t>抛丸布袋除尘器收集粉尘量为</w:t>
            </w:r>
            <w:r>
              <w:rPr>
                <w:rFonts w:hint="eastAsia" w:cs="Times New Roman"/>
                <w:color w:val="000000" w:themeColor="text1"/>
                <w:highlight w:val="none"/>
                <w:lang w:val="en-US" w:eastAsia="zh-CN"/>
                <w14:textFill>
                  <w14:solidFill>
                    <w14:schemeClr w14:val="tx1"/>
                  </w14:solidFill>
                </w14:textFill>
              </w:rPr>
              <w:t>219.94</w:t>
            </w:r>
            <w:r>
              <w:rPr>
                <w:rFonts w:hint="default" w:ascii="Times New Roman" w:hAnsi="Times New Roman" w:cs="Times New Roman"/>
                <w:color w:val="000000" w:themeColor="text1"/>
                <w:highlight w:val="none"/>
                <w14:textFill>
                  <w14:solidFill>
                    <w14:schemeClr w14:val="tx1"/>
                  </w14:solidFill>
                </w14:textFill>
              </w:rPr>
              <w:t>t/a，该粉尘集中收集后</w:t>
            </w:r>
            <w:r>
              <w:rPr>
                <w:rFonts w:hint="eastAsia" w:cs="Times New Roman"/>
                <w:color w:val="000000" w:themeColor="text1"/>
                <w:highlight w:val="none"/>
                <w:lang w:val="en-US" w:eastAsia="zh-CN"/>
                <w14:textFill>
                  <w14:solidFill>
                    <w14:schemeClr w14:val="tx1"/>
                  </w14:solidFill>
                </w14:textFill>
              </w:rPr>
              <w:t>外售作为水泥和混凝土的添加剂</w:t>
            </w:r>
            <w:r>
              <w:rPr>
                <w:rFonts w:hint="default" w:ascii="Times New Roman" w:hAnsi="Times New Roman" w:cs="Times New Roman"/>
                <w:color w:val="000000" w:themeColor="text1"/>
                <w:highlight w:val="none"/>
                <w14:textFill>
                  <w14:solidFill>
                    <w14:schemeClr w14:val="tx1"/>
                  </w14:solidFill>
                </w14:textFill>
              </w:rPr>
              <w:t>再利用。</w:t>
            </w:r>
          </w:p>
          <w:p w14:paraId="1FCFBF8D">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8</w:t>
            </w:r>
            <w:r>
              <w:rPr>
                <w:rFonts w:hint="default" w:ascii="Times New Roman" w:hAnsi="Times New Roman" w:cs="Times New Roman"/>
                <w:color w:val="000000" w:themeColor="text1"/>
                <w:highlight w:val="none"/>
                <w14:textFill>
                  <w14:solidFill>
                    <w14:schemeClr w14:val="tx1"/>
                  </w14:solidFill>
                </w14:textFill>
              </w:rPr>
              <w:t>）中频炉除尘灰</w:t>
            </w:r>
          </w:p>
          <w:p w14:paraId="095B3713">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根据工程分析，熔炼工序布袋除尘器收集的颗粒物为</w:t>
            </w:r>
            <w:r>
              <w:rPr>
                <w:rFonts w:hint="eastAsia" w:cs="Times New Roman"/>
                <w:color w:val="000000" w:themeColor="text1"/>
                <w:highlight w:val="none"/>
                <w:lang w:val="en-US" w:eastAsia="zh-CN"/>
                <w14:textFill>
                  <w14:solidFill>
                    <w14:schemeClr w14:val="tx1"/>
                  </w14:solidFill>
                </w14:textFill>
              </w:rPr>
              <w:t>4.709</w:t>
            </w:r>
            <w:r>
              <w:rPr>
                <w:rFonts w:hint="default" w:ascii="Times New Roman" w:hAnsi="Times New Roman" w:cs="Times New Roman"/>
                <w:color w:val="000000" w:themeColor="text1"/>
                <w:highlight w:val="none"/>
                <w14:textFill>
                  <w14:solidFill>
                    <w14:schemeClr w14:val="tx1"/>
                  </w14:solidFill>
                </w14:textFill>
              </w:rPr>
              <w:t>t/a。集中收集后出售给相关企业综合利用。</w:t>
            </w:r>
          </w:p>
          <w:p w14:paraId="46399112">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9</w:t>
            </w:r>
            <w:r>
              <w:rPr>
                <w:rFonts w:hint="default" w:ascii="Times New Roman" w:hAnsi="Times New Roman" w:cs="Times New Roman"/>
                <w:color w:val="000000" w:themeColor="text1"/>
                <w:highlight w:val="none"/>
                <w14:textFill>
                  <w14:solidFill>
                    <w14:schemeClr w14:val="tx1"/>
                  </w14:solidFill>
                </w14:textFill>
              </w:rPr>
              <w:t>）污泥</w:t>
            </w:r>
          </w:p>
          <w:p w14:paraId="7A709001">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项目自建污水处理站污泥产生量为</w:t>
            </w:r>
            <w:r>
              <w:rPr>
                <w:rFonts w:hint="eastAsia" w:cs="Times New Roman"/>
                <w:color w:val="000000" w:themeColor="text1"/>
                <w:highlight w:val="none"/>
                <w:lang w:val="en-US" w:eastAsia="zh-CN"/>
                <w14:textFill>
                  <w14:solidFill>
                    <w14:schemeClr w14:val="tx1"/>
                  </w14:solidFill>
                </w14:textFill>
              </w:rPr>
              <w:t>0.5</w:t>
            </w:r>
            <w:r>
              <w:rPr>
                <w:rFonts w:hint="default" w:ascii="Times New Roman" w:hAnsi="Times New Roman" w:cs="Times New Roman"/>
                <w:color w:val="000000" w:themeColor="text1"/>
                <w:highlight w:val="none"/>
                <w14:textFill>
                  <w14:solidFill>
                    <w14:schemeClr w14:val="tx1"/>
                  </w14:solidFill>
                </w14:textFill>
              </w:rPr>
              <w:t>t/a，污泥属于一般固废，污泥外运垃圾处理厂处理。</w:t>
            </w:r>
          </w:p>
          <w:p w14:paraId="6E665EDC">
            <w:pPr>
              <w:pStyle w:val="118"/>
              <w:shd w:val="clear" w:color="auto" w:fill="auto"/>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10</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废布袋</w:t>
            </w:r>
          </w:p>
          <w:p w14:paraId="51F8FB46">
            <w:pPr>
              <w:pStyle w:val="118"/>
              <w:shd w:val="clear" w:color="auto" w:fill="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Times New Roman" w:hAnsi="Times New Roman" w:cs="Times New Roman"/>
                <w:color w:val="000000" w:themeColor="text1"/>
                <w:highlight w:val="none"/>
                <w:lang w:val="en-US" w:eastAsia="zh-CN"/>
                <w14:textFill>
                  <w14:solidFill>
                    <w14:schemeClr w14:val="tx1"/>
                  </w14:solidFill>
                </w14:textFill>
              </w:rPr>
              <w:t>本项目废气处理过程中会产生废布袋，废布袋每年更换量约为0.05</w:t>
            </w:r>
            <w:r>
              <w:rPr>
                <w:rFonts w:hint="default" w:ascii="Times New Roman" w:hAnsi="Times New Roman" w:cs="Times New Roman"/>
                <w:color w:val="000000" w:themeColor="text1"/>
                <w:highlight w:val="none"/>
                <w14:textFill>
                  <w14:solidFill>
                    <w14:schemeClr w14:val="tx1"/>
                  </w14:solidFill>
                </w14:textFill>
              </w:rPr>
              <w:t>t/a，</w:t>
            </w:r>
            <w:r>
              <w:rPr>
                <w:rFonts w:hint="eastAsia" w:ascii="Times New Roman" w:hAnsi="Times New Roman" w:cs="Times New Roman"/>
                <w:color w:val="000000" w:themeColor="text1"/>
                <w:highlight w:val="none"/>
                <w:lang w:val="en-US" w:eastAsia="zh-CN"/>
                <w14:textFill>
                  <w14:solidFill>
                    <w14:schemeClr w14:val="tx1"/>
                  </w14:solidFill>
                </w14:textFill>
              </w:rPr>
              <w:t>每次更换下来的废布袋</w:t>
            </w:r>
            <w:r>
              <w:rPr>
                <w:rFonts w:hint="default" w:ascii="Times New Roman" w:hAnsi="Times New Roman" w:cs="Times New Roman"/>
                <w:color w:val="000000" w:themeColor="text1"/>
                <w:highlight w:val="none"/>
                <w14:textFill>
                  <w14:solidFill>
                    <w14:schemeClr w14:val="tx1"/>
                  </w14:solidFill>
                </w14:textFill>
              </w:rPr>
              <w:t>由</w:t>
            </w:r>
            <w:r>
              <w:rPr>
                <w:rFonts w:hint="eastAsia" w:ascii="Times New Roman" w:hAnsi="Times New Roman" w:cs="Times New Roman"/>
                <w:color w:val="000000" w:themeColor="text1"/>
                <w:highlight w:val="none"/>
                <w:lang w:val="en-US" w:eastAsia="zh-CN"/>
                <w14:textFill>
                  <w14:solidFill>
                    <w14:schemeClr w14:val="tx1"/>
                  </w14:solidFill>
                </w14:textFill>
              </w:rPr>
              <w:t>更换</w:t>
            </w:r>
            <w:r>
              <w:rPr>
                <w:rFonts w:hint="default" w:ascii="Times New Roman" w:hAnsi="Times New Roman" w:cs="Times New Roman"/>
                <w:color w:val="000000" w:themeColor="text1"/>
                <w:highlight w:val="none"/>
                <w14:textFill>
                  <w14:solidFill>
                    <w14:schemeClr w14:val="tx1"/>
                  </w14:solidFill>
                </w14:textFill>
              </w:rPr>
              <w:t>厂家</w:t>
            </w:r>
            <w:r>
              <w:rPr>
                <w:rFonts w:hint="eastAsia" w:ascii="Times New Roman" w:hAnsi="Times New Roman" w:cs="Times New Roman"/>
                <w:color w:val="000000" w:themeColor="text1"/>
                <w:highlight w:val="none"/>
                <w:lang w:val="en-US" w:eastAsia="zh-CN"/>
                <w14:textFill>
                  <w14:solidFill>
                    <w14:schemeClr w14:val="tx1"/>
                  </w14:solidFill>
                </w14:textFill>
              </w:rPr>
              <w:t>带回综合</w:t>
            </w:r>
            <w:r>
              <w:rPr>
                <w:rFonts w:hint="default" w:ascii="Times New Roman" w:hAnsi="Times New Roman" w:cs="Times New Roman"/>
                <w:color w:val="000000" w:themeColor="text1"/>
                <w:highlight w:val="none"/>
                <w14:textFill>
                  <w14:solidFill>
                    <w14:schemeClr w14:val="tx1"/>
                  </w14:solidFill>
                </w14:textFill>
              </w:rPr>
              <w:t>处理。</w:t>
            </w:r>
          </w:p>
          <w:p w14:paraId="75899398">
            <w:pPr>
              <w:pStyle w:val="118"/>
              <w:shd w:val="clear" w:color="auto" w:fill="auto"/>
              <w:ind w:firstLine="480"/>
              <w:jc w:val="both"/>
              <w:rPr>
                <w:rFonts w:hint="default" w:ascii="Times New Roman" w:hAnsi="Times New Roman" w:cs="Times New Roman"/>
                <w:color w:val="000000" w:themeColor="text1"/>
                <w:highlight w:val="none"/>
                <w:lang w:val="en-US" w:eastAsia="zh-CN"/>
                <w14:textFill>
                  <w14:solidFill>
                    <w14:schemeClr w14:val="tx1"/>
                  </w14:solidFill>
                </w14:textFill>
              </w:rPr>
            </w:pPr>
            <w:r>
              <w:rPr>
                <w:rFonts w:hint="eastAsia" w:ascii="Times New Roman" w:hAnsi="Times New Roman" w:cs="Times New Roman"/>
                <w:color w:val="000000" w:themeColor="text1"/>
                <w:highlight w:val="none"/>
                <w:lang w:eastAsia="zh-CN"/>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1</w:t>
            </w:r>
            <w:r>
              <w:rPr>
                <w:rFonts w:hint="eastAsia" w:ascii="Times New Roman" w:hAnsi="Times New Roman" w:cs="Times New Roman"/>
                <w:color w:val="000000" w:themeColor="text1"/>
                <w:highlight w:val="none"/>
                <w:lang w:eastAsia="zh-CN"/>
                <w14:textFill>
                  <w14:solidFill>
                    <w14:schemeClr w14:val="tx1"/>
                  </w14:solidFill>
                </w14:textFill>
              </w:rPr>
              <w:t>）</w:t>
            </w:r>
            <w:r>
              <w:rPr>
                <w:rFonts w:hint="eastAsia" w:ascii="Times New Roman" w:hAnsi="Times New Roman" w:cs="Times New Roman"/>
                <w:color w:val="000000" w:themeColor="text1"/>
                <w:highlight w:val="none"/>
                <w:lang w:val="en-US" w:eastAsia="zh-CN"/>
                <w14:textFill>
                  <w14:solidFill>
                    <w14:schemeClr w14:val="tx1"/>
                  </w14:solidFill>
                </w14:textFill>
              </w:rPr>
              <w:t>无组织收集粉尘</w:t>
            </w:r>
          </w:p>
          <w:p w14:paraId="34ABA547">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w:t>
            </w:r>
            <w:r>
              <w:rPr>
                <w:rFonts w:hint="default" w:ascii="Times New Roman" w:hAnsi="Times New Roman" w:cs="Times New Roman"/>
                <w:color w:val="000000" w:themeColor="text1"/>
                <w:highlight w:val="none"/>
                <w:lang w:val="en-US" w:eastAsia="zh-CN"/>
                <w14:textFill>
                  <w14:solidFill>
                    <w14:schemeClr w14:val="tx1"/>
                  </w14:solidFill>
                </w14:textFill>
              </w:rPr>
              <w:t>无组织粉料自然沉降后定期清扫</w:t>
            </w:r>
            <w:r>
              <w:rPr>
                <w:rFonts w:hint="default" w:ascii="Times New Roman" w:hAnsi="Times New Roman" w:cs="Times New Roman"/>
                <w:color w:val="000000" w:themeColor="text1"/>
                <w:highlight w:val="none"/>
                <w14:textFill>
                  <w14:solidFill>
                    <w14:schemeClr w14:val="tx1"/>
                  </w14:solidFill>
                </w14:textFill>
              </w:rPr>
              <w:t>。经收集后的除尘灰约为</w:t>
            </w:r>
            <w:r>
              <w:rPr>
                <w:rFonts w:hint="eastAsia" w:cs="Times New Roman"/>
                <w:color w:val="000000" w:themeColor="text1"/>
                <w:highlight w:val="none"/>
                <w:lang w:val="en-US" w:eastAsia="zh-CN"/>
                <w14:textFill>
                  <w14:solidFill>
                    <w14:schemeClr w14:val="tx1"/>
                  </w14:solidFill>
                </w14:textFill>
              </w:rPr>
              <w:t>3.416</w:t>
            </w:r>
            <w:r>
              <w:rPr>
                <w:rFonts w:hint="default" w:ascii="Times New Roman" w:hAnsi="Times New Roman" w:cs="Times New Roman"/>
                <w:color w:val="000000" w:themeColor="text1"/>
                <w:highlight w:val="none"/>
                <w14:textFill>
                  <w14:solidFill>
                    <w14:schemeClr w14:val="tx1"/>
                  </w14:solidFill>
                </w14:textFill>
              </w:rPr>
              <w:t>t/a，集中收集后与</w:t>
            </w:r>
            <w:r>
              <w:rPr>
                <w:rFonts w:hint="eastAsia" w:cs="Times New Roman"/>
                <w:color w:val="000000" w:themeColor="text1"/>
                <w:highlight w:val="none"/>
                <w:lang w:val="en-US" w:eastAsia="zh-CN"/>
                <w14:textFill>
                  <w14:solidFill>
                    <w14:schemeClr w14:val="tx1"/>
                  </w14:solidFill>
                </w14:textFill>
              </w:rPr>
              <w:t>布袋</w:t>
            </w:r>
            <w:r>
              <w:rPr>
                <w:rFonts w:hint="default" w:ascii="Times New Roman" w:hAnsi="Times New Roman" w:cs="Times New Roman"/>
                <w:color w:val="000000" w:themeColor="text1"/>
                <w:highlight w:val="none"/>
                <w14:textFill>
                  <w14:solidFill>
                    <w14:schemeClr w14:val="tx1"/>
                  </w14:solidFill>
                </w14:textFill>
              </w:rPr>
              <w:t>除尘灰</w:t>
            </w:r>
            <w:r>
              <w:rPr>
                <w:rFonts w:hint="eastAsia" w:cs="Times New Roman"/>
                <w:color w:val="000000" w:themeColor="text1"/>
                <w:highlight w:val="none"/>
                <w:lang w:val="en-US" w:eastAsia="zh-CN"/>
                <w14:textFill>
                  <w14:solidFill>
                    <w14:schemeClr w14:val="tx1"/>
                  </w14:solidFill>
                </w14:textFill>
              </w:rPr>
              <w:t>一同作为水泥和混凝土的添加剂</w:t>
            </w:r>
            <w:r>
              <w:rPr>
                <w:rFonts w:hint="default" w:ascii="Times New Roman" w:hAnsi="Times New Roman" w:cs="Times New Roman"/>
                <w:color w:val="000000" w:themeColor="text1"/>
                <w:highlight w:val="none"/>
                <w14:textFill>
                  <w14:solidFill>
                    <w14:schemeClr w14:val="tx1"/>
                  </w14:solidFill>
                </w14:textFill>
              </w:rPr>
              <w:t>再利用。</w:t>
            </w:r>
          </w:p>
          <w:p w14:paraId="540E7239">
            <w:pPr>
              <w:pStyle w:val="118"/>
              <w:shd w:val="clear" w:color="auto" w:fill="auto"/>
              <w:ind w:firstLine="480"/>
              <w:jc w:val="both"/>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12</w:t>
            </w:r>
            <w:r>
              <w:rPr>
                <w:rFonts w:hint="eastAsia" w:cs="Times New Roman"/>
                <w:color w:val="000000" w:themeColor="text1"/>
                <w:highlight w:val="none"/>
                <w:lang w:eastAsia="zh-CN"/>
                <w14:textFill>
                  <w14:solidFill>
                    <w14:schemeClr w14:val="tx1"/>
                  </w14:solidFill>
                </w14:textFill>
              </w:rPr>
              <w:t>）中频炉废耐火材料</w:t>
            </w:r>
          </w:p>
          <w:p w14:paraId="004FA023">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根据建设单位提供资料，</w:t>
            </w:r>
            <w:r>
              <w:rPr>
                <w:rFonts w:hint="default" w:ascii="Times New Roman" w:hAnsi="Times New Roman" w:cs="Times New Roman"/>
                <w:color w:val="000000" w:themeColor="text1"/>
                <w:highlight w:val="none"/>
                <w14:textFill>
                  <w14:solidFill>
                    <w14:schemeClr w14:val="tx1"/>
                  </w14:solidFill>
                </w14:textFill>
              </w:rPr>
              <w:t>项目运行期每</w:t>
            </w:r>
            <w:r>
              <w:rPr>
                <w:rFonts w:hint="eastAsia" w:cs="Times New Roman"/>
                <w:color w:val="000000" w:themeColor="text1"/>
                <w:highlight w:val="none"/>
                <w:lang w:val="en-US" w:eastAsia="zh-CN"/>
                <w14:textFill>
                  <w14:solidFill>
                    <w14:schemeClr w14:val="tx1"/>
                  </w14:solidFill>
                </w14:textFill>
              </w:rPr>
              <w:t>月</w:t>
            </w:r>
            <w:r>
              <w:rPr>
                <w:rFonts w:hint="default" w:ascii="Times New Roman" w:hAnsi="Times New Roman" w:cs="Times New Roman"/>
                <w:color w:val="000000" w:themeColor="text1"/>
                <w:highlight w:val="none"/>
                <w14:textFill>
                  <w14:solidFill>
                    <w14:schemeClr w14:val="tx1"/>
                  </w14:solidFill>
                </w14:textFill>
              </w:rPr>
              <w:t>定期</w:t>
            </w:r>
            <w:r>
              <w:rPr>
                <w:rFonts w:hint="eastAsia" w:cs="Times New Roman"/>
                <w:color w:val="000000" w:themeColor="text1"/>
                <w:highlight w:val="none"/>
                <w:lang w:val="en-US" w:eastAsia="zh-CN"/>
                <w14:textFill>
                  <w14:solidFill>
                    <w14:schemeClr w14:val="tx1"/>
                  </w14:solidFill>
                </w14:textFill>
              </w:rPr>
              <w:t>更换</w:t>
            </w:r>
            <w:r>
              <w:rPr>
                <w:rFonts w:hint="default" w:ascii="Times New Roman" w:hAnsi="Times New Roman" w:cs="Times New Roman"/>
                <w:color w:val="000000" w:themeColor="text1"/>
                <w:highlight w:val="none"/>
                <w14:textFill>
                  <w14:solidFill>
                    <w14:schemeClr w14:val="tx1"/>
                  </w14:solidFill>
                </w14:textFill>
              </w:rPr>
              <w:t>中频炉</w:t>
            </w:r>
            <w:r>
              <w:rPr>
                <w:rFonts w:hint="eastAsia" w:cs="Times New Roman"/>
                <w:color w:val="000000" w:themeColor="text1"/>
                <w:highlight w:val="none"/>
                <w:lang w:val="en-US" w:eastAsia="zh-CN"/>
                <w14:textFill>
                  <w14:solidFill>
                    <w14:schemeClr w14:val="tx1"/>
                  </w14:solidFill>
                </w14:textFill>
              </w:rPr>
              <w:t>内耐火材料</w:t>
            </w:r>
            <w:r>
              <w:rPr>
                <w:rFonts w:hint="default" w:ascii="Times New Roman" w:hAnsi="Times New Roman" w:cs="Times New Roman"/>
                <w:color w:val="000000" w:themeColor="text1"/>
                <w:highlight w:val="none"/>
                <w14:textFill>
                  <w14:solidFill>
                    <w14:schemeClr w14:val="tx1"/>
                  </w14:solidFill>
                </w14:textFill>
              </w:rPr>
              <w:t>，每</w:t>
            </w:r>
            <w:r>
              <w:rPr>
                <w:rFonts w:hint="eastAsia" w:cs="Times New Roman"/>
                <w:color w:val="000000" w:themeColor="text1"/>
                <w:highlight w:val="none"/>
                <w:lang w:val="en-US" w:eastAsia="zh-CN"/>
                <w14:textFill>
                  <w14:solidFill>
                    <w14:schemeClr w14:val="tx1"/>
                  </w14:solidFill>
                </w14:textFill>
              </w:rPr>
              <w:t>月每</w:t>
            </w:r>
            <w:r>
              <w:rPr>
                <w:rFonts w:hint="default" w:ascii="Times New Roman" w:hAnsi="Times New Roman" w:cs="Times New Roman"/>
                <w:color w:val="000000" w:themeColor="text1"/>
                <w:highlight w:val="none"/>
                <w14:textFill>
                  <w14:solidFill>
                    <w14:schemeClr w14:val="tx1"/>
                  </w14:solidFill>
                </w14:textFill>
              </w:rPr>
              <w:t>台中频炉更换下来的耐火材料量约为</w:t>
            </w:r>
            <w:r>
              <w:rPr>
                <w:rFonts w:hint="eastAsia" w:cs="Times New Roman"/>
                <w:color w:val="000000" w:themeColor="text1"/>
                <w:highlight w:val="none"/>
                <w:lang w:val="en-US" w:eastAsia="zh-CN"/>
                <w14:textFill>
                  <w14:solidFill>
                    <w14:schemeClr w14:val="tx1"/>
                  </w14:solidFill>
                </w14:textFill>
              </w:rPr>
              <w:t>0.05</w:t>
            </w:r>
            <w:r>
              <w:rPr>
                <w:rFonts w:hint="default" w:ascii="Times New Roman" w:hAnsi="Times New Roman" w:cs="Times New Roman"/>
                <w:color w:val="000000" w:themeColor="text1"/>
                <w:highlight w:val="none"/>
                <w14:textFill>
                  <w14:solidFill>
                    <w14:schemeClr w14:val="tx1"/>
                  </w14:solidFill>
                </w14:textFill>
              </w:rPr>
              <w:t>t</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则每年更换的耐火材料总重量约1.5t/a</w:t>
            </w:r>
            <w:r>
              <w:rPr>
                <w:rFonts w:hint="default" w:ascii="Times New Roman" w:hAnsi="Times New Roman" w:cs="Times New Roman"/>
                <w:color w:val="000000" w:themeColor="text1"/>
                <w:highlight w:val="none"/>
                <w14:textFill>
                  <w14:solidFill>
                    <w14:schemeClr w14:val="tx1"/>
                  </w14:solidFill>
                </w14:textFill>
              </w:rPr>
              <w:t>，废耐火材料交由耐火材料厂家回收</w:t>
            </w:r>
            <w:r>
              <w:rPr>
                <w:rFonts w:hint="eastAsia" w:cs="Times New Roman"/>
                <w:color w:val="000000" w:themeColor="text1"/>
                <w:highlight w:val="none"/>
                <w:lang w:val="en-US" w:eastAsia="zh-CN"/>
                <w14:textFill>
                  <w14:solidFill>
                    <w14:schemeClr w14:val="tx1"/>
                  </w14:solidFill>
                </w14:textFill>
              </w:rPr>
              <w:t>利用</w:t>
            </w:r>
            <w:r>
              <w:rPr>
                <w:rFonts w:hint="default" w:ascii="Times New Roman" w:hAnsi="Times New Roman" w:cs="Times New Roman"/>
                <w:color w:val="000000" w:themeColor="text1"/>
                <w:highlight w:val="none"/>
                <w14:textFill>
                  <w14:solidFill>
                    <w14:schemeClr w14:val="tx1"/>
                  </w14:solidFill>
                </w14:textFill>
              </w:rPr>
              <w:t>。</w:t>
            </w:r>
          </w:p>
          <w:p w14:paraId="69153925">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3、危险废物</w:t>
            </w:r>
          </w:p>
          <w:p w14:paraId="087EE919">
            <w:pPr>
              <w:pStyle w:val="118"/>
              <w:shd w:val="clear" w:color="auto" w:fill="auto"/>
              <w:ind w:firstLine="480"/>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沾染废乳化液刨花屑</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S1-7</w:t>
            </w:r>
            <w:r>
              <w:rPr>
                <w:rFonts w:hint="eastAsia" w:cs="Times New Roman"/>
                <w:color w:val="000000" w:themeColor="text1"/>
                <w:highlight w:val="none"/>
                <w:lang w:eastAsia="zh-CN"/>
                <w14:textFill>
                  <w14:solidFill>
                    <w14:schemeClr w14:val="tx1"/>
                  </w14:solidFill>
                </w14:textFill>
              </w:rPr>
              <w:t>）</w:t>
            </w:r>
          </w:p>
          <w:p w14:paraId="3E34CA4B">
            <w:pPr>
              <w:pStyle w:val="118"/>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根据建设单位提供资料，项目产生的沾染废乳化液刨花屑约为2t/a。根据《国家危险废物名录》（2021年版）中“HW08 废矿物油与含矿物油废物”，属于危险废物（代码：900-200-08），暂存于危险废物暂存间，委托有资质单位定期清运处置。</w:t>
            </w:r>
          </w:p>
          <w:p w14:paraId="3E58740B">
            <w:pPr>
              <w:pStyle w:val="118"/>
              <w:shd w:val="clear" w:color="auto" w:fill="auto"/>
              <w:ind w:firstLine="480"/>
              <w:rPr>
                <w:rFonts w:hint="default" w:eastAsia="宋体" w:cs="Times New Roman"/>
                <w:color w:val="000000" w:themeColor="text1"/>
                <w:highlight w:val="none"/>
                <w:lang w:val="en-US" w:eastAsia="zh-CN"/>
                <w14:textFill>
                  <w14:solidFill>
                    <w14:schemeClr w14:val="tx1"/>
                  </w14:solidFill>
                </w14:textFill>
              </w:rPr>
            </w:pPr>
            <w:r>
              <w:rPr>
                <w:rFonts w:hint="eastAsia"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2</w:t>
            </w:r>
            <w:r>
              <w:rPr>
                <w:rFonts w:hint="eastAsia" w:eastAsia="宋体" w:cs="Times New Roman"/>
                <w:color w:val="000000" w:themeColor="text1"/>
                <w:highlight w:val="none"/>
                <w:lang w:eastAsia="zh-CN"/>
                <w14:textFill>
                  <w14:solidFill>
                    <w14:schemeClr w14:val="tx1"/>
                  </w14:solidFill>
                </w14:textFill>
              </w:rPr>
              <w:t>）</w:t>
            </w:r>
            <w:r>
              <w:rPr>
                <w:rFonts w:hint="eastAsia" w:eastAsia="宋体" w:cs="Times New Roman"/>
                <w:color w:val="000000" w:themeColor="text1"/>
                <w:highlight w:val="none"/>
                <w:lang w:val="en-US" w:eastAsia="zh-CN"/>
                <w14:textFill>
                  <w14:solidFill>
                    <w14:schemeClr w14:val="tx1"/>
                  </w14:solidFill>
                </w14:textFill>
              </w:rPr>
              <w:t>废乳化液（S1-8）</w:t>
            </w:r>
          </w:p>
          <w:p w14:paraId="253FB028">
            <w:pPr>
              <w:pStyle w:val="118"/>
              <w:shd w:val="clear" w:color="auto" w:fill="auto"/>
              <w:ind w:firstLine="480"/>
              <w:rPr>
                <w:rFonts w:hint="default" w:eastAsia="宋体" w:cs="Times New Roman"/>
                <w:color w:val="000000" w:themeColor="text1"/>
                <w:highlight w:val="none"/>
                <w:lang w:eastAsia="zh-CN"/>
                <w14:textFill>
                  <w14:solidFill>
                    <w14:schemeClr w14:val="tx1"/>
                  </w14:solidFill>
                </w14:textFill>
              </w:rPr>
            </w:pPr>
            <w:r>
              <w:rPr>
                <w:rFonts w:hint="eastAsia" w:eastAsia="宋体" w:cs="Times New Roman"/>
                <w:color w:val="000000" w:themeColor="text1"/>
                <w:highlight w:val="none"/>
                <w:lang w:val="en-US" w:eastAsia="zh-CN"/>
                <w14:textFill>
                  <w14:solidFill>
                    <w14:schemeClr w14:val="tx1"/>
                  </w14:solidFill>
                </w14:textFill>
              </w:rPr>
              <w:t>项目在机加工过程中会产生废乳化液</w:t>
            </w:r>
            <w:r>
              <w:rPr>
                <w:rFonts w:hint="default" w:eastAsia="宋体" w:cs="Times New Roman"/>
                <w:color w:val="000000" w:themeColor="text1"/>
                <w:highlight w:val="none"/>
                <w:lang w:val="en-US" w:eastAsia="zh-CN"/>
                <w14:textFill>
                  <w14:solidFill>
                    <w14:schemeClr w14:val="tx1"/>
                  </w14:solidFill>
                </w14:textFill>
              </w:rPr>
              <w:t>，</w:t>
            </w:r>
            <w:r>
              <w:rPr>
                <w:rFonts w:hint="eastAsia" w:eastAsia="宋体" w:cs="Times New Roman"/>
                <w:color w:val="000000" w:themeColor="text1"/>
                <w:highlight w:val="none"/>
                <w:lang w:val="en-US" w:eastAsia="zh-CN"/>
                <w14:textFill>
                  <w14:solidFill>
                    <w14:schemeClr w14:val="tx1"/>
                  </w14:solidFill>
                </w14:textFill>
              </w:rPr>
              <w:t>产生量约2t/a</w:t>
            </w:r>
            <w:r>
              <w:rPr>
                <w:rFonts w:hint="default" w:eastAsia="宋体" w:cs="Times New Roman"/>
                <w:color w:val="000000" w:themeColor="text1"/>
                <w:highlight w:val="none"/>
                <w:lang w:eastAsia="zh-CN"/>
                <w14:textFill>
                  <w14:solidFill>
                    <w14:schemeClr w14:val="tx1"/>
                  </w14:solidFill>
                </w14:textFill>
              </w:rPr>
              <w:t>，根据《国家危险废物名录》（2021年版）中“HW</w:t>
            </w:r>
            <w:r>
              <w:rPr>
                <w:rFonts w:hint="eastAsia" w:eastAsia="宋体" w:cs="Times New Roman"/>
                <w:color w:val="000000" w:themeColor="text1"/>
                <w:highlight w:val="none"/>
                <w:lang w:val="en-US" w:eastAsia="zh-CN"/>
                <w14:textFill>
                  <w14:solidFill>
                    <w14:schemeClr w14:val="tx1"/>
                  </w14:solidFill>
                </w14:textFill>
              </w:rPr>
              <w:t>09</w:t>
            </w:r>
            <w:r>
              <w:rPr>
                <w:rFonts w:hint="default" w:eastAsia="宋体" w:cs="Times New Roman"/>
                <w:color w:val="000000" w:themeColor="text1"/>
                <w:highlight w:val="none"/>
                <w:lang w:eastAsia="zh-CN"/>
                <w14:textFill>
                  <w14:solidFill>
                    <w14:schemeClr w14:val="tx1"/>
                  </w14:solidFill>
                </w14:textFill>
              </w:rPr>
              <w:t>使用切削油或切削液进行机械加工过程中产生的油/水、烃/水混合物或乳化液”，属于危险废物（代码：900-</w:t>
            </w:r>
            <w:r>
              <w:rPr>
                <w:rFonts w:hint="eastAsia" w:eastAsia="宋体" w:cs="Times New Roman"/>
                <w:color w:val="000000" w:themeColor="text1"/>
                <w:highlight w:val="none"/>
                <w:lang w:val="en-US" w:eastAsia="zh-CN"/>
                <w14:textFill>
                  <w14:solidFill>
                    <w14:schemeClr w14:val="tx1"/>
                  </w14:solidFill>
                </w14:textFill>
              </w:rPr>
              <w:t>006-09</w:t>
            </w:r>
            <w:r>
              <w:rPr>
                <w:rFonts w:hint="default" w:eastAsia="宋体" w:cs="Times New Roman"/>
                <w:color w:val="000000" w:themeColor="text1"/>
                <w:highlight w:val="none"/>
                <w:lang w:eastAsia="zh-CN"/>
                <w14:textFill>
                  <w14:solidFill>
                    <w14:schemeClr w14:val="tx1"/>
                  </w14:solidFill>
                </w14:textFill>
              </w:rPr>
              <w:t>），暂存于危险废物暂存间，委托有资质单位定期清运处置。</w:t>
            </w:r>
          </w:p>
          <w:p w14:paraId="7CC2FA11">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3</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脱模剂空桶</w:t>
            </w:r>
          </w:p>
          <w:p w14:paraId="52AF9B38">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本项目年使用</w:t>
            </w:r>
            <w:r>
              <w:rPr>
                <w:rFonts w:hint="default" w:ascii="Times New Roman" w:hAnsi="Times New Roman" w:eastAsia="宋体" w:cs="Times New Roman"/>
                <w:color w:val="000000" w:themeColor="text1"/>
                <w:highlight w:val="none"/>
                <w:lang w:eastAsia="zh-CN"/>
                <w14:textFill>
                  <w14:solidFill>
                    <w14:schemeClr w14:val="tx1"/>
                  </w14:solidFill>
                </w14:textFill>
              </w:rPr>
              <w:t>脱模剂</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w:t>
            </w:r>
            <w:r>
              <w:rPr>
                <w:rFonts w:hint="default" w:ascii="Times New Roman" w:hAnsi="Times New Roman" w:eastAsia="宋体" w:cs="Times New Roman"/>
                <w:color w:val="000000" w:themeColor="text1"/>
                <w:highlight w:val="none"/>
                <w:lang w:val="en-US" w:eastAsia="zh-CN"/>
                <w14:textFill>
                  <w14:solidFill>
                    <w14:schemeClr w14:val="tx1"/>
                  </w14:solidFill>
                </w14:textFill>
              </w:rPr>
              <w:t>t，根据包装桶规格可知，包装空桶重量大约为1kg/个，项目年产生空桶数量为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40</w:t>
            </w:r>
            <w:r>
              <w:rPr>
                <w:rFonts w:hint="default" w:ascii="Times New Roman" w:hAnsi="Times New Roman" w:eastAsia="宋体" w:cs="Times New Roman"/>
                <w:color w:val="000000" w:themeColor="text1"/>
                <w:highlight w:val="none"/>
                <w:lang w:val="en-US" w:eastAsia="zh-CN"/>
                <w14:textFill>
                  <w14:solidFill>
                    <w14:schemeClr w14:val="tx1"/>
                  </w14:solidFill>
                </w14:textFill>
              </w:rPr>
              <w:t>个，即</w:t>
            </w:r>
            <w:r>
              <w:rPr>
                <w:rFonts w:hint="default" w:ascii="Times New Roman" w:hAnsi="Times New Roman" w:eastAsia="宋体" w:cs="Times New Roman"/>
                <w:color w:val="000000" w:themeColor="text1"/>
                <w:highlight w:val="none"/>
                <w:lang w:eastAsia="zh-CN"/>
                <w14:textFill>
                  <w14:solidFill>
                    <w14:schemeClr w14:val="tx1"/>
                  </w14:solidFill>
                </w14:textFill>
              </w:rPr>
              <w:t>脱模剂空桶</w:t>
            </w:r>
            <w:r>
              <w:rPr>
                <w:rFonts w:hint="default" w:ascii="Times New Roman" w:hAnsi="Times New Roman" w:eastAsia="宋体" w:cs="Times New Roman"/>
                <w:color w:val="000000" w:themeColor="text1"/>
                <w:highlight w:val="none"/>
                <w:lang w:val="en-US" w:eastAsia="zh-CN"/>
                <w14:textFill>
                  <w14:solidFill>
                    <w14:schemeClr w14:val="tx1"/>
                  </w14:solidFill>
                </w14:textFill>
              </w:rPr>
              <w:t>产生重量约为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0.04</w:t>
            </w:r>
            <w:r>
              <w:rPr>
                <w:rFonts w:hint="default" w:ascii="Times New Roman" w:hAnsi="Times New Roman" w:eastAsia="宋体" w:cs="Times New Roman"/>
                <w:color w:val="000000" w:themeColor="text1"/>
                <w:highlight w:val="none"/>
                <w:lang w:val="en-US" w:eastAsia="zh-CN"/>
                <w14:textFill>
                  <w14:solidFill>
                    <w14:schemeClr w14:val="tx1"/>
                  </w14:solidFill>
                </w14:textFill>
              </w:rPr>
              <w:t>t/a，</w:t>
            </w:r>
            <w:r>
              <w:rPr>
                <w:rFonts w:hint="default" w:ascii="Times New Roman" w:hAnsi="Times New Roman" w:eastAsia="宋体" w:cs="Times New Roman"/>
                <w:color w:val="000000" w:themeColor="text1"/>
                <w:highlight w:val="none"/>
                <w:lang w:eastAsia="zh-CN"/>
                <w14:textFill>
                  <w14:solidFill>
                    <w14:schemeClr w14:val="tx1"/>
                  </w14:solidFill>
                </w14:textFill>
              </w:rPr>
              <w:t>根据《国家危险废物名录》（2021年版）中“HW</w:t>
            </w:r>
            <w:r>
              <w:rPr>
                <w:rFonts w:hint="default" w:ascii="Times New Roman" w:hAnsi="Times New Roman" w:eastAsia="宋体" w:cs="Times New Roman"/>
                <w:color w:val="000000" w:themeColor="text1"/>
                <w:highlight w:val="none"/>
                <w:lang w:val="en-US" w:eastAsia="zh-CN"/>
                <w14:textFill>
                  <w14:solidFill>
                    <w14:schemeClr w14:val="tx1"/>
                  </w14:solidFill>
                </w14:textFill>
              </w:rPr>
              <w:t>49</w:t>
            </w:r>
            <w:r>
              <w:rPr>
                <w:rFonts w:hint="default" w:ascii="Times New Roman" w:hAnsi="Times New Roman" w:eastAsia="宋体" w:cs="Times New Roman"/>
                <w:color w:val="000000" w:themeColor="text1"/>
                <w:highlight w:val="none"/>
                <w:lang w:eastAsia="zh-CN"/>
                <w14:textFill>
                  <w14:solidFill>
                    <w14:schemeClr w14:val="tx1"/>
                  </w14:solidFill>
                </w14:textFill>
              </w:rPr>
              <w:t>含有或沾染毒性、感染性危险废物的废弃包装物、容器、过滤吸附介质”，属于危险废物（代码：900-041-49），暂存于危险废物暂存间，委托有资质单位定期清运处置。</w:t>
            </w:r>
          </w:p>
          <w:p w14:paraId="54C2317F">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4</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漆料空桶</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S1-9</w:t>
            </w:r>
            <w:r>
              <w:rPr>
                <w:rFonts w:hint="eastAsia" w:ascii="Times New Roman" w:hAnsi="Times New Roman" w:eastAsia="宋体" w:cs="Times New Roman"/>
                <w:color w:val="000000" w:themeColor="text1"/>
                <w:highlight w:val="none"/>
                <w:lang w:eastAsia="zh-CN"/>
                <w14:textFill>
                  <w14:solidFill>
                    <w14:schemeClr w14:val="tx1"/>
                  </w14:solidFill>
                </w14:textFill>
              </w:rPr>
              <w:t>）</w:t>
            </w:r>
          </w:p>
          <w:p w14:paraId="27EF0555">
            <w:pPr>
              <w:pStyle w:val="118"/>
              <w:shd w:val="clear" w:color="auto" w:fill="auto"/>
              <w:ind w:firstLine="480"/>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本项目漆</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料</w:t>
            </w:r>
            <w:r>
              <w:rPr>
                <w:rFonts w:hint="eastAsia" w:ascii="Times New Roman" w:hAnsi="Times New Roman" w:eastAsia="宋体" w:cs="Times New Roman"/>
                <w:color w:val="000000" w:themeColor="text1"/>
                <w:highlight w:val="none"/>
                <w:lang w:eastAsia="zh-CN"/>
                <w14:textFill>
                  <w14:solidFill>
                    <w14:schemeClr w14:val="tx1"/>
                  </w14:solidFill>
                </w14:textFill>
              </w:rPr>
              <w:t>年用量为</w:t>
            </w:r>
            <w:r>
              <w:rPr>
                <w:rFonts w:hint="eastAsia" w:cs="Times New Roman"/>
                <w:color w:val="000000" w:themeColor="text1"/>
                <w:highlight w:val="none"/>
                <w:lang w:val="en-US" w:eastAsia="zh-CN"/>
                <w14:textFill>
                  <w14:solidFill>
                    <w14:schemeClr w14:val="tx1"/>
                  </w14:solidFill>
                </w14:textFill>
              </w:rPr>
              <w:t>13.96</w:t>
            </w:r>
            <w:r>
              <w:rPr>
                <w:rFonts w:hint="eastAsia" w:ascii="Times New Roman" w:hAnsi="Times New Roman" w:eastAsia="宋体" w:cs="Times New Roman"/>
                <w:color w:val="000000" w:themeColor="text1"/>
                <w:highlight w:val="none"/>
                <w:lang w:eastAsia="zh-CN"/>
                <w14:textFill>
                  <w14:solidFill>
                    <w14:schemeClr w14:val="tx1"/>
                  </w14:solidFill>
                </w14:textFill>
              </w:rPr>
              <w:t>t/a，漆桶规格为2</w:t>
            </w:r>
            <w:r>
              <w:rPr>
                <w:rFonts w:hint="eastAsia" w:cs="Times New Roman"/>
                <w:color w:val="000000" w:themeColor="text1"/>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highlight w:val="none"/>
                <w:lang w:eastAsia="zh-CN"/>
                <w14:textFill>
                  <w14:solidFill>
                    <w14:schemeClr w14:val="tx1"/>
                  </w14:solidFill>
                </w14:textFill>
              </w:rPr>
              <w:t>kg/桶。则年产废包装桶</w:t>
            </w:r>
            <w:r>
              <w:rPr>
                <w:rFonts w:hint="eastAsia" w:cs="Times New Roman"/>
                <w:color w:val="000000" w:themeColor="text1"/>
                <w:highlight w:val="none"/>
                <w:lang w:val="en-US" w:eastAsia="zh-CN"/>
                <w14:textFill>
                  <w14:solidFill>
                    <w14:schemeClr w14:val="tx1"/>
                  </w14:solidFill>
                </w14:textFill>
              </w:rPr>
              <w:t>559</w:t>
            </w:r>
            <w:r>
              <w:rPr>
                <w:rFonts w:hint="eastAsia" w:ascii="Times New Roman" w:hAnsi="Times New Roman" w:eastAsia="宋体" w:cs="Times New Roman"/>
                <w:color w:val="000000" w:themeColor="text1"/>
                <w:highlight w:val="none"/>
                <w:lang w:eastAsia="zh-CN"/>
                <w14:textFill>
                  <w14:solidFill>
                    <w14:schemeClr w14:val="tx1"/>
                  </w14:solidFill>
                </w14:textFill>
              </w:rPr>
              <w:t>个，油漆桶为金属桶质量</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在0.6~0.7</w:t>
            </w:r>
            <w:r>
              <w:rPr>
                <w:rFonts w:hint="eastAsia" w:ascii="Times New Roman" w:hAnsi="Times New Roman" w:eastAsia="宋体" w:cs="Times New Roman"/>
                <w:color w:val="000000" w:themeColor="text1"/>
                <w:highlight w:val="none"/>
                <w:lang w:eastAsia="zh-CN"/>
                <w14:textFill>
                  <w14:solidFill>
                    <w14:schemeClr w14:val="tx1"/>
                  </w14:solidFill>
                </w14:textFill>
              </w:rPr>
              <w:t>kg（</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本次以0.7kg计</w:t>
            </w:r>
            <w:r>
              <w:rPr>
                <w:rFonts w:hint="eastAsia" w:ascii="Times New Roman" w:hAnsi="Times New Roman" w:eastAsia="宋体" w:cs="Times New Roman"/>
                <w:color w:val="000000" w:themeColor="text1"/>
                <w:highlight w:val="none"/>
                <w:lang w:eastAsia="zh-CN"/>
                <w14:textFill>
                  <w14:solidFill>
                    <w14:schemeClr w14:val="tx1"/>
                  </w14:solidFill>
                </w14:textFill>
              </w:rPr>
              <w:t>），则废包装桶产生量为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0.</w:t>
            </w:r>
            <w:r>
              <w:rPr>
                <w:rFonts w:hint="eastAsia" w:cs="Times New Roman"/>
                <w:color w:val="000000" w:themeColor="text1"/>
                <w:highlight w:val="none"/>
                <w:lang w:val="en-US" w:eastAsia="zh-CN"/>
                <w14:textFill>
                  <w14:solidFill>
                    <w14:schemeClr w14:val="tx1"/>
                  </w14:solidFill>
                </w14:textFill>
              </w:rPr>
              <w:t>3913</w:t>
            </w:r>
            <w:r>
              <w:rPr>
                <w:rFonts w:hint="eastAsia" w:ascii="Times New Roman" w:hAnsi="Times New Roman" w:eastAsia="宋体" w:cs="Times New Roman"/>
                <w:color w:val="000000" w:themeColor="text1"/>
                <w:highlight w:val="none"/>
                <w:lang w:eastAsia="zh-CN"/>
                <w14:textFill>
                  <w14:solidFill>
                    <w14:schemeClr w14:val="tx1"/>
                  </w14:solidFill>
                </w14:textFill>
              </w:rPr>
              <w:t>t/a，</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属于《国家危险废物名录》（2021年）中的HW49其他废物‘900-041-49 含有或沾染毒性、感染性危险废物的废弃包装物、容器、过滤吸附介质’的危废，应集中收集至危险废物暂存间，定期交由有资质的单位处理。</w:t>
            </w:r>
          </w:p>
          <w:p w14:paraId="0B9B0C2B">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漆渣</w:t>
            </w:r>
            <w:r>
              <w:rPr>
                <w:rFonts w:hint="eastAsia" w:ascii="Times New Roman" w:hAnsi="Times New Roman" w:eastAsia="宋体" w:cs="Times New Roman"/>
                <w:color w:val="000000" w:themeColor="text1"/>
                <w:highlight w:val="none"/>
                <w:lang w:eastAsia="zh-CN"/>
                <w14:textFill>
                  <w14:solidFill>
                    <w14:schemeClr w14:val="tx1"/>
                  </w14:solidFill>
                </w14:textFill>
              </w:rPr>
              <w:t>（S1-10）</w:t>
            </w:r>
          </w:p>
          <w:p w14:paraId="6A696F4F">
            <w:pPr>
              <w:pStyle w:val="118"/>
              <w:shd w:val="clear" w:color="auto" w:fill="auto"/>
              <w:ind w:firstLine="48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根据废气源强核算可知，项目被截留下来的漆渣量约为</w:t>
            </w:r>
            <w:r>
              <w:rPr>
                <w:rFonts w:hint="eastAsia" w:cs="Times New Roman"/>
                <w:color w:val="000000" w:themeColor="text1"/>
                <w:highlight w:val="none"/>
                <w:lang w:val="en-US" w:eastAsia="zh-CN"/>
                <w14:textFill>
                  <w14:solidFill>
                    <w14:schemeClr w14:val="tx1"/>
                  </w14:solidFill>
                </w14:textFill>
              </w:rPr>
              <w:t>5.789</w:t>
            </w:r>
            <w:r>
              <w:rPr>
                <w:rFonts w:hint="eastAsia" w:ascii="Times New Roman" w:hAnsi="Times New Roman" w:eastAsia="宋体" w:cs="Times New Roman"/>
                <w:color w:val="000000" w:themeColor="text1"/>
                <w:highlight w:val="none"/>
                <w:lang w:val="en-US" w:eastAsia="zh-CN"/>
                <w14:textFill>
                  <w14:solidFill>
                    <w14:schemeClr w14:val="tx1"/>
                  </w14:solidFill>
                </w14:textFill>
              </w:rPr>
              <w:t>t/a，属于《国家危险废物名录》（2021年）中的HW12染料、涂料废物‘900-252-12 使用油漆（不包括水性漆）、有机溶剂进行喷漆、上漆过程中产生的废物’的危废，应集中收集至危险废物暂存间，定期交由有资质的单位处理。</w:t>
            </w:r>
          </w:p>
          <w:p w14:paraId="58495227">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6</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水帘柜废水</w:t>
            </w:r>
            <w:r>
              <w:rPr>
                <w:rFonts w:hint="eastAsia" w:ascii="Times New Roman" w:hAnsi="Times New Roman" w:eastAsia="宋体" w:cs="Times New Roman"/>
                <w:color w:val="000000" w:themeColor="text1"/>
                <w:highlight w:val="none"/>
                <w:lang w:eastAsia="zh-CN"/>
                <w14:textFill>
                  <w14:solidFill>
                    <w14:schemeClr w14:val="tx1"/>
                  </w14:solidFill>
                </w14:textFill>
              </w:rPr>
              <w:t>（S1-11）</w:t>
            </w:r>
          </w:p>
          <w:p w14:paraId="4849403A">
            <w:pPr>
              <w:pStyle w:val="118"/>
              <w:shd w:val="clear" w:color="auto" w:fill="auto"/>
              <w:ind w:firstLine="480"/>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项目产生的喷漆废气采用水帘柜处理，会产生喷淋废水，喷淋</w:t>
            </w:r>
            <w:r>
              <w:rPr>
                <w:rFonts w:hint="eastAsia" w:ascii="Times New Roman" w:hAnsi="Times New Roman" w:eastAsia="宋体" w:cs="Times New Roman"/>
                <w:color w:val="000000" w:themeColor="text1"/>
                <w:highlight w:val="none"/>
                <w:lang w:eastAsia="zh-CN"/>
                <w14:textFill>
                  <w14:solidFill>
                    <w14:schemeClr w14:val="tx1"/>
                  </w14:solidFill>
                </w14:textFill>
              </w:rPr>
              <w:t>废水循环使用，</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根据废水产排污可知，水帘柜设置了一个循环水池，喷漆循环水每年更换二次，</w:t>
            </w:r>
            <w:r>
              <w:rPr>
                <w:rFonts w:hint="eastAsia" w:ascii="Times New Roman" w:hAnsi="Times New Roman" w:eastAsia="宋体" w:cs="Times New Roman"/>
                <w:color w:val="000000" w:themeColor="text1"/>
                <w:highlight w:val="none"/>
                <w:lang w:eastAsia="zh-CN"/>
                <w14:textFill>
                  <w14:solidFill>
                    <w14:schemeClr w14:val="tx1"/>
                  </w14:solidFill>
                </w14:textFill>
              </w:rPr>
              <w:t>更换下来的</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喷淋</w:t>
            </w:r>
            <w:r>
              <w:rPr>
                <w:rFonts w:hint="eastAsia" w:ascii="Times New Roman" w:hAnsi="Times New Roman" w:eastAsia="宋体" w:cs="Times New Roman"/>
                <w:color w:val="000000" w:themeColor="text1"/>
                <w:highlight w:val="none"/>
                <w:lang w:eastAsia="zh-CN"/>
                <w14:textFill>
                  <w14:solidFill>
                    <w14:schemeClr w14:val="tx1"/>
                  </w14:solidFill>
                </w14:textFill>
              </w:rPr>
              <w:t>废水作为危废处理，不外排。</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喷淋</w:t>
            </w:r>
            <w:r>
              <w:rPr>
                <w:rFonts w:hint="eastAsia" w:ascii="Times New Roman" w:hAnsi="Times New Roman" w:eastAsia="宋体" w:cs="Times New Roman"/>
                <w:color w:val="000000" w:themeColor="text1"/>
                <w:highlight w:val="none"/>
                <w:lang w:eastAsia="zh-CN"/>
                <w14:textFill>
                  <w14:solidFill>
                    <w14:schemeClr w14:val="tx1"/>
                  </w14:solidFill>
                </w14:textFill>
              </w:rPr>
              <w:t>废水量为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2.96</w:t>
            </w:r>
            <w:r>
              <w:rPr>
                <w:rFonts w:hint="eastAsia" w:ascii="Times New Roman" w:hAnsi="Times New Roman" w:eastAsia="宋体" w:cs="Times New Roman"/>
                <w:color w:val="000000" w:themeColor="text1"/>
                <w:highlight w:val="none"/>
                <w:lang w:eastAsia="zh-CN"/>
                <w14:textFill>
                  <w14:solidFill>
                    <w14:schemeClr w14:val="tx1"/>
                  </w14:solidFill>
                </w14:textFill>
              </w:rPr>
              <w:t>t/a，</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属于《国家危险废物名录》（2021年）中的HW12染料、涂料废物‘900-252-12 使用油漆（不包括水性漆）、有机溶剂进行喷漆、上漆过程中产生的废物’的危废，应集中收集至危险废物暂存间，定期交由有资质的单位处理。</w:t>
            </w:r>
          </w:p>
          <w:p w14:paraId="612EF48A">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7</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废活性炭</w:t>
            </w:r>
          </w:p>
          <w:p w14:paraId="3223440A">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本项目产生的饱和活性炭主要产生于废气处理过程中，废气处理中活性炭吸附的主要为各种有机物，根据《关于强化VOCs治理攻坚着力做好2023年臭氧污染防治工作的通知》</w:t>
            </w:r>
            <w:r>
              <w:rPr>
                <w:rFonts w:hint="default" w:ascii="Times New Roman" w:hAnsi="Times New Roman" w:eastAsia="宋体" w:cs="Times New Roman"/>
                <w:color w:val="000000" w:themeColor="text1"/>
                <w:highlight w:val="none"/>
                <w:lang w:val="en-US" w:eastAsia="zh-CN"/>
                <w14:textFill>
                  <w14:solidFill>
                    <w14:schemeClr w14:val="tx1"/>
                  </w14:solidFill>
                </w14:textFill>
              </w:rPr>
              <w:t>附件1可知</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val="en-US" w:eastAsia="zh-CN"/>
                <w14:textFill>
                  <w14:solidFill>
                    <w14:schemeClr w14:val="tx1"/>
                  </w14:solidFill>
                </w14:textFill>
              </w:rPr>
              <w:t>按照每吨活性炭吸附挥发性有机物150kg计</w:t>
            </w:r>
            <w:r>
              <w:rPr>
                <w:rFonts w:hint="default" w:ascii="Times New Roman" w:hAnsi="Times New Roman" w:eastAsia="宋体" w:cs="Times New Roman"/>
                <w:color w:val="000000" w:themeColor="text1"/>
                <w:highlight w:val="none"/>
                <w:lang w:eastAsia="zh-CN"/>
                <w14:textFill>
                  <w14:solidFill>
                    <w14:schemeClr w14:val="tx1"/>
                  </w14:solidFill>
                </w14:textFill>
              </w:rPr>
              <w:t>。</w:t>
            </w:r>
          </w:p>
          <w:p w14:paraId="536A9299">
            <w:pPr>
              <w:pStyle w:val="118"/>
              <w:shd w:val="clear" w:color="auto" w:fill="auto"/>
              <w:ind w:firstLine="480"/>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活性炭吸附装置处理有机废气后会产生一定量的废饱和活性炭，属于《国家危险废物名录》中HW49其他废物，废物代码为900-039-49，本项目设置</w:t>
            </w:r>
            <w:r>
              <w:rPr>
                <w:rFonts w:hint="eastAsia" w:ascii="Times New Roman" w:hAnsi="Times New Roman" w:eastAsia="宋体" w:cs="Times New Roman"/>
                <w:color w:val="000000" w:themeColor="text1"/>
                <w:highlight w:val="none"/>
                <w:lang w:val="en-US" w:eastAsia="zh-CN"/>
                <w14:textFill>
                  <w14:solidFill>
                    <w14:schemeClr w14:val="tx1"/>
                  </w14:solidFill>
                </w14:textFill>
              </w:rPr>
              <w:t>三</w:t>
            </w:r>
            <w:r>
              <w:rPr>
                <w:rFonts w:hint="default" w:ascii="Times New Roman" w:hAnsi="Times New Roman" w:eastAsia="宋体" w:cs="Times New Roman"/>
                <w:color w:val="000000" w:themeColor="text1"/>
                <w:highlight w:val="none"/>
                <w:lang w:eastAsia="zh-CN"/>
                <w14:textFill>
                  <w14:solidFill>
                    <w14:schemeClr w14:val="tx1"/>
                  </w14:solidFill>
                </w14:textFill>
              </w:rPr>
              <w:t>套“活性炭净化装置”，根据工程分析，本项目有机废气总收集的量为</w:t>
            </w:r>
            <w:r>
              <w:rPr>
                <w:rFonts w:hint="eastAsia" w:cs="Times New Roman"/>
                <w:color w:val="000000" w:themeColor="text1"/>
                <w:highlight w:val="none"/>
                <w:lang w:val="en-US" w:eastAsia="zh-CN"/>
                <w14:textFill>
                  <w14:solidFill>
                    <w14:schemeClr w14:val="tx1"/>
                  </w14:solidFill>
                </w14:textFill>
              </w:rPr>
              <w:t>3.157</w:t>
            </w:r>
            <w:r>
              <w:rPr>
                <w:rFonts w:hint="default" w:ascii="Times New Roman" w:hAnsi="Times New Roman" w:eastAsia="宋体" w:cs="Times New Roman"/>
                <w:color w:val="000000" w:themeColor="text1"/>
                <w:highlight w:val="none"/>
                <w:lang w:eastAsia="zh-CN"/>
                <w14:textFill>
                  <w14:solidFill>
                    <w14:schemeClr w14:val="tx1"/>
                  </w14:solidFill>
                </w14:textFill>
              </w:rPr>
              <w:t>t/a，根据</w:t>
            </w:r>
            <w:r>
              <w:rPr>
                <w:rFonts w:hint="default" w:ascii="Times New Roman" w:hAnsi="Times New Roman" w:eastAsia="宋体" w:cs="Times New Roman"/>
                <w:color w:val="000000" w:themeColor="text1"/>
                <w:highlight w:val="none"/>
                <w:lang w:val="en-US" w:eastAsia="zh-CN"/>
                <w14:textFill>
                  <w14:solidFill>
                    <w14:schemeClr w14:val="tx1"/>
                  </w14:solidFill>
                </w14:textFill>
              </w:rPr>
              <w:t>废气源强</w:t>
            </w:r>
            <w:r>
              <w:rPr>
                <w:rFonts w:hint="default" w:ascii="Times New Roman" w:hAnsi="Times New Roman" w:eastAsia="宋体" w:cs="Times New Roman"/>
                <w:color w:val="000000" w:themeColor="text1"/>
                <w:highlight w:val="none"/>
                <w:lang w:eastAsia="zh-CN"/>
                <w14:textFill>
                  <w14:solidFill>
                    <w14:schemeClr w14:val="tx1"/>
                  </w14:solidFill>
                </w14:textFill>
              </w:rPr>
              <w:t>分析，有机废气</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有组织排放量为</w:t>
            </w:r>
            <w:r>
              <w:rPr>
                <w:rFonts w:hint="eastAsia" w:cs="Times New Roman"/>
                <w:color w:val="000000" w:themeColor="text1"/>
                <w:highlight w:val="none"/>
                <w:lang w:val="en-US" w:eastAsia="zh-CN"/>
                <w14:textFill>
                  <w14:solidFill>
                    <w14:schemeClr w14:val="tx1"/>
                  </w14:solidFill>
                </w14:textFill>
              </w:rPr>
              <w:t>1.146</w:t>
            </w:r>
            <w:r>
              <w:rPr>
                <w:rFonts w:hint="eastAsia" w:ascii="Times New Roman" w:hAnsi="Times New Roman" w:eastAsia="宋体" w:cs="Times New Roman"/>
                <w:color w:val="000000" w:themeColor="text1"/>
                <w:highlight w:val="none"/>
                <w:lang w:val="en-US" w:eastAsia="zh-CN"/>
                <w14:textFill>
                  <w14:solidFill>
                    <w14:schemeClr w14:val="tx1"/>
                  </w14:solidFill>
                </w14:textFill>
              </w:rPr>
              <w:t>t/a，</w:t>
            </w:r>
            <w:r>
              <w:rPr>
                <w:rFonts w:hint="default" w:ascii="Times New Roman" w:hAnsi="Times New Roman" w:eastAsia="宋体" w:cs="Times New Roman"/>
                <w:color w:val="000000" w:themeColor="text1"/>
                <w:highlight w:val="none"/>
                <w:lang w:eastAsia="zh-CN"/>
                <w14:textFill>
                  <w14:solidFill>
                    <w14:schemeClr w14:val="tx1"/>
                  </w14:solidFill>
                </w14:textFill>
              </w:rPr>
              <w:t>则经活性炭吸附的有机废气量为</w:t>
            </w:r>
            <w:r>
              <w:rPr>
                <w:rFonts w:hint="eastAsia" w:cs="Times New Roman"/>
                <w:color w:val="000000" w:themeColor="text1"/>
                <w:highlight w:val="none"/>
                <w:lang w:val="en-US" w:eastAsia="zh-CN"/>
                <w14:textFill>
                  <w14:solidFill>
                    <w14:schemeClr w14:val="tx1"/>
                  </w14:solidFill>
                </w14:textFill>
              </w:rPr>
              <w:t>3.157</w:t>
            </w:r>
            <w:r>
              <w:rPr>
                <w:rFonts w:hint="default" w:ascii="Times New Roman" w:hAnsi="Times New Roman" w:eastAsia="宋体" w:cs="Times New Roman"/>
                <w:color w:val="000000" w:themeColor="text1"/>
                <w:highlight w:val="none"/>
                <w:lang w:eastAsia="zh-CN"/>
                <w14:textFill>
                  <w14:solidFill>
                    <w14:schemeClr w14:val="tx1"/>
                  </w14:solidFill>
                </w14:textFill>
              </w:rPr>
              <w:t>t/a</w:t>
            </w:r>
            <w:r>
              <w:rPr>
                <w:rFonts w:hint="default" w:ascii="Times New Roman" w:hAnsi="Times New Roman" w:eastAsia="宋体" w:cs="Times New Roman"/>
                <w:color w:val="000000" w:themeColor="text1"/>
                <w:highlight w:val="none"/>
                <w:lang w:val="en-US"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1.146</w:t>
            </w:r>
            <w:r>
              <w:rPr>
                <w:rFonts w:hint="default" w:ascii="Times New Roman" w:hAnsi="Times New Roman" w:eastAsia="宋体" w:cs="Times New Roman"/>
                <w:color w:val="000000" w:themeColor="text1"/>
                <w:highlight w:val="none"/>
                <w:lang w:val="en-US" w:eastAsia="zh-CN"/>
                <w14:textFill>
                  <w14:solidFill>
                    <w14:schemeClr w14:val="tx1"/>
                  </w14:solidFill>
                </w14:textFill>
              </w:rPr>
              <w:t>t/a</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2.011</w:t>
            </w:r>
            <w:r>
              <w:rPr>
                <w:rFonts w:hint="default" w:ascii="Times New Roman" w:hAnsi="Times New Roman" w:eastAsia="宋体" w:cs="Times New Roman"/>
                <w:color w:val="000000" w:themeColor="text1"/>
                <w:highlight w:val="none"/>
                <w:lang w:eastAsia="zh-CN"/>
                <w14:textFill>
                  <w14:solidFill>
                    <w14:schemeClr w14:val="tx1"/>
                  </w14:solidFill>
                </w14:textFill>
              </w:rPr>
              <w:t>t/a。根据</w:t>
            </w:r>
            <w:r>
              <w:rPr>
                <w:rFonts w:hint="default" w:ascii="Times New Roman" w:hAnsi="Times New Roman" w:eastAsia="宋体" w:cs="Times New Roman"/>
                <w:color w:val="000000" w:themeColor="text1"/>
                <w:highlight w:val="none"/>
                <w:lang w:val="en-US" w:eastAsia="zh-CN"/>
                <w14:textFill>
                  <w14:solidFill>
                    <w14:schemeClr w14:val="tx1"/>
                  </w14:solidFill>
                </w14:textFill>
              </w:rPr>
              <w:t>每吨活性炭吸附挥发性有机物150kg计</w:t>
            </w:r>
            <w:r>
              <w:rPr>
                <w:rFonts w:hint="default" w:ascii="Times New Roman" w:hAnsi="Times New Roman" w:eastAsia="宋体" w:cs="Times New Roman"/>
                <w:color w:val="000000" w:themeColor="text1"/>
                <w:highlight w:val="none"/>
                <w:lang w:eastAsia="zh-CN"/>
                <w14:textFill>
                  <w14:solidFill>
                    <w14:schemeClr w14:val="tx1"/>
                  </w14:solidFill>
                </w14:textFill>
              </w:rPr>
              <w:t>，则本项目需新鲜活性炭总用量</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13.</w:t>
            </w:r>
            <w:r>
              <w:rPr>
                <w:rFonts w:hint="eastAsia" w:cs="Times New Roman"/>
                <w:color w:val="000000" w:themeColor="text1"/>
                <w:highlight w:val="none"/>
                <w:lang w:val="en-US" w:eastAsia="zh-CN"/>
                <w14:textFill>
                  <w14:solidFill>
                    <w14:schemeClr w14:val="tx1"/>
                  </w14:solidFill>
                </w14:textFill>
              </w:rPr>
              <w:t>407</w:t>
            </w:r>
            <w:r>
              <w:rPr>
                <w:rFonts w:hint="default" w:ascii="Times New Roman" w:hAnsi="Times New Roman" w:eastAsia="宋体" w:cs="Times New Roman"/>
                <w:color w:val="000000" w:themeColor="text1"/>
                <w:highlight w:val="none"/>
                <w:lang w:eastAsia="zh-CN"/>
                <w14:textFill>
                  <w14:solidFill>
                    <w14:schemeClr w14:val="tx1"/>
                  </w14:solidFill>
                </w14:textFill>
              </w:rPr>
              <w:t>t/a，活性炭吸附有机废气产生的废饱和活性炭为新鲜活性炭用量加上活性炭吸附的废气量，则活性炭吸附有机废气产生的废饱和活性炭量为：</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15.418</w:t>
            </w:r>
            <w:r>
              <w:rPr>
                <w:rFonts w:hint="default" w:ascii="Times New Roman" w:hAnsi="Times New Roman" w:eastAsia="宋体" w:cs="Times New Roman"/>
                <w:color w:val="000000" w:themeColor="text1"/>
                <w:highlight w:val="none"/>
                <w:lang w:eastAsia="zh-CN"/>
                <w14:textFill>
                  <w14:solidFill>
                    <w14:schemeClr w14:val="tx1"/>
                  </w14:solidFill>
                </w14:textFill>
              </w:rPr>
              <w:t>t/a。活性炭吸附装置工作量达到饱和后需要更换活性炭，本项目采用</w:t>
            </w:r>
            <w:r>
              <w:rPr>
                <w:rFonts w:hint="eastAsia" w:ascii="Times New Roman" w:hAnsi="Times New Roman" w:cs="Times New Roman"/>
                <w:color w:val="000000" w:themeColor="text1"/>
                <w:lang w:val="en-US" w:eastAsia="zh-CN"/>
                <w14:textFill>
                  <w14:solidFill>
                    <w14:schemeClr w14:val="tx1"/>
                  </w14:solidFill>
                </w14:textFill>
              </w:rPr>
              <w:t>碘值不低于800mg/g的</w:t>
            </w:r>
            <w:r>
              <w:rPr>
                <w:rFonts w:hint="eastAsia" w:ascii="Times New Roman" w:hAnsi="Times New Roman" w:eastAsia="宋体" w:cs="Times New Roman"/>
                <w:color w:val="000000" w:themeColor="text1"/>
                <w:highlight w:val="none"/>
                <w:lang w:val="en-US" w:eastAsia="zh-CN"/>
                <w14:textFill>
                  <w14:solidFill>
                    <w14:schemeClr w14:val="tx1"/>
                  </w14:solidFill>
                </w14:textFill>
              </w:rPr>
              <w:t>颗粒状</w:t>
            </w:r>
            <w:r>
              <w:rPr>
                <w:rFonts w:hint="default" w:ascii="Times New Roman" w:hAnsi="Times New Roman" w:eastAsia="宋体" w:cs="Times New Roman"/>
                <w:color w:val="000000" w:themeColor="text1"/>
                <w:highlight w:val="none"/>
                <w:lang w:eastAsia="zh-CN"/>
                <w14:textFill>
                  <w14:solidFill>
                    <w14:schemeClr w14:val="tx1"/>
                  </w14:solidFill>
                </w14:textFill>
              </w:rPr>
              <w:t>活性炭（</w:t>
            </w:r>
            <w:r>
              <w:rPr>
                <w:rFonts w:hint="eastAsia" w:ascii="Times New Roman" w:hAnsi="Times New Roman" w:eastAsia="宋体" w:cs="Times New Roman"/>
                <w:color w:val="000000" w:themeColor="text1"/>
                <w:highlight w:val="none"/>
                <w:lang w:val="en-US" w:eastAsia="zh-CN"/>
                <w14:textFill>
                  <w14:solidFill>
                    <w14:schemeClr w14:val="tx1"/>
                  </w14:solidFill>
                </w14:textFill>
              </w:rPr>
              <w:t>颗粒</w:t>
            </w:r>
            <w:r>
              <w:rPr>
                <w:rFonts w:hint="default" w:ascii="Times New Roman" w:hAnsi="Times New Roman" w:eastAsia="宋体" w:cs="Times New Roman"/>
                <w:color w:val="000000" w:themeColor="text1"/>
                <w:highlight w:val="none"/>
                <w:lang w:eastAsia="zh-CN"/>
                <w14:textFill>
                  <w14:solidFill>
                    <w14:schemeClr w14:val="tx1"/>
                  </w14:solidFill>
                </w14:textFill>
              </w:rPr>
              <w:t>状活性炭密度约为0.5</w:t>
            </w:r>
            <w:r>
              <w:rPr>
                <w:rFonts w:hint="eastAsia" w:ascii="Times New Roman" w:hAnsi="Times New Roman" w:eastAsia="宋体"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lang w:eastAsia="zh-CN"/>
                <w14:textFill>
                  <w14:solidFill>
                    <w14:schemeClr w14:val="tx1"/>
                  </w14:solidFill>
                </w14:textFill>
              </w:rPr>
              <w:t>t/m</w:t>
            </w:r>
            <w:r>
              <w:rPr>
                <w:rFonts w:hint="default" w:ascii="Times New Roman" w:hAnsi="Times New Roman" w:eastAsia="宋体" w:cs="Times New Roman"/>
                <w:color w:val="000000" w:themeColor="text1"/>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highlight w:val="none"/>
                <w:lang w:eastAsia="zh-CN"/>
                <w14:textFill>
                  <w14:solidFill>
                    <w14:schemeClr w14:val="tx1"/>
                  </w14:solidFill>
                </w14:textFill>
              </w:rPr>
              <w:t>）吸附有机废气，</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本项目活性炭</w:t>
            </w:r>
            <w:r>
              <w:rPr>
                <w:rFonts w:hint="default" w:ascii="Times New Roman" w:hAnsi="Times New Roman" w:eastAsia="宋体" w:cs="Times New Roman"/>
                <w:color w:val="000000" w:themeColor="text1"/>
                <w:highlight w:val="none"/>
                <w:lang w:eastAsia="zh-CN"/>
                <w14:textFill>
                  <w14:solidFill>
                    <w14:schemeClr w14:val="tx1"/>
                  </w14:solidFill>
                </w14:textFill>
              </w:rPr>
              <w:t>装填量约</w:t>
            </w:r>
            <w:r>
              <w:rPr>
                <w:rFonts w:hint="eastAsia" w:cs="Times New Roman"/>
                <w:color w:val="000000" w:themeColor="text1"/>
                <w:highlight w:val="none"/>
                <w:lang w:val="en-US" w:eastAsia="zh-CN"/>
                <w14:textFill>
                  <w14:solidFill>
                    <w14:schemeClr w14:val="tx1"/>
                  </w14:solidFill>
                </w14:textFill>
              </w:rPr>
              <w:t>3</w:t>
            </w:r>
            <w:r>
              <w:rPr>
                <w:rFonts w:hint="default" w:ascii="Times New Roman" w:hAnsi="Times New Roman" w:eastAsia="宋体" w:cs="Times New Roman"/>
                <w:color w:val="000000" w:themeColor="text1"/>
                <w:highlight w:val="none"/>
                <w:lang w:eastAsia="zh-CN"/>
                <w14:textFill>
                  <w14:solidFill>
                    <w14:schemeClr w14:val="tx1"/>
                  </w14:solidFill>
                </w14:textFill>
              </w:rPr>
              <w:t>m</w:t>
            </w:r>
            <w:r>
              <w:rPr>
                <w:rFonts w:hint="default" w:ascii="Times New Roman" w:hAnsi="Times New Roman" w:eastAsia="宋体" w:cs="Times New Roman"/>
                <w:color w:val="000000" w:themeColor="text1"/>
                <w:highlight w:val="none"/>
                <w:vertAlign w:val="superscript"/>
                <w:lang w:eastAsia="zh-CN"/>
                <w14:textFill>
                  <w14:solidFill>
                    <w14:schemeClr w14:val="tx1"/>
                  </w14:solidFill>
                </w14:textFill>
              </w:rPr>
              <w:t>3</w:t>
            </w:r>
            <w:r>
              <w:rPr>
                <w:rFonts w:hint="default"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根据</w:t>
            </w:r>
            <w:r>
              <w:rPr>
                <w:rFonts w:hint="default" w:ascii="Times New Roman" w:hAnsi="Times New Roman" w:eastAsia="宋体" w:cs="Times New Roman"/>
                <w:color w:val="000000" w:themeColor="text1"/>
                <w:highlight w:val="none"/>
                <w:lang w:eastAsia="zh-CN"/>
                <w14:textFill>
                  <w14:solidFill>
                    <w14:schemeClr w14:val="tx1"/>
                  </w14:solidFill>
                </w14:textFill>
              </w:rPr>
              <w:t>《关于强化</w:t>
            </w:r>
            <w:r>
              <w:rPr>
                <w:rFonts w:hint="eastAsia" w:ascii="Times New Roman" w:hAnsi="Times New Roman" w:eastAsia="宋体" w:cs="Times New Roman"/>
                <w:color w:val="000000" w:themeColor="text1"/>
                <w:highlight w:val="none"/>
                <w:lang w:eastAsia="zh-CN"/>
                <w14:textFill>
                  <w14:solidFill>
                    <w14:schemeClr w14:val="tx1"/>
                  </w14:solidFill>
                </w14:textFill>
              </w:rPr>
              <w:t>VOCs（以NMHC表征）</w:t>
            </w:r>
            <w:r>
              <w:rPr>
                <w:rFonts w:hint="default" w:ascii="Times New Roman" w:hAnsi="Times New Roman" w:eastAsia="宋体" w:cs="Times New Roman"/>
                <w:color w:val="000000" w:themeColor="text1"/>
                <w:highlight w:val="none"/>
                <w:lang w:eastAsia="zh-CN"/>
                <w14:textFill>
                  <w14:solidFill>
                    <w14:schemeClr w14:val="tx1"/>
                  </w14:solidFill>
                </w14:textFill>
              </w:rPr>
              <w:t>治理攻坚着力做好2023年臭氧污染防治工作的通知》</w:t>
            </w:r>
            <w:r>
              <w:rPr>
                <w:rFonts w:hint="default" w:ascii="Times New Roman" w:hAnsi="Times New Roman" w:eastAsia="宋体" w:cs="Times New Roman"/>
                <w:color w:val="000000" w:themeColor="text1"/>
                <w:highlight w:val="none"/>
                <w:lang w:val="en-US" w:eastAsia="zh-CN"/>
                <w14:textFill>
                  <w14:solidFill>
                    <w14:schemeClr w14:val="tx1"/>
                  </w14:solidFill>
                </w14:textFill>
              </w:rPr>
              <w:t>附件1</w:t>
            </w:r>
            <w:r>
              <w:rPr>
                <w:rFonts w:hint="eastAsia" w:ascii="Times New Roman" w:hAnsi="Times New Roman" w:eastAsia="宋体" w:cs="Times New Roman"/>
                <w:color w:val="000000" w:themeColor="text1"/>
                <w:highlight w:val="none"/>
                <w:lang w:val="en-US" w:eastAsia="zh-CN"/>
                <w14:textFill>
                  <w14:solidFill>
                    <w14:schemeClr w14:val="tx1"/>
                  </w14:solidFill>
                </w14:textFill>
              </w:rPr>
              <w:t>中活性炭更换周期计算公式：</w:t>
            </w:r>
          </w:p>
          <w:p w14:paraId="043541D1">
            <w:pPr>
              <w:pStyle w:val="127"/>
              <w:adjustRightInd w:val="0"/>
              <w:snapToGrid w:val="0"/>
              <w:spacing w:line="360" w:lineRule="auto"/>
              <w:ind w:left="0" w:leftChars="0" w:firstLine="0" w:firstLineChars="0"/>
              <w:jc w:val="center"/>
              <w:rPr>
                <w:rFonts w:hint="default" w:cs="Times New Roman"/>
                <w:color w:val="000000" w:themeColor="text1"/>
                <w:sz w:val="24"/>
                <w:highlight w:val="none"/>
                <w:lang w:val="en-US" w:eastAsia="zh-CN"/>
                <w14:textFill>
                  <w14:solidFill>
                    <w14:schemeClr w14:val="tx1"/>
                  </w14:solidFill>
                </w14:textFill>
              </w:rPr>
            </w:pPr>
            <m:oMathPara>
              <m:oMath>
                <m:r>
                  <m:rPr>
                    <m:sty m:val="p"/>
                  </m:rPr>
                  <w:rPr>
                    <w:rFonts w:hint="default" w:ascii="Cambria Math" w:hAnsi="Cambria Math" w:cs="Times New Roman"/>
                    <w:color w:val="000000" w:themeColor="text1"/>
                    <w:kern w:val="2"/>
                    <w:sz w:val="24"/>
                    <w:szCs w:val="24"/>
                    <w:highlight w:val="none"/>
                    <w:lang w:val="en-US" w:eastAsia="zh-CN" w:bidi="ar-SA"/>
                    <w14:textFill>
                      <w14:solidFill>
                        <w14:schemeClr w14:val="tx1"/>
                      </w14:solidFill>
                    </w14:textFill>
                  </w:rPr>
                  <m:t>T</m:t>
                </m:r>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m:t>
                </m:r>
                <m:r>
                  <m:rPr>
                    <m:sty m:val="p"/>
                  </m:rPr>
                  <w:rPr>
                    <w:rFonts w:hint="eastAsia" w:ascii="Cambria Math" w:hAnsi="Cambria Math" w:cs="Cambria Math"/>
                    <w:color w:val="000000" w:themeColor="text1"/>
                    <w:kern w:val="2"/>
                    <w:sz w:val="24"/>
                    <w:szCs w:val="24"/>
                    <w:highlight w:val="none"/>
                    <w:lang w:val="en-US" w:eastAsia="zh-CN" w:bidi="ar-SA"/>
                    <w14:textFill>
                      <w14:solidFill>
                        <w14:schemeClr w14:val="tx1"/>
                      </w14:solidFill>
                    </w14:textFill>
                  </w:rPr>
                  <m:t>m</m:t>
                </m:r>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m:t>
                </m:r>
                <m:r>
                  <m:rPr>
                    <m:sty m:val="p"/>
                  </m:rPr>
                  <w:rPr>
                    <w:rFonts w:hint="eastAsia" w:ascii="Cambria Math" w:hAnsi="Cambria Math" w:cs="Cambria Math"/>
                    <w:color w:val="000000" w:themeColor="text1"/>
                    <w:kern w:val="2"/>
                    <w:sz w:val="24"/>
                    <w:szCs w:val="24"/>
                    <w:highlight w:val="none"/>
                    <w:lang w:val="en-US" w:eastAsia="zh-CN" w:bidi="ar-SA"/>
                    <w14:textFill>
                      <w14:solidFill>
                        <w14:schemeClr w14:val="tx1"/>
                      </w14:solidFill>
                    </w14:textFill>
                  </w:rPr>
                  <m:t>s</m:t>
                </m:r>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m:t>
                </m:r>
                <m:d>
                  <m:dPr>
                    <m:ctrl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ctrlPr>
                  </m:dPr>
                  <m:e>
                    <m:r>
                      <m:rPr>
                        <m:sty m:val="p"/>
                      </m:rPr>
                      <w:rPr>
                        <w:rFonts w:hint="eastAsia" w:ascii="Cambria Math" w:hAnsi="Cambria Math" w:cs="Cambria Math"/>
                        <w:color w:val="000000" w:themeColor="text1"/>
                        <w:kern w:val="2"/>
                        <w:sz w:val="24"/>
                        <w:szCs w:val="24"/>
                        <w:highlight w:val="none"/>
                        <w:lang w:val="en-US" w:eastAsia="zh-CN" w:bidi="ar-SA"/>
                        <w14:textFill>
                          <w14:solidFill>
                            <w14:schemeClr w14:val="tx1"/>
                          </w14:solidFill>
                        </w14:textFill>
                      </w:rPr>
                      <m:t>c</m:t>
                    </m:r>
                    <m:r>
                      <m:rPr>
                        <m:sty m:val="p"/>
                      </m:rPr>
                      <w:rPr>
                        <w:rFonts w:hint="default" w:ascii="Cambria Math" w:hAnsi="Cambria Math" w:cs="Cambria Math"/>
                        <w:color w:val="000000" w:themeColor="text1"/>
                        <w:kern w:val="2"/>
                        <w:sz w:val="24"/>
                        <w:szCs w:val="24"/>
                        <w:highlight w:val="none"/>
                        <w:lang w:val="en-US" w:bidi="ar-SA"/>
                        <w14:textFill>
                          <w14:solidFill>
                            <w14:schemeClr w14:val="tx1"/>
                          </w14:solidFill>
                        </w14:textFill>
                      </w:rPr>
                      <m:t>×</m:t>
                    </m:r>
                    <m:sSup>
                      <m:sSupPr>
                        <m:ctrlPr>
                          <w:rPr>
                            <w:rFonts w:hint="default" w:ascii="Cambria Math" w:hAnsi="Cambria Math" w:cs="Cambria Math"/>
                            <w:color w:val="000000" w:themeColor="text1"/>
                            <w:kern w:val="2"/>
                            <w:sz w:val="24"/>
                            <w:szCs w:val="24"/>
                            <w:highlight w:val="none"/>
                            <w:lang w:val="en-US" w:bidi="ar-SA"/>
                            <w14:textFill>
                              <w14:solidFill>
                                <w14:schemeClr w14:val="tx1"/>
                              </w14:solidFill>
                            </w14:textFill>
                          </w:rPr>
                        </m:ctrlPr>
                      </m:sSupPr>
                      <m:e>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10</m:t>
                        </m:r>
                        <m:ctrlPr>
                          <w:rPr>
                            <w:rFonts w:hint="default" w:ascii="Cambria Math" w:hAnsi="Cambria Math" w:cs="Cambria Math"/>
                            <w:color w:val="000000" w:themeColor="text1"/>
                            <w:kern w:val="2"/>
                            <w:sz w:val="24"/>
                            <w:szCs w:val="24"/>
                            <w:highlight w:val="none"/>
                            <w:lang w:val="en-US" w:bidi="ar-SA"/>
                            <w14:textFill>
                              <w14:solidFill>
                                <w14:schemeClr w14:val="tx1"/>
                              </w14:solidFill>
                            </w14:textFill>
                          </w:rPr>
                        </m:ctrlPr>
                      </m:e>
                      <m:sup>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−6</m:t>
                        </m:r>
                        <m:ctrlPr>
                          <w:rPr>
                            <w:rFonts w:hint="default" w:ascii="Cambria Math" w:hAnsi="Cambria Math" w:cs="Cambria Math"/>
                            <w:color w:val="000000" w:themeColor="text1"/>
                            <w:kern w:val="2"/>
                            <w:sz w:val="24"/>
                            <w:szCs w:val="24"/>
                            <w:highlight w:val="none"/>
                            <w:lang w:val="en-US" w:bidi="ar-SA"/>
                            <w14:textFill>
                              <w14:solidFill>
                                <w14:schemeClr w14:val="tx1"/>
                              </w14:solidFill>
                            </w14:textFill>
                          </w:rPr>
                        </m:ctrlPr>
                      </m:sup>
                    </m:sSup>
                    <m:r>
                      <m:rPr>
                        <m:sty m:val="p"/>
                      </m:rPr>
                      <w:rPr>
                        <w:rFonts w:hint="default" w:ascii="Cambria Math" w:hAnsi="Cambria Math" w:cs="Cambria Math"/>
                        <w:color w:val="000000" w:themeColor="text1"/>
                        <w:kern w:val="2"/>
                        <w:sz w:val="24"/>
                        <w:szCs w:val="24"/>
                        <w:highlight w:val="none"/>
                        <w:lang w:val="en-US" w:bidi="ar-SA"/>
                        <w14:textFill>
                          <w14:solidFill>
                            <w14:schemeClr w14:val="tx1"/>
                          </w14:solidFill>
                        </w14:textFill>
                      </w:rPr>
                      <m:t>×</m:t>
                    </m:r>
                    <m:r>
                      <m:rPr>
                        <m:sty m:val="p"/>
                      </m:r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t>Q</m:t>
                    </m:r>
                    <m:r>
                      <m:rPr>
                        <m:sty m:val="p"/>
                      </m:rPr>
                      <w:rPr>
                        <w:rFonts w:hint="default" w:ascii="Cambria Math" w:hAnsi="Cambria Math" w:cs="Cambria Math"/>
                        <w:color w:val="000000" w:themeColor="text1"/>
                        <w:kern w:val="2"/>
                        <w:sz w:val="24"/>
                        <w:szCs w:val="24"/>
                        <w:highlight w:val="none"/>
                        <w:lang w:val="en-US" w:bidi="ar-SA"/>
                        <w14:textFill>
                          <w14:solidFill>
                            <w14:schemeClr w14:val="tx1"/>
                          </w14:solidFill>
                        </w14:textFill>
                      </w:rPr>
                      <m:t>×</m:t>
                    </m:r>
                    <m:r>
                      <m:rPr>
                        <m:sty m:val="p"/>
                      </m:rPr>
                      <w:rPr>
                        <w:rFonts w:hint="eastAsia" w:ascii="Cambria Math" w:hAnsi="Cambria Math" w:cs="Cambria Math"/>
                        <w:color w:val="000000" w:themeColor="text1"/>
                        <w:kern w:val="2"/>
                        <w:sz w:val="24"/>
                        <w:szCs w:val="24"/>
                        <w:highlight w:val="none"/>
                        <w:lang w:val="en-US" w:eastAsia="zh-CN" w:bidi="ar-SA"/>
                        <w14:textFill>
                          <w14:solidFill>
                            <w14:schemeClr w14:val="tx1"/>
                          </w14:solidFill>
                        </w14:textFill>
                      </w:rPr>
                      <m:t>t</m:t>
                    </m:r>
                    <m:ctrlPr>
                      <w:rPr>
                        <w:rFonts w:hint="default" w:ascii="Cambria Math" w:hAnsi="Cambria Math" w:cs="Cambria Math"/>
                        <w:color w:val="000000" w:themeColor="text1"/>
                        <w:kern w:val="2"/>
                        <w:sz w:val="24"/>
                        <w:szCs w:val="24"/>
                        <w:highlight w:val="none"/>
                        <w:lang w:val="en-US" w:eastAsia="zh-CN" w:bidi="ar-SA"/>
                        <w14:textFill>
                          <w14:solidFill>
                            <w14:schemeClr w14:val="tx1"/>
                          </w14:solidFill>
                        </w14:textFill>
                      </w:rPr>
                    </m:ctrlPr>
                  </m:e>
                </m:d>
              </m:oMath>
            </m:oMathPara>
          </w:p>
          <w:p w14:paraId="13A9E8CE">
            <w:pPr>
              <w:pStyle w:val="127"/>
              <w:adjustRightInd w:val="0"/>
              <w:snapToGrid w:val="0"/>
              <w:spacing w:line="360" w:lineRule="auto"/>
              <w:rPr>
                <w:rFonts w:hint="default" w:cs="Times New Roman"/>
                <w:color w:val="000000" w:themeColor="text1"/>
                <w:sz w:val="24"/>
                <w:highlight w:val="none"/>
                <w:lang w:val="en-US" w:eastAsia="zh-CN"/>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式中：T—更换周期，天；m—废气治理设施中活性炭的装填量，kg；s—动态吸附量（一般取值15%）；c—活性炭消减的VOCs浓度，mg/m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；Q—风量，单位m</w:t>
            </w:r>
            <w:r>
              <w:rPr>
                <w:rFonts w:hint="eastAsia" w:cs="Times New Roman"/>
                <w:color w:val="000000" w:themeColor="text1"/>
                <w:sz w:val="24"/>
                <w:highlight w:val="none"/>
                <w:vertAlign w:val="superscript"/>
                <w:lang w:val="en-US" w:eastAsia="zh-CN"/>
                <w14:textFill>
                  <w14:solidFill>
                    <w14:schemeClr w14:val="tx1"/>
                  </w14:solidFill>
                </w14:textFill>
              </w:rPr>
              <w:t>3</w:t>
            </w:r>
            <w:r>
              <w:rPr>
                <w:rFonts w:hint="eastAsia" w:cs="Times New Roman"/>
                <w:color w:val="000000" w:themeColor="text1"/>
                <w:sz w:val="24"/>
                <w:highlight w:val="none"/>
                <w:lang w:val="en-US" w:eastAsia="zh-CN"/>
                <w14:textFill>
                  <w14:solidFill>
                    <w14:schemeClr w14:val="tx1"/>
                  </w14:solidFill>
                </w14:textFill>
              </w:rPr>
              <w:t>/h；t—运行时间，单位h/d。</w:t>
            </w:r>
          </w:p>
          <w:p w14:paraId="0E149964">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eastAsia" w:cs="Times New Roman"/>
                <w:color w:val="000000" w:themeColor="text1"/>
                <w:sz w:val="24"/>
                <w:highlight w:val="none"/>
                <w:lang w:val="en-US" w:eastAsia="zh-CN"/>
                <w14:textFill>
                  <w14:solidFill>
                    <w14:schemeClr w14:val="tx1"/>
                  </w14:solidFill>
                </w14:textFill>
              </w:rPr>
              <w:t>经计算，预计</w:t>
            </w:r>
            <w:r>
              <w:rPr>
                <w:rFonts w:hint="default" w:ascii="Times New Roman" w:hAnsi="Times New Roman" w:cs="Times New Roman"/>
                <w:color w:val="000000" w:themeColor="text1"/>
                <w:sz w:val="24"/>
                <w:highlight w:val="none"/>
                <w14:textFill>
                  <w14:solidFill>
                    <w14:schemeClr w14:val="tx1"/>
                  </w14:solidFill>
                </w14:textFill>
              </w:rPr>
              <w:t>更换周期</w:t>
            </w:r>
            <w:r>
              <w:rPr>
                <w:rFonts w:hint="eastAsia" w:cs="Times New Roman"/>
                <w:color w:val="000000" w:themeColor="text1"/>
                <w:sz w:val="24"/>
                <w:highlight w:val="none"/>
                <w:lang w:val="en-US" w:eastAsia="zh-CN"/>
                <w14:textFill>
                  <w14:solidFill>
                    <w14:schemeClr w14:val="tx1"/>
                  </w14:solidFill>
                </w14:textFill>
              </w:rPr>
              <w:t>为70天</w:t>
            </w:r>
            <w:r>
              <w:rPr>
                <w:rFonts w:hint="default" w:ascii="Times New Roman" w:hAnsi="Times New Roman" w:cs="Times New Roman"/>
                <w:color w:val="000000" w:themeColor="text1"/>
                <w:sz w:val="24"/>
                <w:highlight w:val="none"/>
                <w14:textFill>
                  <w14:solidFill>
                    <w14:schemeClr w14:val="tx1"/>
                  </w14:solidFill>
                </w14:textFill>
              </w:rPr>
              <w:t>。产生的废活性炭暂存于危险废物暂存间，委托有资质单位定期清运处置。</w:t>
            </w:r>
          </w:p>
          <w:p w14:paraId="21983A46">
            <w:pPr>
              <w:pStyle w:val="118"/>
              <w:shd w:val="clear" w:color="auto" w:fill="auto"/>
              <w:ind w:firstLine="480"/>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8</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废过滤棉</w:t>
            </w:r>
          </w:p>
          <w:p w14:paraId="6478A987">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有机废气处理设施运行过程中</w:t>
            </w:r>
            <w:r>
              <w:rPr>
                <w:rFonts w:hint="default" w:ascii="Times New Roman" w:hAnsi="Times New Roman" w:eastAsia="宋体" w:cs="Times New Roman"/>
                <w:color w:val="000000" w:themeColor="text1"/>
                <w:highlight w:val="none"/>
                <w:lang w:eastAsia="zh-CN"/>
                <w14:textFill>
                  <w14:solidFill>
                    <w14:schemeClr w14:val="tx1"/>
                  </w14:solidFill>
                </w14:textFill>
              </w:rPr>
              <w:t>会产生</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废过滤棉</w:t>
            </w:r>
            <w:r>
              <w:rPr>
                <w:rFonts w:hint="default" w:ascii="Times New Roman" w:hAnsi="Times New Roman" w:eastAsia="宋体" w:cs="Times New Roman"/>
                <w:color w:val="000000" w:themeColor="text1"/>
                <w:highlight w:val="none"/>
                <w:lang w:eastAsia="zh-CN"/>
                <w14:textFill>
                  <w14:solidFill>
                    <w14:schemeClr w14:val="tx1"/>
                  </w14:solidFill>
                </w14:textFill>
              </w:rPr>
              <w:t>，项目</w:t>
            </w:r>
            <w:r>
              <w:rPr>
                <w:rFonts w:hint="eastAsia" w:ascii="Times New Roman" w:hAnsi="Times New Roman" w:eastAsia="宋体" w:cs="Times New Roman"/>
                <w:color w:val="000000" w:themeColor="text1"/>
                <w:highlight w:val="none"/>
                <w:lang w:val="en-US" w:eastAsia="zh-CN"/>
                <w14:textFill>
                  <w14:solidFill>
                    <w14:schemeClr w14:val="tx1"/>
                  </w14:solidFill>
                </w14:textFill>
              </w:rPr>
              <w:t>废过滤棉</w:t>
            </w:r>
            <w:r>
              <w:rPr>
                <w:rFonts w:hint="default" w:ascii="Times New Roman" w:hAnsi="Times New Roman" w:eastAsia="宋体" w:cs="Times New Roman"/>
                <w:color w:val="000000" w:themeColor="text1"/>
                <w:highlight w:val="none"/>
                <w:lang w:eastAsia="zh-CN"/>
                <w14:textFill>
                  <w14:solidFill>
                    <w14:schemeClr w14:val="tx1"/>
                  </w14:solidFill>
                </w14:textFill>
              </w:rPr>
              <w:t>产生量约</w:t>
            </w:r>
            <w:r>
              <w:rPr>
                <w:rFonts w:hint="eastAsia" w:ascii="Times New Roman" w:hAnsi="Times New Roman" w:eastAsia="宋体" w:cs="Times New Roman"/>
                <w:color w:val="000000" w:themeColor="text1"/>
                <w:highlight w:val="none"/>
                <w:lang w:val="en-US" w:eastAsia="zh-CN"/>
                <w14:textFill>
                  <w14:solidFill>
                    <w14:schemeClr w14:val="tx1"/>
                  </w14:solidFill>
                </w14:textFill>
              </w:rPr>
              <w:t>0.0</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highlight w:val="none"/>
                <w:lang w:eastAsia="zh-CN"/>
                <w14:textFill>
                  <w14:solidFill>
                    <w14:schemeClr w14:val="tx1"/>
                  </w14:solidFill>
                </w14:textFill>
              </w:rPr>
              <w:t>t/a，根据属于《国家危险废物名录（2021年版）》属危险废物（废物代码900-041-49，危废类别HW49），暂存危险废物暂存库，交由有资质单位处置。</w:t>
            </w:r>
          </w:p>
          <w:p w14:paraId="30848F1A">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9</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废机油</w:t>
            </w:r>
          </w:p>
          <w:p w14:paraId="43079CA0">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项目设备检修、维护产生的废机油约为0.05t/a，根据《国家危险废物名录》（2021年版）中“HW08废矿物油与含矿物油废物，车辆、轮船及其它机械维修过程中产生的废发动机油、制动器油、自动变速器油、齿轮油等废润滑油”，属于危险废物（代码：900-214-08），暂存于危险废物暂存间，委托有资质单位定期清运处置。</w:t>
            </w:r>
          </w:p>
          <w:p w14:paraId="58122A0A">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0</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废机油桶</w:t>
            </w:r>
          </w:p>
          <w:p w14:paraId="066E4318">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设备在维修时会产生少量废机械油，项目废机械油产生量为0.05t/a，50L/桶，则废机油桶产生量约1个，约10kg/个，产生量0.01t/a，根据属于《国家危险废物名录（2021年版）》属危险废物（废物代码900-041-49，危废类别HW49），暂存危险废物暂存库，交由有资质单位处置。</w:t>
            </w:r>
          </w:p>
          <w:p w14:paraId="54E27399">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eastAsia" w:ascii="Times New Roman" w:hAnsi="Times New Roman" w:eastAsia="宋体"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1</w:t>
            </w:r>
            <w:r>
              <w:rPr>
                <w:rFonts w:hint="eastAsia" w:ascii="Times New Roman" w:hAnsi="Times New Roman" w:eastAsia="宋体" w:cs="Times New Roman"/>
                <w:color w:val="000000" w:themeColor="text1"/>
                <w:highlight w:val="none"/>
                <w:lang w:eastAsia="zh-CN"/>
                <w14:textFill>
                  <w14:solidFill>
                    <w14:schemeClr w14:val="tx1"/>
                  </w14:solidFill>
                </w14:textFill>
              </w:rPr>
              <w:t>）</w:t>
            </w:r>
            <w:r>
              <w:rPr>
                <w:rFonts w:hint="default" w:ascii="Times New Roman" w:hAnsi="Times New Roman" w:eastAsia="宋体" w:cs="Times New Roman"/>
                <w:color w:val="000000" w:themeColor="text1"/>
                <w:highlight w:val="none"/>
                <w:lang w:eastAsia="zh-CN"/>
                <w14:textFill>
                  <w14:solidFill>
                    <w14:schemeClr w14:val="tx1"/>
                  </w14:solidFill>
                </w14:textFill>
              </w:rPr>
              <w:t>废劳保用品</w:t>
            </w:r>
          </w:p>
          <w:p w14:paraId="313F087F">
            <w:pPr>
              <w:pStyle w:val="118"/>
              <w:shd w:val="clear" w:color="auto" w:fill="auto"/>
              <w:ind w:firstLine="480"/>
              <w:rPr>
                <w:rFonts w:hint="default"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eastAsia="宋体" w:cs="Times New Roman"/>
                <w:color w:val="000000" w:themeColor="text1"/>
                <w:highlight w:val="none"/>
                <w:lang w:eastAsia="zh-CN"/>
                <w14:textFill>
                  <w14:solidFill>
                    <w14:schemeClr w14:val="tx1"/>
                  </w14:solidFill>
                </w14:textFill>
              </w:rPr>
              <w:t>项目在</w:t>
            </w:r>
            <w:r>
              <w:rPr>
                <w:rFonts w:hint="default" w:ascii="Times New Roman" w:hAnsi="Times New Roman" w:eastAsia="宋体" w:cs="Times New Roman"/>
                <w:color w:val="000000" w:themeColor="text1"/>
                <w:highlight w:val="none"/>
                <w:lang w:val="en-US" w:eastAsia="zh-CN"/>
                <w14:textFill>
                  <w14:solidFill>
                    <w14:schemeClr w14:val="tx1"/>
                  </w14:solidFill>
                </w14:textFill>
              </w:rPr>
              <w:t>正常</w:t>
            </w:r>
            <w:r>
              <w:rPr>
                <w:rFonts w:hint="default" w:ascii="Times New Roman" w:hAnsi="Times New Roman" w:eastAsia="宋体" w:cs="Times New Roman"/>
                <w:color w:val="000000" w:themeColor="text1"/>
                <w:highlight w:val="none"/>
                <w:lang w:eastAsia="zh-CN"/>
                <w14:textFill>
                  <w14:solidFill>
                    <w14:schemeClr w14:val="tx1"/>
                  </w14:solidFill>
                </w14:textFill>
              </w:rPr>
              <w:t>生产运行过程中会产生少量的废弃的含油抹布、劳保用品约为0.01t/a，根据《国家危险废物名录》（2021年版）中“HW</w:t>
            </w:r>
            <w:r>
              <w:rPr>
                <w:rFonts w:hint="default" w:ascii="Times New Roman" w:hAnsi="Times New Roman" w:eastAsia="宋体" w:cs="Times New Roman"/>
                <w:color w:val="000000" w:themeColor="text1"/>
                <w:highlight w:val="none"/>
                <w:lang w:val="en-US" w:eastAsia="zh-CN"/>
                <w14:textFill>
                  <w14:solidFill>
                    <w14:schemeClr w14:val="tx1"/>
                  </w14:solidFill>
                </w14:textFill>
              </w:rPr>
              <w:t>49</w:t>
            </w:r>
            <w:r>
              <w:rPr>
                <w:rFonts w:hint="default" w:ascii="Times New Roman" w:hAnsi="Times New Roman" w:eastAsia="宋体" w:cs="Times New Roman"/>
                <w:color w:val="000000" w:themeColor="text1"/>
                <w:highlight w:val="none"/>
                <w:lang w:eastAsia="zh-CN"/>
                <w14:textFill>
                  <w14:solidFill>
                    <w14:schemeClr w14:val="tx1"/>
                  </w14:solidFill>
                </w14:textFill>
              </w:rPr>
              <w:t>含有或沾染毒性、感染性危险废物的废弃包装物、容器、过滤吸附介质”，属于危险废物（代码：900-041-49），暂存于危险废物暂存间，委托有资质单位定期清运处置。</w:t>
            </w:r>
          </w:p>
          <w:p w14:paraId="599379EF">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项目固废产排情况见表4-</w:t>
            </w:r>
            <w:r>
              <w:rPr>
                <w:rFonts w:hint="eastAsia" w:cs="Times New Roman"/>
                <w:color w:val="000000" w:themeColor="text1"/>
                <w:sz w:val="24"/>
                <w:highlight w:val="none"/>
                <w:lang w:val="en-US" w:eastAsia="zh-CN"/>
                <w14:textFill>
                  <w14:solidFill>
                    <w14:schemeClr w14:val="tx1"/>
                  </w14:solidFill>
                </w14:textFill>
              </w:rPr>
              <w:t>9</w:t>
            </w:r>
            <w:r>
              <w:rPr>
                <w:rFonts w:hint="default" w:ascii="Times New Roman" w:hAnsi="Times New Roman" w:cs="Times New Roman"/>
                <w:color w:val="000000" w:themeColor="text1"/>
                <w:sz w:val="24"/>
                <w:highlight w:val="none"/>
                <w14:textFill>
                  <w14:solidFill>
                    <w14:schemeClr w14:val="tx1"/>
                  </w14:solidFill>
                </w14:textFill>
              </w:rPr>
              <w:t>，危险废物汇总详见表4-</w:t>
            </w:r>
            <w:r>
              <w:rPr>
                <w:rFonts w:hint="eastAsia" w:ascii="Times New Roman" w:hAnsi="Times New Roman" w:cs="Times New Roman"/>
                <w:color w:val="000000" w:themeColor="text1"/>
                <w:sz w:val="24"/>
                <w:highlight w:val="none"/>
                <w:lang w:val="en-US" w:eastAsia="zh-CN"/>
                <w14:textFill>
                  <w14:solidFill>
                    <w14:schemeClr w14:val="tx1"/>
                  </w14:solidFill>
                </w14:textFill>
              </w:rPr>
              <w:t>1</w:t>
            </w:r>
            <w:r>
              <w:rPr>
                <w:rFonts w:hint="eastAsia" w:cs="Times New Roman"/>
                <w:color w:val="000000" w:themeColor="text1"/>
                <w:sz w:val="24"/>
                <w:highlight w:val="none"/>
                <w:lang w:val="en-US" w:eastAsia="zh-CN"/>
                <w14:textFill>
                  <w14:solidFill>
                    <w14:schemeClr w14:val="tx1"/>
                  </w14:solidFill>
                </w14:textFill>
              </w:rPr>
              <w:t>0</w:t>
            </w:r>
            <w:r>
              <w:rPr>
                <w:rFonts w:hint="default" w:ascii="Times New Roman" w:hAnsi="Times New Roman" w:cs="Times New Roman"/>
                <w:color w:val="000000" w:themeColor="text1"/>
                <w:sz w:val="24"/>
                <w:highlight w:val="none"/>
                <w14:textFill>
                  <w14:solidFill>
                    <w14:schemeClr w14:val="tx1"/>
                  </w14:solidFill>
                </w14:textFill>
              </w:rPr>
              <w:t>，项目危险废物贮存场所（设施）基本情况表见表4-</w:t>
            </w:r>
            <w:r>
              <w:rPr>
                <w:rFonts w:hint="eastAsia" w:ascii="Times New Roman" w:hAnsi="Times New Roman" w:cs="Times New Roman"/>
                <w:color w:val="000000" w:themeColor="text1"/>
                <w:sz w:val="24"/>
                <w:highlight w:val="none"/>
                <w:lang w:val="en-US" w:eastAsia="zh-CN"/>
                <w14:textFill>
                  <w14:solidFill>
                    <w14:schemeClr w14:val="tx1"/>
                  </w14:solidFill>
                </w14:textFill>
              </w:rPr>
              <w:t>1</w:t>
            </w:r>
            <w:r>
              <w:rPr>
                <w:rFonts w:hint="eastAsia" w:cs="Times New Roman"/>
                <w:color w:val="000000" w:themeColor="text1"/>
                <w:sz w:val="24"/>
                <w:highlight w:val="none"/>
                <w:lang w:val="en-US" w:eastAsia="zh-CN"/>
                <w14:textFill>
                  <w14:solidFill>
                    <w14:schemeClr w14:val="tx1"/>
                  </w14:solidFill>
                </w14:textFill>
              </w:rPr>
              <w:t>1</w:t>
            </w:r>
            <w:r>
              <w:rPr>
                <w:rFonts w:hint="default" w:ascii="Times New Roman" w:hAnsi="Times New Roman" w:cs="Times New Roman"/>
                <w:color w:val="000000" w:themeColor="text1"/>
                <w:sz w:val="24"/>
                <w:highlight w:val="none"/>
                <w14:textFill>
                  <w14:solidFill>
                    <w14:schemeClr w14:val="tx1"/>
                  </w14:solidFill>
                </w14:textFill>
              </w:rPr>
              <w:t>。</w:t>
            </w:r>
          </w:p>
          <w:p w14:paraId="779B9ED3">
            <w:pPr>
              <w:shd w:val="clear" w:color="auto" w:fill="auto"/>
              <w:adjustRightInd w:val="0"/>
              <w:spacing w:line="240" w:lineRule="auto"/>
              <w:ind w:left="0" w:leftChars="0" w:firstLine="0" w:firstLineChars="0"/>
              <w:jc w:val="center"/>
              <w:rPr>
                <w:rFonts w:hint="default" w:ascii="Times New Roman" w:hAnsi="Times New Roman" w:cs="Times New Roman"/>
                <w:b/>
                <w:bCs/>
                <w:snapToGrid w:val="0"/>
                <w:color w:val="000000" w:themeColor="text1"/>
                <w:kern w:val="0"/>
                <w:highlight w:val="none"/>
                <w14:textFill>
                  <w14:solidFill>
                    <w14:schemeClr w14:val="tx1"/>
                  </w14:solidFill>
                </w14:textFill>
              </w:rPr>
            </w:pPr>
            <w:r>
              <w:rPr>
                <w:rFonts w:hint="default" w:ascii="Times New Roman" w:hAnsi="Times New Roman" w:cs="Times New Roman"/>
                <w:b/>
                <w:bCs/>
                <w:snapToGrid w:val="0"/>
                <w:color w:val="000000" w:themeColor="text1"/>
                <w:kern w:val="0"/>
                <w:highlight w:val="none"/>
                <w14:textFill>
                  <w14:solidFill>
                    <w14:schemeClr w14:val="tx1"/>
                  </w14:solidFill>
                </w14:textFill>
              </w:rPr>
              <w:t>表4-</w:t>
            </w:r>
            <w:r>
              <w:rPr>
                <w:rFonts w:hint="eastAsia" w:cs="Times New Roman"/>
                <w:b/>
                <w:bCs/>
                <w:snapToGrid w:val="0"/>
                <w:color w:val="000000" w:themeColor="text1"/>
                <w:kern w:val="0"/>
                <w:highlight w:val="none"/>
                <w:lang w:val="en-US" w:eastAsia="zh-CN"/>
                <w14:textFill>
                  <w14:solidFill>
                    <w14:schemeClr w14:val="tx1"/>
                  </w14:solidFill>
                </w14:textFill>
              </w:rPr>
              <w:t>9</w:t>
            </w:r>
            <w:r>
              <w:rPr>
                <w:rFonts w:hint="default" w:ascii="Times New Roman" w:hAnsi="Times New Roman" w:cs="Times New Roman"/>
                <w:b/>
                <w:bCs/>
                <w:snapToGrid w:val="0"/>
                <w:color w:val="000000" w:themeColor="text1"/>
                <w:kern w:val="0"/>
                <w:highlight w:val="none"/>
                <w14:textFill>
                  <w14:solidFill>
                    <w14:schemeClr w14:val="tx1"/>
                  </w14:solidFill>
                </w14:textFill>
              </w:rPr>
              <w:t xml:space="preserve">  项目固废产生、排放情况一览表</w:t>
            </w:r>
          </w:p>
          <w:tbl>
            <w:tblPr>
              <w:tblStyle w:val="32"/>
              <w:tblW w:w="4997"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955"/>
              <w:gridCol w:w="2198"/>
              <w:gridCol w:w="1071"/>
              <w:gridCol w:w="2049"/>
              <w:gridCol w:w="1009"/>
              <w:gridCol w:w="935"/>
              <w:gridCol w:w="976"/>
              <w:gridCol w:w="2112"/>
              <w:gridCol w:w="1159"/>
              <w:gridCol w:w="882"/>
            </w:tblGrid>
            <w:tr w14:paraId="4109AE9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tblHeader/>
                <w:jc w:val="center"/>
              </w:trPr>
              <w:tc>
                <w:tcPr>
                  <w:tcW w:w="357" w:type="pct"/>
                  <w:noWrap w:val="0"/>
                  <w:tcMar>
                    <w:top w:w="15" w:type="dxa"/>
                    <w:left w:w="15" w:type="dxa"/>
                    <w:right w:w="15" w:type="dxa"/>
                  </w:tcMar>
                  <w:vAlign w:val="center"/>
                </w:tcPr>
                <w:p w14:paraId="0A5F4D9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固废产生环节</w:t>
                  </w:r>
                </w:p>
              </w:tc>
              <w:tc>
                <w:tcPr>
                  <w:tcW w:w="823" w:type="pct"/>
                  <w:noWrap w:val="0"/>
                  <w:tcMar>
                    <w:top w:w="15" w:type="dxa"/>
                    <w:left w:w="15" w:type="dxa"/>
                    <w:right w:w="15" w:type="dxa"/>
                  </w:tcMar>
                  <w:vAlign w:val="center"/>
                </w:tcPr>
                <w:p w14:paraId="3121189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固废名称</w:t>
                  </w:r>
                </w:p>
              </w:tc>
              <w:tc>
                <w:tcPr>
                  <w:tcW w:w="401" w:type="pct"/>
                  <w:noWrap w:val="0"/>
                  <w:tcMar>
                    <w:top w:w="15" w:type="dxa"/>
                    <w:left w:w="15" w:type="dxa"/>
                    <w:right w:w="15" w:type="dxa"/>
                  </w:tcMar>
                  <w:vAlign w:val="center"/>
                </w:tcPr>
                <w:p w14:paraId="4F61F74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固废属性</w:t>
                  </w:r>
                </w:p>
              </w:tc>
              <w:tc>
                <w:tcPr>
                  <w:tcW w:w="767" w:type="pct"/>
                  <w:noWrap w:val="0"/>
                  <w:tcMar>
                    <w:top w:w="15" w:type="dxa"/>
                    <w:left w:w="15" w:type="dxa"/>
                    <w:right w:w="15" w:type="dxa"/>
                  </w:tcMar>
                  <w:vAlign w:val="center"/>
                </w:tcPr>
                <w:p w14:paraId="568C582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固废代码</w:t>
                  </w:r>
                </w:p>
              </w:tc>
              <w:tc>
                <w:tcPr>
                  <w:tcW w:w="378" w:type="pct"/>
                  <w:noWrap w:val="0"/>
                  <w:tcMar>
                    <w:top w:w="15" w:type="dxa"/>
                    <w:left w:w="15" w:type="dxa"/>
                    <w:right w:w="15" w:type="dxa"/>
                  </w:tcMar>
                  <w:vAlign w:val="center"/>
                </w:tcPr>
                <w:p w14:paraId="5C07A97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物理性状</w:t>
                  </w:r>
                </w:p>
              </w:tc>
              <w:tc>
                <w:tcPr>
                  <w:tcW w:w="350" w:type="pct"/>
                  <w:noWrap w:val="0"/>
                  <w:tcMar>
                    <w:top w:w="15" w:type="dxa"/>
                    <w:left w:w="15" w:type="dxa"/>
                    <w:right w:w="15" w:type="dxa"/>
                  </w:tcMar>
                  <w:vAlign w:val="center"/>
                </w:tcPr>
                <w:p w14:paraId="26E2A29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项目产生量t/a</w:t>
                  </w:r>
                </w:p>
              </w:tc>
              <w:tc>
                <w:tcPr>
                  <w:tcW w:w="365" w:type="pct"/>
                  <w:noWrap w:val="0"/>
                  <w:tcMar>
                    <w:top w:w="15" w:type="dxa"/>
                    <w:left w:w="15" w:type="dxa"/>
                    <w:right w:w="15" w:type="dxa"/>
                  </w:tcMar>
                  <w:vAlign w:val="center"/>
                </w:tcPr>
                <w:p w14:paraId="4F45E07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贮存方式</w:t>
                  </w:r>
                </w:p>
              </w:tc>
              <w:tc>
                <w:tcPr>
                  <w:tcW w:w="791" w:type="pct"/>
                  <w:noWrap w:val="0"/>
                  <w:tcMar>
                    <w:top w:w="15" w:type="dxa"/>
                    <w:left w:w="15" w:type="dxa"/>
                    <w:right w:w="15" w:type="dxa"/>
                  </w:tcMar>
                  <w:vAlign w:val="center"/>
                </w:tcPr>
                <w:p w14:paraId="4C29194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利用处置方式和去向</w:t>
                  </w:r>
                </w:p>
              </w:tc>
              <w:tc>
                <w:tcPr>
                  <w:tcW w:w="434" w:type="pct"/>
                  <w:noWrap w:val="0"/>
                  <w:tcMar>
                    <w:top w:w="15" w:type="dxa"/>
                    <w:left w:w="15" w:type="dxa"/>
                    <w:right w:w="15" w:type="dxa"/>
                  </w:tcMar>
                  <w:vAlign w:val="center"/>
                </w:tcPr>
                <w:p w14:paraId="7B09951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利用或委托处置量t/a</w:t>
                  </w:r>
                </w:p>
              </w:tc>
              <w:tc>
                <w:tcPr>
                  <w:tcW w:w="330" w:type="pct"/>
                  <w:noWrap w:val="0"/>
                  <w:tcMar>
                    <w:top w:w="15" w:type="dxa"/>
                    <w:left w:w="15" w:type="dxa"/>
                    <w:right w:w="15" w:type="dxa"/>
                  </w:tcMar>
                  <w:vAlign w:val="center"/>
                </w:tcPr>
                <w:p w14:paraId="6532AA7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环境管理要求</w:t>
                  </w:r>
                </w:p>
              </w:tc>
            </w:tr>
            <w:tr w14:paraId="275188F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restart"/>
                  <w:noWrap w:val="0"/>
                  <w:tcMar>
                    <w:top w:w="15" w:type="dxa"/>
                    <w:left w:w="15" w:type="dxa"/>
                    <w:right w:w="15" w:type="dxa"/>
                  </w:tcMar>
                  <w:vAlign w:val="center"/>
                </w:tcPr>
                <w:p w14:paraId="4E1FC12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生产过程</w:t>
                  </w:r>
                </w:p>
              </w:tc>
              <w:tc>
                <w:tcPr>
                  <w:tcW w:w="823" w:type="pct"/>
                  <w:noWrap w:val="0"/>
                  <w:tcMar>
                    <w:top w:w="15" w:type="dxa"/>
                    <w:left w:w="15" w:type="dxa"/>
                    <w:right w:w="15" w:type="dxa"/>
                  </w:tcMar>
                  <w:vAlign w:val="center"/>
                </w:tcPr>
                <w:p w14:paraId="6191819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钢材边角料及不合格品</w:t>
                  </w:r>
                </w:p>
              </w:tc>
              <w:tc>
                <w:tcPr>
                  <w:tcW w:w="401" w:type="pct"/>
                  <w:noWrap w:val="0"/>
                  <w:tcMar>
                    <w:top w:w="15" w:type="dxa"/>
                    <w:left w:w="15" w:type="dxa"/>
                    <w:right w:w="15" w:type="dxa"/>
                  </w:tcMar>
                  <w:vAlign w:val="center"/>
                </w:tcPr>
                <w:p w14:paraId="1CC8541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1B25F6D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900-001-S17</w:t>
                  </w:r>
                </w:p>
              </w:tc>
              <w:tc>
                <w:tcPr>
                  <w:tcW w:w="378" w:type="pct"/>
                  <w:noWrap w:val="0"/>
                  <w:tcMar>
                    <w:top w:w="15" w:type="dxa"/>
                    <w:left w:w="15" w:type="dxa"/>
                    <w:right w:w="15" w:type="dxa"/>
                  </w:tcMar>
                  <w:vAlign w:val="center"/>
                </w:tcPr>
                <w:p w14:paraId="627D27B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33B53E6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2604</w:t>
                  </w:r>
                </w:p>
              </w:tc>
              <w:tc>
                <w:tcPr>
                  <w:tcW w:w="365" w:type="pct"/>
                  <w:noWrap w:val="0"/>
                  <w:tcMar>
                    <w:top w:w="15" w:type="dxa"/>
                    <w:left w:w="15" w:type="dxa"/>
                    <w:right w:w="15" w:type="dxa"/>
                  </w:tcMar>
                  <w:vAlign w:val="center"/>
                </w:tcPr>
                <w:p w14:paraId="6F99ED0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c>
                <w:tcPr>
                  <w:tcW w:w="791" w:type="pct"/>
                  <w:noWrap w:val="0"/>
                  <w:tcMar>
                    <w:top w:w="15" w:type="dxa"/>
                    <w:left w:w="15" w:type="dxa"/>
                    <w:right w:w="15" w:type="dxa"/>
                  </w:tcMar>
                  <w:vAlign w:val="center"/>
                </w:tcPr>
                <w:p w14:paraId="6BE9CFF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回炉重铸</w:t>
                  </w:r>
                </w:p>
              </w:tc>
              <w:tc>
                <w:tcPr>
                  <w:tcW w:w="434" w:type="pct"/>
                  <w:noWrap w:val="0"/>
                  <w:tcMar>
                    <w:top w:w="15" w:type="dxa"/>
                    <w:left w:w="15" w:type="dxa"/>
                    <w:right w:w="15" w:type="dxa"/>
                  </w:tcMar>
                  <w:vAlign w:val="center"/>
                </w:tcPr>
                <w:p w14:paraId="0F88810C">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2604</w:t>
                  </w:r>
                </w:p>
              </w:tc>
              <w:tc>
                <w:tcPr>
                  <w:tcW w:w="330" w:type="pct"/>
                  <w:vMerge w:val="restart"/>
                  <w:noWrap w:val="0"/>
                  <w:tcMar>
                    <w:top w:w="15" w:type="dxa"/>
                    <w:left w:w="15" w:type="dxa"/>
                    <w:right w:w="15" w:type="dxa"/>
                  </w:tcMar>
                  <w:vAlign w:val="center"/>
                </w:tcPr>
                <w:p w14:paraId="2623B5E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建立环境管理台账制度</w:t>
                  </w:r>
                </w:p>
              </w:tc>
            </w:tr>
            <w:tr w14:paraId="79066CC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1F49748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04B1B7A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炉渣</w:t>
                  </w:r>
                </w:p>
              </w:tc>
              <w:tc>
                <w:tcPr>
                  <w:tcW w:w="401" w:type="pct"/>
                  <w:noWrap w:val="0"/>
                  <w:tcMar>
                    <w:top w:w="15" w:type="dxa"/>
                    <w:left w:w="15" w:type="dxa"/>
                    <w:right w:w="15" w:type="dxa"/>
                  </w:tcMar>
                  <w:vAlign w:val="center"/>
                </w:tcPr>
                <w:p w14:paraId="0A3DA12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081E38E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900-001-S17</w:t>
                  </w:r>
                </w:p>
              </w:tc>
              <w:tc>
                <w:tcPr>
                  <w:tcW w:w="378" w:type="pct"/>
                  <w:noWrap w:val="0"/>
                  <w:tcMar>
                    <w:top w:w="15" w:type="dxa"/>
                    <w:left w:w="15" w:type="dxa"/>
                    <w:right w:w="15" w:type="dxa"/>
                  </w:tcMar>
                  <w:vAlign w:val="center"/>
                </w:tcPr>
                <w:p w14:paraId="44D0E21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1672CA8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92.378</w:t>
                  </w:r>
                </w:p>
              </w:tc>
              <w:tc>
                <w:tcPr>
                  <w:tcW w:w="365" w:type="pct"/>
                  <w:noWrap w:val="0"/>
                  <w:tcMar>
                    <w:top w:w="15" w:type="dxa"/>
                    <w:left w:w="15" w:type="dxa"/>
                    <w:right w:w="15" w:type="dxa"/>
                  </w:tcMar>
                  <w:vAlign w:val="center"/>
                </w:tcPr>
                <w:p w14:paraId="48CDBF3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1CA6D1B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物资回收单位作建材</w:t>
                  </w:r>
                </w:p>
              </w:tc>
              <w:tc>
                <w:tcPr>
                  <w:tcW w:w="434" w:type="pct"/>
                  <w:noWrap w:val="0"/>
                  <w:tcMar>
                    <w:top w:w="15" w:type="dxa"/>
                    <w:left w:w="15" w:type="dxa"/>
                    <w:right w:w="15" w:type="dxa"/>
                  </w:tcMar>
                  <w:vAlign w:val="center"/>
                </w:tcPr>
                <w:p w14:paraId="5D0752A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92.378</w:t>
                  </w:r>
                </w:p>
              </w:tc>
              <w:tc>
                <w:tcPr>
                  <w:tcW w:w="330" w:type="pct"/>
                  <w:vMerge w:val="continue"/>
                  <w:noWrap w:val="0"/>
                  <w:tcMar>
                    <w:top w:w="15" w:type="dxa"/>
                    <w:left w:w="15" w:type="dxa"/>
                    <w:right w:w="15" w:type="dxa"/>
                  </w:tcMar>
                  <w:vAlign w:val="center"/>
                </w:tcPr>
                <w:p w14:paraId="4021FBD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7A3E4F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12D0E34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095A1AF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废再生砂</w:t>
                  </w:r>
                </w:p>
              </w:tc>
              <w:tc>
                <w:tcPr>
                  <w:tcW w:w="401" w:type="pct"/>
                  <w:noWrap w:val="0"/>
                  <w:tcMar>
                    <w:top w:w="15" w:type="dxa"/>
                    <w:left w:w="15" w:type="dxa"/>
                    <w:right w:w="15" w:type="dxa"/>
                  </w:tcMar>
                  <w:vAlign w:val="center"/>
                </w:tcPr>
                <w:p w14:paraId="6AE9151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0CA2AE2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900-099-S17</w:t>
                  </w:r>
                </w:p>
              </w:tc>
              <w:tc>
                <w:tcPr>
                  <w:tcW w:w="378" w:type="pct"/>
                  <w:noWrap w:val="0"/>
                  <w:tcMar>
                    <w:top w:w="15" w:type="dxa"/>
                    <w:left w:w="15" w:type="dxa"/>
                    <w:right w:w="15" w:type="dxa"/>
                  </w:tcMar>
                  <w:vAlign w:val="center"/>
                </w:tcPr>
                <w:p w14:paraId="43ABAC8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144D14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47350.864</w:t>
                  </w:r>
                </w:p>
              </w:tc>
              <w:tc>
                <w:tcPr>
                  <w:tcW w:w="365" w:type="pct"/>
                  <w:noWrap w:val="0"/>
                  <w:tcMar>
                    <w:top w:w="15" w:type="dxa"/>
                    <w:left w:w="15" w:type="dxa"/>
                    <w:right w:w="15" w:type="dxa"/>
                  </w:tcMar>
                  <w:vAlign w:val="center"/>
                </w:tcPr>
                <w:p w14:paraId="31B62A1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3558D95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砂处理再生线</w:t>
                  </w:r>
                </w:p>
              </w:tc>
              <w:tc>
                <w:tcPr>
                  <w:tcW w:w="434" w:type="pct"/>
                  <w:noWrap w:val="0"/>
                  <w:tcMar>
                    <w:top w:w="15" w:type="dxa"/>
                    <w:left w:w="15" w:type="dxa"/>
                    <w:right w:w="15" w:type="dxa"/>
                  </w:tcMar>
                  <w:vAlign w:val="center"/>
                </w:tcPr>
                <w:p w14:paraId="2E730E5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47350.864</w:t>
                  </w:r>
                </w:p>
              </w:tc>
              <w:tc>
                <w:tcPr>
                  <w:tcW w:w="330" w:type="pct"/>
                  <w:vMerge w:val="continue"/>
                  <w:noWrap w:val="0"/>
                  <w:tcMar>
                    <w:top w:w="15" w:type="dxa"/>
                    <w:left w:w="15" w:type="dxa"/>
                    <w:right w:w="15" w:type="dxa"/>
                  </w:tcMar>
                  <w:vAlign w:val="center"/>
                </w:tcPr>
                <w:p w14:paraId="5B37B9E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1A648E2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4501AE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368544D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废抛丸</w:t>
                  </w:r>
                </w:p>
              </w:tc>
              <w:tc>
                <w:tcPr>
                  <w:tcW w:w="401" w:type="pct"/>
                  <w:noWrap w:val="0"/>
                  <w:tcMar>
                    <w:top w:w="15" w:type="dxa"/>
                    <w:left w:w="15" w:type="dxa"/>
                    <w:right w:w="15" w:type="dxa"/>
                  </w:tcMar>
                  <w:vAlign w:val="center"/>
                </w:tcPr>
                <w:p w14:paraId="0E632FAE">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6B750E3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900-099-S17</w:t>
                  </w:r>
                </w:p>
              </w:tc>
              <w:tc>
                <w:tcPr>
                  <w:tcW w:w="378" w:type="pct"/>
                  <w:noWrap w:val="0"/>
                  <w:tcMar>
                    <w:top w:w="15" w:type="dxa"/>
                    <w:left w:w="15" w:type="dxa"/>
                    <w:right w:w="15" w:type="dxa"/>
                  </w:tcMar>
                  <w:vAlign w:val="center"/>
                </w:tcPr>
                <w:p w14:paraId="619A3B7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522A7D6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65" w:type="pct"/>
                  <w:noWrap w:val="0"/>
                  <w:tcMar>
                    <w:top w:w="15" w:type="dxa"/>
                    <w:left w:w="15" w:type="dxa"/>
                    <w:right w:w="15" w:type="dxa"/>
                  </w:tcMar>
                  <w:vAlign w:val="center"/>
                </w:tcPr>
                <w:p w14:paraId="6696278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17EAB2B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外售综合利用</w:t>
                  </w:r>
                </w:p>
              </w:tc>
              <w:tc>
                <w:tcPr>
                  <w:tcW w:w="434" w:type="pct"/>
                  <w:noWrap w:val="0"/>
                  <w:tcMar>
                    <w:top w:w="15" w:type="dxa"/>
                    <w:left w:w="15" w:type="dxa"/>
                    <w:right w:w="15" w:type="dxa"/>
                  </w:tcMar>
                  <w:vAlign w:val="center"/>
                </w:tcPr>
                <w:p w14:paraId="0F2C480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30" w:type="pct"/>
                  <w:vMerge w:val="continue"/>
                  <w:noWrap w:val="0"/>
                  <w:tcMar>
                    <w:top w:w="15" w:type="dxa"/>
                    <w:left w:w="15" w:type="dxa"/>
                    <w:right w:w="15" w:type="dxa"/>
                  </w:tcMar>
                  <w:vAlign w:val="center"/>
                </w:tcPr>
                <w:p w14:paraId="37C1E3E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34DB786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0501A8C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459E221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不可再生砂</w:t>
                  </w:r>
                </w:p>
              </w:tc>
              <w:tc>
                <w:tcPr>
                  <w:tcW w:w="401" w:type="pct"/>
                  <w:noWrap w:val="0"/>
                  <w:tcMar>
                    <w:top w:w="15" w:type="dxa"/>
                    <w:left w:w="15" w:type="dxa"/>
                    <w:right w:w="15" w:type="dxa"/>
                  </w:tcMar>
                  <w:vAlign w:val="center"/>
                </w:tcPr>
                <w:p w14:paraId="3E2C8A4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5404978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900-001-S59</w:t>
                  </w:r>
                </w:p>
              </w:tc>
              <w:tc>
                <w:tcPr>
                  <w:tcW w:w="378" w:type="pct"/>
                  <w:noWrap w:val="0"/>
                  <w:tcMar>
                    <w:top w:w="15" w:type="dxa"/>
                    <w:left w:w="15" w:type="dxa"/>
                    <w:right w:w="15" w:type="dxa"/>
                  </w:tcMar>
                  <w:vAlign w:val="center"/>
                </w:tcPr>
                <w:p w14:paraId="2E26EFD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18AD0F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330</w:t>
                  </w:r>
                </w:p>
              </w:tc>
              <w:tc>
                <w:tcPr>
                  <w:tcW w:w="365" w:type="pct"/>
                  <w:noWrap w:val="0"/>
                  <w:tcMar>
                    <w:top w:w="15" w:type="dxa"/>
                    <w:left w:w="15" w:type="dxa"/>
                    <w:right w:w="15" w:type="dxa"/>
                  </w:tcMar>
                  <w:vAlign w:val="center"/>
                </w:tcPr>
                <w:p w14:paraId="7007E81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4BE87FB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物资回收单位作建材</w:t>
                  </w:r>
                </w:p>
              </w:tc>
              <w:tc>
                <w:tcPr>
                  <w:tcW w:w="434" w:type="pct"/>
                  <w:noWrap w:val="0"/>
                  <w:tcMar>
                    <w:top w:w="15" w:type="dxa"/>
                    <w:left w:w="15" w:type="dxa"/>
                    <w:right w:w="15" w:type="dxa"/>
                  </w:tcMar>
                  <w:vAlign w:val="center"/>
                </w:tcPr>
                <w:p w14:paraId="50C438B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330</w:t>
                  </w:r>
                </w:p>
              </w:tc>
              <w:tc>
                <w:tcPr>
                  <w:tcW w:w="330" w:type="pct"/>
                  <w:vMerge w:val="continue"/>
                  <w:noWrap w:val="0"/>
                  <w:tcMar>
                    <w:top w:w="15" w:type="dxa"/>
                    <w:left w:w="15" w:type="dxa"/>
                    <w:right w:w="15" w:type="dxa"/>
                  </w:tcMar>
                  <w:vAlign w:val="center"/>
                </w:tcPr>
                <w:p w14:paraId="306A2C8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305943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C52E0C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33BE968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磁选金属</w:t>
                  </w:r>
                </w:p>
              </w:tc>
              <w:tc>
                <w:tcPr>
                  <w:tcW w:w="401" w:type="pct"/>
                  <w:noWrap w:val="0"/>
                  <w:tcMar>
                    <w:top w:w="15" w:type="dxa"/>
                    <w:left w:w="15" w:type="dxa"/>
                    <w:right w:w="15" w:type="dxa"/>
                  </w:tcMar>
                  <w:vAlign w:val="center"/>
                </w:tcPr>
                <w:p w14:paraId="033C973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06A3319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900-001-S17</w:t>
                  </w:r>
                </w:p>
              </w:tc>
              <w:tc>
                <w:tcPr>
                  <w:tcW w:w="378" w:type="pct"/>
                  <w:noWrap w:val="0"/>
                  <w:tcMar>
                    <w:top w:w="15" w:type="dxa"/>
                    <w:left w:w="15" w:type="dxa"/>
                    <w:right w:w="15" w:type="dxa"/>
                  </w:tcMar>
                  <w:vAlign w:val="center"/>
                </w:tcPr>
                <w:p w14:paraId="44C6001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D4A5F96">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365" w:type="pct"/>
                  <w:noWrap w:val="0"/>
                  <w:tcMar>
                    <w:top w:w="15" w:type="dxa"/>
                    <w:left w:w="15" w:type="dxa"/>
                    <w:right w:w="15" w:type="dxa"/>
                  </w:tcMar>
                  <w:vAlign w:val="center"/>
                </w:tcPr>
                <w:p w14:paraId="79EF5E5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204E08D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外售综合利用</w:t>
                  </w:r>
                </w:p>
              </w:tc>
              <w:tc>
                <w:tcPr>
                  <w:tcW w:w="434" w:type="pct"/>
                  <w:noWrap w:val="0"/>
                  <w:tcMar>
                    <w:top w:w="15" w:type="dxa"/>
                    <w:left w:w="15" w:type="dxa"/>
                    <w:right w:w="15" w:type="dxa"/>
                  </w:tcMar>
                  <w:vAlign w:val="center"/>
                </w:tcPr>
                <w:p w14:paraId="508E9B73">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330" w:type="pct"/>
                  <w:vMerge w:val="continue"/>
                  <w:noWrap w:val="0"/>
                  <w:tcMar>
                    <w:top w:w="15" w:type="dxa"/>
                    <w:left w:w="15" w:type="dxa"/>
                    <w:right w:w="15" w:type="dxa"/>
                  </w:tcMar>
                  <w:vAlign w:val="center"/>
                </w:tcPr>
                <w:p w14:paraId="6CB5852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3E849A7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02130C3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69DCA431">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中频炉除尘灰</w:t>
                  </w:r>
                </w:p>
              </w:tc>
              <w:tc>
                <w:tcPr>
                  <w:tcW w:w="401" w:type="pct"/>
                  <w:noWrap w:val="0"/>
                  <w:tcMar>
                    <w:top w:w="15" w:type="dxa"/>
                    <w:left w:w="15" w:type="dxa"/>
                    <w:right w:w="15" w:type="dxa"/>
                  </w:tcMar>
                  <w:vAlign w:val="center"/>
                </w:tcPr>
                <w:p w14:paraId="7A7B3A0A">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42CCB320">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900-099-S17</w:t>
                  </w:r>
                </w:p>
              </w:tc>
              <w:tc>
                <w:tcPr>
                  <w:tcW w:w="378" w:type="pct"/>
                  <w:noWrap w:val="0"/>
                  <w:tcMar>
                    <w:top w:w="15" w:type="dxa"/>
                    <w:left w:w="15" w:type="dxa"/>
                    <w:right w:w="15" w:type="dxa"/>
                  </w:tcMar>
                  <w:vAlign w:val="center"/>
                </w:tcPr>
                <w:p w14:paraId="7F01926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50E1034">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4.709</w:t>
                  </w:r>
                </w:p>
              </w:tc>
              <w:tc>
                <w:tcPr>
                  <w:tcW w:w="365" w:type="pct"/>
                  <w:noWrap w:val="0"/>
                  <w:tcMar>
                    <w:top w:w="15" w:type="dxa"/>
                    <w:left w:w="15" w:type="dxa"/>
                    <w:right w:w="15" w:type="dxa"/>
                  </w:tcMar>
                  <w:vAlign w:val="center"/>
                </w:tcPr>
                <w:p w14:paraId="6A84E393">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桶装</w:t>
                  </w:r>
                </w:p>
              </w:tc>
              <w:tc>
                <w:tcPr>
                  <w:tcW w:w="791" w:type="pct"/>
                  <w:noWrap w:val="0"/>
                  <w:tcMar>
                    <w:top w:w="15" w:type="dxa"/>
                    <w:left w:w="15" w:type="dxa"/>
                    <w:right w:w="15" w:type="dxa"/>
                  </w:tcMar>
                  <w:vAlign w:val="center"/>
                </w:tcPr>
                <w:p w14:paraId="0E41049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外售综合利用</w:t>
                  </w:r>
                </w:p>
              </w:tc>
              <w:tc>
                <w:tcPr>
                  <w:tcW w:w="434" w:type="pct"/>
                  <w:noWrap w:val="0"/>
                  <w:tcMar>
                    <w:top w:w="15" w:type="dxa"/>
                    <w:left w:w="15" w:type="dxa"/>
                    <w:right w:w="15" w:type="dxa"/>
                  </w:tcMar>
                  <w:vAlign w:val="center"/>
                </w:tcPr>
                <w:p w14:paraId="00D07F3A">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4.709</w:t>
                  </w:r>
                </w:p>
              </w:tc>
              <w:tc>
                <w:tcPr>
                  <w:tcW w:w="330" w:type="pct"/>
                  <w:vMerge w:val="continue"/>
                  <w:noWrap w:val="0"/>
                  <w:tcMar>
                    <w:top w:w="15" w:type="dxa"/>
                    <w:left w:w="15" w:type="dxa"/>
                    <w:right w:w="15" w:type="dxa"/>
                  </w:tcMar>
                  <w:vAlign w:val="center"/>
                </w:tcPr>
                <w:p w14:paraId="67E90DC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3347CD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370F828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64CD6830">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中频炉废耐火材料</w:t>
                  </w:r>
                </w:p>
              </w:tc>
              <w:tc>
                <w:tcPr>
                  <w:tcW w:w="401" w:type="pct"/>
                  <w:noWrap w:val="0"/>
                  <w:tcMar>
                    <w:top w:w="15" w:type="dxa"/>
                    <w:left w:w="15" w:type="dxa"/>
                    <w:right w:w="15" w:type="dxa"/>
                  </w:tcMar>
                  <w:vAlign w:val="center"/>
                </w:tcPr>
                <w:p w14:paraId="7A777EC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78B75281">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900-003-S59</w:t>
                  </w:r>
                </w:p>
              </w:tc>
              <w:tc>
                <w:tcPr>
                  <w:tcW w:w="378" w:type="pct"/>
                  <w:noWrap w:val="0"/>
                  <w:tcMar>
                    <w:top w:w="15" w:type="dxa"/>
                    <w:left w:w="15" w:type="dxa"/>
                    <w:right w:w="15" w:type="dxa"/>
                  </w:tcMar>
                  <w:vAlign w:val="center"/>
                </w:tcPr>
                <w:p w14:paraId="664030C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5E42E1FA">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365" w:type="pct"/>
                  <w:noWrap w:val="0"/>
                  <w:tcMar>
                    <w:top w:w="15" w:type="dxa"/>
                    <w:left w:w="15" w:type="dxa"/>
                    <w:right w:w="15" w:type="dxa"/>
                  </w:tcMar>
                  <w:vAlign w:val="center"/>
                </w:tcPr>
                <w:p w14:paraId="27CD9003">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69D0232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耐火材料厂家回收利用</w:t>
                  </w:r>
                </w:p>
              </w:tc>
              <w:tc>
                <w:tcPr>
                  <w:tcW w:w="434" w:type="pct"/>
                  <w:noWrap w:val="0"/>
                  <w:tcMar>
                    <w:top w:w="15" w:type="dxa"/>
                    <w:left w:w="15" w:type="dxa"/>
                    <w:right w:w="15" w:type="dxa"/>
                  </w:tcMar>
                  <w:vAlign w:val="center"/>
                </w:tcPr>
                <w:p w14:paraId="6BFA187D">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330" w:type="pct"/>
                  <w:vMerge w:val="continue"/>
                  <w:noWrap w:val="0"/>
                  <w:tcMar>
                    <w:top w:w="15" w:type="dxa"/>
                    <w:left w:w="15" w:type="dxa"/>
                    <w:right w:w="15" w:type="dxa"/>
                  </w:tcMar>
                  <w:vAlign w:val="center"/>
                </w:tcPr>
                <w:p w14:paraId="12DA799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42A008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4CA5115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2D806C4B">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沾染废乳化液刨花屑</w:t>
                  </w:r>
                </w:p>
              </w:tc>
              <w:tc>
                <w:tcPr>
                  <w:tcW w:w="401" w:type="pct"/>
                  <w:noWrap w:val="0"/>
                  <w:tcMar>
                    <w:top w:w="15" w:type="dxa"/>
                    <w:left w:w="15" w:type="dxa"/>
                    <w:right w:w="15" w:type="dxa"/>
                  </w:tcMar>
                  <w:vAlign w:val="center"/>
                </w:tcPr>
                <w:p w14:paraId="2EF1314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10E10008">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HW08</w:t>
                  </w:r>
                  <w:r>
                    <w:rPr>
                      <w:rFonts w:hint="eastAsia" w:cs="Times New Roman"/>
                      <w:color w:val="000000" w:themeColor="text1"/>
                      <w:sz w:val="21"/>
                      <w:szCs w:val="21"/>
                      <w:highlight w:val="none"/>
                      <w:lang w:eastAsia="zh-CN"/>
                      <w14:textFill>
                        <w14:solidFill>
                          <w14:schemeClr w14:val="tx1"/>
                        </w14:solidFill>
                      </w14:textFill>
                    </w:rPr>
                    <w:t>，900-200-08</w:t>
                  </w:r>
                </w:p>
              </w:tc>
              <w:tc>
                <w:tcPr>
                  <w:tcW w:w="378" w:type="pct"/>
                  <w:noWrap w:val="0"/>
                  <w:tcMar>
                    <w:top w:w="15" w:type="dxa"/>
                    <w:left w:w="15" w:type="dxa"/>
                    <w:right w:w="15" w:type="dxa"/>
                  </w:tcMar>
                  <w:vAlign w:val="center"/>
                </w:tcPr>
                <w:p w14:paraId="7534AF5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5F562DA3">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65" w:type="pct"/>
                  <w:noWrap w:val="0"/>
                  <w:tcMar>
                    <w:top w:w="15" w:type="dxa"/>
                    <w:left w:w="15" w:type="dxa"/>
                    <w:right w:w="15" w:type="dxa"/>
                  </w:tcMar>
                  <w:vAlign w:val="center"/>
                </w:tcPr>
                <w:p w14:paraId="1F0F18C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桶装</w:t>
                  </w:r>
                </w:p>
              </w:tc>
              <w:tc>
                <w:tcPr>
                  <w:tcW w:w="791" w:type="pct"/>
                  <w:vMerge w:val="restart"/>
                  <w:noWrap w:val="0"/>
                  <w:tcMar>
                    <w:top w:w="15" w:type="dxa"/>
                    <w:left w:w="15" w:type="dxa"/>
                    <w:right w:w="15" w:type="dxa"/>
                  </w:tcMar>
                  <w:vAlign w:val="center"/>
                </w:tcPr>
                <w:p w14:paraId="1DD030A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委托有资质单位定期清运处置</w:t>
                  </w:r>
                </w:p>
              </w:tc>
              <w:tc>
                <w:tcPr>
                  <w:tcW w:w="434" w:type="pct"/>
                  <w:noWrap w:val="0"/>
                  <w:tcMar>
                    <w:top w:w="15" w:type="dxa"/>
                    <w:left w:w="15" w:type="dxa"/>
                    <w:right w:w="15" w:type="dxa"/>
                  </w:tcMar>
                  <w:vAlign w:val="center"/>
                </w:tcPr>
                <w:p w14:paraId="0EF61833">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30" w:type="pct"/>
                  <w:vMerge w:val="continue"/>
                  <w:noWrap w:val="0"/>
                  <w:tcMar>
                    <w:top w:w="15" w:type="dxa"/>
                    <w:left w:w="15" w:type="dxa"/>
                    <w:right w:w="15" w:type="dxa"/>
                  </w:tcMar>
                  <w:vAlign w:val="center"/>
                </w:tcPr>
                <w:p w14:paraId="365293B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0471A7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07E144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17B1E0C0">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废乳化液</w:t>
                  </w:r>
                </w:p>
              </w:tc>
              <w:tc>
                <w:tcPr>
                  <w:tcW w:w="401" w:type="pct"/>
                  <w:noWrap w:val="0"/>
                  <w:tcMar>
                    <w:top w:w="15" w:type="dxa"/>
                    <w:left w:w="15" w:type="dxa"/>
                    <w:right w:w="15" w:type="dxa"/>
                  </w:tcMar>
                  <w:vAlign w:val="center"/>
                </w:tcPr>
                <w:p w14:paraId="71811CCF">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61B26092">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HW</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09</w:t>
                  </w:r>
                  <w:r>
                    <w:rPr>
                      <w:rFonts w:hint="eastAsia" w:cs="Times New Roman"/>
                      <w:color w:val="000000" w:themeColor="text1"/>
                      <w:sz w:val="21"/>
                      <w:szCs w:val="21"/>
                      <w:highlight w:val="none"/>
                      <w:lang w:val="en-US" w:eastAsia="zh-CN"/>
                      <w14:textFill>
                        <w14:solidFill>
                          <w14:schemeClr w14:val="tx1"/>
                        </w14:solidFill>
                      </w14:textFill>
                    </w:rPr>
                    <w:t>，900-006-09</w:t>
                  </w:r>
                </w:p>
              </w:tc>
              <w:tc>
                <w:tcPr>
                  <w:tcW w:w="378" w:type="pct"/>
                  <w:noWrap w:val="0"/>
                  <w:tcMar>
                    <w:top w:w="15" w:type="dxa"/>
                    <w:left w:w="15" w:type="dxa"/>
                    <w:right w:w="15" w:type="dxa"/>
                  </w:tcMar>
                  <w:vAlign w:val="center"/>
                </w:tcPr>
                <w:p w14:paraId="2A44E3F4">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液态</w:t>
                  </w:r>
                </w:p>
              </w:tc>
              <w:tc>
                <w:tcPr>
                  <w:tcW w:w="350" w:type="pct"/>
                  <w:noWrap w:val="0"/>
                  <w:tcMar>
                    <w:top w:w="15" w:type="dxa"/>
                    <w:left w:w="15" w:type="dxa"/>
                    <w:right w:w="15" w:type="dxa"/>
                  </w:tcMar>
                  <w:vAlign w:val="center"/>
                </w:tcPr>
                <w:p w14:paraId="7BF3894C">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65" w:type="pct"/>
                  <w:noWrap w:val="0"/>
                  <w:tcMar>
                    <w:top w:w="15" w:type="dxa"/>
                    <w:left w:w="15" w:type="dxa"/>
                    <w:right w:w="15" w:type="dxa"/>
                  </w:tcMar>
                  <w:vAlign w:val="center"/>
                </w:tcPr>
                <w:p w14:paraId="2052826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桶装</w:t>
                  </w:r>
                </w:p>
              </w:tc>
              <w:tc>
                <w:tcPr>
                  <w:tcW w:w="791" w:type="pct"/>
                  <w:vMerge w:val="continue"/>
                  <w:noWrap w:val="0"/>
                  <w:tcMar>
                    <w:top w:w="15" w:type="dxa"/>
                    <w:left w:w="15" w:type="dxa"/>
                    <w:right w:w="15" w:type="dxa"/>
                  </w:tcMar>
                  <w:vAlign w:val="center"/>
                </w:tcPr>
                <w:p w14:paraId="4B24E6C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01D9266F">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330" w:type="pct"/>
                  <w:vMerge w:val="continue"/>
                  <w:noWrap w:val="0"/>
                  <w:tcMar>
                    <w:top w:w="15" w:type="dxa"/>
                    <w:left w:w="15" w:type="dxa"/>
                    <w:right w:w="15" w:type="dxa"/>
                  </w:tcMar>
                  <w:vAlign w:val="center"/>
                </w:tcPr>
                <w:p w14:paraId="47CCB0A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1A70887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018CCCD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4529DF84">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脱模剂空桶</w:t>
                  </w:r>
                </w:p>
              </w:tc>
              <w:tc>
                <w:tcPr>
                  <w:tcW w:w="401" w:type="pct"/>
                  <w:noWrap w:val="0"/>
                  <w:tcMar>
                    <w:top w:w="15" w:type="dxa"/>
                    <w:left w:w="15" w:type="dxa"/>
                    <w:right w:w="15" w:type="dxa"/>
                  </w:tcMar>
                  <w:vAlign w:val="center"/>
                </w:tcPr>
                <w:p w14:paraId="24D2D1FA">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0395BFEA">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HW49，900-041-49</w:t>
                  </w:r>
                </w:p>
              </w:tc>
              <w:tc>
                <w:tcPr>
                  <w:tcW w:w="378" w:type="pct"/>
                  <w:noWrap w:val="0"/>
                  <w:tcMar>
                    <w:top w:w="15" w:type="dxa"/>
                    <w:left w:w="15" w:type="dxa"/>
                    <w:right w:w="15" w:type="dxa"/>
                  </w:tcMar>
                  <w:vAlign w:val="center"/>
                </w:tcPr>
                <w:p w14:paraId="40EA809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7F1B8B7A">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0.04</w:t>
                  </w:r>
                </w:p>
              </w:tc>
              <w:tc>
                <w:tcPr>
                  <w:tcW w:w="365" w:type="pct"/>
                  <w:noWrap w:val="0"/>
                  <w:tcMar>
                    <w:top w:w="15" w:type="dxa"/>
                    <w:left w:w="15" w:type="dxa"/>
                    <w:right w:w="15" w:type="dxa"/>
                  </w:tcMar>
                  <w:vAlign w:val="center"/>
                </w:tcPr>
                <w:p w14:paraId="0FB99655">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箱框</w:t>
                  </w:r>
                </w:p>
              </w:tc>
              <w:tc>
                <w:tcPr>
                  <w:tcW w:w="791" w:type="pct"/>
                  <w:vMerge w:val="continue"/>
                  <w:noWrap w:val="0"/>
                  <w:tcMar>
                    <w:top w:w="15" w:type="dxa"/>
                    <w:left w:w="15" w:type="dxa"/>
                    <w:right w:w="15" w:type="dxa"/>
                  </w:tcMar>
                  <w:vAlign w:val="center"/>
                </w:tcPr>
                <w:p w14:paraId="5ABC2B3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6DDB3C3A">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0.04</w:t>
                  </w:r>
                </w:p>
              </w:tc>
              <w:tc>
                <w:tcPr>
                  <w:tcW w:w="330" w:type="pct"/>
                  <w:vMerge w:val="continue"/>
                  <w:noWrap w:val="0"/>
                  <w:tcMar>
                    <w:top w:w="15" w:type="dxa"/>
                    <w:left w:w="15" w:type="dxa"/>
                    <w:right w:w="15" w:type="dxa"/>
                  </w:tcMar>
                  <w:vAlign w:val="center"/>
                </w:tcPr>
                <w:p w14:paraId="4E96D8A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0ED17C0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2E4D3DD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782ABA4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漆料空桶</w:t>
                  </w:r>
                </w:p>
              </w:tc>
              <w:tc>
                <w:tcPr>
                  <w:tcW w:w="401" w:type="pct"/>
                  <w:noWrap w:val="0"/>
                  <w:tcMar>
                    <w:top w:w="15" w:type="dxa"/>
                    <w:left w:w="15" w:type="dxa"/>
                    <w:right w:w="15" w:type="dxa"/>
                  </w:tcMar>
                  <w:vAlign w:val="center"/>
                </w:tcPr>
                <w:p w14:paraId="62D1666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0367555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HW49，900-041-49</w:t>
                  </w:r>
                </w:p>
              </w:tc>
              <w:tc>
                <w:tcPr>
                  <w:tcW w:w="378" w:type="pct"/>
                  <w:noWrap w:val="0"/>
                  <w:tcMar>
                    <w:top w:w="15" w:type="dxa"/>
                    <w:left w:w="15" w:type="dxa"/>
                    <w:right w:w="15" w:type="dxa"/>
                  </w:tcMar>
                  <w:vAlign w:val="center"/>
                </w:tcPr>
                <w:p w14:paraId="70F7C8E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7B5652A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c>
                <w:tcPr>
                  <w:tcW w:w="365" w:type="pct"/>
                  <w:noWrap w:val="0"/>
                  <w:tcMar>
                    <w:top w:w="15" w:type="dxa"/>
                    <w:left w:w="15" w:type="dxa"/>
                    <w:right w:w="15" w:type="dxa"/>
                  </w:tcMar>
                  <w:vAlign w:val="center"/>
                </w:tcPr>
                <w:p w14:paraId="2F2FE63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4837F37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03712657">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c>
                <w:tcPr>
                  <w:tcW w:w="330" w:type="pct"/>
                  <w:vMerge w:val="continue"/>
                  <w:noWrap w:val="0"/>
                  <w:tcMar>
                    <w:top w:w="15" w:type="dxa"/>
                    <w:left w:w="15" w:type="dxa"/>
                    <w:right w:w="15" w:type="dxa"/>
                  </w:tcMar>
                  <w:vAlign w:val="center"/>
                </w:tcPr>
                <w:p w14:paraId="1127FA0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243D54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restart"/>
                  <w:noWrap w:val="0"/>
                  <w:tcMar>
                    <w:top w:w="15" w:type="dxa"/>
                    <w:left w:w="15" w:type="dxa"/>
                    <w:right w:w="15" w:type="dxa"/>
                  </w:tcMar>
                  <w:vAlign w:val="center"/>
                </w:tcPr>
                <w:p w14:paraId="305136D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废气处理</w:t>
                  </w:r>
                </w:p>
              </w:tc>
              <w:tc>
                <w:tcPr>
                  <w:tcW w:w="823" w:type="pct"/>
                  <w:noWrap w:val="0"/>
                  <w:tcMar>
                    <w:top w:w="15" w:type="dxa"/>
                    <w:left w:w="15" w:type="dxa"/>
                    <w:right w:w="15" w:type="dxa"/>
                  </w:tcMar>
                  <w:vAlign w:val="center"/>
                </w:tcPr>
                <w:p w14:paraId="52DC89E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布袋</w:t>
                  </w:r>
                  <w:r>
                    <w:rPr>
                      <w:rFonts w:hint="default" w:ascii="Times New Roman" w:hAnsi="Times New Roman" w:cs="Times New Roman"/>
                      <w:color w:val="000000" w:themeColor="text1"/>
                      <w:sz w:val="21"/>
                      <w:szCs w:val="21"/>
                      <w:highlight w:val="none"/>
                      <w14:textFill>
                        <w14:solidFill>
                          <w14:schemeClr w14:val="tx1"/>
                        </w14:solidFill>
                      </w14:textFill>
                    </w:rPr>
                    <w:t>除尘灰</w:t>
                  </w:r>
                </w:p>
              </w:tc>
              <w:tc>
                <w:tcPr>
                  <w:tcW w:w="401" w:type="pct"/>
                  <w:noWrap w:val="0"/>
                  <w:tcMar>
                    <w:top w:w="15" w:type="dxa"/>
                    <w:left w:w="15" w:type="dxa"/>
                    <w:right w:w="15" w:type="dxa"/>
                  </w:tcMar>
                  <w:vAlign w:val="center"/>
                </w:tcPr>
                <w:p w14:paraId="7F4124F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1B1C458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900-099-S59</w:t>
                  </w:r>
                </w:p>
              </w:tc>
              <w:tc>
                <w:tcPr>
                  <w:tcW w:w="378" w:type="pct"/>
                  <w:noWrap w:val="0"/>
                  <w:tcMar>
                    <w:top w:w="15" w:type="dxa"/>
                    <w:left w:w="15" w:type="dxa"/>
                    <w:right w:w="15" w:type="dxa"/>
                  </w:tcMar>
                  <w:vAlign w:val="center"/>
                </w:tcPr>
                <w:p w14:paraId="373C849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1048C6E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219.94</w:t>
                  </w:r>
                </w:p>
              </w:tc>
              <w:tc>
                <w:tcPr>
                  <w:tcW w:w="365" w:type="pct"/>
                  <w:noWrap w:val="0"/>
                  <w:tcMar>
                    <w:top w:w="15" w:type="dxa"/>
                    <w:left w:w="15" w:type="dxa"/>
                    <w:right w:w="15" w:type="dxa"/>
                  </w:tcMar>
                  <w:vAlign w:val="center"/>
                </w:tcPr>
                <w:p w14:paraId="302868D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vMerge w:val="restart"/>
                  <w:noWrap w:val="0"/>
                  <w:tcMar>
                    <w:top w:w="15" w:type="dxa"/>
                    <w:left w:w="15" w:type="dxa"/>
                    <w:right w:w="15" w:type="dxa"/>
                  </w:tcMar>
                  <w:vAlign w:val="center"/>
                </w:tcPr>
                <w:p w14:paraId="214D8D7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外售</w:t>
                  </w:r>
                  <w:r>
                    <w:rPr>
                      <w:rFonts w:hint="default" w:ascii="Times New Roman" w:hAnsi="Times New Roman" w:cs="Times New Roman"/>
                      <w:color w:val="000000" w:themeColor="text1"/>
                      <w:sz w:val="21"/>
                      <w:szCs w:val="21"/>
                      <w:highlight w:val="none"/>
                      <w14:textFill>
                        <w14:solidFill>
                          <w14:schemeClr w14:val="tx1"/>
                        </w14:solidFill>
                      </w14:textFill>
                    </w:rPr>
                    <w:t>作为水泥和混凝土的添加剂再利用</w:t>
                  </w:r>
                </w:p>
              </w:tc>
              <w:tc>
                <w:tcPr>
                  <w:tcW w:w="434" w:type="pct"/>
                  <w:noWrap w:val="0"/>
                  <w:tcMar>
                    <w:top w:w="15" w:type="dxa"/>
                    <w:left w:w="15" w:type="dxa"/>
                    <w:right w:w="15" w:type="dxa"/>
                  </w:tcMar>
                  <w:vAlign w:val="center"/>
                </w:tcPr>
                <w:p w14:paraId="0C9C654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219.94</w:t>
                  </w:r>
                </w:p>
              </w:tc>
              <w:tc>
                <w:tcPr>
                  <w:tcW w:w="330" w:type="pct"/>
                  <w:vMerge w:val="continue"/>
                  <w:noWrap w:val="0"/>
                  <w:tcMar>
                    <w:top w:w="15" w:type="dxa"/>
                    <w:left w:w="15" w:type="dxa"/>
                    <w:right w:w="15" w:type="dxa"/>
                  </w:tcMar>
                  <w:vAlign w:val="center"/>
                </w:tcPr>
                <w:p w14:paraId="4E8DEE3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589F600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014F983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7681DDF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无组织收集粉料</w:t>
                  </w:r>
                </w:p>
              </w:tc>
              <w:tc>
                <w:tcPr>
                  <w:tcW w:w="401" w:type="pct"/>
                  <w:noWrap w:val="0"/>
                  <w:tcMar>
                    <w:top w:w="15" w:type="dxa"/>
                    <w:left w:w="15" w:type="dxa"/>
                    <w:right w:w="15" w:type="dxa"/>
                  </w:tcMar>
                  <w:vAlign w:val="center"/>
                </w:tcPr>
                <w:p w14:paraId="70AEBB0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0AD49C4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900-099-S59</w:t>
                  </w:r>
                </w:p>
              </w:tc>
              <w:tc>
                <w:tcPr>
                  <w:tcW w:w="378" w:type="pct"/>
                  <w:noWrap w:val="0"/>
                  <w:tcMar>
                    <w:top w:w="15" w:type="dxa"/>
                    <w:left w:w="15" w:type="dxa"/>
                    <w:right w:w="15" w:type="dxa"/>
                  </w:tcMar>
                  <w:vAlign w:val="center"/>
                </w:tcPr>
                <w:p w14:paraId="54569C5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E6FC33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3.416</w:t>
                  </w:r>
                </w:p>
              </w:tc>
              <w:tc>
                <w:tcPr>
                  <w:tcW w:w="365" w:type="pct"/>
                  <w:noWrap w:val="0"/>
                  <w:tcMar>
                    <w:top w:w="15" w:type="dxa"/>
                    <w:left w:w="15" w:type="dxa"/>
                    <w:right w:w="15" w:type="dxa"/>
                  </w:tcMar>
                  <w:vAlign w:val="center"/>
                </w:tcPr>
                <w:p w14:paraId="75C7E7D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vMerge w:val="continue"/>
                  <w:noWrap w:val="0"/>
                  <w:tcMar>
                    <w:top w:w="15" w:type="dxa"/>
                    <w:left w:w="15" w:type="dxa"/>
                    <w:right w:w="15" w:type="dxa"/>
                  </w:tcMar>
                  <w:vAlign w:val="center"/>
                </w:tcPr>
                <w:p w14:paraId="549B7AA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2621D7A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3.416</w:t>
                  </w:r>
                </w:p>
              </w:tc>
              <w:tc>
                <w:tcPr>
                  <w:tcW w:w="330" w:type="pct"/>
                  <w:vMerge w:val="continue"/>
                  <w:noWrap w:val="0"/>
                  <w:tcMar>
                    <w:top w:w="15" w:type="dxa"/>
                    <w:left w:w="15" w:type="dxa"/>
                    <w:right w:w="15" w:type="dxa"/>
                  </w:tcMar>
                  <w:vAlign w:val="center"/>
                </w:tcPr>
                <w:p w14:paraId="3CD83A1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61DA1667">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2DC162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1529FBBA">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废布袋</w:t>
                  </w:r>
                </w:p>
              </w:tc>
              <w:tc>
                <w:tcPr>
                  <w:tcW w:w="401" w:type="pct"/>
                  <w:noWrap w:val="0"/>
                  <w:tcMar>
                    <w:top w:w="15" w:type="dxa"/>
                    <w:left w:w="15" w:type="dxa"/>
                    <w:right w:w="15" w:type="dxa"/>
                  </w:tcMar>
                  <w:vAlign w:val="center"/>
                </w:tcPr>
                <w:p w14:paraId="0E1D4AC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038768E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900-011-S17</w:t>
                  </w:r>
                </w:p>
              </w:tc>
              <w:tc>
                <w:tcPr>
                  <w:tcW w:w="378" w:type="pct"/>
                  <w:noWrap w:val="0"/>
                  <w:tcMar>
                    <w:top w:w="15" w:type="dxa"/>
                    <w:left w:w="15" w:type="dxa"/>
                    <w:right w:w="15" w:type="dxa"/>
                  </w:tcMar>
                  <w:vAlign w:val="center"/>
                </w:tcPr>
                <w:p w14:paraId="54C852D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340C139B">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65" w:type="pct"/>
                  <w:noWrap w:val="0"/>
                  <w:tcMar>
                    <w:top w:w="15" w:type="dxa"/>
                    <w:left w:w="15" w:type="dxa"/>
                    <w:right w:w="15" w:type="dxa"/>
                  </w:tcMar>
                  <w:vAlign w:val="center"/>
                </w:tcPr>
                <w:p w14:paraId="3ECAC6D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袋装</w:t>
                  </w:r>
                </w:p>
              </w:tc>
              <w:tc>
                <w:tcPr>
                  <w:tcW w:w="791" w:type="pct"/>
                  <w:noWrap w:val="0"/>
                  <w:tcMar>
                    <w:top w:w="15" w:type="dxa"/>
                    <w:left w:w="15" w:type="dxa"/>
                    <w:right w:w="15" w:type="dxa"/>
                  </w:tcMar>
                  <w:vAlign w:val="center"/>
                </w:tcPr>
                <w:p w14:paraId="2B1A84C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厂家</w:t>
                  </w:r>
                  <w:r>
                    <w:rPr>
                      <w:rFonts w:hint="eastAsia" w:ascii="Times New Roman" w:hAnsi="Times New Roman" w:cs="Times New Roman"/>
                      <w:color w:val="000000" w:themeColor="text1"/>
                      <w:highlight w:val="none"/>
                      <w:lang w:val="en-US" w:eastAsia="zh-CN"/>
                      <w14:textFill>
                        <w14:solidFill>
                          <w14:schemeClr w14:val="tx1"/>
                        </w14:solidFill>
                      </w14:textFill>
                    </w:rPr>
                    <w:t>带回综合</w:t>
                  </w:r>
                  <w:r>
                    <w:rPr>
                      <w:rFonts w:hint="default" w:ascii="Times New Roman" w:hAnsi="Times New Roman" w:cs="Times New Roman"/>
                      <w:color w:val="000000" w:themeColor="text1"/>
                      <w:highlight w:val="none"/>
                      <w14:textFill>
                        <w14:solidFill>
                          <w14:schemeClr w14:val="tx1"/>
                        </w14:solidFill>
                      </w14:textFill>
                    </w:rPr>
                    <w:t>处理</w:t>
                  </w:r>
                </w:p>
              </w:tc>
              <w:tc>
                <w:tcPr>
                  <w:tcW w:w="434" w:type="pct"/>
                  <w:noWrap w:val="0"/>
                  <w:tcMar>
                    <w:top w:w="15" w:type="dxa"/>
                    <w:left w:w="15" w:type="dxa"/>
                    <w:right w:w="15" w:type="dxa"/>
                  </w:tcMar>
                  <w:vAlign w:val="center"/>
                </w:tcPr>
                <w:p w14:paraId="706033D8">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30" w:type="pct"/>
                  <w:vMerge w:val="continue"/>
                  <w:noWrap w:val="0"/>
                  <w:tcMar>
                    <w:top w:w="15" w:type="dxa"/>
                    <w:left w:w="15" w:type="dxa"/>
                    <w:right w:w="15" w:type="dxa"/>
                  </w:tcMar>
                  <w:vAlign w:val="center"/>
                </w:tcPr>
                <w:p w14:paraId="57EF716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2715EE7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32DBBB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224835B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漆渣</w:t>
                  </w:r>
                </w:p>
              </w:tc>
              <w:tc>
                <w:tcPr>
                  <w:tcW w:w="401" w:type="pct"/>
                  <w:noWrap w:val="0"/>
                  <w:tcMar>
                    <w:top w:w="15" w:type="dxa"/>
                    <w:left w:w="15" w:type="dxa"/>
                    <w:right w:w="15" w:type="dxa"/>
                  </w:tcMar>
                  <w:vAlign w:val="center"/>
                </w:tcPr>
                <w:p w14:paraId="55BF156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51B6D02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12</w:t>
                  </w:r>
                  <w:r>
                    <w:rPr>
                      <w:rFonts w:hint="default" w:ascii="Times New Roman" w:hAnsi="Times New Roman" w:cs="Times New Roman"/>
                      <w:color w:val="000000" w:themeColor="text1"/>
                      <w:sz w:val="21"/>
                      <w:szCs w:val="21"/>
                      <w:highlight w:val="none"/>
                      <w14:textFill>
                        <w14:solidFill>
                          <w14:schemeClr w14:val="tx1"/>
                        </w14:solidFill>
                      </w14:textFill>
                    </w:rPr>
                    <w:t>，900-252-12</w:t>
                  </w:r>
                </w:p>
              </w:tc>
              <w:tc>
                <w:tcPr>
                  <w:tcW w:w="378" w:type="pct"/>
                  <w:noWrap w:val="0"/>
                  <w:tcMar>
                    <w:top w:w="15" w:type="dxa"/>
                    <w:left w:w="15" w:type="dxa"/>
                    <w:right w:w="15" w:type="dxa"/>
                  </w:tcMar>
                  <w:vAlign w:val="center"/>
                </w:tcPr>
                <w:p w14:paraId="3F92F1A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01DF5C2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5.78</w:t>
                  </w:r>
                  <w:r>
                    <w:rPr>
                      <w:rFonts w:hint="eastAsia" w:cs="Times New Roman"/>
                      <w:color w:val="000000" w:themeColor="text1"/>
                      <w:sz w:val="21"/>
                      <w:szCs w:val="21"/>
                      <w:highlight w:val="none"/>
                      <w:lang w:val="en-US" w:eastAsia="zh-CN"/>
                      <w14:textFill>
                        <w14:solidFill>
                          <w14:schemeClr w14:val="tx1"/>
                        </w14:solidFill>
                      </w14:textFill>
                    </w:rPr>
                    <w:t>9</w:t>
                  </w:r>
                </w:p>
              </w:tc>
              <w:tc>
                <w:tcPr>
                  <w:tcW w:w="365" w:type="pct"/>
                  <w:noWrap w:val="0"/>
                  <w:tcMar>
                    <w:top w:w="15" w:type="dxa"/>
                    <w:left w:w="15" w:type="dxa"/>
                    <w:right w:w="15" w:type="dxa"/>
                  </w:tcMar>
                  <w:vAlign w:val="center"/>
                </w:tcPr>
                <w:p w14:paraId="030F31D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restart"/>
                  <w:noWrap w:val="0"/>
                  <w:tcMar>
                    <w:top w:w="15" w:type="dxa"/>
                    <w:left w:w="15" w:type="dxa"/>
                    <w:right w:w="15" w:type="dxa"/>
                  </w:tcMar>
                  <w:vAlign w:val="center"/>
                </w:tcPr>
                <w:p w14:paraId="33719D8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委托有资质单位定期清运处置</w:t>
                  </w:r>
                </w:p>
              </w:tc>
              <w:tc>
                <w:tcPr>
                  <w:tcW w:w="434" w:type="pct"/>
                  <w:noWrap w:val="0"/>
                  <w:tcMar>
                    <w:top w:w="15" w:type="dxa"/>
                    <w:left w:w="15" w:type="dxa"/>
                    <w:right w:w="15" w:type="dxa"/>
                  </w:tcMar>
                  <w:vAlign w:val="center"/>
                </w:tcPr>
                <w:p w14:paraId="127E74A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5.789</w:t>
                  </w:r>
                </w:p>
              </w:tc>
              <w:tc>
                <w:tcPr>
                  <w:tcW w:w="330" w:type="pct"/>
                  <w:vMerge w:val="continue"/>
                  <w:noWrap w:val="0"/>
                  <w:tcMar>
                    <w:top w:w="15" w:type="dxa"/>
                    <w:left w:w="15" w:type="dxa"/>
                    <w:right w:w="15" w:type="dxa"/>
                  </w:tcMar>
                  <w:vAlign w:val="center"/>
                </w:tcPr>
                <w:p w14:paraId="41EFE93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7E2A210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6C991CD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63B02AC5">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水帘柜废水</w:t>
                  </w:r>
                </w:p>
              </w:tc>
              <w:tc>
                <w:tcPr>
                  <w:tcW w:w="401" w:type="pct"/>
                  <w:noWrap w:val="0"/>
                  <w:tcMar>
                    <w:top w:w="15" w:type="dxa"/>
                    <w:left w:w="15" w:type="dxa"/>
                    <w:right w:w="15" w:type="dxa"/>
                  </w:tcMar>
                  <w:vAlign w:val="center"/>
                </w:tcPr>
                <w:p w14:paraId="0EF3398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2FEF31D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w:t>
                  </w: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12</w:t>
                  </w:r>
                  <w:r>
                    <w:rPr>
                      <w:rFonts w:hint="default" w:ascii="Times New Roman" w:hAnsi="Times New Roman" w:cs="Times New Roman"/>
                      <w:color w:val="000000" w:themeColor="text1"/>
                      <w:sz w:val="21"/>
                      <w:szCs w:val="21"/>
                      <w:highlight w:val="none"/>
                      <w14:textFill>
                        <w14:solidFill>
                          <w14:schemeClr w14:val="tx1"/>
                        </w14:solidFill>
                      </w14:textFill>
                    </w:rPr>
                    <w:t>，900-252-12</w:t>
                  </w:r>
                </w:p>
              </w:tc>
              <w:tc>
                <w:tcPr>
                  <w:tcW w:w="378" w:type="pct"/>
                  <w:noWrap w:val="0"/>
                  <w:tcMar>
                    <w:top w:w="15" w:type="dxa"/>
                    <w:left w:w="15" w:type="dxa"/>
                    <w:right w:w="15" w:type="dxa"/>
                  </w:tcMar>
                  <w:vAlign w:val="center"/>
                </w:tcPr>
                <w:p w14:paraId="2799FB7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76FD6DF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2.96</w:t>
                  </w:r>
                </w:p>
              </w:tc>
              <w:tc>
                <w:tcPr>
                  <w:tcW w:w="365" w:type="pct"/>
                  <w:noWrap w:val="0"/>
                  <w:tcMar>
                    <w:top w:w="15" w:type="dxa"/>
                    <w:left w:w="15" w:type="dxa"/>
                    <w:right w:w="15" w:type="dxa"/>
                  </w:tcMar>
                  <w:vAlign w:val="center"/>
                </w:tcPr>
                <w:p w14:paraId="262C3D0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2A504D5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3F2AB8D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2.96</w:t>
                  </w:r>
                </w:p>
              </w:tc>
              <w:tc>
                <w:tcPr>
                  <w:tcW w:w="330" w:type="pct"/>
                  <w:vMerge w:val="continue"/>
                  <w:noWrap w:val="0"/>
                  <w:tcMar>
                    <w:top w:w="15" w:type="dxa"/>
                    <w:left w:w="15" w:type="dxa"/>
                    <w:right w:w="15" w:type="dxa"/>
                  </w:tcMar>
                  <w:vAlign w:val="center"/>
                </w:tcPr>
                <w:p w14:paraId="675DDC0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027FDDB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66999B0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5318D4B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废活性炭</w:t>
                  </w:r>
                </w:p>
              </w:tc>
              <w:tc>
                <w:tcPr>
                  <w:tcW w:w="401" w:type="pct"/>
                  <w:noWrap w:val="0"/>
                  <w:tcMar>
                    <w:top w:w="15" w:type="dxa"/>
                    <w:left w:w="15" w:type="dxa"/>
                    <w:right w:w="15" w:type="dxa"/>
                  </w:tcMar>
                  <w:vAlign w:val="center"/>
                </w:tcPr>
                <w:p w14:paraId="74FE5FE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447059A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HW49，900-039-49</w:t>
                  </w:r>
                </w:p>
              </w:tc>
              <w:tc>
                <w:tcPr>
                  <w:tcW w:w="378" w:type="pct"/>
                  <w:noWrap w:val="0"/>
                  <w:tcMar>
                    <w:top w:w="15" w:type="dxa"/>
                    <w:left w:w="15" w:type="dxa"/>
                    <w:right w:w="15" w:type="dxa"/>
                  </w:tcMar>
                  <w:vAlign w:val="center"/>
                </w:tcPr>
                <w:p w14:paraId="5A07885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2D4AAA1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15.</w:t>
                  </w:r>
                  <w:r>
                    <w:rPr>
                      <w:rFonts w:hint="eastAsia" w:cs="Times New Roman"/>
                      <w:color w:val="000000" w:themeColor="text1"/>
                      <w:highlight w:val="none"/>
                      <w:lang w:val="en-US" w:eastAsia="zh-CN"/>
                      <w14:textFill>
                        <w14:solidFill>
                          <w14:schemeClr w14:val="tx1"/>
                        </w14:solidFill>
                      </w14:textFill>
                    </w:rPr>
                    <w:t>418</w:t>
                  </w:r>
                </w:p>
              </w:tc>
              <w:tc>
                <w:tcPr>
                  <w:tcW w:w="365" w:type="pct"/>
                  <w:noWrap w:val="0"/>
                  <w:tcMar>
                    <w:top w:w="15" w:type="dxa"/>
                    <w:left w:w="15" w:type="dxa"/>
                    <w:right w:w="15" w:type="dxa"/>
                  </w:tcMar>
                  <w:vAlign w:val="center"/>
                </w:tcPr>
                <w:p w14:paraId="71F7DC7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1E74407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7924A16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15.</w:t>
                  </w:r>
                  <w:r>
                    <w:rPr>
                      <w:rFonts w:hint="eastAsia" w:cs="Times New Roman"/>
                      <w:color w:val="000000" w:themeColor="text1"/>
                      <w:highlight w:val="none"/>
                      <w:lang w:val="en-US" w:eastAsia="zh-CN"/>
                      <w14:textFill>
                        <w14:solidFill>
                          <w14:schemeClr w14:val="tx1"/>
                        </w14:solidFill>
                      </w14:textFill>
                    </w:rPr>
                    <w:t>418</w:t>
                  </w:r>
                </w:p>
              </w:tc>
              <w:tc>
                <w:tcPr>
                  <w:tcW w:w="330" w:type="pct"/>
                  <w:vMerge w:val="continue"/>
                  <w:noWrap w:val="0"/>
                  <w:tcMar>
                    <w:top w:w="15" w:type="dxa"/>
                    <w:left w:w="15" w:type="dxa"/>
                    <w:right w:w="15" w:type="dxa"/>
                  </w:tcMar>
                  <w:vAlign w:val="center"/>
                </w:tcPr>
                <w:p w14:paraId="379C4F4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40B1FA8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54F026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0423A924">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废过滤棉</w:t>
                  </w:r>
                </w:p>
              </w:tc>
              <w:tc>
                <w:tcPr>
                  <w:tcW w:w="401" w:type="pct"/>
                  <w:noWrap w:val="0"/>
                  <w:tcMar>
                    <w:top w:w="15" w:type="dxa"/>
                    <w:left w:w="15" w:type="dxa"/>
                    <w:right w:w="15" w:type="dxa"/>
                  </w:tcMar>
                  <w:vAlign w:val="center"/>
                </w:tcPr>
                <w:p w14:paraId="0EA2CF4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2FA1F55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HW49，900-039-49</w:t>
                  </w:r>
                </w:p>
              </w:tc>
              <w:tc>
                <w:tcPr>
                  <w:tcW w:w="378" w:type="pct"/>
                  <w:noWrap w:val="0"/>
                  <w:tcMar>
                    <w:top w:w="15" w:type="dxa"/>
                    <w:left w:w="15" w:type="dxa"/>
                    <w:right w:w="15" w:type="dxa"/>
                  </w:tcMar>
                  <w:vAlign w:val="center"/>
                </w:tcPr>
                <w:p w14:paraId="062DE94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322182C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0.05</w:t>
                  </w:r>
                </w:p>
              </w:tc>
              <w:tc>
                <w:tcPr>
                  <w:tcW w:w="365" w:type="pct"/>
                  <w:noWrap w:val="0"/>
                  <w:tcMar>
                    <w:top w:w="15" w:type="dxa"/>
                    <w:left w:w="15" w:type="dxa"/>
                    <w:right w:w="15" w:type="dxa"/>
                  </w:tcMar>
                  <w:vAlign w:val="center"/>
                </w:tcPr>
                <w:p w14:paraId="4A79DAA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7DACB14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5DB8222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0.05</w:t>
                  </w:r>
                </w:p>
              </w:tc>
              <w:tc>
                <w:tcPr>
                  <w:tcW w:w="330" w:type="pct"/>
                  <w:vMerge w:val="continue"/>
                  <w:noWrap w:val="0"/>
                  <w:tcMar>
                    <w:top w:w="15" w:type="dxa"/>
                    <w:left w:w="15" w:type="dxa"/>
                    <w:right w:w="15" w:type="dxa"/>
                  </w:tcMar>
                  <w:vAlign w:val="center"/>
                </w:tcPr>
                <w:p w14:paraId="41C7076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6B4BF1F0">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noWrap w:val="0"/>
                  <w:tcMar>
                    <w:top w:w="15" w:type="dxa"/>
                    <w:left w:w="15" w:type="dxa"/>
                    <w:right w:w="15" w:type="dxa"/>
                  </w:tcMar>
                  <w:vAlign w:val="center"/>
                </w:tcPr>
                <w:p w14:paraId="3C087D6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废水处理</w:t>
                  </w:r>
                </w:p>
              </w:tc>
              <w:tc>
                <w:tcPr>
                  <w:tcW w:w="823" w:type="pct"/>
                  <w:noWrap w:val="0"/>
                  <w:tcMar>
                    <w:top w:w="15" w:type="dxa"/>
                    <w:left w:w="15" w:type="dxa"/>
                    <w:right w:w="15" w:type="dxa"/>
                  </w:tcMar>
                  <w:vAlign w:val="center"/>
                </w:tcPr>
                <w:p w14:paraId="685691B6">
                  <w:pPr>
                    <w:pStyle w:val="136"/>
                    <w:keepNext w:val="0"/>
                    <w:keepLines w:val="0"/>
                    <w:pageBreakBefore w:val="0"/>
                    <w:kinsoku/>
                    <w:wordWrap/>
                    <w:overflowPunct/>
                    <w:topLinePunct w:val="0"/>
                    <w:autoSpaceDE/>
                    <w:autoSpaceDN/>
                    <w:bidi w:val="0"/>
                    <w:spacing w:line="240" w:lineRule="auto"/>
                    <w:ind w:firstLine="0" w:firstLineChars="0"/>
                    <w:rPr>
                      <w:rFonts w:hint="eastAsia"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污泥</w:t>
                  </w:r>
                </w:p>
              </w:tc>
              <w:tc>
                <w:tcPr>
                  <w:tcW w:w="401" w:type="pct"/>
                  <w:noWrap w:val="0"/>
                  <w:tcMar>
                    <w:top w:w="15" w:type="dxa"/>
                    <w:left w:w="15" w:type="dxa"/>
                    <w:right w:w="15" w:type="dxa"/>
                  </w:tcMar>
                  <w:vAlign w:val="center"/>
                </w:tcPr>
                <w:p w14:paraId="6464458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一般固废</w:t>
                  </w:r>
                </w:p>
              </w:tc>
              <w:tc>
                <w:tcPr>
                  <w:tcW w:w="767" w:type="pct"/>
                  <w:noWrap w:val="0"/>
                  <w:tcMar>
                    <w:top w:w="15" w:type="dxa"/>
                    <w:left w:w="15" w:type="dxa"/>
                    <w:right w:w="15" w:type="dxa"/>
                  </w:tcMar>
                  <w:vAlign w:val="center"/>
                </w:tcPr>
                <w:p w14:paraId="4D2A628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900-099-S07</w:t>
                  </w:r>
                </w:p>
              </w:tc>
              <w:tc>
                <w:tcPr>
                  <w:tcW w:w="378" w:type="pct"/>
                  <w:noWrap w:val="0"/>
                  <w:tcMar>
                    <w:top w:w="15" w:type="dxa"/>
                    <w:left w:w="15" w:type="dxa"/>
                    <w:right w:w="15" w:type="dxa"/>
                  </w:tcMar>
                  <w:vAlign w:val="center"/>
                </w:tcPr>
                <w:p w14:paraId="52CCD589">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半固态</w:t>
                  </w:r>
                </w:p>
              </w:tc>
              <w:tc>
                <w:tcPr>
                  <w:tcW w:w="350" w:type="pct"/>
                  <w:noWrap w:val="0"/>
                  <w:tcMar>
                    <w:top w:w="15" w:type="dxa"/>
                    <w:left w:w="15" w:type="dxa"/>
                    <w:right w:w="15" w:type="dxa"/>
                  </w:tcMar>
                  <w:vAlign w:val="center"/>
                </w:tcPr>
                <w:p w14:paraId="4E74110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c>
                <w:tcPr>
                  <w:tcW w:w="365" w:type="pct"/>
                  <w:noWrap w:val="0"/>
                  <w:tcMar>
                    <w:top w:w="15" w:type="dxa"/>
                    <w:left w:w="15" w:type="dxa"/>
                    <w:right w:w="15" w:type="dxa"/>
                  </w:tcMar>
                  <w:vAlign w:val="center"/>
                </w:tcPr>
                <w:p w14:paraId="05F2DE4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noWrap w:val="0"/>
                  <w:tcMar>
                    <w:top w:w="15" w:type="dxa"/>
                    <w:left w:w="15" w:type="dxa"/>
                    <w:right w:w="15" w:type="dxa"/>
                  </w:tcMar>
                  <w:vAlign w:val="center"/>
                </w:tcPr>
                <w:p w14:paraId="47DAA56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环卫部门清运</w:t>
                  </w:r>
                </w:p>
              </w:tc>
              <w:tc>
                <w:tcPr>
                  <w:tcW w:w="434" w:type="pct"/>
                  <w:noWrap w:val="0"/>
                  <w:tcMar>
                    <w:top w:w="15" w:type="dxa"/>
                    <w:left w:w="15" w:type="dxa"/>
                    <w:right w:w="15" w:type="dxa"/>
                  </w:tcMar>
                  <w:vAlign w:val="center"/>
                </w:tcPr>
                <w:p w14:paraId="55F91145">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c>
                <w:tcPr>
                  <w:tcW w:w="330" w:type="pct"/>
                  <w:vMerge w:val="continue"/>
                  <w:noWrap w:val="0"/>
                  <w:tcMar>
                    <w:top w:w="15" w:type="dxa"/>
                    <w:left w:w="15" w:type="dxa"/>
                    <w:right w:w="15" w:type="dxa"/>
                  </w:tcMar>
                  <w:vAlign w:val="center"/>
                </w:tcPr>
                <w:p w14:paraId="738C9AB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47BAE0E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restart"/>
                  <w:noWrap w:val="0"/>
                  <w:tcMar>
                    <w:top w:w="15" w:type="dxa"/>
                    <w:left w:w="15" w:type="dxa"/>
                    <w:right w:w="15" w:type="dxa"/>
                  </w:tcMar>
                  <w:vAlign w:val="center"/>
                </w:tcPr>
                <w:p w14:paraId="3457FEE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公辅工程</w:t>
                  </w:r>
                </w:p>
              </w:tc>
              <w:tc>
                <w:tcPr>
                  <w:tcW w:w="823" w:type="pct"/>
                  <w:noWrap w:val="0"/>
                  <w:tcMar>
                    <w:top w:w="15" w:type="dxa"/>
                    <w:left w:w="15" w:type="dxa"/>
                    <w:right w:w="15" w:type="dxa"/>
                  </w:tcMar>
                  <w:vAlign w:val="center"/>
                </w:tcPr>
                <w:p w14:paraId="0D9141D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w:t>
                  </w:r>
                </w:p>
              </w:tc>
              <w:tc>
                <w:tcPr>
                  <w:tcW w:w="401" w:type="pct"/>
                  <w:noWrap w:val="0"/>
                  <w:tcMar>
                    <w:top w:w="15" w:type="dxa"/>
                    <w:left w:w="15" w:type="dxa"/>
                    <w:right w:w="15" w:type="dxa"/>
                  </w:tcMar>
                  <w:vAlign w:val="center"/>
                </w:tcPr>
                <w:p w14:paraId="3D7890E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4450E83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HW08，900-214-08</w:t>
                  </w:r>
                </w:p>
              </w:tc>
              <w:tc>
                <w:tcPr>
                  <w:tcW w:w="378" w:type="pct"/>
                  <w:noWrap w:val="0"/>
                  <w:tcMar>
                    <w:top w:w="15" w:type="dxa"/>
                    <w:left w:w="15" w:type="dxa"/>
                    <w:right w:w="15" w:type="dxa"/>
                  </w:tcMar>
                  <w:vAlign w:val="center"/>
                </w:tcPr>
                <w:p w14:paraId="6BEC65E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339ED8D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65" w:type="pct"/>
                  <w:noWrap w:val="0"/>
                  <w:tcMar>
                    <w:top w:w="15" w:type="dxa"/>
                    <w:left w:w="15" w:type="dxa"/>
                    <w:right w:w="15" w:type="dxa"/>
                  </w:tcMar>
                  <w:vAlign w:val="center"/>
                </w:tcPr>
                <w:p w14:paraId="0B7301D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restart"/>
                  <w:noWrap w:val="0"/>
                  <w:tcMar>
                    <w:top w:w="15" w:type="dxa"/>
                    <w:left w:w="15" w:type="dxa"/>
                    <w:right w:w="15" w:type="dxa"/>
                  </w:tcMar>
                  <w:vAlign w:val="center"/>
                </w:tcPr>
                <w:p w14:paraId="383A768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委托有资质单位定期清运处置</w:t>
                  </w:r>
                </w:p>
              </w:tc>
              <w:tc>
                <w:tcPr>
                  <w:tcW w:w="434" w:type="pct"/>
                  <w:noWrap w:val="0"/>
                  <w:tcMar>
                    <w:top w:w="15" w:type="dxa"/>
                    <w:left w:w="15" w:type="dxa"/>
                    <w:right w:w="15" w:type="dxa"/>
                  </w:tcMar>
                  <w:vAlign w:val="center"/>
                </w:tcPr>
                <w:p w14:paraId="4F565F8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30" w:type="pct"/>
                  <w:vMerge w:val="continue"/>
                  <w:noWrap w:val="0"/>
                  <w:tcMar>
                    <w:top w:w="15" w:type="dxa"/>
                    <w:left w:w="15" w:type="dxa"/>
                    <w:right w:w="15" w:type="dxa"/>
                  </w:tcMar>
                  <w:vAlign w:val="center"/>
                </w:tcPr>
                <w:p w14:paraId="4565131E">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0AC0BCB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46FFE4B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35C714B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废机油桶</w:t>
                  </w:r>
                </w:p>
              </w:tc>
              <w:tc>
                <w:tcPr>
                  <w:tcW w:w="401" w:type="pct"/>
                  <w:noWrap w:val="0"/>
                  <w:tcMar>
                    <w:top w:w="15" w:type="dxa"/>
                    <w:left w:w="15" w:type="dxa"/>
                    <w:right w:w="15" w:type="dxa"/>
                  </w:tcMar>
                  <w:vAlign w:val="center"/>
                </w:tcPr>
                <w:p w14:paraId="0CA08A9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1296F4B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HW49，900-041-49</w:t>
                  </w:r>
                </w:p>
              </w:tc>
              <w:tc>
                <w:tcPr>
                  <w:tcW w:w="378" w:type="pct"/>
                  <w:noWrap w:val="0"/>
                  <w:tcMar>
                    <w:top w:w="15" w:type="dxa"/>
                    <w:left w:w="15" w:type="dxa"/>
                    <w:right w:w="15" w:type="dxa"/>
                  </w:tcMar>
                  <w:vAlign w:val="center"/>
                </w:tcPr>
                <w:p w14:paraId="2C132BC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4D6FAF9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65" w:type="pct"/>
                  <w:noWrap w:val="0"/>
                  <w:tcMar>
                    <w:top w:w="15" w:type="dxa"/>
                    <w:left w:w="15" w:type="dxa"/>
                    <w:right w:w="15" w:type="dxa"/>
                  </w:tcMar>
                  <w:vAlign w:val="center"/>
                </w:tcPr>
                <w:p w14:paraId="04530BD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6204842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276441C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330" w:type="pct"/>
                  <w:vMerge w:val="continue"/>
                  <w:noWrap w:val="0"/>
                  <w:tcMar>
                    <w:top w:w="15" w:type="dxa"/>
                    <w:left w:w="15" w:type="dxa"/>
                    <w:right w:w="15" w:type="dxa"/>
                  </w:tcMar>
                  <w:vAlign w:val="center"/>
                </w:tcPr>
                <w:p w14:paraId="3221BB6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3AAA8C2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vMerge w:val="continue"/>
                  <w:noWrap w:val="0"/>
                  <w:tcMar>
                    <w:top w:w="15" w:type="dxa"/>
                    <w:left w:w="15" w:type="dxa"/>
                    <w:right w:w="15" w:type="dxa"/>
                  </w:tcMar>
                  <w:vAlign w:val="center"/>
                </w:tcPr>
                <w:p w14:paraId="7E5FA91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823" w:type="pct"/>
                  <w:noWrap w:val="0"/>
                  <w:tcMar>
                    <w:top w:w="15" w:type="dxa"/>
                    <w:left w:w="15" w:type="dxa"/>
                    <w:right w:w="15" w:type="dxa"/>
                  </w:tcMar>
                  <w:vAlign w:val="center"/>
                </w:tcPr>
                <w:p w14:paraId="44E5B64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废劳保用品</w:t>
                  </w:r>
                </w:p>
              </w:tc>
              <w:tc>
                <w:tcPr>
                  <w:tcW w:w="401" w:type="pct"/>
                  <w:noWrap w:val="0"/>
                  <w:tcMar>
                    <w:top w:w="15" w:type="dxa"/>
                    <w:left w:w="15" w:type="dxa"/>
                    <w:right w:w="15" w:type="dxa"/>
                  </w:tcMar>
                  <w:vAlign w:val="center"/>
                </w:tcPr>
                <w:p w14:paraId="60D6E32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767" w:type="pct"/>
                  <w:noWrap w:val="0"/>
                  <w:tcMar>
                    <w:top w:w="15" w:type="dxa"/>
                    <w:left w:w="15" w:type="dxa"/>
                    <w:right w:w="15" w:type="dxa"/>
                  </w:tcMar>
                  <w:vAlign w:val="center"/>
                </w:tcPr>
                <w:p w14:paraId="73627EC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HW49，900-041-49</w:t>
                  </w:r>
                </w:p>
              </w:tc>
              <w:tc>
                <w:tcPr>
                  <w:tcW w:w="378" w:type="pct"/>
                  <w:noWrap w:val="0"/>
                  <w:tcMar>
                    <w:top w:w="15" w:type="dxa"/>
                    <w:left w:w="15" w:type="dxa"/>
                    <w:right w:w="15" w:type="dxa"/>
                  </w:tcMar>
                  <w:vAlign w:val="center"/>
                </w:tcPr>
                <w:p w14:paraId="578DAC8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7F91CB3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0.01</w:t>
                  </w:r>
                </w:p>
              </w:tc>
              <w:tc>
                <w:tcPr>
                  <w:tcW w:w="365" w:type="pct"/>
                  <w:noWrap w:val="0"/>
                  <w:tcMar>
                    <w:top w:w="15" w:type="dxa"/>
                    <w:left w:w="15" w:type="dxa"/>
                    <w:right w:w="15" w:type="dxa"/>
                  </w:tcMar>
                  <w:vAlign w:val="center"/>
                </w:tcPr>
                <w:p w14:paraId="532B774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桶装</w:t>
                  </w:r>
                </w:p>
              </w:tc>
              <w:tc>
                <w:tcPr>
                  <w:tcW w:w="791" w:type="pct"/>
                  <w:vMerge w:val="continue"/>
                  <w:noWrap w:val="0"/>
                  <w:tcMar>
                    <w:top w:w="15" w:type="dxa"/>
                    <w:left w:w="15" w:type="dxa"/>
                    <w:right w:w="15" w:type="dxa"/>
                  </w:tcMar>
                  <w:vAlign w:val="center"/>
                </w:tcPr>
                <w:p w14:paraId="0BE9F9F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4" w:type="pct"/>
                  <w:noWrap w:val="0"/>
                  <w:tcMar>
                    <w:top w:w="15" w:type="dxa"/>
                    <w:left w:w="15" w:type="dxa"/>
                    <w:right w:w="15" w:type="dxa"/>
                  </w:tcMar>
                  <w:vAlign w:val="center"/>
                </w:tcPr>
                <w:p w14:paraId="3F78F17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0.01</w:t>
                  </w:r>
                </w:p>
              </w:tc>
              <w:tc>
                <w:tcPr>
                  <w:tcW w:w="330" w:type="pct"/>
                  <w:vMerge w:val="continue"/>
                  <w:noWrap w:val="0"/>
                  <w:tcMar>
                    <w:top w:w="15" w:type="dxa"/>
                    <w:left w:w="15" w:type="dxa"/>
                    <w:right w:w="15" w:type="dxa"/>
                  </w:tcMar>
                  <w:vAlign w:val="center"/>
                </w:tcPr>
                <w:p w14:paraId="571043FB">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r w14:paraId="09A4F14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357" w:type="pct"/>
                  <w:noWrap w:val="0"/>
                  <w:tcMar>
                    <w:top w:w="15" w:type="dxa"/>
                    <w:left w:w="15" w:type="dxa"/>
                    <w:right w:w="15" w:type="dxa"/>
                  </w:tcMar>
                  <w:vAlign w:val="center"/>
                </w:tcPr>
                <w:p w14:paraId="727DDF5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员工生活</w:t>
                  </w:r>
                </w:p>
              </w:tc>
              <w:tc>
                <w:tcPr>
                  <w:tcW w:w="823" w:type="pct"/>
                  <w:noWrap w:val="0"/>
                  <w:tcMar>
                    <w:top w:w="15" w:type="dxa"/>
                    <w:left w:w="15" w:type="dxa"/>
                    <w:right w:w="15" w:type="dxa"/>
                  </w:tcMar>
                  <w:vAlign w:val="center"/>
                </w:tcPr>
                <w:p w14:paraId="3DE7F3B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生活垃圾</w:t>
                  </w:r>
                </w:p>
              </w:tc>
              <w:tc>
                <w:tcPr>
                  <w:tcW w:w="401" w:type="pct"/>
                  <w:noWrap w:val="0"/>
                  <w:tcMar>
                    <w:top w:w="15" w:type="dxa"/>
                    <w:left w:w="15" w:type="dxa"/>
                    <w:right w:w="15" w:type="dxa"/>
                  </w:tcMar>
                  <w:vAlign w:val="center"/>
                </w:tcPr>
                <w:p w14:paraId="0C7D029D">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生活垃圾</w:t>
                  </w:r>
                </w:p>
              </w:tc>
              <w:tc>
                <w:tcPr>
                  <w:tcW w:w="767" w:type="pct"/>
                  <w:noWrap w:val="0"/>
                  <w:tcMar>
                    <w:top w:w="15" w:type="dxa"/>
                    <w:left w:w="15" w:type="dxa"/>
                    <w:right w:w="15" w:type="dxa"/>
                  </w:tcMar>
                  <w:vAlign w:val="center"/>
                </w:tcPr>
                <w:p w14:paraId="2EAE886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900-099-S64</w:t>
                  </w:r>
                </w:p>
              </w:tc>
              <w:tc>
                <w:tcPr>
                  <w:tcW w:w="378" w:type="pct"/>
                  <w:noWrap w:val="0"/>
                  <w:tcMar>
                    <w:top w:w="15" w:type="dxa"/>
                    <w:left w:w="15" w:type="dxa"/>
                    <w:right w:w="15" w:type="dxa"/>
                  </w:tcMar>
                  <w:vAlign w:val="center"/>
                </w:tcPr>
                <w:p w14:paraId="68E1A8A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固态</w:t>
                  </w:r>
                </w:p>
              </w:tc>
              <w:tc>
                <w:tcPr>
                  <w:tcW w:w="350" w:type="pct"/>
                  <w:noWrap w:val="0"/>
                  <w:tcMar>
                    <w:top w:w="15" w:type="dxa"/>
                    <w:left w:w="15" w:type="dxa"/>
                    <w:right w:w="15" w:type="dxa"/>
                  </w:tcMar>
                  <w:vAlign w:val="center"/>
                </w:tcPr>
                <w:p w14:paraId="6678F5F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9.9</w:t>
                  </w:r>
                </w:p>
              </w:tc>
              <w:tc>
                <w:tcPr>
                  <w:tcW w:w="365" w:type="pct"/>
                  <w:noWrap w:val="0"/>
                  <w:tcMar>
                    <w:top w:w="15" w:type="dxa"/>
                    <w:left w:w="15" w:type="dxa"/>
                    <w:right w:w="15" w:type="dxa"/>
                  </w:tcMar>
                  <w:vAlign w:val="center"/>
                </w:tcPr>
                <w:p w14:paraId="1D04202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垃圾桶</w:t>
                  </w:r>
                </w:p>
              </w:tc>
              <w:tc>
                <w:tcPr>
                  <w:tcW w:w="791" w:type="pct"/>
                  <w:noWrap w:val="0"/>
                  <w:tcMar>
                    <w:top w:w="15" w:type="dxa"/>
                    <w:left w:w="15" w:type="dxa"/>
                    <w:right w:w="15" w:type="dxa"/>
                  </w:tcMar>
                  <w:vAlign w:val="center"/>
                </w:tcPr>
                <w:p w14:paraId="008348B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环卫部门定期清运</w:t>
                  </w:r>
                </w:p>
              </w:tc>
              <w:tc>
                <w:tcPr>
                  <w:tcW w:w="434" w:type="pct"/>
                  <w:noWrap w:val="0"/>
                  <w:tcMar>
                    <w:top w:w="15" w:type="dxa"/>
                    <w:left w:w="15" w:type="dxa"/>
                    <w:right w:w="15" w:type="dxa"/>
                  </w:tcMar>
                  <w:vAlign w:val="center"/>
                </w:tcPr>
                <w:p w14:paraId="73A2EC3F">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9.9</w:t>
                  </w:r>
                </w:p>
              </w:tc>
              <w:tc>
                <w:tcPr>
                  <w:tcW w:w="330" w:type="pct"/>
                  <w:vMerge w:val="continue"/>
                  <w:noWrap w:val="0"/>
                  <w:tcMar>
                    <w:top w:w="15" w:type="dxa"/>
                    <w:left w:w="15" w:type="dxa"/>
                    <w:right w:w="15" w:type="dxa"/>
                  </w:tcMar>
                  <w:vAlign w:val="center"/>
                </w:tcPr>
                <w:p w14:paraId="6388AC1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r>
          </w:tbl>
          <w:p w14:paraId="6D916935">
            <w:pPr>
              <w:widowControl/>
              <w:spacing w:line="360" w:lineRule="auto"/>
              <w:ind w:left="0" w:leftChars="0" w:firstLine="0" w:firstLineChars="0"/>
              <w:jc w:val="center"/>
              <w:rPr>
                <w:rFonts w:hint="default" w:ascii="Times New Roman" w:hAnsi="Times New Roman" w:cs="Times New Roman"/>
                <w:b/>
                <w:color w:val="000000" w:themeColor="text1"/>
                <w:spacing w:val="7"/>
                <w:kern w:val="0"/>
                <w:szCs w:val="21"/>
                <w:highlight w:val="none"/>
                <w14:textFill>
                  <w14:solidFill>
                    <w14:schemeClr w14:val="tx1"/>
                  </w14:solidFill>
                </w14:textFill>
              </w:rPr>
            </w:pPr>
            <w:r>
              <w:rPr>
                <w:rFonts w:hint="default" w:ascii="Times New Roman" w:hAnsi="Times New Roman" w:cs="Times New Roman"/>
                <w:b/>
                <w:color w:val="000000" w:themeColor="text1"/>
                <w:spacing w:val="7"/>
                <w:kern w:val="0"/>
                <w:szCs w:val="21"/>
                <w:highlight w:val="none"/>
                <w14:textFill>
                  <w14:solidFill>
                    <w14:schemeClr w14:val="tx1"/>
                  </w14:solidFill>
                </w14:textFill>
              </w:rPr>
              <w:t>表4-</w:t>
            </w:r>
            <w:r>
              <w:rPr>
                <w:rFonts w:hint="eastAsia" w:ascii="Times New Roman" w:hAnsi="Times New Roman"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0</w:t>
            </w:r>
            <w:r>
              <w:rPr>
                <w:rFonts w:hint="default" w:ascii="Times New Roman" w:hAnsi="Times New Roman" w:cs="Times New Roman"/>
                <w:b/>
                <w:color w:val="000000" w:themeColor="text1"/>
                <w:spacing w:val="7"/>
                <w:kern w:val="0"/>
                <w:szCs w:val="21"/>
                <w:highlight w:val="none"/>
                <w14:textFill>
                  <w14:solidFill>
                    <w14:schemeClr w14:val="tx1"/>
                  </w14:solidFill>
                </w14:textFill>
              </w:rPr>
              <w:t xml:space="preserve">  项目危险废物汇总表</w:t>
            </w:r>
          </w:p>
          <w:tbl>
            <w:tblPr>
              <w:tblStyle w:val="32"/>
              <w:tblW w:w="4989"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463"/>
              <w:gridCol w:w="2024"/>
              <w:gridCol w:w="941"/>
              <w:gridCol w:w="1363"/>
              <w:gridCol w:w="996"/>
              <w:gridCol w:w="1227"/>
              <w:gridCol w:w="696"/>
              <w:gridCol w:w="1540"/>
              <w:gridCol w:w="1296"/>
              <w:gridCol w:w="927"/>
              <w:gridCol w:w="1009"/>
              <w:gridCol w:w="845"/>
            </w:tblGrid>
            <w:tr w14:paraId="18ED6AF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noWrap w:val="0"/>
                  <w:tcMar>
                    <w:top w:w="15" w:type="dxa"/>
                    <w:left w:w="15" w:type="dxa"/>
                    <w:right w:w="15" w:type="dxa"/>
                  </w:tcMar>
                  <w:vAlign w:val="center"/>
                </w:tcPr>
                <w:p w14:paraId="6B8B26F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序号</w:t>
                  </w:r>
                </w:p>
              </w:tc>
              <w:tc>
                <w:tcPr>
                  <w:tcW w:w="759" w:type="pct"/>
                  <w:noWrap w:val="0"/>
                  <w:tcMar>
                    <w:top w:w="15" w:type="dxa"/>
                    <w:left w:w="15" w:type="dxa"/>
                    <w:right w:w="15" w:type="dxa"/>
                  </w:tcMar>
                  <w:vAlign w:val="center"/>
                </w:tcPr>
                <w:p w14:paraId="567413F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危险废物名称</w:t>
                  </w:r>
                </w:p>
              </w:tc>
              <w:tc>
                <w:tcPr>
                  <w:tcW w:w="353" w:type="pct"/>
                  <w:noWrap w:val="0"/>
                  <w:tcMar>
                    <w:top w:w="15" w:type="dxa"/>
                    <w:left w:w="15" w:type="dxa"/>
                    <w:right w:w="15" w:type="dxa"/>
                  </w:tcMar>
                  <w:vAlign w:val="center"/>
                </w:tcPr>
                <w:p w14:paraId="3003E45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危险废物类别</w:t>
                  </w:r>
                </w:p>
              </w:tc>
              <w:tc>
                <w:tcPr>
                  <w:tcW w:w="511" w:type="pct"/>
                  <w:noWrap w:val="0"/>
                  <w:tcMar>
                    <w:top w:w="15" w:type="dxa"/>
                    <w:left w:w="15" w:type="dxa"/>
                    <w:right w:w="15" w:type="dxa"/>
                  </w:tcMar>
                  <w:vAlign w:val="center"/>
                </w:tcPr>
                <w:p w14:paraId="22CCD8E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危险废物代码</w:t>
                  </w:r>
                </w:p>
              </w:tc>
              <w:tc>
                <w:tcPr>
                  <w:tcW w:w="373" w:type="pct"/>
                  <w:noWrap w:val="0"/>
                  <w:tcMar>
                    <w:top w:w="15" w:type="dxa"/>
                    <w:left w:w="15" w:type="dxa"/>
                    <w:right w:w="15" w:type="dxa"/>
                  </w:tcMar>
                  <w:vAlign w:val="center"/>
                </w:tcPr>
                <w:p w14:paraId="72EA4CC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项目产生量t/a</w:t>
                  </w:r>
                </w:p>
              </w:tc>
              <w:tc>
                <w:tcPr>
                  <w:tcW w:w="460" w:type="pct"/>
                  <w:noWrap w:val="0"/>
                  <w:tcMar>
                    <w:top w:w="15" w:type="dxa"/>
                    <w:left w:w="15" w:type="dxa"/>
                    <w:right w:w="15" w:type="dxa"/>
                  </w:tcMar>
                  <w:vAlign w:val="center"/>
                </w:tcPr>
                <w:p w14:paraId="1F5E512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产生工序及装置</w:t>
                  </w:r>
                </w:p>
              </w:tc>
              <w:tc>
                <w:tcPr>
                  <w:tcW w:w="261" w:type="pct"/>
                  <w:noWrap w:val="0"/>
                  <w:tcMar>
                    <w:top w:w="15" w:type="dxa"/>
                    <w:left w:w="15" w:type="dxa"/>
                    <w:right w:w="15" w:type="dxa"/>
                  </w:tcMar>
                  <w:vAlign w:val="center"/>
                </w:tcPr>
                <w:p w14:paraId="09459C1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形态</w:t>
                  </w:r>
                </w:p>
              </w:tc>
              <w:tc>
                <w:tcPr>
                  <w:tcW w:w="577" w:type="pct"/>
                  <w:noWrap w:val="0"/>
                  <w:tcMar>
                    <w:top w:w="15" w:type="dxa"/>
                    <w:left w:w="15" w:type="dxa"/>
                    <w:right w:w="15" w:type="dxa"/>
                  </w:tcMar>
                  <w:vAlign w:val="center"/>
                </w:tcPr>
                <w:p w14:paraId="596F822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主要成分</w:t>
                  </w:r>
                </w:p>
              </w:tc>
              <w:tc>
                <w:tcPr>
                  <w:tcW w:w="486" w:type="pct"/>
                  <w:noWrap w:val="0"/>
                  <w:tcMar>
                    <w:top w:w="15" w:type="dxa"/>
                    <w:left w:w="15" w:type="dxa"/>
                    <w:right w:w="15" w:type="dxa"/>
                  </w:tcMar>
                  <w:vAlign w:val="center"/>
                </w:tcPr>
                <w:p w14:paraId="1DDAF75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有害成分</w:t>
                  </w:r>
                </w:p>
              </w:tc>
              <w:tc>
                <w:tcPr>
                  <w:tcW w:w="347" w:type="pct"/>
                  <w:noWrap w:val="0"/>
                  <w:tcMar>
                    <w:top w:w="15" w:type="dxa"/>
                    <w:left w:w="15" w:type="dxa"/>
                    <w:right w:w="15" w:type="dxa"/>
                  </w:tcMar>
                  <w:vAlign w:val="center"/>
                </w:tcPr>
                <w:p w14:paraId="5FDEDD2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产废周期</w:t>
                  </w:r>
                </w:p>
              </w:tc>
              <w:tc>
                <w:tcPr>
                  <w:tcW w:w="378" w:type="pct"/>
                  <w:noWrap w:val="0"/>
                  <w:tcMar>
                    <w:top w:w="15" w:type="dxa"/>
                    <w:left w:w="15" w:type="dxa"/>
                    <w:right w:w="15" w:type="dxa"/>
                  </w:tcMar>
                  <w:vAlign w:val="center"/>
                </w:tcPr>
                <w:p w14:paraId="33312A6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危险特性</w:t>
                  </w:r>
                </w:p>
              </w:tc>
              <w:tc>
                <w:tcPr>
                  <w:tcW w:w="317" w:type="pct"/>
                  <w:noWrap w:val="0"/>
                  <w:tcMar>
                    <w:top w:w="15" w:type="dxa"/>
                    <w:left w:w="15" w:type="dxa"/>
                    <w:right w:w="15" w:type="dxa"/>
                  </w:tcMar>
                  <w:vAlign w:val="center"/>
                </w:tcPr>
                <w:p w14:paraId="6175004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b/>
                      <w:color w:val="000000" w:themeColor="text1"/>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lang w:bidi="ar"/>
                      <w14:textFill>
                        <w14:solidFill>
                          <w14:schemeClr w14:val="tx1"/>
                        </w14:solidFill>
                      </w14:textFill>
                    </w:rPr>
                    <w:t>污染防治措施</w:t>
                  </w:r>
                </w:p>
              </w:tc>
            </w:tr>
            <w:tr w14:paraId="510B157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noWrap w:val="0"/>
                  <w:tcMar>
                    <w:top w:w="15" w:type="dxa"/>
                    <w:left w:w="15" w:type="dxa"/>
                    <w:right w:w="15" w:type="dxa"/>
                  </w:tcMar>
                  <w:vAlign w:val="center"/>
                </w:tcPr>
                <w:p w14:paraId="606ECA6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w:t>
                  </w:r>
                </w:p>
              </w:tc>
              <w:tc>
                <w:tcPr>
                  <w:tcW w:w="759" w:type="pct"/>
                  <w:shd w:val="clear" w:color="auto" w:fill="auto"/>
                  <w:noWrap w:val="0"/>
                  <w:tcMar>
                    <w:top w:w="15" w:type="dxa"/>
                    <w:left w:w="15" w:type="dxa"/>
                    <w:right w:w="15" w:type="dxa"/>
                  </w:tcMar>
                  <w:vAlign w:val="center"/>
                </w:tcPr>
                <w:p w14:paraId="0233C885">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沾染废乳化液刨花屑</w:t>
                  </w:r>
                </w:p>
              </w:tc>
              <w:tc>
                <w:tcPr>
                  <w:tcW w:w="353" w:type="pct"/>
                  <w:shd w:val="clear" w:color="auto" w:fill="auto"/>
                  <w:noWrap w:val="0"/>
                  <w:tcMar>
                    <w:top w:w="15" w:type="dxa"/>
                    <w:left w:w="15" w:type="dxa"/>
                    <w:right w:w="15" w:type="dxa"/>
                  </w:tcMar>
                  <w:vAlign w:val="center"/>
                </w:tcPr>
                <w:p w14:paraId="5FDCAF7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HW08</w:t>
                  </w:r>
                </w:p>
              </w:tc>
              <w:tc>
                <w:tcPr>
                  <w:tcW w:w="511" w:type="pct"/>
                  <w:shd w:val="clear" w:color="auto" w:fill="auto"/>
                  <w:noWrap w:val="0"/>
                  <w:tcMar>
                    <w:top w:w="15" w:type="dxa"/>
                    <w:left w:w="15" w:type="dxa"/>
                    <w:right w:w="15" w:type="dxa"/>
                  </w:tcMar>
                  <w:vAlign w:val="center"/>
                </w:tcPr>
                <w:p w14:paraId="3EFC0DE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900-200-08</w:t>
                  </w:r>
                </w:p>
              </w:tc>
              <w:tc>
                <w:tcPr>
                  <w:tcW w:w="373" w:type="pct"/>
                  <w:shd w:val="clear" w:color="auto" w:fill="auto"/>
                  <w:noWrap w:val="0"/>
                  <w:tcMar>
                    <w:top w:w="15" w:type="dxa"/>
                    <w:left w:w="15" w:type="dxa"/>
                    <w:right w:w="15" w:type="dxa"/>
                  </w:tcMar>
                  <w:vAlign w:val="center"/>
                </w:tcPr>
                <w:p w14:paraId="19ACDDE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460" w:type="pct"/>
                  <w:shd w:val="clear" w:color="auto" w:fill="auto"/>
                  <w:noWrap w:val="0"/>
                  <w:tcMar>
                    <w:top w:w="15" w:type="dxa"/>
                    <w:left w:w="15" w:type="dxa"/>
                    <w:right w:w="15" w:type="dxa"/>
                  </w:tcMar>
                  <w:vAlign w:val="center"/>
                </w:tcPr>
                <w:p w14:paraId="435C533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生产过程</w:t>
                  </w:r>
                </w:p>
              </w:tc>
              <w:tc>
                <w:tcPr>
                  <w:tcW w:w="261" w:type="pct"/>
                  <w:shd w:val="clear" w:color="auto" w:fill="auto"/>
                  <w:noWrap w:val="0"/>
                  <w:tcMar>
                    <w:top w:w="15" w:type="dxa"/>
                    <w:left w:w="15" w:type="dxa"/>
                    <w:right w:w="15" w:type="dxa"/>
                  </w:tcMar>
                  <w:vAlign w:val="center"/>
                </w:tcPr>
                <w:p w14:paraId="56174CD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7E997FE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143B7E9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347" w:type="pct"/>
                  <w:shd w:val="clear" w:color="auto" w:fill="auto"/>
                  <w:noWrap w:val="0"/>
                  <w:tcMar>
                    <w:top w:w="15" w:type="dxa"/>
                    <w:left w:w="15" w:type="dxa"/>
                    <w:right w:w="15" w:type="dxa"/>
                  </w:tcMar>
                  <w:vAlign w:val="center"/>
                </w:tcPr>
                <w:p w14:paraId="702F722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天</w:t>
                  </w:r>
                </w:p>
              </w:tc>
              <w:tc>
                <w:tcPr>
                  <w:tcW w:w="378" w:type="pct"/>
                  <w:shd w:val="clear" w:color="auto" w:fill="auto"/>
                  <w:noWrap w:val="0"/>
                  <w:tcMar>
                    <w:top w:w="15" w:type="dxa"/>
                    <w:left w:w="15" w:type="dxa"/>
                    <w:right w:w="15" w:type="dxa"/>
                  </w:tcMar>
                  <w:vAlign w:val="center"/>
                </w:tcPr>
                <w:p w14:paraId="14EA54D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w:t>
                  </w:r>
                </w:p>
              </w:tc>
              <w:tc>
                <w:tcPr>
                  <w:tcW w:w="317" w:type="pct"/>
                  <w:vMerge w:val="restart"/>
                  <w:noWrap w:val="0"/>
                  <w:tcMar>
                    <w:top w:w="15" w:type="dxa"/>
                    <w:left w:w="15" w:type="dxa"/>
                    <w:right w:w="15" w:type="dxa"/>
                  </w:tcMar>
                  <w:vAlign w:val="center"/>
                </w:tcPr>
                <w:p w14:paraId="7CFE097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lang w:bidi="ar"/>
                      <w14:textFill>
                        <w14:solidFill>
                          <w14:schemeClr w14:val="tx1"/>
                        </w14:solidFill>
                      </w14:textFill>
                    </w:rPr>
                    <w:t>桶装</w:t>
                  </w:r>
                  <w:r>
                    <w:rPr>
                      <w:rFonts w:hint="default" w:ascii="Times New Roman" w:hAnsi="Times New Roman" w:cs="Times New Roman"/>
                      <w:color w:val="000000" w:themeColor="text1"/>
                      <w:kern w:val="0"/>
                      <w:sz w:val="21"/>
                      <w:szCs w:val="21"/>
                      <w:highlight w:val="none"/>
                      <w:lang w:val="en-US" w:eastAsia="zh-CN" w:bidi="ar"/>
                      <w14:textFill>
                        <w14:solidFill>
                          <w14:schemeClr w14:val="tx1"/>
                        </w14:solidFill>
                      </w14:textFill>
                    </w:rPr>
                    <w:t>或</w:t>
                  </w:r>
                  <w:r>
                    <w:rPr>
                      <w:rFonts w:hint="default" w:ascii="Times New Roman" w:hAnsi="Times New Roman" w:cs="Times New Roman"/>
                      <w:color w:val="000000" w:themeColor="text1"/>
                      <w:kern w:val="0"/>
                      <w:sz w:val="21"/>
                      <w:szCs w:val="21"/>
                      <w:highlight w:val="none"/>
                      <w:lang w:bidi="ar"/>
                      <w14:textFill>
                        <w14:solidFill>
                          <w14:schemeClr w14:val="tx1"/>
                        </w14:solidFill>
                      </w14:textFill>
                    </w:rPr>
                    <w:t>袋装暂存于危废暂存间</w:t>
                  </w:r>
                </w:p>
              </w:tc>
            </w:tr>
            <w:tr w14:paraId="06331D6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54ADBD8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w:t>
                  </w:r>
                </w:p>
              </w:tc>
              <w:tc>
                <w:tcPr>
                  <w:tcW w:w="759" w:type="pct"/>
                  <w:shd w:val="clear" w:color="auto" w:fill="auto"/>
                  <w:noWrap w:val="0"/>
                  <w:tcMar>
                    <w:top w:w="15" w:type="dxa"/>
                    <w:left w:w="15" w:type="dxa"/>
                    <w:right w:w="15" w:type="dxa"/>
                  </w:tcMar>
                  <w:vAlign w:val="center"/>
                </w:tcPr>
                <w:p w14:paraId="71757792">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废乳化液</w:t>
                  </w:r>
                </w:p>
              </w:tc>
              <w:tc>
                <w:tcPr>
                  <w:tcW w:w="353" w:type="pct"/>
                  <w:noWrap w:val="0"/>
                  <w:tcMar>
                    <w:top w:w="15" w:type="dxa"/>
                    <w:left w:w="15" w:type="dxa"/>
                    <w:right w:w="15" w:type="dxa"/>
                  </w:tcMar>
                  <w:vAlign w:val="center"/>
                </w:tcPr>
                <w:p w14:paraId="1CCC6A08">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HW09</w:t>
                  </w:r>
                </w:p>
              </w:tc>
              <w:tc>
                <w:tcPr>
                  <w:tcW w:w="511" w:type="pct"/>
                  <w:noWrap w:val="0"/>
                  <w:tcMar>
                    <w:top w:w="15" w:type="dxa"/>
                    <w:left w:w="15" w:type="dxa"/>
                    <w:right w:w="15" w:type="dxa"/>
                  </w:tcMar>
                  <w:vAlign w:val="center"/>
                </w:tcPr>
                <w:p w14:paraId="1AA4C8DE">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900-006-09</w:t>
                  </w:r>
                </w:p>
              </w:tc>
              <w:tc>
                <w:tcPr>
                  <w:tcW w:w="373" w:type="pct"/>
                  <w:shd w:val="clear" w:color="auto" w:fill="auto"/>
                  <w:noWrap w:val="0"/>
                  <w:tcMar>
                    <w:top w:w="15" w:type="dxa"/>
                    <w:left w:w="15" w:type="dxa"/>
                    <w:right w:w="15" w:type="dxa"/>
                  </w:tcMar>
                  <w:vAlign w:val="center"/>
                </w:tcPr>
                <w:p w14:paraId="6A1860A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460" w:type="pct"/>
                  <w:noWrap w:val="0"/>
                  <w:tcMar>
                    <w:top w:w="15" w:type="dxa"/>
                    <w:left w:w="15" w:type="dxa"/>
                    <w:right w:w="15" w:type="dxa"/>
                  </w:tcMar>
                  <w:vAlign w:val="center"/>
                </w:tcPr>
                <w:p w14:paraId="2604E8B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生产过程</w:t>
                  </w:r>
                </w:p>
              </w:tc>
              <w:tc>
                <w:tcPr>
                  <w:tcW w:w="261" w:type="pct"/>
                  <w:noWrap w:val="0"/>
                  <w:tcMar>
                    <w:top w:w="15" w:type="dxa"/>
                    <w:left w:w="15" w:type="dxa"/>
                    <w:right w:w="15" w:type="dxa"/>
                  </w:tcMar>
                  <w:vAlign w:val="center"/>
                </w:tcPr>
                <w:p w14:paraId="70F4384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液态</w:t>
                  </w:r>
                </w:p>
              </w:tc>
              <w:tc>
                <w:tcPr>
                  <w:tcW w:w="577" w:type="pct"/>
                  <w:shd w:val="clear" w:color="auto" w:fill="auto"/>
                  <w:noWrap w:val="0"/>
                  <w:tcMar>
                    <w:top w:w="15" w:type="dxa"/>
                    <w:left w:w="15" w:type="dxa"/>
                    <w:right w:w="15" w:type="dxa"/>
                  </w:tcMar>
                  <w:vAlign w:val="center"/>
                </w:tcPr>
                <w:p w14:paraId="16323A4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427A1DD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347" w:type="pct"/>
                  <w:shd w:val="clear" w:color="auto" w:fill="auto"/>
                  <w:noWrap w:val="0"/>
                  <w:tcMar>
                    <w:top w:w="15" w:type="dxa"/>
                    <w:left w:w="15" w:type="dxa"/>
                    <w:right w:w="15" w:type="dxa"/>
                  </w:tcMar>
                  <w:vAlign w:val="center"/>
                </w:tcPr>
                <w:p w14:paraId="276512B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3D519E2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T</w:t>
                  </w:r>
                </w:p>
              </w:tc>
              <w:tc>
                <w:tcPr>
                  <w:tcW w:w="317" w:type="pct"/>
                  <w:vMerge w:val="continue"/>
                  <w:noWrap w:val="0"/>
                  <w:tcMar>
                    <w:top w:w="15" w:type="dxa"/>
                    <w:left w:w="15" w:type="dxa"/>
                    <w:right w:w="15" w:type="dxa"/>
                  </w:tcMar>
                  <w:vAlign w:val="center"/>
                </w:tcPr>
                <w:p w14:paraId="27C720B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4E74474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4E07865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3</w:t>
                  </w:r>
                </w:p>
              </w:tc>
              <w:tc>
                <w:tcPr>
                  <w:tcW w:w="759" w:type="pct"/>
                  <w:shd w:val="clear" w:color="auto" w:fill="auto"/>
                  <w:noWrap w:val="0"/>
                  <w:tcMar>
                    <w:top w:w="15" w:type="dxa"/>
                    <w:left w:w="15" w:type="dxa"/>
                    <w:right w:w="15" w:type="dxa"/>
                  </w:tcMar>
                  <w:vAlign w:val="center"/>
                </w:tcPr>
                <w:p w14:paraId="53D4E586">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脱模剂空桶</w:t>
                  </w:r>
                </w:p>
              </w:tc>
              <w:tc>
                <w:tcPr>
                  <w:tcW w:w="353" w:type="pct"/>
                  <w:noWrap w:val="0"/>
                  <w:tcMar>
                    <w:top w:w="15" w:type="dxa"/>
                    <w:left w:w="15" w:type="dxa"/>
                    <w:right w:w="15" w:type="dxa"/>
                  </w:tcMar>
                  <w:vAlign w:val="center"/>
                </w:tcPr>
                <w:p w14:paraId="722231C8">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61E75927">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373" w:type="pct"/>
                  <w:shd w:val="clear" w:color="auto" w:fill="auto"/>
                  <w:noWrap w:val="0"/>
                  <w:tcMar>
                    <w:top w:w="15" w:type="dxa"/>
                    <w:left w:w="15" w:type="dxa"/>
                    <w:right w:w="15" w:type="dxa"/>
                  </w:tcMar>
                  <w:vAlign w:val="center"/>
                </w:tcPr>
                <w:p w14:paraId="007522B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0.04</w:t>
                  </w:r>
                </w:p>
              </w:tc>
              <w:tc>
                <w:tcPr>
                  <w:tcW w:w="460" w:type="pct"/>
                  <w:noWrap w:val="0"/>
                  <w:tcMar>
                    <w:top w:w="15" w:type="dxa"/>
                    <w:left w:w="15" w:type="dxa"/>
                    <w:right w:w="15" w:type="dxa"/>
                  </w:tcMar>
                  <w:vAlign w:val="center"/>
                </w:tcPr>
                <w:p w14:paraId="2946971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生产过程</w:t>
                  </w:r>
                </w:p>
              </w:tc>
              <w:tc>
                <w:tcPr>
                  <w:tcW w:w="261" w:type="pct"/>
                  <w:noWrap w:val="0"/>
                  <w:tcMar>
                    <w:top w:w="15" w:type="dxa"/>
                    <w:left w:w="15" w:type="dxa"/>
                    <w:right w:w="15" w:type="dxa"/>
                  </w:tcMar>
                  <w:vAlign w:val="center"/>
                </w:tcPr>
                <w:p w14:paraId="2EDBA5A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7D2417C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73B009F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347" w:type="pct"/>
                  <w:shd w:val="clear" w:color="auto" w:fill="auto"/>
                  <w:noWrap w:val="0"/>
                  <w:tcMar>
                    <w:top w:w="15" w:type="dxa"/>
                    <w:left w:w="15" w:type="dxa"/>
                    <w:right w:w="15" w:type="dxa"/>
                  </w:tcMar>
                  <w:vAlign w:val="center"/>
                </w:tcPr>
                <w:p w14:paraId="06BAD2B1">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月</w:t>
                  </w:r>
                </w:p>
              </w:tc>
              <w:tc>
                <w:tcPr>
                  <w:tcW w:w="378" w:type="pct"/>
                  <w:noWrap w:val="0"/>
                  <w:tcMar>
                    <w:top w:w="15" w:type="dxa"/>
                    <w:left w:w="15" w:type="dxa"/>
                    <w:right w:w="15" w:type="dxa"/>
                  </w:tcMar>
                  <w:vAlign w:val="center"/>
                </w:tcPr>
                <w:p w14:paraId="2687C00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T/In</w:t>
                  </w:r>
                </w:p>
              </w:tc>
              <w:tc>
                <w:tcPr>
                  <w:tcW w:w="317" w:type="pct"/>
                  <w:vMerge w:val="continue"/>
                  <w:noWrap w:val="0"/>
                  <w:tcMar>
                    <w:top w:w="15" w:type="dxa"/>
                    <w:left w:w="15" w:type="dxa"/>
                    <w:right w:w="15" w:type="dxa"/>
                  </w:tcMar>
                  <w:vAlign w:val="center"/>
                </w:tcPr>
                <w:p w14:paraId="142DCFB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58578FE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5FACE6A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4</w:t>
                  </w:r>
                </w:p>
              </w:tc>
              <w:tc>
                <w:tcPr>
                  <w:tcW w:w="759" w:type="pct"/>
                  <w:shd w:val="clear" w:color="auto" w:fill="auto"/>
                  <w:noWrap w:val="0"/>
                  <w:tcMar>
                    <w:top w:w="15" w:type="dxa"/>
                    <w:left w:w="15" w:type="dxa"/>
                    <w:right w:w="15" w:type="dxa"/>
                  </w:tcMar>
                  <w:vAlign w:val="center"/>
                </w:tcPr>
                <w:p w14:paraId="244B1A8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漆料空桶</w:t>
                  </w:r>
                </w:p>
              </w:tc>
              <w:tc>
                <w:tcPr>
                  <w:tcW w:w="353" w:type="pct"/>
                  <w:noWrap w:val="0"/>
                  <w:tcMar>
                    <w:top w:w="15" w:type="dxa"/>
                    <w:left w:w="15" w:type="dxa"/>
                    <w:right w:w="15" w:type="dxa"/>
                  </w:tcMar>
                  <w:vAlign w:val="center"/>
                </w:tcPr>
                <w:p w14:paraId="4DE94E08">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47E29D18">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373" w:type="pct"/>
                  <w:shd w:val="clear" w:color="auto" w:fill="auto"/>
                  <w:noWrap w:val="0"/>
                  <w:tcMar>
                    <w:top w:w="15" w:type="dxa"/>
                    <w:left w:w="15" w:type="dxa"/>
                    <w:right w:w="15" w:type="dxa"/>
                  </w:tcMar>
                  <w:vAlign w:val="center"/>
                </w:tcPr>
                <w:p w14:paraId="7F917B5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c>
                <w:tcPr>
                  <w:tcW w:w="460" w:type="pct"/>
                  <w:noWrap w:val="0"/>
                  <w:tcMar>
                    <w:top w:w="15" w:type="dxa"/>
                    <w:left w:w="15" w:type="dxa"/>
                    <w:right w:w="15" w:type="dxa"/>
                  </w:tcMar>
                  <w:vAlign w:val="center"/>
                </w:tcPr>
                <w:p w14:paraId="77C7EA7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生产过程</w:t>
                  </w:r>
                </w:p>
              </w:tc>
              <w:tc>
                <w:tcPr>
                  <w:tcW w:w="261" w:type="pct"/>
                  <w:noWrap w:val="0"/>
                  <w:tcMar>
                    <w:top w:w="15" w:type="dxa"/>
                    <w:left w:w="15" w:type="dxa"/>
                    <w:right w:w="15" w:type="dxa"/>
                  </w:tcMar>
                  <w:vAlign w:val="center"/>
                </w:tcPr>
                <w:p w14:paraId="27B8E2A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593A267F">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64836530">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苯系物等</w:t>
                  </w:r>
                </w:p>
              </w:tc>
              <w:tc>
                <w:tcPr>
                  <w:tcW w:w="347" w:type="pct"/>
                  <w:shd w:val="clear" w:color="auto" w:fill="auto"/>
                  <w:noWrap w:val="0"/>
                  <w:tcMar>
                    <w:top w:w="15" w:type="dxa"/>
                    <w:left w:w="15" w:type="dxa"/>
                    <w:right w:w="15" w:type="dxa"/>
                  </w:tcMar>
                  <w:vAlign w:val="center"/>
                </w:tcPr>
                <w:p w14:paraId="247D2084">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天</w:t>
                  </w:r>
                </w:p>
              </w:tc>
              <w:tc>
                <w:tcPr>
                  <w:tcW w:w="378" w:type="pct"/>
                  <w:shd w:val="clear" w:color="auto" w:fill="auto"/>
                  <w:noWrap w:val="0"/>
                  <w:tcMar>
                    <w:top w:w="15" w:type="dxa"/>
                    <w:left w:w="15" w:type="dxa"/>
                    <w:right w:w="15" w:type="dxa"/>
                  </w:tcMar>
                  <w:vAlign w:val="center"/>
                </w:tcPr>
                <w:p w14:paraId="65DF1F7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T/In</w:t>
                  </w:r>
                </w:p>
              </w:tc>
              <w:tc>
                <w:tcPr>
                  <w:tcW w:w="317" w:type="pct"/>
                  <w:vMerge w:val="continue"/>
                  <w:noWrap w:val="0"/>
                  <w:tcMar>
                    <w:top w:w="15" w:type="dxa"/>
                    <w:left w:w="15" w:type="dxa"/>
                    <w:right w:w="15" w:type="dxa"/>
                  </w:tcMar>
                  <w:vAlign w:val="center"/>
                </w:tcPr>
                <w:p w14:paraId="17AB9D8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5A7AD1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5BC261E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5</w:t>
                  </w:r>
                </w:p>
              </w:tc>
              <w:tc>
                <w:tcPr>
                  <w:tcW w:w="759" w:type="pct"/>
                  <w:shd w:val="clear" w:color="auto" w:fill="auto"/>
                  <w:noWrap w:val="0"/>
                  <w:tcMar>
                    <w:top w:w="15" w:type="dxa"/>
                    <w:left w:w="15" w:type="dxa"/>
                    <w:right w:w="15" w:type="dxa"/>
                  </w:tcMar>
                  <w:vAlign w:val="center"/>
                </w:tcPr>
                <w:p w14:paraId="04BB3CA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漆渣</w:t>
                  </w:r>
                </w:p>
              </w:tc>
              <w:tc>
                <w:tcPr>
                  <w:tcW w:w="353" w:type="pct"/>
                  <w:noWrap w:val="0"/>
                  <w:tcMar>
                    <w:top w:w="15" w:type="dxa"/>
                    <w:left w:w="15" w:type="dxa"/>
                    <w:right w:w="15" w:type="dxa"/>
                  </w:tcMar>
                  <w:vAlign w:val="center"/>
                </w:tcPr>
                <w:p w14:paraId="2E84A41E">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HW12</w:t>
                  </w:r>
                </w:p>
              </w:tc>
              <w:tc>
                <w:tcPr>
                  <w:tcW w:w="511" w:type="pct"/>
                  <w:noWrap w:val="0"/>
                  <w:tcMar>
                    <w:top w:w="15" w:type="dxa"/>
                    <w:left w:w="15" w:type="dxa"/>
                    <w:right w:w="15" w:type="dxa"/>
                  </w:tcMar>
                  <w:vAlign w:val="center"/>
                </w:tcPr>
                <w:p w14:paraId="20BA3F81">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900-252-12</w:t>
                  </w:r>
                </w:p>
              </w:tc>
              <w:tc>
                <w:tcPr>
                  <w:tcW w:w="373" w:type="pct"/>
                  <w:shd w:val="clear" w:color="auto" w:fill="auto"/>
                  <w:noWrap w:val="0"/>
                  <w:tcMar>
                    <w:top w:w="15" w:type="dxa"/>
                    <w:left w:w="15" w:type="dxa"/>
                    <w:right w:w="15" w:type="dxa"/>
                  </w:tcMar>
                  <w:vAlign w:val="center"/>
                </w:tcPr>
                <w:p w14:paraId="1D85D56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5.78</w:t>
                  </w:r>
                  <w:r>
                    <w:rPr>
                      <w:rFonts w:hint="eastAsia" w:cs="Times New Roman"/>
                      <w:color w:val="000000" w:themeColor="text1"/>
                      <w:sz w:val="21"/>
                      <w:szCs w:val="21"/>
                      <w:highlight w:val="none"/>
                      <w:lang w:val="en-US" w:eastAsia="zh-CN"/>
                      <w14:textFill>
                        <w14:solidFill>
                          <w14:schemeClr w14:val="tx1"/>
                        </w14:solidFill>
                      </w14:textFill>
                    </w:rPr>
                    <w:t>9</w:t>
                  </w:r>
                </w:p>
              </w:tc>
              <w:tc>
                <w:tcPr>
                  <w:tcW w:w="460" w:type="pct"/>
                  <w:noWrap w:val="0"/>
                  <w:tcMar>
                    <w:top w:w="15" w:type="dxa"/>
                    <w:left w:w="15" w:type="dxa"/>
                    <w:right w:w="15" w:type="dxa"/>
                  </w:tcMar>
                  <w:vAlign w:val="center"/>
                </w:tcPr>
                <w:p w14:paraId="27591EB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废气处理</w:t>
                  </w:r>
                </w:p>
              </w:tc>
              <w:tc>
                <w:tcPr>
                  <w:tcW w:w="261" w:type="pct"/>
                  <w:noWrap w:val="0"/>
                  <w:tcMar>
                    <w:top w:w="15" w:type="dxa"/>
                    <w:left w:w="15" w:type="dxa"/>
                    <w:right w:w="15" w:type="dxa"/>
                  </w:tcMar>
                  <w:vAlign w:val="center"/>
                </w:tcPr>
                <w:p w14:paraId="1BA2BB4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7E2A63E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3BB2E2E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苯系物等</w:t>
                  </w:r>
                </w:p>
              </w:tc>
              <w:tc>
                <w:tcPr>
                  <w:tcW w:w="347" w:type="pct"/>
                  <w:shd w:val="clear" w:color="auto" w:fill="auto"/>
                  <w:noWrap w:val="0"/>
                  <w:tcMar>
                    <w:top w:w="15" w:type="dxa"/>
                    <w:left w:w="15" w:type="dxa"/>
                    <w:right w:w="15" w:type="dxa"/>
                  </w:tcMar>
                  <w:vAlign w:val="center"/>
                </w:tcPr>
                <w:p w14:paraId="1E3B6F6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天</w:t>
                  </w:r>
                </w:p>
              </w:tc>
              <w:tc>
                <w:tcPr>
                  <w:tcW w:w="378" w:type="pct"/>
                  <w:shd w:val="clear" w:color="auto" w:fill="auto"/>
                  <w:noWrap w:val="0"/>
                  <w:tcMar>
                    <w:top w:w="15" w:type="dxa"/>
                    <w:left w:w="15" w:type="dxa"/>
                    <w:right w:w="15" w:type="dxa"/>
                  </w:tcMar>
                  <w:vAlign w:val="center"/>
                </w:tcPr>
                <w:p w14:paraId="15FBC81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,I</w:t>
                  </w:r>
                </w:p>
              </w:tc>
              <w:tc>
                <w:tcPr>
                  <w:tcW w:w="317" w:type="pct"/>
                  <w:vMerge w:val="continue"/>
                  <w:noWrap w:val="0"/>
                  <w:tcMar>
                    <w:top w:w="15" w:type="dxa"/>
                    <w:left w:w="15" w:type="dxa"/>
                    <w:right w:w="15" w:type="dxa"/>
                  </w:tcMar>
                  <w:vAlign w:val="center"/>
                </w:tcPr>
                <w:p w14:paraId="29B7397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26F89E9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233F4D2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6</w:t>
                  </w:r>
                </w:p>
              </w:tc>
              <w:tc>
                <w:tcPr>
                  <w:tcW w:w="759" w:type="pct"/>
                  <w:shd w:val="clear" w:color="auto" w:fill="auto"/>
                  <w:noWrap w:val="0"/>
                  <w:tcMar>
                    <w:top w:w="15" w:type="dxa"/>
                    <w:left w:w="15" w:type="dxa"/>
                    <w:right w:w="15" w:type="dxa"/>
                  </w:tcMar>
                  <w:vAlign w:val="center"/>
                </w:tcPr>
                <w:p w14:paraId="5A46C6B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水帘柜废水</w:t>
                  </w:r>
                </w:p>
              </w:tc>
              <w:tc>
                <w:tcPr>
                  <w:tcW w:w="353" w:type="pct"/>
                  <w:noWrap w:val="0"/>
                  <w:tcMar>
                    <w:top w:w="15" w:type="dxa"/>
                    <w:left w:w="15" w:type="dxa"/>
                    <w:right w:w="15" w:type="dxa"/>
                  </w:tcMar>
                  <w:vAlign w:val="center"/>
                </w:tcPr>
                <w:p w14:paraId="65ACAF2D">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HW12</w:t>
                  </w:r>
                </w:p>
              </w:tc>
              <w:tc>
                <w:tcPr>
                  <w:tcW w:w="511" w:type="pct"/>
                  <w:noWrap w:val="0"/>
                  <w:tcMar>
                    <w:top w:w="15" w:type="dxa"/>
                    <w:left w:w="15" w:type="dxa"/>
                    <w:right w:w="15" w:type="dxa"/>
                  </w:tcMar>
                  <w:vAlign w:val="center"/>
                </w:tcPr>
                <w:p w14:paraId="2B4D5FA1">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900-252-12</w:t>
                  </w:r>
                </w:p>
              </w:tc>
              <w:tc>
                <w:tcPr>
                  <w:tcW w:w="373" w:type="pct"/>
                  <w:shd w:val="clear" w:color="auto" w:fill="auto"/>
                  <w:noWrap w:val="0"/>
                  <w:tcMar>
                    <w:top w:w="15" w:type="dxa"/>
                    <w:left w:w="15" w:type="dxa"/>
                    <w:right w:w="15" w:type="dxa"/>
                  </w:tcMar>
                  <w:vAlign w:val="center"/>
                </w:tcPr>
                <w:p w14:paraId="615A415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2.96</w:t>
                  </w:r>
                </w:p>
              </w:tc>
              <w:tc>
                <w:tcPr>
                  <w:tcW w:w="460" w:type="pct"/>
                  <w:noWrap w:val="0"/>
                  <w:tcMar>
                    <w:top w:w="15" w:type="dxa"/>
                    <w:left w:w="15" w:type="dxa"/>
                    <w:right w:w="15" w:type="dxa"/>
                  </w:tcMar>
                  <w:vAlign w:val="center"/>
                </w:tcPr>
                <w:p w14:paraId="473BEB3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废气处理</w:t>
                  </w:r>
                </w:p>
              </w:tc>
              <w:tc>
                <w:tcPr>
                  <w:tcW w:w="261" w:type="pct"/>
                  <w:noWrap w:val="0"/>
                  <w:tcMar>
                    <w:top w:w="15" w:type="dxa"/>
                    <w:left w:w="15" w:type="dxa"/>
                    <w:right w:w="15" w:type="dxa"/>
                  </w:tcMar>
                  <w:vAlign w:val="center"/>
                </w:tcPr>
                <w:p w14:paraId="1EDD1FBE">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液态</w:t>
                  </w:r>
                </w:p>
              </w:tc>
              <w:tc>
                <w:tcPr>
                  <w:tcW w:w="577" w:type="pct"/>
                  <w:shd w:val="clear" w:color="auto" w:fill="auto"/>
                  <w:noWrap w:val="0"/>
                  <w:tcMar>
                    <w:top w:w="15" w:type="dxa"/>
                    <w:left w:w="15" w:type="dxa"/>
                    <w:right w:w="15" w:type="dxa"/>
                  </w:tcMar>
                  <w:vAlign w:val="center"/>
                </w:tcPr>
                <w:p w14:paraId="11C0E20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42849EC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苯系物等</w:t>
                  </w:r>
                </w:p>
              </w:tc>
              <w:tc>
                <w:tcPr>
                  <w:tcW w:w="347" w:type="pct"/>
                  <w:shd w:val="clear" w:color="auto" w:fill="auto"/>
                  <w:noWrap w:val="0"/>
                  <w:tcMar>
                    <w:top w:w="15" w:type="dxa"/>
                    <w:left w:w="15" w:type="dxa"/>
                    <w:right w:w="15" w:type="dxa"/>
                  </w:tcMar>
                  <w:vAlign w:val="center"/>
                </w:tcPr>
                <w:p w14:paraId="232D206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半</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年</w:t>
                  </w:r>
                </w:p>
              </w:tc>
              <w:tc>
                <w:tcPr>
                  <w:tcW w:w="378" w:type="pct"/>
                  <w:shd w:val="clear" w:color="auto" w:fill="auto"/>
                  <w:noWrap w:val="0"/>
                  <w:tcMar>
                    <w:top w:w="15" w:type="dxa"/>
                    <w:left w:w="15" w:type="dxa"/>
                    <w:right w:w="15" w:type="dxa"/>
                  </w:tcMar>
                  <w:vAlign w:val="center"/>
                </w:tcPr>
                <w:p w14:paraId="2246A49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,I</w:t>
                  </w:r>
                </w:p>
              </w:tc>
              <w:tc>
                <w:tcPr>
                  <w:tcW w:w="317" w:type="pct"/>
                  <w:vMerge w:val="continue"/>
                  <w:noWrap w:val="0"/>
                  <w:tcMar>
                    <w:top w:w="15" w:type="dxa"/>
                    <w:left w:w="15" w:type="dxa"/>
                    <w:right w:w="15" w:type="dxa"/>
                  </w:tcMar>
                  <w:vAlign w:val="center"/>
                </w:tcPr>
                <w:p w14:paraId="75CFDBB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611745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3217AB77">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7</w:t>
                  </w:r>
                </w:p>
              </w:tc>
              <w:tc>
                <w:tcPr>
                  <w:tcW w:w="759" w:type="pct"/>
                  <w:shd w:val="clear" w:color="auto" w:fill="auto"/>
                  <w:noWrap w:val="0"/>
                  <w:tcMar>
                    <w:top w:w="15" w:type="dxa"/>
                    <w:left w:w="15" w:type="dxa"/>
                    <w:right w:w="15" w:type="dxa"/>
                  </w:tcMar>
                  <w:vAlign w:val="center"/>
                </w:tcPr>
                <w:p w14:paraId="2225910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废活性炭</w:t>
                  </w:r>
                </w:p>
              </w:tc>
              <w:tc>
                <w:tcPr>
                  <w:tcW w:w="353" w:type="pct"/>
                  <w:noWrap w:val="0"/>
                  <w:tcMar>
                    <w:top w:w="15" w:type="dxa"/>
                    <w:left w:w="15" w:type="dxa"/>
                    <w:right w:w="15" w:type="dxa"/>
                  </w:tcMar>
                  <w:vAlign w:val="center"/>
                </w:tcPr>
                <w:p w14:paraId="03C545F7">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35A820DD">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900-039-49</w:t>
                  </w:r>
                </w:p>
              </w:tc>
              <w:tc>
                <w:tcPr>
                  <w:tcW w:w="373" w:type="pct"/>
                  <w:shd w:val="clear" w:color="auto" w:fill="auto"/>
                  <w:noWrap w:val="0"/>
                  <w:tcMar>
                    <w:top w:w="15" w:type="dxa"/>
                    <w:left w:w="15" w:type="dxa"/>
                    <w:right w:w="15" w:type="dxa"/>
                  </w:tcMar>
                  <w:vAlign w:val="center"/>
                </w:tcPr>
                <w:p w14:paraId="2BBDFEC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highlight w:val="none"/>
                      <w:lang w:val="en-US" w:eastAsia="zh-CN"/>
                      <w14:textFill>
                        <w14:solidFill>
                          <w14:schemeClr w14:val="tx1"/>
                        </w14:solidFill>
                      </w14:textFill>
                    </w:rPr>
                    <w:t>15.</w:t>
                  </w:r>
                  <w:r>
                    <w:rPr>
                      <w:rFonts w:hint="eastAsia" w:cs="Times New Roman"/>
                      <w:color w:val="000000" w:themeColor="text1"/>
                      <w:highlight w:val="none"/>
                      <w:lang w:val="en-US" w:eastAsia="zh-CN"/>
                      <w14:textFill>
                        <w14:solidFill>
                          <w14:schemeClr w14:val="tx1"/>
                        </w14:solidFill>
                      </w14:textFill>
                    </w:rPr>
                    <w:t>418</w:t>
                  </w:r>
                </w:p>
              </w:tc>
              <w:tc>
                <w:tcPr>
                  <w:tcW w:w="460" w:type="pct"/>
                  <w:noWrap w:val="0"/>
                  <w:tcMar>
                    <w:top w:w="15" w:type="dxa"/>
                    <w:left w:w="15" w:type="dxa"/>
                    <w:right w:w="15" w:type="dxa"/>
                  </w:tcMar>
                  <w:vAlign w:val="center"/>
                </w:tcPr>
                <w:p w14:paraId="23B2A40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废气处理</w:t>
                  </w:r>
                </w:p>
              </w:tc>
              <w:tc>
                <w:tcPr>
                  <w:tcW w:w="261" w:type="pct"/>
                  <w:noWrap w:val="0"/>
                  <w:tcMar>
                    <w:top w:w="15" w:type="dxa"/>
                    <w:left w:w="15" w:type="dxa"/>
                    <w:right w:w="15" w:type="dxa"/>
                  </w:tcMar>
                  <w:vAlign w:val="center"/>
                </w:tcPr>
                <w:p w14:paraId="5F91B896">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4E5406A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23F2C09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苯系物等</w:t>
                  </w:r>
                </w:p>
              </w:tc>
              <w:tc>
                <w:tcPr>
                  <w:tcW w:w="347" w:type="pct"/>
                  <w:shd w:val="clear" w:color="auto" w:fill="auto"/>
                  <w:noWrap w:val="0"/>
                  <w:tcMar>
                    <w:top w:w="15" w:type="dxa"/>
                    <w:left w:w="15" w:type="dxa"/>
                    <w:right w:w="15" w:type="dxa"/>
                  </w:tcMar>
                  <w:vAlign w:val="center"/>
                </w:tcPr>
                <w:p w14:paraId="215A3AA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4ECBC38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T/In</w:t>
                  </w:r>
                </w:p>
              </w:tc>
              <w:tc>
                <w:tcPr>
                  <w:tcW w:w="317" w:type="pct"/>
                  <w:vMerge w:val="continue"/>
                  <w:noWrap w:val="0"/>
                  <w:tcMar>
                    <w:top w:w="15" w:type="dxa"/>
                    <w:left w:w="15" w:type="dxa"/>
                    <w:right w:w="15" w:type="dxa"/>
                  </w:tcMar>
                  <w:vAlign w:val="center"/>
                </w:tcPr>
                <w:p w14:paraId="094A48B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53BD26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4C5A5DC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8</w:t>
                  </w:r>
                </w:p>
              </w:tc>
              <w:tc>
                <w:tcPr>
                  <w:tcW w:w="759" w:type="pct"/>
                  <w:shd w:val="clear" w:color="auto" w:fill="auto"/>
                  <w:noWrap w:val="0"/>
                  <w:tcMar>
                    <w:top w:w="15" w:type="dxa"/>
                    <w:left w:w="15" w:type="dxa"/>
                    <w:right w:w="15" w:type="dxa"/>
                  </w:tcMar>
                  <w:vAlign w:val="center"/>
                </w:tcPr>
                <w:p w14:paraId="73C9111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废过滤棉</w:t>
                  </w:r>
                </w:p>
              </w:tc>
              <w:tc>
                <w:tcPr>
                  <w:tcW w:w="353" w:type="pct"/>
                  <w:noWrap w:val="0"/>
                  <w:tcMar>
                    <w:top w:w="15" w:type="dxa"/>
                    <w:left w:w="15" w:type="dxa"/>
                    <w:right w:w="15" w:type="dxa"/>
                  </w:tcMar>
                  <w:vAlign w:val="center"/>
                </w:tcPr>
                <w:p w14:paraId="17E78716">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31DB2927">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900-039-49</w:t>
                  </w:r>
                </w:p>
              </w:tc>
              <w:tc>
                <w:tcPr>
                  <w:tcW w:w="373" w:type="pct"/>
                  <w:shd w:val="clear" w:color="auto" w:fill="auto"/>
                  <w:noWrap w:val="0"/>
                  <w:tcMar>
                    <w:top w:w="15" w:type="dxa"/>
                    <w:left w:w="15" w:type="dxa"/>
                    <w:right w:w="15" w:type="dxa"/>
                  </w:tcMar>
                  <w:vAlign w:val="center"/>
                </w:tcPr>
                <w:p w14:paraId="2091137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0.0</w:t>
                  </w:r>
                  <w:r>
                    <w:rPr>
                      <w:rFonts w:hint="eastAsia" w:cs="Times New Roman"/>
                      <w:color w:val="000000" w:themeColor="text1"/>
                      <w:sz w:val="21"/>
                      <w:szCs w:val="21"/>
                      <w:highlight w:val="none"/>
                      <w:lang w:val="en-US" w:eastAsia="zh-CN"/>
                      <w14:textFill>
                        <w14:solidFill>
                          <w14:schemeClr w14:val="tx1"/>
                        </w14:solidFill>
                      </w14:textFill>
                    </w:rPr>
                    <w:t>5</w:t>
                  </w:r>
                </w:p>
              </w:tc>
              <w:tc>
                <w:tcPr>
                  <w:tcW w:w="460" w:type="pct"/>
                  <w:noWrap w:val="0"/>
                  <w:tcMar>
                    <w:top w:w="15" w:type="dxa"/>
                    <w:left w:w="15" w:type="dxa"/>
                    <w:right w:w="15" w:type="dxa"/>
                  </w:tcMar>
                  <w:vAlign w:val="center"/>
                </w:tcPr>
                <w:p w14:paraId="0262220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废气处理</w:t>
                  </w:r>
                </w:p>
              </w:tc>
              <w:tc>
                <w:tcPr>
                  <w:tcW w:w="261" w:type="pct"/>
                  <w:noWrap w:val="0"/>
                  <w:tcMar>
                    <w:top w:w="15" w:type="dxa"/>
                    <w:left w:w="15" w:type="dxa"/>
                    <w:right w:w="15" w:type="dxa"/>
                  </w:tcMar>
                  <w:vAlign w:val="center"/>
                </w:tcPr>
                <w:p w14:paraId="3FBA9DEE">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63FEB82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有机物</w:t>
                  </w:r>
                </w:p>
              </w:tc>
              <w:tc>
                <w:tcPr>
                  <w:tcW w:w="486" w:type="pct"/>
                  <w:shd w:val="clear" w:color="auto" w:fill="auto"/>
                  <w:noWrap w:val="0"/>
                  <w:tcMar>
                    <w:top w:w="15" w:type="dxa"/>
                    <w:left w:w="15" w:type="dxa"/>
                    <w:right w:w="15" w:type="dxa"/>
                  </w:tcMar>
                  <w:vAlign w:val="center"/>
                </w:tcPr>
                <w:p w14:paraId="695D17A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苯系物等</w:t>
                  </w:r>
                </w:p>
              </w:tc>
              <w:tc>
                <w:tcPr>
                  <w:tcW w:w="347" w:type="pct"/>
                  <w:shd w:val="clear" w:color="auto" w:fill="auto"/>
                  <w:noWrap w:val="0"/>
                  <w:tcMar>
                    <w:top w:w="15" w:type="dxa"/>
                    <w:left w:w="15" w:type="dxa"/>
                    <w:right w:w="15" w:type="dxa"/>
                  </w:tcMar>
                  <w:vAlign w:val="center"/>
                </w:tcPr>
                <w:p w14:paraId="2FB44A26">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71C6D80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T/In</w:t>
                  </w:r>
                </w:p>
              </w:tc>
              <w:tc>
                <w:tcPr>
                  <w:tcW w:w="317" w:type="pct"/>
                  <w:vMerge w:val="continue"/>
                  <w:noWrap w:val="0"/>
                  <w:tcMar>
                    <w:top w:w="15" w:type="dxa"/>
                    <w:left w:w="15" w:type="dxa"/>
                    <w:right w:w="15" w:type="dxa"/>
                  </w:tcMar>
                  <w:vAlign w:val="center"/>
                </w:tcPr>
                <w:p w14:paraId="1B381AB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146210F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7192122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w:t>
                  </w:r>
                </w:p>
              </w:tc>
              <w:tc>
                <w:tcPr>
                  <w:tcW w:w="759" w:type="pct"/>
                  <w:shd w:val="clear" w:color="auto" w:fill="auto"/>
                  <w:noWrap w:val="0"/>
                  <w:tcMar>
                    <w:top w:w="15" w:type="dxa"/>
                    <w:left w:w="15" w:type="dxa"/>
                    <w:right w:w="15" w:type="dxa"/>
                  </w:tcMar>
                  <w:vAlign w:val="center"/>
                </w:tcPr>
                <w:p w14:paraId="5184C4C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w:t>
                  </w:r>
                </w:p>
              </w:tc>
              <w:tc>
                <w:tcPr>
                  <w:tcW w:w="353" w:type="pct"/>
                  <w:noWrap w:val="0"/>
                  <w:tcMar>
                    <w:top w:w="15" w:type="dxa"/>
                    <w:left w:w="15" w:type="dxa"/>
                    <w:right w:w="15" w:type="dxa"/>
                  </w:tcMar>
                  <w:vAlign w:val="center"/>
                </w:tcPr>
                <w:p w14:paraId="4E1471CE">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HW08</w:t>
                  </w:r>
                </w:p>
              </w:tc>
              <w:tc>
                <w:tcPr>
                  <w:tcW w:w="511" w:type="pct"/>
                  <w:noWrap w:val="0"/>
                  <w:tcMar>
                    <w:top w:w="15" w:type="dxa"/>
                    <w:left w:w="15" w:type="dxa"/>
                    <w:right w:w="15" w:type="dxa"/>
                  </w:tcMar>
                  <w:vAlign w:val="center"/>
                </w:tcPr>
                <w:p w14:paraId="2E2A49BF">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900-214-08</w:t>
                  </w:r>
                </w:p>
              </w:tc>
              <w:tc>
                <w:tcPr>
                  <w:tcW w:w="373" w:type="pct"/>
                  <w:shd w:val="clear" w:color="auto" w:fill="auto"/>
                  <w:noWrap w:val="0"/>
                  <w:tcMar>
                    <w:top w:w="15" w:type="dxa"/>
                    <w:left w:w="15" w:type="dxa"/>
                    <w:right w:w="15" w:type="dxa"/>
                  </w:tcMar>
                  <w:vAlign w:val="center"/>
                </w:tcPr>
                <w:p w14:paraId="1267831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460" w:type="pct"/>
                  <w:shd w:val="clear" w:color="auto" w:fill="auto"/>
                  <w:noWrap w:val="0"/>
                  <w:tcMar>
                    <w:top w:w="15" w:type="dxa"/>
                    <w:left w:w="15" w:type="dxa"/>
                    <w:right w:w="15" w:type="dxa"/>
                  </w:tcMar>
                  <w:vAlign w:val="center"/>
                </w:tcPr>
                <w:p w14:paraId="51565CE1">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机修</w:t>
                  </w:r>
                </w:p>
              </w:tc>
              <w:tc>
                <w:tcPr>
                  <w:tcW w:w="261" w:type="pct"/>
                  <w:shd w:val="clear" w:color="auto" w:fill="auto"/>
                  <w:noWrap w:val="0"/>
                  <w:tcMar>
                    <w:top w:w="15" w:type="dxa"/>
                    <w:left w:w="15" w:type="dxa"/>
                    <w:right w:w="15" w:type="dxa"/>
                  </w:tcMar>
                  <w:vAlign w:val="center"/>
                </w:tcPr>
                <w:p w14:paraId="2823D63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液态</w:t>
                  </w:r>
                </w:p>
              </w:tc>
              <w:tc>
                <w:tcPr>
                  <w:tcW w:w="577" w:type="pct"/>
                  <w:shd w:val="clear" w:color="auto" w:fill="auto"/>
                  <w:noWrap w:val="0"/>
                  <w:tcMar>
                    <w:top w:w="15" w:type="dxa"/>
                    <w:left w:w="15" w:type="dxa"/>
                    <w:right w:w="15" w:type="dxa"/>
                  </w:tcMar>
                  <w:vAlign w:val="center"/>
                </w:tcPr>
                <w:p w14:paraId="386986DD">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486" w:type="pct"/>
                  <w:shd w:val="clear" w:color="auto" w:fill="auto"/>
                  <w:noWrap w:val="0"/>
                  <w:tcMar>
                    <w:top w:w="15" w:type="dxa"/>
                    <w:left w:w="15" w:type="dxa"/>
                    <w:right w:w="15" w:type="dxa"/>
                  </w:tcMar>
                  <w:vAlign w:val="center"/>
                </w:tcPr>
                <w:p w14:paraId="4EADFBC7">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347" w:type="pct"/>
                  <w:shd w:val="clear" w:color="auto" w:fill="auto"/>
                  <w:noWrap w:val="0"/>
                  <w:tcMar>
                    <w:top w:w="15" w:type="dxa"/>
                    <w:left w:w="15" w:type="dxa"/>
                    <w:right w:w="15" w:type="dxa"/>
                  </w:tcMar>
                  <w:vAlign w:val="center"/>
                </w:tcPr>
                <w:p w14:paraId="5672D0F2">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60B5CDA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w:t>
                  </w:r>
                  <w:r>
                    <w:rPr>
                      <w:rFonts w:hint="eastAsia" w:cs="Times New Roman"/>
                      <w:color w:val="000000" w:themeColor="text1"/>
                      <w:sz w:val="21"/>
                      <w:szCs w:val="21"/>
                      <w:highlight w:val="none"/>
                      <w:lang w:val="en-US" w:eastAsia="zh-CN"/>
                      <w14:textFill>
                        <w14:solidFill>
                          <w14:schemeClr w14:val="tx1"/>
                        </w14:solidFill>
                      </w14:textFill>
                    </w:rPr>
                    <w:t>,I</w:t>
                  </w:r>
                </w:p>
              </w:tc>
              <w:tc>
                <w:tcPr>
                  <w:tcW w:w="317" w:type="pct"/>
                  <w:vMerge w:val="continue"/>
                  <w:noWrap w:val="0"/>
                  <w:tcMar>
                    <w:top w:w="15" w:type="dxa"/>
                    <w:left w:w="15" w:type="dxa"/>
                    <w:right w:w="15" w:type="dxa"/>
                  </w:tcMar>
                  <w:vAlign w:val="center"/>
                </w:tcPr>
                <w:p w14:paraId="64D0B06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76B8073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6ED7382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w:t>
                  </w:r>
                </w:p>
              </w:tc>
              <w:tc>
                <w:tcPr>
                  <w:tcW w:w="759" w:type="pct"/>
                  <w:shd w:val="clear" w:color="auto" w:fill="auto"/>
                  <w:noWrap w:val="0"/>
                  <w:tcMar>
                    <w:top w:w="15" w:type="dxa"/>
                    <w:left w:w="15" w:type="dxa"/>
                    <w:right w:w="15" w:type="dxa"/>
                  </w:tcMar>
                  <w:vAlign w:val="center"/>
                </w:tcPr>
                <w:p w14:paraId="3BFCFDB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废机油桶</w:t>
                  </w:r>
                </w:p>
              </w:tc>
              <w:tc>
                <w:tcPr>
                  <w:tcW w:w="353" w:type="pct"/>
                  <w:noWrap w:val="0"/>
                  <w:tcMar>
                    <w:top w:w="15" w:type="dxa"/>
                    <w:left w:w="15" w:type="dxa"/>
                    <w:right w:w="15" w:type="dxa"/>
                  </w:tcMar>
                  <w:vAlign w:val="center"/>
                </w:tcPr>
                <w:p w14:paraId="6ED20B6C">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45050A5B">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373" w:type="pct"/>
                  <w:shd w:val="clear" w:color="auto" w:fill="auto"/>
                  <w:noWrap w:val="0"/>
                  <w:tcMar>
                    <w:top w:w="15" w:type="dxa"/>
                    <w:left w:w="15" w:type="dxa"/>
                    <w:right w:w="15" w:type="dxa"/>
                  </w:tcMar>
                  <w:vAlign w:val="center"/>
                </w:tcPr>
                <w:p w14:paraId="55299D1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460" w:type="pct"/>
                  <w:shd w:val="clear" w:color="auto" w:fill="auto"/>
                  <w:noWrap w:val="0"/>
                  <w:tcMar>
                    <w:top w:w="15" w:type="dxa"/>
                    <w:left w:w="15" w:type="dxa"/>
                    <w:right w:w="15" w:type="dxa"/>
                  </w:tcMar>
                  <w:vAlign w:val="center"/>
                </w:tcPr>
                <w:p w14:paraId="40205E99">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机修</w:t>
                  </w:r>
                </w:p>
              </w:tc>
              <w:tc>
                <w:tcPr>
                  <w:tcW w:w="261" w:type="pct"/>
                  <w:shd w:val="clear" w:color="auto" w:fill="auto"/>
                  <w:noWrap w:val="0"/>
                  <w:tcMar>
                    <w:top w:w="15" w:type="dxa"/>
                    <w:left w:w="15" w:type="dxa"/>
                    <w:right w:w="15" w:type="dxa"/>
                  </w:tcMar>
                  <w:vAlign w:val="center"/>
                </w:tcPr>
                <w:p w14:paraId="1C199B19">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22055917">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486" w:type="pct"/>
                  <w:shd w:val="clear" w:color="auto" w:fill="auto"/>
                  <w:noWrap w:val="0"/>
                  <w:tcMar>
                    <w:top w:w="15" w:type="dxa"/>
                    <w:left w:w="15" w:type="dxa"/>
                    <w:right w:w="15" w:type="dxa"/>
                  </w:tcMar>
                  <w:vAlign w:val="center"/>
                </w:tcPr>
                <w:p w14:paraId="14D86A00">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347" w:type="pct"/>
                  <w:shd w:val="clear" w:color="auto" w:fill="auto"/>
                  <w:noWrap w:val="0"/>
                  <w:tcMar>
                    <w:top w:w="15" w:type="dxa"/>
                    <w:left w:w="15" w:type="dxa"/>
                    <w:right w:w="15" w:type="dxa"/>
                  </w:tcMar>
                  <w:vAlign w:val="center"/>
                </w:tcPr>
                <w:p w14:paraId="47AB724A">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424EEF7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T/In</w:t>
                  </w:r>
                </w:p>
              </w:tc>
              <w:tc>
                <w:tcPr>
                  <w:tcW w:w="317" w:type="pct"/>
                  <w:vMerge w:val="continue"/>
                  <w:noWrap w:val="0"/>
                  <w:tcMar>
                    <w:top w:w="15" w:type="dxa"/>
                    <w:left w:w="15" w:type="dxa"/>
                    <w:right w:w="15" w:type="dxa"/>
                  </w:tcMar>
                  <w:vAlign w:val="center"/>
                </w:tcPr>
                <w:p w14:paraId="522C27C3">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3FFA82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3" w:type="pct"/>
                  <w:shd w:val="clear" w:color="auto" w:fill="auto"/>
                  <w:noWrap w:val="0"/>
                  <w:tcMar>
                    <w:top w:w="15" w:type="dxa"/>
                    <w:left w:w="15" w:type="dxa"/>
                    <w:right w:w="15" w:type="dxa"/>
                  </w:tcMar>
                  <w:vAlign w:val="center"/>
                </w:tcPr>
                <w:p w14:paraId="188AEA0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11</w:t>
                  </w:r>
                </w:p>
              </w:tc>
              <w:tc>
                <w:tcPr>
                  <w:tcW w:w="759" w:type="pct"/>
                  <w:shd w:val="clear" w:color="auto" w:fill="auto"/>
                  <w:noWrap w:val="0"/>
                  <w:tcMar>
                    <w:top w:w="15" w:type="dxa"/>
                    <w:left w:w="15" w:type="dxa"/>
                    <w:right w:w="15" w:type="dxa"/>
                  </w:tcMar>
                  <w:vAlign w:val="center"/>
                </w:tcPr>
                <w:p w14:paraId="6A0613E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废劳保用品</w:t>
                  </w:r>
                </w:p>
              </w:tc>
              <w:tc>
                <w:tcPr>
                  <w:tcW w:w="353" w:type="pct"/>
                  <w:noWrap w:val="0"/>
                  <w:tcMar>
                    <w:top w:w="15" w:type="dxa"/>
                    <w:left w:w="15" w:type="dxa"/>
                    <w:right w:w="15" w:type="dxa"/>
                  </w:tcMar>
                  <w:vAlign w:val="center"/>
                </w:tcPr>
                <w:p w14:paraId="424657C9">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511" w:type="pct"/>
                  <w:noWrap w:val="0"/>
                  <w:tcMar>
                    <w:top w:w="15" w:type="dxa"/>
                    <w:left w:w="15" w:type="dxa"/>
                    <w:right w:w="15" w:type="dxa"/>
                  </w:tcMar>
                  <w:vAlign w:val="center"/>
                </w:tcPr>
                <w:p w14:paraId="6F6B3756">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373" w:type="pct"/>
                  <w:shd w:val="clear" w:color="auto" w:fill="auto"/>
                  <w:noWrap w:val="0"/>
                  <w:tcMar>
                    <w:top w:w="15" w:type="dxa"/>
                    <w:left w:w="15" w:type="dxa"/>
                    <w:right w:w="15" w:type="dxa"/>
                  </w:tcMar>
                  <w:vAlign w:val="center"/>
                </w:tcPr>
                <w:p w14:paraId="46694E1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0.01</w:t>
                  </w:r>
                </w:p>
              </w:tc>
              <w:tc>
                <w:tcPr>
                  <w:tcW w:w="460" w:type="pct"/>
                  <w:shd w:val="clear" w:color="auto" w:fill="auto"/>
                  <w:noWrap w:val="0"/>
                  <w:tcMar>
                    <w:top w:w="15" w:type="dxa"/>
                    <w:left w:w="15" w:type="dxa"/>
                    <w:right w:w="15" w:type="dxa"/>
                  </w:tcMar>
                  <w:vAlign w:val="center"/>
                </w:tcPr>
                <w:p w14:paraId="36E8C658">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机修</w:t>
                  </w:r>
                </w:p>
              </w:tc>
              <w:tc>
                <w:tcPr>
                  <w:tcW w:w="261" w:type="pct"/>
                  <w:shd w:val="clear" w:color="auto" w:fill="auto"/>
                  <w:noWrap w:val="0"/>
                  <w:tcMar>
                    <w:top w:w="15" w:type="dxa"/>
                    <w:left w:w="15" w:type="dxa"/>
                    <w:right w:w="15" w:type="dxa"/>
                  </w:tcMar>
                  <w:vAlign w:val="center"/>
                </w:tcPr>
                <w:p w14:paraId="234249E1">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固体</w:t>
                  </w:r>
                </w:p>
              </w:tc>
              <w:tc>
                <w:tcPr>
                  <w:tcW w:w="577" w:type="pct"/>
                  <w:shd w:val="clear" w:color="auto" w:fill="auto"/>
                  <w:noWrap w:val="0"/>
                  <w:tcMar>
                    <w:top w:w="15" w:type="dxa"/>
                    <w:left w:w="15" w:type="dxa"/>
                    <w:right w:w="15" w:type="dxa"/>
                  </w:tcMar>
                  <w:vAlign w:val="center"/>
                </w:tcPr>
                <w:p w14:paraId="1B264EA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486" w:type="pct"/>
                  <w:shd w:val="clear" w:color="auto" w:fill="auto"/>
                  <w:noWrap w:val="0"/>
                  <w:tcMar>
                    <w:top w:w="15" w:type="dxa"/>
                    <w:left w:w="15" w:type="dxa"/>
                    <w:right w:w="15" w:type="dxa"/>
                  </w:tcMar>
                  <w:vAlign w:val="center"/>
                </w:tcPr>
                <w:p w14:paraId="13508E8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矿物油</w:t>
                  </w:r>
                </w:p>
              </w:tc>
              <w:tc>
                <w:tcPr>
                  <w:tcW w:w="347" w:type="pct"/>
                  <w:shd w:val="clear" w:color="auto" w:fill="auto"/>
                  <w:noWrap w:val="0"/>
                  <w:tcMar>
                    <w:top w:w="15" w:type="dxa"/>
                    <w:left w:w="15" w:type="dxa"/>
                    <w:right w:w="15" w:type="dxa"/>
                  </w:tcMar>
                  <w:vAlign w:val="center"/>
                </w:tcPr>
                <w:p w14:paraId="468DD94D">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月</w:t>
                  </w:r>
                </w:p>
              </w:tc>
              <w:tc>
                <w:tcPr>
                  <w:tcW w:w="378" w:type="pct"/>
                  <w:shd w:val="clear" w:color="auto" w:fill="auto"/>
                  <w:noWrap w:val="0"/>
                  <w:tcMar>
                    <w:top w:w="15" w:type="dxa"/>
                    <w:left w:w="15" w:type="dxa"/>
                    <w:right w:w="15" w:type="dxa"/>
                  </w:tcMar>
                  <w:vAlign w:val="center"/>
                </w:tcPr>
                <w:p w14:paraId="415F45E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T/In</w:t>
                  </w:r>
                </w:p>
              </w:tc>
              <w:tc>
                <w:tcPr>
                  <w:tcW w:w="317" w:type="pct"/>
                  <w:vMerge w:val="continue"/>
                  <w:noWrap w:val="0"/>
                  <w:tcMar>
                    <w:top w:w="15" w:type="dxa"/>
                    <w:left w:w="15" w:type="dxa"/>
                    <w:right w:w="15" w:type="dxa"/>
                  </w:tcMar>
                  <w:vAlign w:val="center"/>
                </w:tcPr>
                <w:p w14:paraId="519B064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kern w:val="0"/>
                      <w:sz w:val="21"/>
                      <w:szCs w:val="21"/>
                      <w:highlight w:val="none"/>
                      <w:lang w:bidi="ar"/>
                      <w14:textFill>
                        <w14:solidFill>
                          <w14:schemeClr w14:val="tx1"/>
                        </w14:solidFill>
                      </w14:textFill>
                    </w:rPr>
                  </w:pPr>
                </w:p>
              </w:tc>
            </w:tr>
            <w:tr w14:paraId="676A522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1797" w:type="pct"/>
                  <w:gridSpan w:val="4"/>
                  <w:noWrap w:val="0"/>
                  <w:tcMar>
                    <w:top w:w="15" w:type="dxa"/>
                    <w:left w:w="15" w:type="dxa"/>
                    <w:right w:w="15" w:type="dxa"/>
                  </w:tcMar>
                  <w:vAlign w:val="center"/>
                </w:tcPr>
                <w:p w14:paraId="14DBB18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合计</w:t>
                  </w:r>
                </w:p>
              </w:tc>
              <w:tc>
                <w:tcPr>
                  <w:tcW w:w="373" w:type="pct"/>
                  <w:noWrap w:val="0"/>
                  <w:tcMar>
                    <w:top w:w="15" w:type="dxa"/>
                    <w:left w:w="15" w:type="dxa"/>
                    <w:right w:w="15" w:type="dxa"/>
                  </w:tcMar>
                  <w:vAlign w:val="center"/>
                </w:tcPr>
                <w:p w14:paraId="51CBE7DD">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28.7583</w:t>
                  </w:r>
                </w:p>
              </w:tc>
              <w:tc>
                <w:tcPr>
                  <w:tcW w:w="460" w:type="pct"/>
                  <w:noWrap w:val="0"/>
                  <w:tcMar>
                    <w:top w:w="15" w:type="dxa"/>
                    <w:left w:w="15" w:type="dxa"/>
                    <w:right w:w="15" w:type="dxa"/>
                  </w:tcMar>
                  <w:vAlign w:val="center"/>
                </w:tcPr>
                <w:p w14:paraId="725985A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261" w:type="pct"/>
                  <w:noWrap w:val="0"/>
                  <w:tcMar>
                    <w:top w:w="15" w:type="dxa"/>
                    <w:left w:w="15" w:type="dxa"/>
                    <w:right w:w="15" w:type="dxa"/>
                  </w:tcMar>
                  <w:vAlign w:val="center"/>
                </w:tcPr>
                <w:p w14:paraId="0CC949A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577" w:type="pct"/>
                  <w:noWrap w:val="0"/>
                  <w:tcMar>
                    <w:top w:w="15" w:type="dxa"/>
                    <w:left w:w="15" w:type="dxa"/>
                    <w:right w:w="15" w:type="dxa"/>
                  </w:tcMar>
                  <w:vAlign w:val="center"/>
                </w:tcPr>
                <w:p w14:paraId="2F6BAA4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486" w:type="pct"/>
                  <w:noWrap w:val="0"/>
                  <w:tcMar>
                    <w:top w:w="15" w:type="dxa"/>
                    <w:left w:w="15" w:type="dxa"/>
                    <w:right w:w="15" w:type="dxa"/>
                  </w:tcMar>
                  <w:vAlign w:val="center"/>
                </w:tcPr>
                <w:p w14:paraId="50F1A1E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347" w:type="pct"/>
                  <w:noWrap w:val="0"/>
                  <w:tcMar>
                    <w:top w:w="15" w:type="dxa"/>
                    <w:left w:w="15" w:type="dxa"/>
                    <w:right w:w="15" w:type="dxa"/>
                  </w:tcMar>
                  <w:vAlign w:val="center"/>
                </w:tcPr>
                <w:p w14:paraId="5930579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378" w:type="pct"/>
                  <w:noWrap w:val="0"/>
                  <w:tcMar>
                    <w:top w:w="15" w:type="dxa"/>
                    <w:left w:w="15" w:type="dxa"/>
                    <w:right w:w="15" w:type="dxa"/>
                  </w:tcMar>
                  <w:vAlign w:val="center"/>
                </w:tcPr>
                <w:p w14:paraId="4FC39EE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317" w:type="pct"/>
                  <w:vMerge w:val="continue"/>
                  <w:noWrap w:val="0"/>
                  <w:tcMar>
                    <w:top w:w="15" w:type="dxa"/>
                    <w:left w:w="15" w:type="dxa"/>
                    <w:right w:w="15" w:type="dxa"/>
                  </w:tcMar>
                  <w:vAlign w:val="center"/>
                </w:tcPr>
                <w:p w14:paraId="1BF32EE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r>
          </w:tbl>
          <w:p w14:paraId="5106C8C1">
            <w:pPr>
              <w:widowControl/>
              <w:spacing w:line="360" w:lineRule="auto"/>
              <w:ind w:left="0" w:leftChars="0" w:firstLine="0" w:firstLineChars="0"/>
              <w:jc w:val="center"/>
              <w:rPr>
                <w:rFonts w:hint="default" w:ascii="Times New Roman" w:hAnsi="Times New Roman" w:cs="Times New Roman"/>
                <w:b/>
                <w:color w:val="000000" w:themeColor="text1"/>
                <w:spacing w:val="7"/>
                <w:kern w:val="0"/>
                <w:szCs w:val="21"/>
                <w:highlight w:val="none"/>
                <w14:textFill>
                  <w14:solidFill>
                    <w14:schemeClr w14:val="tx1"/>
                  </w14:solidFill>
                </w14:textFill>
              </w:rPr>
            </w:pPr>
            <w:r>
              <w:rPr>
                <w:rFonts w:hint="default" w:ascii="Times New Roman" w:hAnsi="Times New Roman" w:cs="Times New Roman"/>
                <w:b/>
                <w:color w:val="000000" w:themeColor="text1"/>
                <w:spacing w:val="7"/>
                <w:kern w:val="0"/>
                <w:szCs w:val="21"/>
                <w:highlight w:val="none"/>
                <w14:textFill>
                  <w14:solidFill>
                    <w14:schemeClr w14:val="tx1"/>
                  </w14:solidFill>
                </w14:textFill>
              </w:rPr>
              <w:t>表4-</w:t>
            </w:r>
            <w:r>
              <w:rPr>
                <w:rFonts w:hint="eastAsia" w:ascii="Times New Roman" w:hAnsi="Times New Roman" w:cs="Times New Roman"/>
                <w:b/>
                <w:color w:val="000000" w:themeColor="text1"/>
                <w:spacing w:val="7"/>
                <w:kern w:val="0"/>
                <w:szCs w:val="21"/>
                <w:highlight w:val="none"/>
                <w:lang w:val="en-US" w:eastAsia="zh-CN"/>
                <w14:textFill>
                  <w14:solidFill>
                    <w14:schemeClr w14:val="tx1"/>
                  </w14:solidFill>
                </w14:textFill>
              </w:rPr>
              <w:t>1</w:t>
            </w:r>
            <w:r>
              <w:rPr>
                <w:rFonts w:hint="eastAsia" w:cs="Times New Roman"/>
                <w:b/>
                <w:color w:val="000000" w:themeColor="text1"/>
                <w:spacing w:val="7"/>
                <w:kern w:val="0"/>
                <w:szCs w:val="21"/>
                <w:highlight w:val="none"/>
                <w:lang w:val="en-US" w:eastAsia="zh-CN"/>
                <w14:textFill>
                  <w14:solidFill>
                    <w14:schemeClr w14:val="tx1"/>
                  </w14:solidFill>
                </w14:textFill>
              </w:rPr>
              <w:t>1</w:t>
            </w:r>
            <w:r>
              <w:rPr>
                <w:rFonts w:hint="default" w:ascii="Times New Roman" w:hAnsi="Times New Roman" w:cs="Times New Roman"/>
                <w:b/>
                <w:color w:val="000000" w:themeColor="text1"/>
                <w:spacing w:val="7"/>
                <w:kern w:val="0"/>
                <w:szCs w:val="21"/>
                <w:highlight w:val="none"/>
                <w14:textFill>
                  <w14:solidFill>
                    <w14:schemeClr w14:val="tx1"/>
                  </w14:solidFill>
                </w14:textFill>
              </w:rPr>
              <w:t xml:space="preserve">  项目危险废物贮存场所（设施）基本情况表</w:t>
            </w:r>
          </w:p>
          <w:tbl>
            <w:tblPr>
              <w:tblStyle w:val="32"/>
              <w:tblW w:w="4991"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577"/>
              <w:gridCol w:w="1313"/>
              <w:gridCol w:w="1943"/>
              <w:gridCol w:w="1391"/>
              <w:gridCol w:w="1604"/>
              <w:gridCol w:w="1297"/>
              <w:gridCol w:w="1156"/>
              <w:gridCol w:w="1994"/>
              <w:gridCol w:w="1028"/>
              <w:gridCol w:w="1028"/>
            </w:tblGrid>
            <w:tr w14:paraId="0B13169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7A08C47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序号</w:t>
                  </w:r>
                </w:p>
              </w:tc>
              <w:tc>
                <w:tcPr>
                  <w:tcW w:w="492" w:type="pct"/>
                  <w:noWrap w:val="0"/>
                  <w:tcMar>
                    <w:top w:w="15" w:type="dxa"/>
                    <w:left w:w="15" w:type="dxa"/>
                    <w:right w:w="15" w:type="dxa"/>
                  </w:tcMar>
                  <w:vAlign w:val="center"/>
                </w:tcPr>
                <w:p w14:paraId="1C72C517">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贮存场所（设施）名称</w:t>
                  </w:r>
                </w:p>
              </w:tc>
              <w:tc>
                <w:tcPr>
                  <w:tcW w:w="728" w:type="pct"/>
                  <w:noWrap w:val="0"/>
                  <w:tcMar>
                    <w:top w:w="15" w:type="dxa"/>
                    <w:left w:w="15" w:type="dxa"/>
                    <w:right w:w="15" w:type="dxa"/>
                  </w:tcMar>
                  <w:vAlign w:val="center"/>
                </w:tcPr>
                <w:p w14:paraId="6E44CB4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危险废物名称</w:t>
                  </w:r>
                </w:p>
              </w:tc>
              <w:tc>
                <w:tcPr>
                  <w:tcW w:w="521" w:type="pct"/>
                  <w:noWrap w:val="0"/>
                  <w:tcMar>
                    <w:top w:w="15" w:type="dxa"/>
                    <w:left w:w="15" w:type="dxa"/>
                    <w:right w:w="15" w:type="dxa"/>
                  </w:tcMar>
                  <w:vAlign w:val="center"/>
                </w:tcPr>
                <w:p w14:paraId="0F0D028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危险废物类别</w:t>
                  </w:r>
                </w:p>
              </w:tc>
              <w:tc>
                <w:tcPr>
                  <w:tcW w:w="601" w:type="pct"/>
                  <w:noWrap w:val="0"/>
                  <w:tcMar>
                    <w:top w:w="15" w:type="dxa"/>
                    <w:left w:w="15" w:type="dxa"/>
                    <w:right w:w="15" w:type="dxa"/>
                  </w:tcMar>
                  <w:vAlign w:val="center"/>
                </w:tcPr>
                <w:p w14:paraId="0B6B7D9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危险废物代码</w:t>
                  </w:r>
                </w:p>
              </w:tc>
              <w:tc>
                <w:tcPr>
                  <w:tcW w:w="486" w:type="pct"/>
                  <w:noWrap w:val="0"/>
                  <w:tcMar>
                    <w:top w:w="15" w:type="dxa"/>
                    <w:left w:w="15" w:type="dxa"/>
                    <w:right w:w="15" w:type="dxa"/>
                  </w:tcMar>
                  <w:vAlign w:val="center"/>
                </w:tcPr>
                <w:p w14:paraId="17D7A5BD">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位置</w:t>
                  </w:r>
                </w:p>
              </w:tc>
              <w:tc>
                <w:tcPr>
                  <w:tcW w:w="433" w:type="pct"/>
                  <w:noWrap w:val="0"/>
                  <w:tcMar>
                    <w:top w:w="15" w:type="dxa"/>
                    <w:left w:w="15" w:type="dxa"/>
                    <w:right w:w="15" w:type="dxa"/>
                  </w:tcMar>
                  <w:vAlign w:val="center"/>
                </w:tcPr>
                <w:p w14:paraId="7CD22BE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占地面积</w:t>
                  </w:r>
                </w:p>
              </w:tc>
              <w:tc>
                <w:tcPr>
                  <w:tcW w:w="747" w:type="pct"/>
                  <w:noWrap w:val="0"/>
                  <w:tcMar>
                    <w:top w:w="15" w:type="dxa"/>
                    <w:left w:w="15" w:type="dxa"/>
                    <w:right w:w="15" w:type="dxa"/>
                  </w:tcMar>
                  <w:vAlign w:val="center"/>
                </w:tcPr>
                <w:p w14:paraId="75B38D28">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贮存方式</w:t>
                  </w:r>
                </w:p>
              </w:tc>
              <w:tc>
                <w:tcPr>
                  <w:tcW w:w="385" w:type="pct"/>
                  <w:noWrap w:val="0"/>
                  <w:tcMar>
                    <w:top w:w="15" w:type="dxa"/>
                    <w:left w:w="15" w:type="dxa"/>
                    <w:right w:w="15" w:type="dxa"/>
                  </w:tcMar>
                  <w:vAlign w:val="center"/>
                </w:tcPr>
                <w:p w14:paraId="4CF7786C">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贮存能力t</w:t>
                  </w:r>
                </w:p>
              </w:tc>
              <w:tc>
                <w:tcPr>
                  <w:tcW w:w="385" w:type="pct"/>
                  <w:noWrap w:val="0"/>
                  <w:tcMar>
                    <w:top w:w="15" w:type="dxa"/>
                    <w:left w:w="15" w:type="dxa"/>
                    <w:right w:w="15" w:type="dxa"/>
                  </w:tcMar>
                  <w:vAlign w:val="center"/>
                </w:tcPr>
                <w:p w14:paraId="2B134FD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贮存周期</w:t>
                  </w:r>
                </w:p>
              </w:tc>
            </w:tr>
            <w:tr w14:paraId="29ED309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16D5911D">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w:t>
                  </w:r>
                </w:p>
              </w:tc>
              <w:tc>
                <w:tcPr>
                  <w:tcW w:w="492" w:type="pct"/>
                  <w:vMerge w:val="restart"/>
                  <w:noWrap w:val="0"/>
                  <w:tcMar>
                    <w:top w:w="15" w:type="dxa"/>
                    <w:left w:w="15" w:type="dxa"/>
                    <w:right w:w="15" w:type="dxa"/>
                  </w:tcMar>
                  <w:vAlign w:val="center"/>
                </w:tcPr>
                <w:p w14:paraId="04B1CAF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危废暂存间</w:t>
                  </w:r>
                </w:p>
              </w:tc>
              <w:tc>
                <w:tcPr>
                  <w:tcW w:w="728" w:type="pct"/>
                  <w:shd w:val="clear" w:color="auto" w:fill="auto"/>
                  <w:noWrap w:val="0"/>
                  <w:tcMar>
                    <w:top w:w="15" w:type="dxa"/>
                    <w:left w:w="15" w:type="dxa"/>
                    <w:right w:w="15" w:type="dxa"/>
                  </w:tcMar>
                  <w:vAlign w:val="center"/>
                </w:tcPr>
                <w:p w14:paraId="23296420">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沾染废乳化液刨花屑</w:t>
                  </w:r>
                </w:p>
              </w:tc>
              <w:tc>
                <w:tcPr>
                  <w:tcW w:w="521" w:type="pct"/>
                  <w:shd w:val="clear" w:color="auto" w:fill="auto"/>
                  <w:noWrap w:val="0"/>
                  <w:tcMar>
                    <w:top w:w="15" w:type="dxa"/>
                    <w:left w:w="15" w:type="dxa"/>
                    <w:right w:w="15" w:type="dxa"/>
                  </w:tcMar>
                  <w:vAlign w:val="center"/>
                </w:tcPr>
                <w:p w14:paraId="5760703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HW08</w:t>
                  </w:r>
                </w:p>
              </w:tc>
              <w:tc>
                <w:tcPr>
                  <w:tcW w:w="601" w:type="pct"/>
                  <w:shd w:val="clear" w:color="auto" w:fill="auto"/>
                  <w:noWrap w:val="0"/>
                  <w:tcMar>
                    <w:top w:w="15" w:type="dxa"/>
                    <w:left w:w="15" w:type="dxa"/>
                    <w:right w:w="15" w:type="dxa"/>
                  </w:tcMar>
                  <w:vAlign w:val="center"/>
                </w:tcPr>
                <w:p w14:paraId="479BF85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900-200-08</w:t>
                  </w:r>
                </w:p>
              </w:tc>
              <w:tc>
                <w:tcPr>
                  <w:tcW w:w="486" w:type="pct"/>
                  <w:vMerge w:val="restart"/>
                  <w:noWrap w:val="0"/>
                  <w:tcMar>
                    <w:top w:w="15" w:type="dxa"/>
                    <w:left w:w="15" w:type="dxa"/>
                    <w:right w:w="15" w:type="dxa"/>
                  </w:tcMar>
                  <w:vAlign w:val="center"/>
                </w:tcPr>
                <w:p w14:paraId="3F17034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机加工区南</w:t>
                  </w:r>
                  <w:r>
                    <w:rPr>
                      <w:rFonts w:hint="default" w:ascii="Times New Roman" w:hAnsi="Times New Roman" w:cs="Times New Roman"/>
                      <w:color w:val="000000" w:themeColor="text1"/>
                      <w:sz w:val="21"/>
                      <w:szCs w:val="21"/>
                      <w:highlight w:val="none"/>
                      <w14:textFill>
                        <w14:solidFill>
                          <w14:schemeClr w14:val="tx1"/>
                        </w14:solidFill>
                      </w14:textFill>
                    </w:rPr>
                    <w:t>侧</w:t>
                  </w:r>
                </w:p>
              </w:tc>
              <w:tc>
                <w:tcPr>
                  <w:tcW w:w="433" w:type="pct"/>
                  <w:vMerge w:val="restart"/>
                  <w:noWrap w:val="0"/>
                  <w:tcMar>
                    <w:top w:w="15" w:type="dxa"/>
                    <w:left w:w="15" w:type="dxa"/>
                    <w:right w:w="15" w:type="dxa"/>
                  </w:tcMar>
                  <w:vAlign w:val="center"/>
                </w:tcPr>
                <w:p w14:paraId="27DBC1CE">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46</w:t>
                  </w:r>
                  <w:r>
                    <w:rPr>
                      <w:rFonts w:hint="default" w:ascii="Times New Roman" w:hAnsi="Times New Roman" w:cs="Times New Roman"/>
                      <w:color w:val="000000" w:themeColor="text1"/>
                      <w:sz w:val="21"/>
                      <w:szCs w:val="21"/>
                      <w:highlight w:val="none"/>
                      <w14:textFill>
                        <w14:solidFill>
                          <w14:schemeClr w14:val="tx1"/>
                        </w14:solidFill>
                      </w14:textFill>
                    </w:rPr>
                    <w:t>m</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2</w:t>
                  </w:r>
                </w:p>
              </w:tc>
              <w:tc>
                <w:tcPr>
                  <w:tcW w:w="747" w:type="pct"/>
                  <w:vMerge w:val="restart"/>
                  <w:noWrap w:val="0"/>
                  <w:tcMar>
                    <w:top w:w="15" w:type="dxa"/>
                    <w:left w:w="15" w:type="dxa"/>
                    <w:right w:w="15" w:type="dxa"/>
                  </w:tcMar>
                  <w:vAlign w:val="center"/>
                </w:tcPr>
                <w:p w14:paraId="77D9598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bidi="ar"/>
                      <w14:textFill>
                        <w14:solidFill>
                          <w14:schemeClr w14:val="tx1"/>
                        </w14:solidFill>
                      </w14:textFill>
                    </w:rPr>
                    <w:t>桶装</w:t>
                  </w:r>
                  <w:r>
                    <w:rPr>
                      <w:rFonts w:hint="default" w:ascii="Times New Roman" w:hAnsi="Times New Roman" w:cs="Times New Roman"/>
                      <w:color w:val="000000" w:themeColor="text1"/>
                      <w:sz w:val="21"/>
                      <w:szCs w:val="21"/>
                      <w:highlight w:val="none"/>
                      <w:lang w:val="en-US" w:eastAsia="zh-CN" w:bidi="ar"/>
                      <w14:textFill>
                        <w14:solidFill>
                          <w14:schemeClr w14:val="tx1"/>
                        </w14:solidFill>
                      </w14:textFill>
                    </w:rPr>
                    <w:t>或</w:t>
                  </w:r>
                  <w:r>
                    <w:rPr>
                      <w:rFonts w:hint="default" w:ascii="Times New Roman" w:hAnsi="Times New Roman" w:cs="Times New Roman"/>
                      <w:color w:val="000000" w:themeColor="text1"/>
                      <w:sz w:val="21"/>
                      <w:szCs w:val="21"/>
                      <w:highlight w:val="none"/>
                      <w:lang w:bidi="ar"/>
                      <w14:textFill>
                        <w14:solidFill>
                          <w14:schemeClr w14:val="tx1"/>
                        </w14:solidFill>
                      </w14:textFill>
                    </w:rPr>
                    <w:t>袋装暂存于危废暂存间</w:t>
                  </w:r>
                </w:p>
              </w:tc>
              <w:tc>
                <w:tcPr>
                  <w:tcW w:w="385" w:type="pct"/>
                  <w:vMerge w:val="restart"/>
                  <w:noWrap w:val="0"/>
                  <w:tcMar>
                    <w:top w:w="15" w:type="dxa"/>
                    <w:left w:w="15" w:type="dxa"/>
                    <w:right w:w="15" w:type="dxa"/>
                  </w:tcMar>
                  <w:vAlign w:val="center"/>
                </w:tcPr>
                <w:p w14:paraId="03A5F80D">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60</w:t>
                  </w:r>
                </w:p>
              </w:tc>
              <w:tc>
                <w:tcPr>
                  <w:tcW w:w="385" w:type="pct"/>
                  <w:vMerge w:val="restart"/>
                  <w:noWrap w:val="0"/>
                  <w:tcMar>
                    <w:top w:w="15" w:type="dxa"/>
                    <w:left w:w="15" w:type="dxa"/>
                    <w:right w:w="15" w:type="dxa"/>
                  </w:tcMar>
                  <w:vAlign w:val="center"/>
                </w:tcPr>
                <w:p w14:paraId="23FEE0D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1年</w:t>
                  </w:r>
                </w:p>
              </w:tc>
            </w:tr>
            <w:tr w14:paraId="5C93334F">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5BC91929">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w:t>
                  </w:r>
                </w:p>
              </w:tc>
              <w:tc>
                <w:tcPr>
                  <w:tcW w:w="492" w:type="pct"/>
                  <w:vMerge w:val="continue"/>
                  <w:noWrap w:val="0"/>
                  <w:tcMar>
                    <w:top w:w="15" w:type="dxa"/>
                    <w:left w:w="15" w:type="dxa"/>
                    <w:right w:w="15" w:type="dxa"/>
                  </w:tcMar>
                  <w:vAlign w:val="center"/>
                </w:tcPr>
                <w:p w14:paraId="67D2E0A8">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5BFC6EC4">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废乳化液</w:t>
                  </w:r>
                </w:p>
              </w:tc>
              <w:tc>
                <w:tcPr>
                  <w:tcW w:w="521" w:type="pct"/>
                  <w:shd w:val="clear" w:color="auto" w:fill="auto"/>
                  <w:noWrap w:val="0"/>
                  <w:tcMar>
                    <w:top w:w="15" w:type="dxa"/>
                    <w:left w:w="15" w:type="dxa"/>
                    <w:right w:w="15" w:type="dxa"/>
                  </w:tcMar>
                  <w:vAlign w:val="center"/>
                </w:tcPr>
                <w:p w14:paraId="1276A95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HW09</w:t>
                  </w:r>
                </w:p>
              </w:tc>
              <w:tc>
                <w:tcPr>
                  <w:tcW w:w="601" w:type="pct"/>
                  <w:shd w:val="clear" w:color="auto" w:fill="auto"/>
                  <w:noWrap w:val="0"/>
                  <w:tcMar>
                    <w:top w:w="15" w:type="dxa"/>
                    <w:left w:w="15" w:type="dxa"/>
                    <w:right w:w="15" w:type="dxa"/>
                  </w:tcMar>
                  <w:vAlign w:val="center"/>
                </w:tcPr>
                <w:p w14:paraId="4047D19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900-006-09</w:t>
                  </w:r>
                </w:p>
              </w:tc>
              <w:tc>
                <w:tcPr>
                  <w:tcW w:w="486" w:type="pct"/>
                  <w:vMerge w:val="continue"/>
                  <w:noWrap w:val="0"/>
                  <w:tcMar>
                    <w:top w:w="15" w:type="dxa"/>
                    <w:left w:w="15" w:type="dxa"/>
                    <w:right w:w="15" w:type="dxa"/>
                  </w:tcMar>
                  <w:vAlign w:val="center"/>
                </w:tcPr>
                <w:p w14:paraId="2852A07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0FE920F0">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22505971">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7143B891">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2784C0CC">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0644DFF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031378F7">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3</w:t>
                  </w:r>
                </w:p>
              </w:tc>
              <w:tc>
                <w:tcPr>
                  <w:tcW w:w="492" w:type="pct"/>
                  <w:vMerge w:val="continue"/>
                  <w:noWrap w:val="0"/>
                  <w:tcMar>
                    <w:top w:w="15" w:type="dxa"/>
                    <w:left w:w="15" w:type="dxa"/>
                    <w:right w:w="15" w:type="dxa"/>
                  </w:tcMar>
                  <w:vAlign w:val="center"/>
                </w:tcPr>
                <w:p w14:paraId="5385C76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5B28D8CA">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脱模剂空桶</w:t>
                  </w:r>
                </w:p>
              </w:tc>
              <w:tc>
                <w:tcPr>
                  <w:tcW w:w="521" w:type="pct"/>
                  <w:shd w:val="clear" w:color="auto" w:fill="auto"/>
                  <w:noWrap w:val="0"/>
                  <w:tcMar>
                    <w:top w:w="15" w:type="dxa"/>
                    <w:left w:w="15" w:type="dxa"/>
                    <w:right w:w="15" w:type="dxa"/>
                  </w:tcMar>
                  <w:vAlign w:val="center"/>
                </w:tcPr>
                <w:p w14:paraId="44252DE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486C405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486" w:type="pct"/>
                  <w:vMerge w:val="continue"/>
                  <w:noWrap w:val="0"/>
                  <w:tcMar>
                    <w:top w:w="15" w:type="dxa"/>
                    <w:left w:w="15" w:type="dxa"/>
                    <w:right w:w="15" w:type="dxa"/>
                  </w:tcMar>
                  <w:vAlign w:val="center"/>
                </w:tcPr>
                <w:p w14:paraId="40D7924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7D372A6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5C3F9E4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29A80BF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D72AA2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1A6DC0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673D0490">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4</w:t>
                  </w:r>
                </w:p>
              </w:tc>
              <w:tc>
                <w:tcPr>
                  <w:tcW w:w="492" w:type="pct"/>
                  <w:vMerge w:val="continue"/>
                  <w:noWrap w:val="0"/>
                  <w:tcMar>
                    <w:top w:w="15" w:type="dxa"/>
                    <w:left w:w="15" w:type="dxa"/>
                    <w:right w:w="15" w:type="dxa"/>
                  </w:tcMar>
                  <w:vAlign w:val="center"/>
                </w:tcPr>
                <w:p w14:paraId="4F74028C">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4CF94AE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漆料空桶</w:t>
                  </w:r>
                </w:p>
              </w:tc>
              <w:tc>
                <w:tcPr>
                  <w:tcW w:w="521" w:type="pct"/>
                  <w:shd w:val="clear" w:color="auto" w:fill="auto"/>
                  <w:noWrap w:val="0"/>
                  <w:tcMar>
                    <w:top w:w="15" w:type="dxa"/>
                    <w:left w:w="15" w:type="dxa"/>
                    <w:right w:w="15" w:type="dxa"/>
                  </w:tcMar>
                  <w:vAlign w:val="center"/>
                </w:tcPr>
                <w:p w14:paraId="00223AB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64D880C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486" w:type="pct"/>
                  <w:vMerge w:val="continue"/>
                  <w:noWrap w:val="0"/>
                  <w:tcMar>
                    <w:top w:w="15" w:type="dxa"/>
                    <w:left w:w="15" w:type="dxa"/>
                    <w:right w:w="15" w:type="dxa"/>
                  </w:tcMar>
                  <w:vAlign w:val="center"/>
                </w:tcPr>
                <w:p w14:paraId="6F15622E">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24F7217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2B70142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4603038D">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0A53A94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196EC17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16462D9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5</w:t>
                  </w:r>
                </w:p>
              </w:tc>
              <w:tc>
                <w:tcPr>
                  <w:tcW w:w="492" w:type="pct"/>
                  <w:vMerge w:val="continue"/>
                  <w:noWrap w:val="0"/>
                  <w:tcMar>
                    <w:top w:w="15" w:type="dxa"/>
                    <w:left w:w="15" w:type="dxa"/>
                    <w:right w:w="15" w:type="dxa"/>
                  </w:tcMar>
                  <w:vAlign w:val="center"/>
                </w:tcPr>
                <w:p w14:paraId="1482357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12FAAA6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漆渣</w:t>
                  </w:r>
                </w:p>
              </w:tc>
              <w:tc>
                <w:tcPr>
                  <w:tcW w:w="521" w:type="pct"/>
                  <w:shd w:val="clear" w:color="auto" w:fill="auto"/>
                  <w:noWrap w:val="0"/>
                  <w:tcMar>
                    <w:top w:w="15" w:type="dxa"/>
                    <w:left w:w="15" w:type="dxa"/>
                    <w:right w:w="15" w:type="dxa"/>
                  </w:tcMar>
                  <w:vAlign w:val="center"/>
                </w:tcPr>
                <w:p w14:paraId="592F57D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HW12</w:t>
                  </w:r>
                </w:p>
              </w:tc>
              <w:tc>
                <w:tcPr>
                  <w:tcW w:w="601" w:type="pct"/>
                  <w:shd w:val="clear" w:color="auto" w:fill="auto"/>
                  <w:noWrap w:val="0"/>
                  <w:tcMar>
                    <w:top w:w="15" w:type="dxa"/>
                    <w:left w:w="15" w:type="dxa"/>
                    <w:right w:w="15" w:type="dxa"/>
                  </w:tcMar>
                  <w:vAlign w:val="center"/>
                </w:tcPr>
                <w:p w14:paraId="022CA00B">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900-252-12</w:t>
                  </w:r>
                </w:p>
              </w:tc>
              <w:tc>
                <w:tcPr>
                  <w:tcW w:w="486" w:type="pct"/>
                  <w:vMerge w:val="continue"/>
                  <w:noWrap w:val="0"/>
                  <w:tcMar>
                    <w:top w:w="15" w:type="dxa"/>
                    <w:left w:w="15" w:type="dxa"/>
                    <w:right w:w="15" w:type="dxa"/>
                  </w:tcMar>
                  <w:vAlign w:val="center"/>
                </w:tcPr>
                <w:p w14:paraId="6A154EB5">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0620AD2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164E1C59">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461C903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601D642F">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10DBF58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4572736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6</w:t>
                  </w:r>
                </w:p>
              </w:tc>
              <w:tc>
                <w:tcPr>
                  <w:tcW w:w="492" w:type="pct"/>
                  <w:vMerge w:val="continue"/>
                  <w:noWrap w:val="0"/>
                  <w:tcMar>
                    <w:top w:w="15" w:type="dxa"/>
                    <w:left w:w="15" w:type="dxa"/>
                    <w:right w:w="15" w:type="dxa"/>
                  </w:tcMar>
                  <w:vAlign w:val="center"/>
                </w:tcPr>
                <w:p w14:paraId="7D6DD1C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2C1D26A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水帘柜废水</w:t>
                  </w:r>
                </w:p>
              </w:tc>
              <w:tc>
                <w:tcPr>
                  <w:tcW w:w="521" w:type="pct"/>
                  <w:shd w:val="clear" w:color="auto" w:fill="auto"/>
                  <w:noWrap w:val="0"/>
                  <w:tcMar>
                    <w:top w:w="15" w:type="dxa"/>
                    <w:left w:w="15" w:type="dxa"/>
                    <w:right w:w="15" w:type="dxa"/>
                  </w:tcMar>
                  <w:vAlign w:val="center"/>
                </w:tcPr>
                <w:p w14:paraId="37C5623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HW12</w:t>
                  </w:r>
                </w:p>
              </w:tc>
              <w:tc>
                <w:tcPr>
                  <w:tcW w:w="601" w:type="pct"/>
                  <w:shd w:val="clear" w:color="auto" w:fill="auto"/>
                  <w:noWrap w:val="0"/>
                  <w:tcMar>
                    <w:top w:w="15" w:type="dxa"/>
                    <w:left w:w="15" w:type="dxa"/>
                    <w:right w:w="15" w:type="dxa"/>
                  </w:tcMar>
                  <w:vAlign w:val="center"/>
                </w:tcPr>
                <w:p w14:paraId="3AF2881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900-252-12</w:t>
                  </w:r>
                </w:p>
              </w:tc>
              <w:tc>
                <w:tcPr>
                  <w:tcW w:w="486" w:type="pct"/>
                  <w:vMerge w:val="continue"/>
                  <w:noWrap w:val="0"/>
                  <w:tcMar>
                    <w:top w:w="15" w:type="dxa"/>
                    <w:left w:w="15" w:type="dxa"/>
                    <w:right w:w="15" w:type="dxa"/>
                  </w:tcMar>
                  <w:vAlign w:val="center"/>
                </w:tcPr>
                <w:p w14:paraId="3BD47C3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6E14050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7B4A97EE">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DB6ABB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04D5FE2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0DA857D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754187A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7</w:t>
                  </w:r>
                </w:p>
              </w:tc>
              <w:tc>
                <w:tcPr>
                  <w:tcW w:w="492" w:type="pct"/>
                  <w:vMerge w:val="continue"/>
                  <w:noWrap w:val="0"/>
                  <w:tcMar>
                    <w:top w:w="15" w:type="dxa"/>
                    <w:left w:w="15" w:type="dxa"/>
                    <w:right w:w="15" w:type="dxa"/>
                  </w:tcMar>
                  <w:vAlign w:val="center"/>
                </w:tcPr>
                <w:p w14:paraId="3D1E6100">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22DA13A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废活性炭</w:t>
                  </w:r>
                </w:p>
              </w:tc>
              <w:tc>
                <w:tcPr>
                  <w:tcW w:w="521" w:type="pct"/>
                  <w:shd w:val="clear" w:color="auto" w:fill="auto"/>
                  <w:noWrap w:val="0"/>
                  <w:tcMar>
                    <w:top w:w="15" w:type="dxa"/>
                    <w:left w:w="15" w:type="dxa"/>
                    <w:right w:w="15" w:type="dxa"/>
                  </w:tcMar>
                  <w:vAlign w:val="center"/>
                </w:tcPr>
                <w:p w14:paraId="098F7C1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171E283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900-039-49</w:t>
                  </w:r>
                </w:p>
              </w:tc>
              <w:tc>
                <w:tcPr>
                  <w:tcW w:w="486" w:type="pct"/>
                  <w:vMerge w:val="continue"/>
                  <w:noWrap w:val="0"/>
                  <w:tcMar>
                    <w:top w:w="15" w:type="dxa"/>
                    <w:left w:w="15" w:type="dxa"/>
                    <w:right w:w="15" w:type="dxa"/>
                  </w:tcMar>
                  <w:vAlign w:val="center"/>
                </w:tcPr>
                <w:p w14:paraId="0F88D1A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34CB37D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0D09096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F7BF51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1F87A2DC">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3C896CB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4E79FDE8">
                  <w:pPr>
                    <w:pStyle w:val="136"/>
                    <w:keepNext w:val="0"/>
                    <w:keepLines w:val="0"/>
                    <w:pageBreakBefore w:val="0"/>
                    <w:widowControl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8</w:t>
                  </w:r>
                </w:p>
              </w:tc>
              <w:tc>
                <w:tcPr>
                  <w:tcW w:w="492" w:type="pct"/>
                  <w:vMerge w:val="continue"/>
                  <w:noWrap w:val="0"/>
                  <w:tcMar>
                    <w:top w:w="15" w:type="dxa"/>
                    <w:left w:w="15" w:type="dxa"/>
                    <w:right w:w="15" w:type="dxa"/>
                  </w:tcMar>
                  <w:vAlign w:val="center"/>
                </w:tcPr>
                <w:p w14:paraId="439E12F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34FA74E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废过滤棉</w:t>
                  </w:r>
                </w:p>
              </w:tc>
              <w:tc>
                <w:tcPr>
                  <w:tcW w:w="521" w:type="pct"/>
                  <w:shd w:val="clear" w:color="auto" w:fill="auto"/>
                  <w:noWrap w:val="0"/>
                  <w:tcMar>
                    <w:top w:w="15" w:type="dxa"/>
                    <w:left w:w="15" w:type="dxa"/>
                    <w:right w:w="15" w:type="dxa"/>
                  </w:tcMar>
                  <w:vAlign w:val="center"/>
                </w:tcPr>
                <w:p w14:paraId="77A49BC1">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0A02DAD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900-039-49</w:t>
                  </w:r>
                </w:p>
              </w:tc>
              <w:tc>
                <w:tcPr>
                  <w:tcW w:w="486" w:type="pct"/>
                  <w:vMerge w:val="continue"/>
                  <w:noWrap w:val="0"/>
                  <w:tcMar>
                    <w:top w:w="15" w:type="dxa"/>
                    <w:left w:w="15" w:type="dxa"/>
                    <w:right w:w="15" w:type="dxa"/>
                  </w:tcMar>
                  <w:vAlign w:val="center"/>
                </w:tcPr>
                <w:p w14:paraId="794BEB0E">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58561C2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30F6DF29">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6220012F">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041E89C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31A7AC1E">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775DB799">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w:t>
                  </w:r>
                </w:p>
              </w:tc>
              <w:tc>
                <w:tcPr>
                  <w:tcW w:w="492" w:type="pct"/>
                  <w:vMerge w:val="continue"/>
                  <w:noWrap w:val="0"/>
                  <w:tcMar>
                    <w:top w:w="15" w:type="dxa"/>
                    <w:left w:w="15" w:type="dxa"/>
                    <w:right w:w="15" w:type="dxa"/>
                  </w:tcMar>
                  <w:vAlign w:val="center"/>
                </w:tcPr>
                <w:p w14:paraId="217EA63E">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2D355A3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w:t>
                  </w:r>
                </w:p>
              </w:tc>
              <w:tc>
                <w:tcPr>
                  <w:tcW w:w="521" w:type="pct"/>
                  <w:shd w:val="clear" w:color="auto" w:fill="auto"/>
                  <w:noWrap w:val="0"/>
                  <w:tcMar>
                    <w:top w:w="15" w:type="dxa"/>
                    <w:left w:w="15" w:type="dxa"/>
                    <w:right w:w="15" w:type="dxa"/>
                  </w:tcMar>
                  <w:vAlign w:val="center"/>
                </w:tcPr>
                <w:p w14:paraId="4A94B3D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HW08</w:t>
                  </w:r>
                </w:p>
              </w:tc>
              <w:tc>
                <w:tcPr>
                  <w:tcW w:w="601" w:type="pct"/>
                  <w:shd w:val="clear" w:color="auto" w:fill="auto"/>
                  <w:noWrap w:val="0"/>
                  <w:tcMar>
                    <w:top w:w="15" w:type="dxa"/>
                    <w:left w:w="15" w:type="dxa"/>
                    <w:right w:w="15" w:type="dxa"/>
                  </w:tcMar>
                  <w:vAlign w:val="center"/>
                </w:tcPr>
                <w:p w14:paraId="55FB808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900-214-08</w:t>
                  </w:r>
                </w:p>
              </w:tc>
              <w:tc>
                <w:tcPr>
                  <w:tcW w:w="486" w:type="pct"/>
                  <w:vMerge w:val="continue"/>
                  <w:noWrap w:val="0"/>
                  <w:tcMar>
                    <w:top w:w="15" w:type="dxa"/>
                    <w:left w:w="15" w:type="dxa"/>
                    <w:right w:w="15" w:type="dxa"/>
                  </w:tcMar>
                  <w:vAlign w:val="center"/>
                </w:tcPr>
                <w:p w14:paraId="30D43EB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18DB1C3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44793791">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4A04F4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0C15538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2074969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141975B4">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w:t>
                  </w:r>
                </w:p>
              </w:tc>
              <w:tc>
                <w:tcPr>
                  <w:tcW w:w="492" w:type="pct"/>
                  <w:vMerge w:val="continue"/>
                  <w:noWrap w:val="0"/>
                  <w:tcMar>
                    <w:top w:w="15" w:type="dxa"/>
                    <w:left w:w="15" w:type="dxa"/>
                    <w:right w:w="15" w:type="dxa"/>
                  </w:tcMar>
                  <w:vAlign w:val="center"/>
                </w:tcPr>
                <w:p w14:paraId="66B4AAE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4D40F57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废机油桶</w:t>
                  </w:r>
                </w:p>
              </w:tc>
              <w:tc>
                <w:tcPr>
                  <w:tcW w:w="521" w:type="pct"/>
                  <w:shd w:val="clear" w:color="auto" w:fill="auto"/>
                  <w:noWrap w:val="0"/>
                  <w:tcMar>
                    <w:top w:w="15" w:type="dxa"/>
                    <w:left w:w="15" w:type="dxa"/>
                    <w:right w:w="15" w:type="dxa"/>
                  </w:tcMar>
                  <w:vAlign w:val="center"/>
                </w:tcPr>
                <w:p w14:paraId="6BD4FEE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711F91D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486" w:type="pct"/>
                  <w:vMerge w:val="continue"/>
                  <w:noWrap w:val="0"/>
                  <w:tcMar>
                    <w:top w:w="15" w:type="dxa"/>
                    <w:left w:w="15" w:type="dxa"/>
                    <w:right w:w="15" w:type="dxa"/>
                  </w:tcMar>
                  <w:vAlign w:val="center"/>
                </w:tcPr>
                <w:p w14:paraId="4CF443CC">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28367C5F">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30AEB8A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225C95B">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76DB5206">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r w14:paraId="5886D83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283" w:hRule="atLeast"/>
                <w:jc w:val="center"/>
              </w:trPr>
              <w:tc>
                <w:tcPr>
                  <w:tcW w:w="216" w:type="pct"/>
                  <w:noWrap w:val="0"/>
                  <w:tcMar>
                    <w:top w:w="15" w:type="dxa"/>
                    <w:left w:w="15" w:type="dxa"/>
                    <w:right w:w="15" w:type="dxa"/>
                  </w:tcMar>
                  <w:vAlign w:val="center"/>
                </w:tcPr>
                <w:p w14:paraId="5265578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11</w:t>
                  </w:r>
                </w:p>
              </w:tc>
              <w:tc>
                <w:tcPr>
                  <w:tcW w:w="492" w:type="pct"/>
                  <w:vMerge w:val="continue"/>
                  <w:noWrap w:val="0"/>
                  <w:tcMar>
                    <w:top w:w="15" w:type="dxa"/>
                    <w:left w:w="15" w:type="dxa"/>
                    <w:right w:w="15" w:type="dxa"/>
                  </w:tcMar>
                  <w:vAlign w:val="center"/>
                </w:tcPr>
                <w:p w14:paraId="68A08013">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28" w:type="pct"/>
                  <w:shd w:val="clear" w:color="auto" w:fill="auto"/>
                  <w:noWrap w:val="0"/>
                  <w:tcMar>
                    <w:top w:w="15" w:type="dxa"/>
                    <w:left w:w="15" w:type="dxa"/>
                    <w:right w:w="15" w:type="dxa"/>
                  </w:tcMar>
                  <w:vAlign w:val="center"/>
                </w:tcPr>
                <w:p w14:paraId="308F8F2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废劳保用品</w:t>
                  </w:r>
                </w:p>
              </w:tc>
              <w:tc>
                <w:tcPr>
                  <w:tcW w:w="521" w:type="pct"/>
                  <w:shd w:val="clear" w:color="auto" w:fill="auto"/>
                  <w:noWrap w:val="0"/>
                  <w:tcMar>
                    <w:top w:w="15" w:type="dxa"/>
                    <w:left w:w="15" w:type="dxa"/>
                    <w:right w:w="15" w:type="dxa"/>
                  </w:tcMar>
                  <w:vAlign w:val="center"/>
                </w:tcPr>
                <w:p w14:paraId="18973A2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HW49</w:t>
                  </w:r>
                </w:p>
              </w:tc>
              <w:tc>
                <w:tcPr>
                  <w:tcW w:w="601" w:type="pct"/>
                  <w:shd w:val="clear" w:color="auto" w:fill="auto"/>
                  <w:noWrap w:val="0"/>
                  <w:tcMar>
                    <w:top w:w="15" w:type="dxa"/>
                    <w:left w:w="15" w:type="dxa"/>
                    <w:right w:w="15" w:type="dxa"/>
                  </w:tcMar>
                  <w:vAlign w:val="center"/>
                </w:tcPr>
                <w:p w14:paraId="7CFAE2C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900-041-49</w:t>
                  </w:r>
                </w:p>
              </w:tc>
              <w:tc>
                <w:tcPr>
                  <w:tcW w:w="486" w:type="pct"/>
                  <w:vMerge w:val="continue"/>
                  <w:noWrap w:val="0"/>
                  <w:tcMar>
                    <w:top w:w="15" w:type="dxa"/>
                    <w:left w:w="15" w:type="dxa"/>
                    <w:right w:w="15" w:type="dxa"/>
                  </w:tcMar>
                  <w:vAlign w:val="center"/>
                </w:tcPr>
                <w:p w14:paraId="0CFF43B8">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433" w:type="pct"/>
                  <w:vMerge w:val="continue"/>
                  <w:noWrap w:val="0"/>
                  <w:tcMar>
                    <w:top w:w="15" w:type="dxa"/>
                    <w:left w:w="15" w:type="dxa"/>
                    <w:right w:w="15" w:type="dxa"/>
                  </w:tcMar>
                  <w:vAlign w:val="center"/>
                </w:tcPr>
                <w:p w14:paraId="32E83D5A">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747" w:type="pct"/>
                  <w:vMerge w:val="continue"/>
                  <w:noWrap w:val="0"/>
                  <w:tcMar>
                    <w:top w:w="15" w:type="dxa"/>
                    <w:left w:w="15" w:type="dxa"/>
                    <w:right w:w="15" w:type="dxa"/>
                  </w:tcMar>
                  <w:vAlign w:val="center"/>
                </w:tcPr>
                <w:p w14:paraId="0E15A54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499F5271">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c>
                <w:tcPr>
                  <w:tcW w:w="385" w:type="pct"/>
                  <w:vMerge w:val="continue"/>
                  <w:noWrap w:val="0"/>
                  <w:tcMar>
                    <w:top w:w="15" w:type="dxa"/>
                    <w:left w:w="15" w:type="dxa"/>
                    <w:right w:w="15" w:type="dxa"/>
                  </w:tcMar>
                  <w:vAlign w:val="center"/>
                </w:tcPr>
                <w:p w14:paraId="3FDFD372">
                  <w:pPr>
                    <w:pStyle w:val="136"/>
                    <w:keepNext w:val="0"/>
                    <w:keepLines w:val="0"/>
                    <w:pageBreakBefore w:val="0"/>
                    <w:widowControl w:val="0"/>
                    <w:kinsoku/>
                    <w:wordWrap/>
                    <w:overflowPunct/>
                    <w:topLinePunct w:val="0"/>
                    <w:autoSpaceDE/>
                    <w:autoSpaceDN/>
                    <w:bidi w:val="0"/>
                    <w:spacing w:line="240" w:lineRule="auto"/>
                    <w:ind w:firstLine="0" w:firstLineChars="0"/>
                    <w:rPr>
                      <w:rFonts w:hint="default" w:ascii="Times New Roman" w:hAnsi="Times New Roman" w:cs="Times New Roman"/>
                      <w:color w:val="000000" w:themeColor="text1"/>
                      <w:sz w:val="21"/>
                      <w:szCs w:val="21"/>
                      <w:highlight w:val="none"/>
                      <w14:textFill>
                        <w14:solidFill>
                          <w14:schemeClr w14:val="tx1"/>
                        </w14:solidFill>
                      </w14:textFill>
                    </w:rPr>
                  </w:pPr>
                </w:p>
              </w:tc>
            </w:tr>
          </w:tbl>
          <w:p w14:paraId="4B6D05B4">
            <w:pPr>
              <w:pStyle w:val="127"/>
              <w:adjustRightInd w:val="0"/>
              <w:snapToGrid w:val="0"/>
              <w:spacing w:line="360" w:lineRule="auto"/>
              <w:ind w:firstLine="482"/>
              <w:rPr>
                <w:rFonts w:hint="default" w:ascii="Times New Roman" w:hAnsi="Times New Roman" w:cs="Times New Roman"/>
                <w:b/>
                <w:bCs/>
                <w:color w:val="000000" w:themeColor="text1"/>
                <w:sz w:val="24"/>
                <w:highlight w:val="none"/>
                <w14:textFill>
                  <w14:solidFill>
                    <w14:schemeClr w14:val="tx1"/>
                  </w14:solidFill>
                </w14:textFill>
              </w:rPr>
            </w:pPr>
            <w:r>
              <w:rPr>
                <w:rFonts w:hint="default" w:ascii="Times New Roman" w:hAnsi="Times New Roman" w:cs="Times New Roman"/>
                <w:b/>
                <w:bCs/>
                <w:color w:val="000000" w:themeColor="text1"/>
                <w:sz w:val="24"/>
                <w:highlight w:val="none"/>
                <w14:textFill>
                  <w14:solidFill>
                    <w14:schemeClr w14:val="tx1"/>
                  </w14:solidFill>
                </w14:textFill>
              </w:rPr>
              <w:t>2、固体废物防治措施及环境管理要求</w:t>
            </w:r>
          </w:p>
          <w:p w14:paraId="44561042">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（1）一般固体废物</w:t>
            </w:r>
          </w:p>
          <w:p w14:paraId="7A01BC29">
            <w:pPr>
              <w:pStyle w:val="127"/>
              <w:adjustRightInd w:val="0"/>
              <w:snapToGrid w:val="0"/>
              <w:spacing w:line="360" w:lineRule="auto"/>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项目在</w:t>
            </w:r>
            <w:r>
              <w:rPr>
                <w:rFonts w:hint="eastAsia" w:ascii="Times New Roman" w:hAnsi="Times New Roman" w:cs="Times New Roman"/>
                <w:color w:val="000000" w:themeColor="text1"/>
                <w:sz w:val="24"/>
                <w:highlight w:val="none"/>
                <w:lang w:val="en-US" w:eastAsia="zh-CN"/>
                <w14:textFill>
                  <w14:solidFill>
                    <w14:schemeClr w14:val="tx1"/>
                  </w14:solidFill>
                </w14:textFill>
              </w:rPr>
              <w:t>车间内</w:t>
            </w:r>
            <w:r>
              <w:rPr>
                <w:rFonts w:hint="eastAsia" w:cs="Times New Roman"/>
                <w:color w:val="000000" w:themeColor="text1"/>
                <w:sz w:val="24"/>
                <w:highlight w:val="none"/>
                <w:lang w:val="en-US" w:eastAsia="zh-CN"/>
                <w14:textFill>
                  <w14:solidFill>
                    <w14:schemeClr w14:val="tx1"/>
                  </w14:solidFill>
                </w14:textFill>
              </w:rPr>
              <w:t>机加工区南侧</w:t>
            </w:r>
            <w:r>
              <w:rPr>
                <w:rFonts w:hint="default" w:ascii="Times New Roman" w:hAnsi="Times New Roman" w:cs="Times New Roman"/>
                <w:color w:val="000000" w:themeColor="text1"/>
                <w:sz w:val="24"/>
                <w:highlight w:val="none"/>
                <w14:textFill>
                  <w14:solidFill>
                    <w14:schemeClr w14:val="tx1"/>
                  </w14:solidFill>
                </w14:textFill>
              </w:rPr>
              <w:t>建设1间一般固废暂存间（占地面积</w:t>
            </w:r>
            <w:r>
              <w:rPr>
                <w:rFonts w:hint="eastAsia" w:cs="Times New Roman"/>
                <w:color w:val="000000" w:themeColor="text1"/>
                <w:sz w:val="24"/>
                <w:highlight w:val="none"/>
                <w:lang w:val="en-US" w:eastAsia="zh-CN"/>
                <w14:textFill>
                  <w14:solidFill>
                    <w14:schemeClr w14:val="tx1"/>
                  </w14:solidFill>
                </w14:textFill>
              </w:rPr>
              <w:t>92</w:t>
            </w:r>
            <w:r>
              <w:rPr>
                <w:rFonts w:hint="default" w:ascii="Times New Roman" w:hAnsi="Times New Roman" w:cs="Times New Roman"/>
                <w:color w:val="000000" w:themeColor="text1"/>
                <w:sz w:val="24"/>
                <w:highlight w:val="none"/>
                <w14:textFill>
                  <w14:solidFill>
                    <w14:schemeClr w14:val="tx1"/>
                  </w14:solidFill>
                </w14:textFill>
              </w:rPr>
              <w:t>m</w:t>
            </w:r>
            <w:r>
              <w:rPr>
                <w:rFonts w:hint="default" w:ascii="Times New Roman" w:hAnsi="Times New Roman" w:cs="Times New Roman"/>
                <w:color w:val="000000" w:themeColor="text1"/>
                <w:sz w:val="24"/>
                <w:highlight w:val="none"/>
                <w:vertAlign w:val="superscript"/>
                <w14:textFill>
                  <w14:solidFill>
                    <w14:schemeClr w14:val="tx1"/>
                  </w14:solidFill>
                </w14:textFill>
              </w:rPr>
              <w:t>2</w:t>
            </w:r>
            <w:r>
              <w:rPr>
                <w:rFonts w:hint="default" w:ascii="Times New Roman" w:hAnsi="Times New Roman" w:cs="Times New Roman"/>
                <w:color w:val="000000" w:themeColor="text1"/>
                <w:sz w:val="24"/>
                <w:highlight w:val="none"/>
                <w14:textFill>
                  <w14:solidFill>
                    <w14:schemeClr w14:val="tx1"/>
                  </w14:solidFill>
                </w14:textFill>
              </w:rPr>
              <w:t>），其设计及建设参照《一般工业固体废物贮存和填埋污染控制标准》（GB18599-2020）相关要</w:t>
            </w:r>
            <w:r>
              <w:rPr>
                <w:rFonts w:hint="default" w:ascii="Times New Roman" w:hAnsi="Times New Roman" w:eastAsia="宋体" w:cs="Times New Roman"/>
                <w:color w:val="000000" w:themeColor="text1"/>
                <w:sz w:val="24"/>
                <w:highlight w:val="none"/>
                <w14:textFill>
                  <w14:solidFill>
                    <w14:schemeClr w14:val="tx1"/>
                  </w14:solidFill>
                </w14:textFill>
              </w:rPr>
              <w:t>求</w:t>
            </w:r>
            <w:r>
              <w:rPr>
                <w:rFonts w:hint="eastAsia" w:cs="Times New Roman"/>
                <w:color w:val="000000" w:themeColor="text1"/>
                <w:sz w:val="24"/>
                <w:highlight w:val="none"/>
                <w:lang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本项目固废转运周期按照1季度转运1次</w:t>
            </w:r>
            <w:r>
              <w:rPr>
                <w:rFonts w:hint="default" w:ascii="Times New Roman" w:hAnsi="Times New Roman" w:eastAsia="宋体" w:cs="Times New Roman"/>
                <w:color w:val="000000" w:themeColor="text1"/>
                <w:sz w:val="24"/>
                <w:highlight w:val="none"/>
                <w14:textFill>
                  <w14:solidFill>
                    <w14:schemeClr w14:val="tx1"/>
                  </w14:solidFill>
                </w14:textFill>
              </w:rPr>
              <w: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本项目一般固废总计</w:t>
            </w:r>
            <w:r>
              <w:rPr>
                <w:rFonts w:hint="eastAsia" w:cs="Times New Roman"/>
                <w:color w:val="000000" w:themeColor="text1"/>
                <w:sz w:val="24"/>
                <w:highlight w:val="none"/>
                <w:lang w:val="en-US" w:eastAsia="zh-CN"/>
                <w14:textFill>
                  <w14:solidFill>
                    <w14:schemeClr w14:val="tx1"/>
                  </w14:solidFill>
                </w14:textFill>
              </w:rPr>
              <w:t>约670</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t/a</w:t>
            </w:r>
            <w:r>
              <w:rPr>
                <w:rFonts w:hint="eastAsia" w:cs="Times New Roman"/>
                <w:color w:val="000000" w:themeColor="text1"/>
                <w:sz w:val="24"/>
                <w:highlight w:val="none"/>
                <w:lang w:val="en-US" w:eastAsia="zh-CN"/>
                <w14:textFill>
                  <w14:solidFill>
                    <w14:schemeClr w14:val="tx1"/>
                  </w14:solidFill>
                </w14:textFill>
              </w:rPr>
              <w:t>（每季度167.5t）</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w:t>
            </w:r>
            <w:r>
              <w:rPr>
                <w:rFonts w:hint="eastAsia" w:cs="Times New Roman"/>
                <w:color w:val="000000" w:themeColor="text1"/>
                <w:sz w:val="24"/>
                <w:highlight w:val="none"/>
                <w:lang w:val="en-US" w:eastAsia="zh-CN"/>
                <w14:textFill>
                  <w14:solidFill>
                    <w14:schemeClr w14:val="tx1"/>
                  </w14:solidFill>
                </w14:textFill>
              </w:rPr>
              <w:t>本项目一般固废间最大可储存200t，可</w:t>
            </w:r>
            <w:r>
              <w:rPr>
                <w:rFonts w:hint="default" w:ascii="Times New Roman" w:hAnsi="Times New Roman" w:eastAsia="宋体" w:cs="Times New Roman"/>
                <w:color w:val="000000" w:themeColor="text1"/>
                <w:sz w:val="24"/>
                <w:highlight w:val="none"/>
                <w:lang w:val="en-US" w:eastAsia="zh-CN"/>
                <w14:textFill>
                  <w14:solidFill>
                    <w14:schemeClr w14:val="tx1"/>
                  </w14:solidFill>
                </w14:textFill>
              </w:rPr>
              <w:t>满足设计要求。</w:t>
            </w:r>
          </w:p>
          <w:p w14:paraId="619B9422">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（2）危险废物</w:t>
            </w:r>
          </w:p>
          <w:p w14:paraId="2D5DC40D">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lang w:bidi="ar"/>
                <w14:textFill>
                  <w14:solidFill>
                    <w14:schemeClr w14:val="tx1"/>
                  </w14:solidFill>
                </w14:textFill>
              </w:rPr>
              <w:t>项目危险废物主要为沾染废乳化液刨花屑</w:t>
            </w:r>
            <w:r>
              <w:rPr>
                <w:rFonts w:hint="eastAsia" w:cs="Times New Roman"/>
                <w:color w:val="000000" w:themeColor="text1"/>
                <w:sz w:val="24"/>
                <w:highlight w:val="none"/>
                <w:lang w:eastAsia="zh-CN" w:bidi="ar"/>
                <w14:textFill>
                  <w14:solidFill>
                    <w14:schemeClr w14:val="tx1"/>
                  </w14:solidFill>
                </w14:textFill>
              </w:rPr>
              <w:t>、</w:t>
            </w:r>
            <w:r>
              <w:rPr>
                <w:rFonts w:hint="default" w:ascii="Times New Roman" w:hAnsi="Times New Roman" w:cs="Times New Roman"/>
                <w:color w:val="000000" w:themeColor="text1"/>
                <w:sz w:val="24"/>
                <w:highlight w:val="none"/>
                <w:lang w:bidi="ar"/>
                <w14:textFill>
                  <w14:solidFill>
                    <w14:schemeClr w14:val="tx1"/>
                  </w14:solidFill>
                </w14:textFill>
              </w:rPr>
              <w:t>废乳化液</w:t>
            </w:r>
            <w:r>
              <w:rPr>
                <w:rFonts w:hint="eastAsia" w:cs="Times New Roman"/>
                <w:color w:val="000000" w:themeColor="text1"/>
                <w:sz w:val="24"/>
                <w:highlight w:val="none"/>
                <w:lang w:eastAsia="zh-CN" w:bidi="ar"/>
                <w14:textFill>
                  <w14:solidFill>
                    <w14:schemeClr w14:val="tx1"/>
                  </w14:solidFill>
                </w14:textFill>
              </w:rPr>
              <w:t>、</w:t>
            </w:r>
            <w:r>
              <w:rPr>
                <w:rFonts w:hint="default" w:ascii="Times New Roman" w:hAnsi="Times New Roman" w:cs="Times New Roman"/>
                <w:color w:val="000000" w:themeColor="text1"/>
                <w:sz w:val="24"/>
                <w:highlight w:val="none"/>
                <w:lang w:bidi="ar"/>
                <w14:textFill>
                  <w14:solidFill>
                    <w14:schemeClr w14:val="tx1"/>
                  </w14:solidFill>
                </w14:textFill>
              </w:rPr>
              <w:t>脱模剂空桶</w:t>
            </w:r>
            <w:r>
              <w:rPr>
                <w:rFonts w:hint="eastAsia" w:cs="Times New Roman"/>
                <w:color w:val="000000" w:themeColor="text1"/>
                <w:sz w:val="24"/>
                <w:highlight w:val="none"/>
                <w:lang w:eastAsia="zh-CN" w:bidi="ar"/>
                <w14:textFill>
                  <w14:solidFill>
                    <w14:schemeClr w14:val="tx1"/>
                  </w14:solidFill>
                </w14:textFill>
              </w:rPr>
              <w:t>、</w:t>
            </w:r>
            <w:r>
              <w:rPr>
                <w:rFonts w:hint="eastAsia" w:ascii="Times New Roman" w:hAnsi="Times New Roman" w:cs="Times New Roman"/>
                <w:color w:val="000000" w:themeColor="text1"/>
                <w:sz w:val="24"/>
                <w:highlight w:val="none"/>
                <w:lang w:val="en-US" w:eastAsia="zh-CN" w:bidi="ar"/>
                <w14:textFill>
                  <w14:solidFill>
                    <w14:schemeClr w14:val="tx1"/>
                  </w14:solidFill>
                </w14:textFill>
              </w:rPr>
              <w:t>漆渣、漆料空桶</w:t>
            </w:r>
            <w:r>
              <w:rPr>
                <w:rFonts w:hint="eastAsia" w:ascii="Times New Roman" w:hAnsi="Times New Roman" w:cs="Times New Roman"/>
                <w:color w:val="000000" w:themeColor="text1"/>
                <w:sz w:val="24"/>
                <w:highlight w:val="none"/>
                <w:lang w:eastAsia="zh-CN" w:bidi="ar"/>
                <w14:textFill>
                  <w14:solidFill>
                    <w14:schemeClr w14:val="tx1"/>
                  </w14:solidFill>
                </w14:textFill>
              </w:rPr>
              <w:t>、</w:t>
            </w:r>
            <w:r>
              <w:rPr>
                <w:rFonts w:hint="eastAsia" w:ascii="Times New Roman" w:hAnsi="Times New Roman" w:cs="Times New Roman"/>
                <w:color w:val="000000" w:themeColor="text1"/>
                <w:sz w:val="24"/>
                <w:highlight w:val="none"/>
                <w:lang w:val="en-US" w:eastAsia="zh-CN" w:bidi="ar"/>
                <w14:textFill>
                  <w14:solidFill>
                    <w14:schemeClr w14:val="tx1"/>
                  </w14:solidFill>
                </w14:textFill>
              </w:rPr>
              <w:t>水帘柜废水、</w:t>
            </w:r>
            <w:r>
              <w:rPr>
                <w:rFonts w:hint="default" w:ascii="Times New Roman" w:hAnsi="Times New Roman" w:cs="Times New Roman"/>
                <w:color w:val="000000" w:themeColor="text1"/>
                <w:sz w:val="24"/>
                <w:highlight w:val="none"/>
                <w:lang w:bidi="ar"/>
                <w14:textFill>
                  <w14:solidFill>
                    <w14:schemeClr w14:val="tx1"/>
                  </w14:solidFill>
                </w14:textFill>
              </w:rPr>
              <w:t>废活性炭、</w:t>
            </w:r>
            <w:r>
              <w:rPr>
                <w:rFonts w:hint="eastAsia" w:cs="Times New Roman"/>
                <w:color w:val="000000" w:themeColor="text1"/>
                <w:sz w:val="24"/>
                <w:highlight w:val="none"/>
                <w:lang w:val="en-US" w:eastAsia="zh-CN" w:bidi="ar"/>
                <w14:textFill>
                  <w14:solidFill>
                    <w14:schemeClr w14:val="tx1"/>
                  </w14:solidFill>
                </w14:textFill>
              </w:rPr>
              <w:t>废过滤棉、</w:t>
            </w:r>
            <w:r>
              <w:rPr>
                <w:rFonts w:hint="default" w:ascii="Times New Roman" w:hAnsi="Times New Roman" w:cs="Times New Roman"/>
                <w:color w:val="000000" w:themeColor="text1"/>
                <w:sz w:val="24"/>
                <w:highlight w:val="none"/>
                <w:lang w:bidi="ar"/>
                <w14:textFill>
                  <w14:solidFill>
                    <w14:schemeClr w14:val="tx1"/>
                  </w14:solidFill>
                </w14:textFill>
              </w:rPr>
              <w:t>废机油、废机油桶、废劳保用品</w:t>
            </w:r>
            <w:r>
              <w:rPr>
                <w:rFonts w:hint="default" w:ascii="Times New Roman" w:hAnsi="Times New Roman" w:cs="Times New Roman"/>
                <w:color w:val="000000" w:themeColor="text1"/>
                <w:sz w:val="24"/>
                <w:highlight w:val="none"/>
                <w14:textFill>
                  <w14:solidFill>
                    <w14:schemeClr w14:val="tx1"/>
                  </w14:solidFill>
                </w14:textFill>
              </w:rPr>
              <w:t>等最大贮存量总计为28.7583t/a，贮存于危废暂存间内，</w:t>
            </w:r>
            <w:r>
              <w:rPr>
                <w:rFonts w:hint="default" w:ascii="Times New Roman" w:hAnsi="Times New Roman" w:cs="Times New Roman"/>
                <w:color w:val="000000" w:themeColor="text1"/>
                <w:sz w:val="24"/>
                <w:highlight w:val="none"/>
                <w:lang w:bidi="ar"/>
                <w14:textFill>
                  <w14:solidFill>
                    <w14:schemeClr w14:val="tx1"/>
                  </w14:solidFill>
                </w14:textFill>
              </w:rPr>
              <w:t>在</w:t>
            </w:r>
            <w:r>
              <w:rPr>
                <w:rFonts w:hint="eastAsia" w:ascii="Times New Roman" w:hAnsi="Times New Roman" w:cs="Times New Roman"/>
                <w:color w:val="000000" w:themeColor="text1"/>
                <w:sz w:val="24"/>
                <w:highlight w:val="none"/>
                <w:lang w:val="en-US" w:eastAsia="zh-CN"/>
                <w14:textFill>
                  <w14:solidFill>
                    <w14:schemeClr w14:val="tx1"/>
                  </w14:solidFill>
                </w14:textFill>
              </w:rPr>
              <w:t>车间内</w:t>
            </w:r>
            <w:r>
              <w:rPr>
                <w:rFonts w:hint="eastAsia" w:cs="Times New Roman"/>
                <w:color w:val="000000" w:themeColor="text1"/>
                <w:sz w:val="24"/>
                <w:highlight w:val="none"/>
                <w:lang w:val="en-US" w:eastAsia="zh-CN"/>
                <w14:textFill>
                  <w14:solidFill>
                    <w14:schemeClr w14:val="tx1"/>
                  </w14:solidFill>
                </w14:textFill>
              </w:rPr>
              <w:t>机加工区南侧</w:t>
            </w:r>
            <w:r>
              <w:rPr>
                <w:rFonts w:hint="default" w:ascii="Times New Roman" w:hAnsi="Times New Roman" w:cs="Times New Roman"/>
                <w:color w:val="000000" w:themeColor="text1"/>
                <w:sz w:val="24"/>
                <w:highlight w:val="none"/>
                <w:lang w:bidi="ar"/>
                <w14:textFill>
                  <w14:solidFill>
                    <w14:schemeClr w14:val="tx1"/>
                  </w14:solidFill>
                </w14:textFill>
              </w:rPr>
              <w:t>建设1间危废暂存间（占地面积</w:t>
            </w:r>
            <w:r>
              <w:rPr>
                <w:rFonts w:hint="eastAsia" w:cs="Times New Roman"/>
                <w:color w:val="000000" w:themeColor="text1"/>
                <w:sz w:val="24"/>
                <w:highlight w:val="none"/>
                <w:lang w:val="en-US" w:eastAsia="zh-CN" w:bidi="ar"/>
                <w14:textFill>
                  <w14:solidFill>
                    <w14:schemeClr w14:val="tx1"/>
                  </w14:solidFill>
                </w14:textFill>
              </w:rPr>
              <w:t>46</w:t>
            </w:r>
            <w:r>
              <w:rPr>
                <w:rFonts w:hint="default" w:ascii="Times New Roman" w:hAnsi="Times New Roman" w:cs="Times New Roman"/>
                <w:color w:val="000000" w:themeColor="text1"/>
                <w:sz w:val="24"/>
                <w:highlight w:val="none"/>
                <w:lang w:bidi="ar"/>
                <w14:textFill>
                  <w14:solidFill>
                    <w14:schemeClr w14:val="tx1"/>
                  </w14:solidFill>
                </w14:textFill>
              </w:rPr>
              <w:t>m</w:t>
            </w:r>
            <w:r>
              <w:rPr>
                <w:rFonts w:hint="default" w:ascii="Times New Roman" w:hAnsi="Times New Roman" w:cs="Times New Roman"/>
                <w:color w:val="000000" w:themeColor="text1"/>
                <w:sz w:val="24"/>
                <w:highlight w:val="none"/>
                <w:vertAlign w:val="superscript"/>
                <w:lang w:bidi="ar"/>
                <w14:textFill>
                  <w14:solidFill>
                    <w14:schemeClr w14:val="tx1"/>
                  </w14:solidFill>
                </w14:textFill>
              </w:rPr>
              <w:t>2</w:t>
            </w:r>
            <w:r>
              <w:rPr>
                <w:rFonts w:hint="default" w:ascii="Times New Roman" w:hAnsi="Times New Roman" w:cs="Times New Roman"/>
                <w:color w:val="000000" w:themeColor="text1"/>
                <w:sz w:val="24"/>
                <w:highlight w:val="none"/>
                <w:lang w:bidi="ar"/>
                <w14:textFill>
                  <w14:solidFill>
                    <w14:schemeClr w14:val="tx1"/>
                  </w14:solidFill>
                </w14:textFill>
              </w:rPr>
              <w:t>）</w:t>
            </w:r>
            <w:r>
              <w:rPr>
                <w:rFonts w:hint="default" w:ascii="Times New Roman" w:hAnsi="Times New Roman" w:cs="Times New Roman"/>
                <w:color w:val="000000" w:themeColor="text1"/>
                <w:sz w:val="24"/>
                <w:highlight w:val="none"/>
                <w:lang w:eastAsia="zh-CN" w:bidi="ar"/>
                <w14:textFill>
                  <w14:solidFill>
                    <w14:schemeClr w14:val="tx1"/>
                  </w14:solidFill>
                </w14:textFill>
              </w:rPr>
              <w:t>，</w:t>
            </w:r>
            <w:r>
              <w:rPr>
                <w:rFonts w:hint="default" w:ascii="Times New Roman" w:hAnsi="Times New Roman" w:cs="Times New Roman"/>
                <w:color w:val="000000" w:themeColor="text1"/>
                <w:sz w:val="24"/>
                <w:highlight w:val="none"/>
                <w:lang w:val="en-US" w:eastAsia="zh-CN" w:bidi="ar"/>
                <w14:textFill>
                  <w14:solidFill>
                    <w14:schemeClr w14:val="tx1"/>
                  </w14:solidFill>
                </w14:textFill>
              </w:rPr>
              <w:t>设计储存能力为</w:t>
            </w:r>
            <w:r>
              <w:rPr>
                <w:rFonts w:hint="eastAsia" w:cs="Times New Roman"/>
                <w:color w:val="000000" w:themeColor="text1"/>
                <w:sz w:val="24"/>
                <w:highlight w:val="none"/>
                <w:lang w:val="en-US" w:eastAsia="zh-CN" w:bidi="ar"/>
                <w14:textFill>
                  <w14:solidFill>
                    <w14:schemeClr w14:val="tx1"/>
                  </w14:solidFill>
                </w14:textFill>
              </w:rPr>
              <w:t>60</w:t>
            </w:r>
            <w:r>
              <w:rPr>
                <w:rFonts w:hint="default" w:ascii="Times New Roman" w:hAnsi="Times New Roman" w:cs="Times New Roman"/>
                <w:color w:val="000000" w:themeColor="text1"/>
                <w:sz w:val="24"/>
                <w:highlight w:val="none"/>
                <w:lang w:val="en-US" w:eastAsia="zh-CN" w:bidi="ar"/>
                <w14:textFill>
                  <w14:solidFill>
                    <w14:schemeClr w14:val="tx1"/>
                  </w14:solidFill>
                </w14:textFill>
              </w:rPr>
              <w:t>t/a</w:t>
            </w:r>
            <w:r>
              <w:rPr>
                <w:rFonts w:hint="default" w:ascii="Times New Roman" w:hAnsi="Times New Roman" w:cs="Times New Roman"/>
                <w:color w:val="000000" w:themeColor="text1"/>
                <w:sz w:val="24"/>
                <w:highlight w:val="none"/>
                <w:lang w:bidi="ar"/>
                <w14:textFill>
                  <w14:solidFill>
                    <w14:schemeClr w14:val="tx1"/>
                  </w14:solidFill>
                </w14:textFill>
              </w:rPr>
              <w:t>，可满足项目危废暂存要求。</w:t>
            </w:r>
          </w:p>
          <w:p w14:paraId="3FCC89C9">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危险废物环境管理要求‌主要包括落实九项制度、建设三类设施、开展一项业务培训，以及强化危险废物全过程信息化环境管理。九项制度包括污染防治责任制度、识别标识制度、管理计划及备案制度、申报登记制度、管理台账制度、源头分类制度、转移联单制度、经营许可证制度、应急预案及备案制度。制度的实施旨在确保危险废物的产生、收集、贮存、运输、利用和处置等各个环节都有明确的管理措施和责任人，从而减少环境污染风险</w:t>
            </w:r>
            <w:r>
              <w:rPr>
                <w:rFonts w:hint="eastAsia" w:cs="Times New Roman"/>
                <w:color w:val="000000" w:themeColor="text1"/>
                <w:sz w:val="24"/>
                <w:highlight w:val="none"/>
                <w:lang w:eastAsia="zh-CN"/>
                <w14:textFill>
                  <w14:solidFill>
                    <w14:schemeClr w14:val="tx1"/>
                  </w14:solidFill>
                </w14:textFill>
              </w:rPr>
              <w:t>。每年开展与危险废物相关的业务培训，以提高员工对危险废物管理的认识和能力，确保各项管理要求得到有效执行。‌</w:t>
            </w:r>
            <w:r>
              <w:rPr>
                <w:rFonts w:hint="default" w:ascii="Times New Roman" w:hAnsi="Times New Roman" w:cs="Times New Roman"/>
                <w:color w:val="000000" w:themeColor="text1"/>
                <w:sz w:val="24"/>
                <w:highlight w:val="none"/>
                <w14:textFill>
                  <w14:solidFill>
                    <w14:schemeClr w14:val="tx1"/>
                  </w14:solidFill>
                </w14:textFill>
              </w:rPr>
              <w:t>‌</w:t>
            </w:r>
          </w:p>
          <w:p w14:paraId="624DAD71">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危废暂存间的建设应符合《危险废物贮存污染控制标准》（GB18597-2023）的有关要求建设，具体要求如下：</w:t>
            </w:r>
          </w:p>
          <w:p w14:paraId="5D6F05BB">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（1）贮存设施污染控制要求</w:t>
            </w:r>
          </w:p>
          <w:p w14:paraId="43BEA7D0">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①贮存设施应根据危险废物的形态、物理化学性质、包装形式和污染物迁移途径，采取必要的防风、防晒、防雨、防漏、防渗、防腐以及其他环境污染防治措施，不应露天堆放危险废物。</w:t>
            </w:r>
          </w:p>
          <w:p w14:paraId="62837402">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②贮存设施应根据危险废物的类别、数量、形态、物理化学性质和污染防治等要求设置必要的贮存分区，避免不相容的危险废物接触、混合。</w:t>
            </w:r>
          </w:p>
          <w:p w14:paraId="776E80B8">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③贮存设施或贮存分区内地面、墙面裙脚、堵截泄漏的围堰、接触危险废物的隔板和墙体等应采用坚固的材料建造，表面无裂缝。</w:t>
            </w:r>
          </w:p>
          <w:p w14:paraId="4E4D73F8">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④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hint="default" w:ascii="Times New Roman" w:hAnsi="Times New Roman" w:cs="Times New Roman"/>
                <w:color w:val="000000" w:themeColor="text1"/>
                <w:sz w:val="24"/>
                <w:highlight w:val="none"/>
                <w:vertAlign w:val="superscript"/>
                <w14:textFill>
                  <w14:solidFill>
                    <w14:schemeClr w14:val="tx1"/>
                  </w14:solidFill>
                </w14:textFill>
              </w:rPr>
              <w:t>-7</w:t>
            </w:r>
            <w:r>
              <w:rPr>
                <w:rFonts w:hint="default" w:ascii="Times New Roman" w:hAnsi="Times New Roman" w:cs="Times New Roman"/>
                <w:color w:val="000000" w:themeColor="text1"/>
                <w:sz w:val="24"/>
                <w:highlight w:val="none"/>
                <w14:textFill>
                  <w14:solidFill>
                    <w14:schemeClr w14:val="tx1"/>
                  </w14:solidFill>
                </w14:textFill>
              </w:rPr>
              <w:t>cm/s），或至少2mm厚高密度聚乙烯膜等人工防渗材料（渗透系数不大于10</w:t>
            </w:r>
            <w:r>
              <w:rPr>
                <w:rFonts w:hint="default" w:ascii="Times New Roman" w:hAnsi="Times New Roman" w:cs="Times New Roman"/>
                <w:color w:val="000000" w:themeColor="text1"/>
                <w:sz w:val="24"/>
                <w:highlight w:val="none"/>
                <w:vertAlign w:val="superscript"/>
                <w14:textFill>
                  <w14:solidFill>
                    <w14:schemeClr w14:val="tx1"/>
                  </w14:solidFill>
                </w14:textFill>
              </w:rPr>
              <w:t>-10</w:t>
            </w:r>
            <w:r>
              <w:rPr>
                <w:rFonts w:hint="default" w:ascii="Times New Roman" w:hAnsi="Times New Roman" w:cs="Times New Roman"/>
                <w:color w:val="000000" w:themeColor="text1"/>
                <w:sz w:val="24"/>
                <w:highlight w:val="none"/>
                <w14:textFill>
                  <w14:solidFill>
                    <w14:schemeClr w14:val="tx1"/>
                  </w14:solidFill>
                </w14:textFill>
              </w:rPr>
              <w:t>cm/s），或其他防渗性能等效的材料。</w:t>
            </w:r>
          </w:p>
          <w:p w14:paraId="44DD2ADC">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⑤同一贮存设施宜采用相同的防渗、防腐工艺（包括防渗、防腐结构或材料），防渗、防腐材料应覆盖所有可能与废物及其渗滤液、渗漏液等接触的构筑物表面；采用不同防渗、防腐工艺应分别建设贮存分区。</w:t>
            </w:r>
          </w:p>
          <w:p w14:paraId="29977989">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⑥贮存设施应采取技术和管理措施防止无关人员进入。</w:t>
            </w:r>
          </w:p>
          <w:p w14:paraId="6CE02F85">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（2）容器和包装物污染控制要求</w:t>
            </w:r>
          </w:p>
          <w:p w14:paraId="017EA23B">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①容器和包装物材质、内衬应与盛装的危险废物相容</w:t>
            </w:r>
            <w:r>
              <w:rPr>
                <w:rFonts w:hint="eastAsia" w:ascii="Times New Roman" w:hAnsi="Times New Roman" w:eastAsia="宋体" w:cs="Times New Roman"/>
                <w:b w:val="0"/>
                <w:bCs/>
                <w:color w:val="000000" w:themeColor="text1"/>
                <w:sz w:val="24"/>
                <w:szCs w:val="24"/>
                <w:highlight w:val="none"/>
                <w:lang w:val="en-US" w:eastAsia="zh-CN"/>
                <w14:textFill>
                  <w14:solidFill>
                    <w14:schemeClr w14:val="tx1"/>
                  </w14:solidFill>
                </w14:textFill>
              </w:rPr>
              <w:t>（可根据废物特性选择钢、铝、塑料等材质，要求能够有效隔断危险废物迁移扩散途径，并达到防渗防漏要求）</w:t>
            </w:r>
            <w:r>
              <w:rPr>
                <w:rFonts w:hint="default" w:ascii="Times New Roman" w:hAnsi="Times New Roman" w:cs="Times New Roman"/>
                <w:color w:val="000000" w:themeColor="text1"/>
                <w:sz w:val="24"/>
                <w:highlight w:val="none"/>
                <w14:textFill>
                  <w14:solidFill>
                    <w14:schemeClr w14:val="tx1"/>
                  </w14:solidFill>
                </w14:textFill>
              </w:rPr>
              <w:t>。</w:t>
            </w:r>
          </w:p>
          <w:p w14:paraId="3421A3B7">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②针对不同类别、形态、物理化学性质的危险废物，其容器和包装物应满足相应的防渗、防漏、防腐和强度等要求。</w:t>
            </w:r>
          </w:p>
          <w:p w14:paraId="0FF194D6">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③硬质容器和包装物及其支护结构堆叠码放时不应有明显变形，无破损泄漏。</w:t>
            </w:r>
          </w:p>
          <w:p w14:paraId="30DB61AC">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④柔性容器和包装物堆叠码放时应封口严密，无破损泄漏。</w:t>
            </w:r>
          </w:p>
          <w:p w14:paraId="774C2A4A">
            <w:pPr>
              <w:pStyle w:val="127"/>
              <w:adjustRightInd w:val="0"/>
              <w:snapToGrid w:val="0"/>
              <w:spacing w:line="360" w:lineRule="auto"/>
              <w:rPr>
                <w:rFonts w:hint="default" w:ascii="Times New Roman" w:hAnsi="Times New Roman" w:cs="Times New Roman"/>
                <w:color w:val="000000" w:themeColor="text1"/>
                <w:sz w:val="24"/>
                <w:highlight w:val="none"/>
                <w14:textFill>
                  <w14:solidFill>
                    <w14:schemeClr w14:val="tx1"/>
                  </w14:solidFill>
                </w14:textFill>
              </w:rPr>
            </w:pPr>
            <w:r>
              <w:rPr>
                <w:rFonts w:hint="default" w:ascii="Times New Roman" w:hAnsi="Times New Roman" w:cs="Times New Roman"/>
                <w:color w:val="000000" w:themeColor="text1"/>
                <w:sz w:val="24"/>
                <w:highlight w:val="none"/>
                <w14:textFill>
                  <w14:solidFill>
                    <w14:schemeClr w14:val="tx1"/>
                  </w14:solidFill>
                </w14:textFill>
              </w:rPr>
              <w:t>⑤使用容器盛装液态、半固态危险废物时，容器内部应留有适当的空间，以适应因温度变化等可能引发的收缩和膨胀，防止其导致容器渗漏或永久变形。</w:t>
            </w:r>
          </w:p>
          <w:p w14:paraId="08361BD7">
            <w:pPr>
              <w:pStyle w:val="127"/>
              <w:adjustRightInd w:val="0"/>
              <w:snapToGrid w:val="0"/>
              <w:spacing w:line="360" w:lineRule="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⑥</w:t>
            </w: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盛装危险废物的容器上必须粘贴相关标准的标签，并在标签上详细说明：a、装有容器的重量、成分；b、发生渗漏和扩散时应采取的应急措施。</w:t>
            </w:r>
          </w:p>
          <w:p w14:paraId="3916FF5E">
            <w:pPr>
              <w:pStyle w:val="127"/>
              <w:adjustRightInd w:val="0"/>
              <w:snapToGrid w:val="0"/>
              <w:spacing w:line="360" w:lineRule="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14:textFill>
                  <w14:solidFill>
                    <w14:schemeClr w14:val="tx1"/>
                  </w14:solidFill>
                </w14:textFill>
              </w:rPr>
              <w:t>⑦</w:t>
            </w:r>
            <w:r>
              <w:rPr>
                <w:rFonts w:hint="default" w:ascii="Times New Roman" w:hAnsi="Times New Roman" w:eastAsia="宋体" w:cs="Times New Roman"/>
                <w:color w:val="000000" w:themeColor="text1"/>
                <w:sz w:val="24"/>
                <w:highlight w:val="none"/>
                <w14:textFill>
                  <w14:solidFill>
                    <w14:schemeClr w14:val="tx1"/>
                  </w14:solidFill>
                </w14:textFill>
              </w:rPr>
              <w:t>容器和包装物外表面应保持清洁。</w:t>
            </w:r>
          </w:p>
          <w:p w14:paraId="69B83CB3">
            <w:pPr>
              <w:pStyle w:val="127"/>
              <w:adjustRightInd w:val="0"/>
              <w:snapToGrid w:val="0"/>
              <w:spacing w:line="360" w:lineRule="auto"/>
              <w:rPr>
                <w:rFonts w:hint="default" w:ascii="Times New Roman" w:hAnsi="Times New Roman" w:eastAsia="宋体" w:cs="Times New Roman"/>
                <w:color w:val="000000" w:themeColor="text1"/>
                <w:sz w:val="24"/>
                <w:highlight w:val="none"/>
                <w14:textFill>
                  <w14:solidFill>
                    <w14:schemeClr w14:val="tx1"/>
                  </w14:solidFill>
                </w14:textFill>
              </w:rPr>
            </w:pPr>
            <w:r>
              <w:rPr>
                <w:rFonts w:hint="default" w:ascii="Times New Roman" w:hAnsi="Times New Roman" w:eastAsia="宋体" w:cs="Times New Roman"/>
                <w:color w:val="000000" w:themeColor="text1"/>
                <w:sz w:val="24"/>
                <w:highlight w:val="none"/>
                <w14:textFill>
                  <w14:solidFill>
                    <w14:schemeClr w14:val="tx1"/>
                  </w14:solidFill>
                </w14:textFill>
              </w:rPr>
              <w:t>本项目固体废物按照相关的贮存处置标准进行处理，一般固体废物暂存库地面由高标号水泥硬化防渗，同时由于本项目固体废物只是临时存放周转，基本上不存在长期堆放的问题，只要加强管理，对地下水基本不会产生影响。本项目产生的各种固体废物均得到妥善处理/处置，不会造成二次污染。项目产生的固体废物均可得到合理处置，对外环境影响较小。</w:t>
            </w:r>
          </w:p>
          <w:p w14:paraId="56912862">
            <w:pPr>
              <w:shd w:val="clear" w:color="auto" w:fill="auto"/>
              <w:ind w:firstLine="482"/>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五、地下水和土壤</w:t>
            </w:r>
          </w:p>
          <w:p w14:paraId="7706B479">
            <w:pPr>
              <w:pStyle w:val="108"/>
              <w:shd w:val="clear" w:color="auto" w:fill="auto"/>
              <w:jc w:val="both"/>
              <w:rPr>
                <w:rFonts w:hint="default" w:ascii="Times New Roman" w:hAnsi="Times New Roman" w:cs="Times New Roman"/>
                <w:color w:val="000000" w:themeColor="text1"/>
                <w:kern w:val="0"/>
                <w:highlight w:val="none"/>
                <w14:textFill>
                  <w14:solidFill>
                    <w14:schemeClr w14:val="tx1"/>
                  </w14:solidFill>
                </w14:textFill>
              </w:rPr>
            </w:pPr>
            <w:r>
              <w:rPr>
                <w:rFonts w:hint="default" w:ascii="Times New Roman" w:hAnsi="Times New Roman" w:cs="Times New Roman"/>
                <w:color w:val="000000" w:themeColor="text1"/>
                <w:kern w:val="0"/>
                <w:highlight w:val="none"/>
                <w14:textFill>
                  <w14:solidFill>
                    <w14:schemeClr w14:val="tx1"/>
                  </w14:solidFill>
                </w14:textFill>
              </w:rPr>
              <w:t>1、污染源</w:t>
            </w:r>
          </w:p>
          <w:p w14:paraId="03F90021">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根据对项目生产过程及存储方式等进行分析，本项目对地下水及土壤环境影响的污染源有：</w:t>
            </w:r>
            <w:r>
              <w:rPr>
                <w:rFonts w:hint="eastAsia" w:ascii="Times New Roman" w:hAnsi="Times New Roman" w:cs="Times New Roman"/>
                <w:color w:val="000000" w:themeColor="text1"/>
                <w:highlight w:val="none"/>
                <w:lang w:val="en-US" w:eastAsia="zh-CN"/>
                <w14:textFill>
                  <w14:solidFill>
                    <w14:schemeClr w14:val="tx1"/>
                  </w14:solidFill>
                </w14:textFill>
              </w:rPr>
              <w:t>循环水池、乳化液池、</w:t>
            </w:r>
            <w:r>
              <w:rPr>
                <w:rFonts w:hint="default" w:ascii="Times New Roman" w:hAnsi="Times New Roman" w:cs="Times New Roman"/>
                <w:color w:val="000000" w:themeColor="text1"/>
                <w:highlight w:val="none"/>
                <w14:textFill>
                  <w14:solidFill>
                    <w14:schemeClr w14:val="tx1"/>
                  </w14:solidFill>
                </w14:textFill>
              </w:rPr>
              <w:t>污水处理设施</w:t>
            </w:r>
            <w:r>
              <w:rPr>
                <w:rFonts w:hint="default" w:ascii="Times New Roman" w:hAnsi="Times New Roman" w:cs="Times New Roman"/>
                <w:color w:val="000000" w:themeColor="text1"/>
                <w:szCs w:val="24"/>
                <w:highlight w:val="none"/>
                <w14:textFill>
                  <w14:solidFill>
                    <w14:schemeClr w14:val="tx1"/>
                  </w14:solidFill>
                </w14:textFill>
              </w:rPr>
              <w:t>、污水管线、生产车间、一般固废间、危废间等，主要污染物为废水、危险废物。</w:t>
            </w:r>
          </w:p>
          <w:p w14:paraId="6D16BF7F">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2、污染途径</w:t>
            </w:r>
          </w:p>
          <w:p w14:paraId="77ADCCBF">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本项目对地下水及土壤产生污染的途径主要是渗透污染、大气沉降。渗透污染、大气沉降是导致地下水及土壤污染的普遍原因和主要方式，主要产生可能性来自：</w:t>
            </w:r>
          </w:p>
          <w:p w14:paraId="7AC68E29">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（1）厂区内</w:t>
            </w:r>
            <w:r>
              <w:rPr>
                <w:rFonts w:hint="eastAsia" w:ascii="Times New Roman" w:hAnsi="Times New Roman" w:cs="Times New Roman"/>
                <w:color w:val="000000" w:themeColor="text1"/>
                <w:highlight w:val="none"/>
                <w:lang w:val="en-US" w:eastAsia="zh-CN"/>
                <w14:textFill>
                  <w14:solidFill>
                    <w14:schemeClr w14:val="tx1"/>
                  </w14:solidFill>
                </w14:textFill>
              </w:rPr>
              <w:t>循环水池、乳化液池、</w:t>
            </w:r>
            <w:r>
              <w:rPr>
                <w:rFonts w:hint="default" w:ascii="Times New Roman" w:hAnsi="Times New Roman" w:cs="Times New Roman"/>
                <w:color w:val="000000" w:themeColor="text1"/>
                <w:szCs w:val="24"/>
                <w:highlight w:val="none"/>
                <w14:textFill>
                  <w14:solidFill>
                    <w14:schemeClr w14:val="tx1"/>
                  </w14:solidFill>
                </w14:textFill>
              </w:rPr>
              <w:t>污水处理设施、污水管线在未采取防渗防漏措施的情况下，废水将从构筑物下渗入含水层而污染地下水及土壤。</w:t>
            </w:r>
          </w:p>
          <w:p w14:paraId="459ADA27">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（2）厂区大气污染物排放在未采取防渗防漏措施的情况下，废气污染因子将沉降地面导致污染土壤。</w:t>
            </w:r>
          </w:p>
          <w:p w14:paraId="28B2C972">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（3）危险化学品、危险废物由于收集、贮放、运输、处置等环节的不严格或不妥善发生渗漏，从而造成土壤、地下水污染。</w:t>
            </w:r>
          </w:p>
          <w:p w14:paraId="2E2D4323">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3、影响分析</w:t>
            </w:r>
          </w:p>
          <w:p w14:paraId="15F49BD0">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（1）正常情况下地下水环境影响分析</w:t>
            </w:r>
          </w:p>
          <w:p w14:paraId="4C7B8853">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本项目通过采取本评价提出的环保措施后，对</w:t>
            </w:r>
            <w:r>
              <w:rPr>
                <w:rFonts w:hint="eastAsia" w:ascii="Times New Roman" w:hAnsi="Times New Roman" w:cs="Times New Roman"/>
                <w:color w:val="000000" w:themeColor="text1"/>
                <w:highlight w:val="none"/>
                <w:lang w:val="en-US" w:eastAsia="zh-CN"/>
                <w14:textFill>
                  <w14:solidFill>
                    <w14:schemeClr w14:val="tx1"/>
                  </w14:solidFill>
                </w14:textFill>
              </w:rPr>
              <w:t>循环水池、乳化液池、</w:t>
            </w:r>
            <w:r>
              <w:rPr>
                <w:rFonts w:hint="default" w:ascii="Times New Roman" w:hAnsi="Times New Roman" w:cs="Times New Roman"/>
                <w:color w:val="000000" w:themeColor="text1"/>
                <w:szCs w:val="24"/>
                <w:highlight w:val="none"/>
                <w14:textFill>
                  <w14:solidFill>
                    <w14:schemeClr w14:val="tx1"/>
                  </w14:solidFill>
                </w14:textFill>
              </w:rPr>
              <w:t>污水处理设施、原料仓库、污水管线、生产车间、一般固废间、危废间进行严格的防渗处理后，废水下渗量很小，在正常情况下对地下水及土壤不会造成污染。</w:t>
            </w:r>
          </w:p>
          <w:p w14:paraId="39F4FFC6">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（2）非正常情况下地下水环境影响分析</w:t>
            </w:r>
          </w:p>
          <w:p w14:paraId="2F7BDB83">
            <w:pPr>
              <w:pStyle w:val="119"/>
              <w:shd w:val="clear" w:color="auto" w:fill="auto"/>
              <w:ind w:firstLine="480"/>
              <w:jc w:val="both"/>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根据场地水文地质条件，</w:t>
            </w:r>
            <w:r>
              <w:rPr>
                <w:rFonts w:hint="eastAsia" w:ascii="Times New Roman" w:hAnsi="Times New Roman" w:cs="Times New Roman"/>
                <w:color w:val="000000" w:themeColor="text1"/>
                <w:highlight w:val="none"/>
                <w:lang w:val="en-US" w:eastAsia="zh-CN"/>
                <w14:textFill>
                  <w14:solidFill>
                    <w14:schemeClr w14:val="tx1"/>
                  </w14:solidFill>
                </w14:textFill>
              </w:rPr>
              <w:t>循环水池、乳化液池、</w:t>
            </w:r>
            <w:r>
              <w:rPr>
                <w:rFonts w:hint="default" w:ascii="Times New Roman" w:hAnsi="Times New Roman" w:cs="Times New Roman"/>
                <w:color w:val="000000" w:themeColor="text1"/>
                <w:szCs w:val="24"/>
                <w:highlight w:val="none"/>
                <w14:textFill>
                  <w14:solidFill>
                    <w14:schemeClr w14:val="tx1"/>
                  </w14:solidFill>
                </w14:textFill>
              </w:rPr>
              <w:t>污水处理设施、污水管线、生产车间、一般固废间、危废间，若发生渗漏废水将通过地表水入渗进入地下污染地下水及土壤。</w:t>
            </w:r>
          </w:p>
          <w:p w14:paraId="30B4C65B">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由于污染物的存在，非正常状况下，将不可避免地对项目所在区域周围，特别是下游部分区域的地下水及土壤产生一定程度的污染。因此，建设单位应积极采取有效的防渗措施，定期监控，一旦发现废液渗漏后，采取有效的应急措施，避免泄漏持续发生。</w:t>
            </w:r>
          </w:p>
          <w:p w14:paraId="729EC4B5">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4、防范措施</w:t>
            </w:r>
          </w:p>
          <w:p w14:paraId="585F7662">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针对上述情况，企业采取以下措施，以减轻对地下水及土壤的污染。</w:t>
            </w:r>
          </w:p>
          <w:p w14:paraId="3658D51F">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（1）源头控制措施</w:t>
            </w:r>
          </w:p>
          <w:p w14:paraId="70F10610">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项目废气可达标排放，废水经收集、处理，各类固态废物均能得以妥善处置，有效减少了污染物的排放量。</w:t>
            </w:r>
          </w:p>
          <w:p w14:paraId="4C93F5AF">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（2）分区防治措施</w:t>
            </w:r>
          </w:p>
          <w:p w14:paraId="54039901">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生产废气妥善处理后排放。</w:t>
            </w:r>
          </w:p>
          <w:p w14:paraId="7FE06C54">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废水收集处理构筑物在工程设计时采用混凝土构造，并按照相应的标准设置了防渗层，防止污水下渗污染地下水及土壤。在正常生产情况下，企业做好防渗处理条件下，项目废水不会直接渗入土壤，也不会对地下水造成影响。</w:t>
            </w:r>
          </w:p>
          <w:p w14:paraId="785D8926">
            <w:pPr>
              <w:shd w:val="clear" w:color="auto" w:fill="auto"/>
              <w:adjustRightInd w:val="0"/>
              <w:snapToGrid w:val="0"/>
              <w:ind w:firstLine="480"/>
              <w:jc w:val="both"/>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3</w:t>
            </w:r>
            <w:r>
              <w:rPr>
                <w:rFonts w:hint="eastAsia" w:cs="Times New Roman"/>
                <w:color w:val="000000" w:themeColor="text1"/>
                <w:highlight w:val="none"/>
                <w:lang w:eastAsia="zh-CN"/>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环境风险防范措施</w:t>
            </w:r>
          </w:p>
          <w:p w14:paraId="15A3A03B">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加强地下水环境监管，制定并实施地下水污染防治政策及技术工程措施，推进地表水、地下水和土壤污染协同控制</w:t>
            </w:r>
            <w:r>
              <w:rPr>
                <w:rFonts w:hint="eastAsia" w:cs="Times New Roman"/>
                <w:color w:val="000000" w:themeColor="text1"/>
                <w:highlight w:val="none"/>
                <w:lang w:eastAsia="zh-CN"/>
                <w14:textFill>
                  <w14:solidFill>
                    <w14:schemeClr w14:val="tx1"/>
                  </w14:solidFill>
                </w14:textFill>
              </w:rPr>
              <w:t>。地下水污染防治重点排污单位应参照相关指南完成地下水污染渗漏排查，并对存在问题的设施采取污染防渗改造措施。完善地下水污染防治目标责任制，建立水质变化趋势和污染防治措施双重评估考核制，</w:t>
            </w:r>
            <w:r>
              <w:rPr>
                <w:rFonts w:hint="eastAsia" w:cs="Times New Roman"/>
                <w:color w:val="000000" w:themeColor="text1"/>
                <w:highlight w:val="none"/>
                <w:lang w:val="en-US" w:eastAsia="zh-CN"/>
                <w14:textFill>
                  <w14:solidFill>
                    <w14:schemeClr w14:val="tx1"/>
                  </w14:solidFill>
                </w14:textFill>
              </w:rPr>
              <w:t>执行</w:t>
            </w:r>
            <w:r>
              <w:rPr>
                <w:rFonts w:hint="eastAsia" w:cs="Times New Roman"/>
                <w:color w:val="000000" w:themeColor="text1"/>
                <w:highlight w:val="none"/>
                <w:lang w:eastAsia="zh-CN"/>
                <w14:textFill>
                  <w14:solidFill>
                    <w14:schemeClr w14:val="tx1"/>
                  </w14:solidFill>
                </w14:textFill>
              </w:rPr>
              <w:t>责任追究制‌。‌</w:t>
            </w:r>
            <w:r>
              <w:rPr>
                <w:rFonts w:hint="default" w:ascii="Times New Roman" w:hAnsi="Times New Roman" w:cs="Times New Roman"/>
                <w:color w:val="000000" w:themeColor="text1"/>
                <w:highlight w:val="none"/>
                <w14:textFill>
                  <w14:solidFill>
                    <w14:schemeClr w14:val="tx1"/>
                  </w14:solidFill>
                </w14:textFill>
              </w:rPr>
              <w:t>‌</w:t>
            </w:r>
          </w:p>
          <w:p w14:paraId="7E6468D7">
            <w:pPr>
              <w:shd w:val="clear" w:color="auto" w:fill="auto"/>
              <w:adjustRightInd w:val="0"/>
              <w:snapToGrid w:val="0"/>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固体废物，厂内均设置专门的贮存场所，厂区地面进行硬化处理，环评要求按照下表防渗标准分区设置防渗区，建立防渗设施的检漏系统，防止污染物的跑、冒、滴、漏，将污染物泄漏的环境风险事故降到最低限度。</w:t>
            </w:r>
          </w:p>
          <w:p w14:paraId="423B39E5">
            <w:pPr>
              <w:shd w:val="clear" w:color="auto" w:fill="auto"/>
              <w:adjustRightInd w:val="0"/>
              <w:snapToGrid w:val="0"/>
              <w:spacing w:line="240" w:lineRule="auto"/>
              <w:ind w:firstLine="0" w:firstLineChars="0"/>
              <w:jc w:val="center"/>
              <w:rPr>
                <w:rFonts w:hint="default" w:ascii="Times New Roman" w:hAnsi="Times New Roman" w:cs="Times New Roman"/>
                <w:b/>
                <w:color w:val="000000" w:themeColor="text1"/>
                <w:highlight w:val="none"/>
                <w14:textFill>
                  <w14:solidFill>
                    <w14:schemeClr w14:val="tx1"/>
                  </w14:solidFill>
                </w14:textFill>
              </w:rPr>
            </w:pPr>
            <w:r>
              <w:rPr>
                <w:rFonts w:hint="default" w:ascii="Times New Roman" w:hAnsi="Times New Roman" w:cs="Times New Roman"/>
                <w:b/>
                <w:color w:val="000000" w:themeColor="text1"/>
                <w:highlight w:val="none"/>
                <w14:textFill>
                  <w14:solidFill>
                    <w14:schemeClr w14:val="tx1"/>
                  </w14:solidFill>
                </w14:textFill>
              </w:rPr>
              <w:t>表4-</w:t>
            </w:r>
            <w:r>
              <w:rPr>
                <w:rFonts w:hint="default" w:ascii="Times New Roman" w:hAnsi="Times New Roman" w:cs="Times New Roman"/>
                <w:b/>
                <w:color w:val="000000" w:themeColor="text1"/>
                <w:highlight w:val="none"/>
                <w:lang w:val="en-US" w:eastAsia="zh-CN"/>
                <w14:textFill>
                  <w14:solidFill>
                    <w14:schemeClr w14:val="tx1"/>
                  </w14:solidFill>
                </w14:textFill>
              </w:rPr>
              <w:t>1</w:t>
            </w:r>
            <w:r>
              <w:rPr>
                <w:rFonts w:hint="eastAsia" w:cs="Times New Roman"/>
                <w:b/>
                <w:color w:val="000000" w:themeColor="text1"/>
                <w:highlight w:val="none"/>
                <w:lang w:val="en-US" w:eastAsia="zh-CN"/>
                <w14:textFill>
                  <w14:solidFill>
                    <w14:schemeClr w14:val="tx1"/>
                  </w14:solidFill>
                </w14:textFill>
              </w:rPr>
              <w:t>2</w:t>
            </w:r>
            <w:r>
              <w:rPr>
                <w:rFonts w:hint="default" w:ascii="Times New Roman" w:hAnsi="Times New Roman" w:cs="Times New Roman"/>
                <w:b/>
                <w:color w:val="000000" w:themeColor="text1"/>
                <w:highlight w:val="none"/>
                <w:lang w:val="en-US" w:eastAsia="zh-CN"/>
                <w14:textFill>
                  <w14:solidFill>
                    <w14:schemeClr w14:val="tx1"/>
                  </w14:solidFill>
                </w14:textFill>
              </w:rPr>
              <w:t xml:space="preserve"> </w:t>
            </w:r>
            <w:r>
              <w:rPr>
                <w:rFonts w:hint="default" w:ascii="Times New Roman" w:hAnsi="Times New Roman" w:cs="Times New Roman"/>
                <w:b/>
                <w:color w:val="000000" w:themeColor="text1"/>
                <w:highlight w:val="none"/>
                <w14:textFill>
                  <w14:solidFill>
                    <w14:schemeClr w14:val="tx1"/>
                  </w14:solidFill>
                </w14:textFill>
              </w:rPr>
              <w:t>地下水分区防渗一览表</w:t>
            </w:r>
          </w:p>
          <w:tbl>
            <w:tblPr>
              <w:tblStyle w:val="32"/>
              <w:tblW w:w="4992" w:type="pct"/>
              <w:tblInd w:w="1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18"/>
              <w:gridCol w:w="2457"/>
              <w:gridCol w:w="4375"/>
              <w:gridCol w:w="4983"/>
            </w:tblGrid>
            <w:tr w14:paraId="630F17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69" w:type="pct"/>
                  <w:noWrap w:val="0"/>
                  <w:vAlign w:val="center"/>
                </w:tcPr>
                <w:p w14:paraId="0C5B240F">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防渗等级</w:t>
                  </w:r>
                </w:p>
              </w:tc>
              <w:tc>
                <w:tcPr>
                  <w:tcW w:w="921" w:type="pct"/>
                  <w:noWrap w:val="0"/>
                  <w:vAlign w:val="center"/>
                </w:tcPr>
                <w:p w14:paraId="76300F20">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防渗区域</w:t>
                  </w:r>
                </w:p>
              </w:tc>
              <w:tc>
                <w:tcPr>
                  <w:tcW w:w="1640" w:type="pct"/>
                  <w:noWrap w:val="0"/>
                  <w:vAlign w:val="center"/>
                </w:tcPr>
                <w:p w14:paraId="7AB8E7A2">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防渗技术要求</w:t>
                  </w:r>
                </w:p>
              </w:tc>
              <w:tc>
                <w:tcPr>
                  <w:tcW w:w="1868" w:type="pct"/>
                  <w:noWrap w:val="0"/>
                  <w:vAlign w:val="center"/>
                </w:tcPr>
                <w:p w14:paraId="0E51A036">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防腐防渗措施</w:t>
                  </w:r>
                </w:p>
              </w:tc>
            </w:tr>
            <w:tr w14:paraId="32715E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69" w:type="pct"/>
                  <w:noWrap w:val="0"/>
                  <w:vAlign w:val="center"/>
                </w:tcPr>
                <w:p w14:paraId="2D3DDBCA">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重点防渗区</w:t>
                  </w:r>
                </w:p>
              </w:tc>
              <w:tc>
                <w:tcPr>
                  <w:tcW w:w="921" w:type="pct"/>
                  <w:noWrap w:val="0"/>
                  <w:vAlign w:val="center"/>
                </w:tcPr>
                <w:p w14:paraId="513B9A83">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循环水池、乳化液池、危化品仓、</w:t>
                  </w:r>
                  <w:r>
                    <w:rPr>
                      <w:rFonts w:hint="default" w:ascii="Times New Roman" w:hAnsi="Times New Roman" w:cs="Times New Roman"/>
                      <w:color w:val="000000" w:themeColor="text1"/>
                      <w:sz w:val="21"/>
                      <w:szCs w:val="21"/>
                      <w:highlight w:val="none"/>
                      <w14:textFill>
                        <w14:solidFill>
                          <w14:schemeClr w14:val="tx1"/>
                        </w14:solidFill>
                      </w14:textFill>
                    </w:rPr>
                    <w:t>污水处理设施、</w:t>
                  </w:r>
                  <w:r>
                    <w:rPr>
                      <w:rFonts w:hint="eastAsia" w:cs="Times New Roman"/>
                      <w:color w:val="000000" w:themeColor="text1"/>
                      <w:sz w:val="21"/>
                      <w:szCs w:val="21"/>
                      <w:highlight w:val="none"/>
                      <w:lang w:val="en-US" w:eastAsia="zh-CN"/>
                      <w14:textFill>
                        <w14:solidFill>
                          <w14:schemeClr w14:val="tx1"/>
                        </w14:solidFill>
                      </w14:textFill>
                    </w:rPr>
                    <w:t>喷漆房</w:t>
                  </w:r>
                  <w:r>
                    <w:rPr>
                      <w:rFonts w:hint="default" w:ascii="Times New Roman" w:hAnsi="Times New Roman" w:cs="Times New Roman"/>
                      <w:color w:val="000000" w:themeColor="text1"/>
                      <w:sz w:val="21"/>
                      <w:szCs w:val="21"/>
                      <w:highlight w:val="none"/>
                      <w14:textFill>
                        <w14:solidFill>
                          <w14:schemeClr w14:val="tx1"/>
                        </w14:solidFill>
                      </w14:textFill>
                    </w:rPr>
                    <w:t>、危废暂存间</w:t>
                  </w:r>
                </w:p>
              </w:tc>
              <w:tc>
                <w:tcPr>
                  <w:tcW w:w="1640" w:type="pct"/>
                  <w:noWrap w:val="0"/>
                  <w:vAlign w:val="center"/>
                </w:tcPr>
                <w:p w14:paraId="238C9385">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等效黏土防渗层Mb≥6.0m，渗透系数≤10</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-7</w:t>
                  </w:r>
                  <w:r>
                    <w:rPr>
                      <w:rFonts w:hint="default" w:ascii="Times New Roman" w:hAnsi="Times New Roman" w:cs="Times New Roman"/>
                      <w:color w:val="000000" w:themeColor="text1"/>
                      <w:sz w:val="21"/>
                      <w:szCs w:val="21"/>
                      <w:highlight w:val="none"/>
                      <w14:textFill>
                        <w14:solidFill>
                          <w14:schemeClr w14:val="tx1"/>
                        </w14:solidFill>
                      </w14:textFill>
                    </w:rPr>
                    <w:t>cm/s，或参考GB18598执行</w:t>
                  </w:r>
                </w:p>
              </w:tc>
              <w:tc>
                <w:tcPr>
                  <w:tcW w:w="1868" w:type="pct"/>
                  <w:noWrap w:val="0"/>
                  <w:vAlign w:val="center"/>
                </w:tcPr>
                <w:p w14:paraId="65A1AC9A">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地面自下而上采用防护垫层、2mmHDPE膜+保护层+水泥硬化，或其他能够满足防渗要求的措施</w:t>
                  </w:r>
                </w:p>
              </w:tc>
            </w:tr>
            <w:tr w14:paraId="3045A6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69" w:type="pct"/>
                  <w:noWrap w:val="0"/>
                  <w:vAlign w:val="center"/>
                </w:tcPr>
                <w:p w14:paraId="223E7D04">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一般防渗区</w:t>
                  </w:r>
                </w:p>
              </w:tc>
              <w:tc>
                <w:tcPr>
                  <w:tcW w:w="921" w:type="pct"/>
                  <w:noWrap w:val="0"/>
                  <w:vAlign w:val="center"/>
                </w:tcPr>
                <w:p w14:paraId="67A9234C">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生产车间、固废间</w:t>
                  </w:r>
                </w:p>
              </w:tc>
              <w:tc>
                <w:tcPr>
                  <w:tcW w:w="1640" w:type="pct"/>
                  <w:noWrap w:val="0"/>
                  <w:vAlign w:val="center"/>
                </w:tcPr>
                <w:p w14:paraId="159B8C39">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等效黏土防渗层Mb≥1.5m，渗透系数≤10</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-7</w:t>
                  </w:r>
                  <w:r>
                    <w:rPr>
                      <w:rFonts w:hint="default" w:ascii="Times New Roman" w:hAnsi="Times New Roman" w:cs="Times New Roman"/>
                      <w:color w:val="000000" w:themeColor="text1"/>
                      <w:sz w:val="21"/>
                      <w:szCs w:val="21"/>
                      <w:highlight w:val="none"/>
                      <w14:textFill>
                        <w14:solidFill>
                          <w14:schemeClr w14:val="tx1"/>
                        </w14:solidFill>
                      </w14:textFill>
                    </w:rPr>
                    <w:t>cm/s，或参考GB16889执行</w:t>
                  </w:r>
                </w:p>
              </w:tc>
              <w:tc>
                <w:tcPr>
                  <w:tcW w:w="1868" w:type="pct"/>
                  <w:noWrap w:val="0"/>
                  <w:vAlign w:val="center"/>
                </w:tcPr>
                <w:p w14:paraId="6ECDCE80">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地面采用水泥硬化</w:t>
                  </w:r>
                </w:p>
              </w:tc>
            </w:tr>
            <w:tr w14:paraId="0679BE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69" w:type="pct"/>
                  <w:noWrap w:val="0"/>
                  <w:vAlign w:val="center"/>
                </w:tcPr>
                <w:p w14:paraId="2CB7399D">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简单防渗区</w:t>
                  </w:r>
                </w:p>
              </w:tc>
              <w:tc>
                <w:tcPr>
                  <w:tcW w:w="921" w:type="pct"/>
                  <w:noWrap w:val="0"/>
                  <w:vAlign w:val="center"/>
                </w:tcPr>
                <w:p w14:paraId="3C06BCEF">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除其他以上区域</w:t>
                  </w:r>
                </w:p>
              </w:tc>
              <w:tc>
                <w:tcPr>
                  <w:tcW w:w="1640" w:type="pct"/>
                  <w:noWrap w:val="0"/>
                  <w:vAlign w:val="center"/>
                </w:tcPr>
                <w:p w14:paraId="5F68E5F2">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一般地面固化</w:t>
                  </w:r>
                </w:p>
              </w:tc>
              <w:tc>
                <w:tcPr>
                  <w:tcW w:w="1868" w:type="pct"/>
                  <w:noWrap w:val="0"/>
                  <w:vAlign w:val="center"/>
                </w:tcPr>
                <w:p w14:paraId="56B8B983">
                  <w:pPr>
                    <w:shd w:val="clear" w:color="auto" w:fill="auto"/>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地面采用水泥硬化</w:t>
                  </w:r>
                </w:p>
              </w:tc>
            </w:tr>
          </w:tbl>
          <w:p w14:paraId="797A7A23">
            <w:pPr>
              <w:pStyle w:val="102"/>
              <w:shd w:val="clear" w:color="auto" w:fill="auto"/>
              <w:adjustRightInd w:val="0"/>
              <w:snapToGrid w:val="0"/>
              <w:spacing w:line="360" w:lineRule="auto"/>
              <w:ind w:firstLine="480"/>
              <w:jc w:val="both"/>
              <w:rPr>
                <w:rFonts w:hint="default" w:ascii="Times New Roman" w:hAnsi="Times New Roman" w:cs="Times New Roman"/>
                <w:color w:val="000000" w:themeColor="text1"/>
                <w:szCs w:val="24"/>
                <w:highlight w:val="none"/>
                <w:lang w:val="en-US"/>
                <w14:textFill>
                  <w14:solidFill>
                    <w14:schemeClr w14:val="tx1"/>
                  </w14:solidFill>
                </w14:textFill>
              </w:rPr>
            </w:pPr>
            <w:r>
              <w:rPr>
                <w:rFonts w:hint="default" w:ascii="Times New Roman" w:hAnsi="Times New Roman" w:cs="Times New Roman"/>
                <w:color w:val="000000" w:themeColor="text1"/>
                <w:szCs w:val="24"/>
                <w:highlight w:val="none"/>
                <w:lang w:val="en-US"/>
                <w14:textFill>
                  <w14:solidFill>
                    <w14:schemeClr w14:val="tx1"/>
                  </w14:solidFill>
                </w14:textFill>
              </w:rPr>
              <w:t>采取以上措施后，可有效防止污染物下渗污染地下水和土壤。</w:t>
            </w:r>
          </w:p>
          <w:p w14:paraId="34AC746A">
            <w:pPr>
              <w:pStyle w:val="102"/>
              <w:shd w:val="clear" w:color="auto" w:fill="auto"/>
              <w:adjustRightInd w:val="0"/>
              <w:snapToGrid w:val="0"/>
              <w:spacing w:line="360" w:lineRule="auto"/>
              <w:ind w:firstLine="482"/>
              <w:jc w:val="both"/>
              <w:rPr>
                <w:rFonts w:hint="default" w:ascii="Times New Roman" w:hAnsi="Times New Roman" w:cs="Times New Roman"/>
                <w:b/>
                <w:bCs/>
                <w:color w:val="000000" w:themeColor="text1"/>
                <w:szCs w:val="24"/>
                <w:highlight w:val="none"/>
                <w:lang w:val="en-US"/>
                <w14:textFill>
                  <w14:solidFill>
                    <w14:schemeClr w14:val="tx1"/>
                  </w14:solidFill>
                </w14:textFill>
              </w:rPr>
            </w:pPr>
            <w:r>
              <w:rPr>
                <w:rFonts w:hint="eastAsia" w:cs="Times New Roman"/>
                <w:b/>
                <w:bCs/>
                <w:color w:val="000000" w:themeColor="text1"/>
                <w:szCs w:val="24"/>
                <w:highlight w:val="none"/>
                <w:lang w:val="en-US" w:eastAsia="zh-CN"/>
                <w14:textFill>
                  <w14:solidFill>
                    <w14:schemeClr w14:val="tx1"/>
                  </w14:solidFill>
                </w14:textFill>
              </w:rPr>
              <w:t>六</w:t>
            </w:r>
            <w:r>
              <w:rPr>
                <w:rFonts w:hint="default" w:ascii="Times New Roman" w:hAnsi="Times New Roman" w:cs="Times New Roman"/>
                <w:b/>
                <w:bCs/>
                <w:color w:val="000000" w:themeColor="text1"/>
                <w:szCs w:val="24"/>
                <w:highlight w:val="none"/>
                <w:lang w:val="en-US"/>
                <w14:textFill>
                  <w14:solidFill>
                    <w14:schemeClr w14:val="tx1"/>
                  </w14:solidFill>
                </w14:textFill>
              </w:rPr>
              <w:t>、环境风险</w:t>
            </w:r>
          </w:p>
          <w:p w14:paraId="79414617">
            <w:pPr>
              <w:pStyle w:val="102"/>
              <w:shd w:val="clear" w:color="auto" w:fill="auto"/>
              <w:adjustRightInd w:val="0"/>
              <w:snapToGrid w:val="0"/>
              <w:spacing w:line="360" w:lineRule="auto"/>
              <w:ind w:firstLine="482"/>
              <w:jc w:val="both"/>
              <w:rPr>
                <w:rFonts w:hint="default" w:ascii="Times New Roman" w:hAnsi="Times New Roman" w:cs="Times New Roman"/>
                <w:b/>
                <w:bCs/>
                <w:color w:val="000000" w:themeColor="text1"/>
                <w:szCs w:val="24"/>
                <w:highlight w:val="none"/>
                <w:lang w:val="en-US"/>
                <w14:textFill>
                  <w14:solidFill>
                    <w14:schemeClr w14:val="tx1"/>
                  </w14:solidFill>
                </w14:textFill>
              </w:rPr>
            </w:pPr>
            <w:r>
              <w:rPr>
                <w:rFonts w:hint="default" w:ascii="Times New Roman" w:hAnsi="Times New Roman" w:cs="Times New Roman"/>
                <w:b/>
                <w:bCs/>
                <w:color w:val="000000" w:themeColor="text1"/>
                <w:szCs w:val="24"/>
                <w:highlight w:val="none"/>
                <w:lang w:val="en-US"/>
                <w14:textFill>
                  <w14:solidFill>
                    <w14:schemeClr w14:val="tx1"/>
                  </w14:solidFill>
                </w14:textFill>
              </w:rPr>
              <w:t>1、风险识别</w:t>
            </w:r>
          </w:p>
          <w:p w14:paraId="48AABE80">
            <w:pPr>
              <w:pStyle w:val="102"/>
              <w:shd w:val="clear" w:color="auto" w:fill="auto"/>
              <w:adjustRightInd w:val="0"/>
              <w:snapToGrid w:val="0"/>
              <w:spacing w:line="360" w:lineRule="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Cs w:val="24"/>
                <w:highlight w:val="none"/>
                <w:lang w:val="en-US"/>
                <w14:textFill>
                  <w14:solidFill>
                    <w14:schemeClr w14:val="tx1"/>
                  </w14:solidFill>
                </w14:textFill>
              </w:rPr>
              <w:t>对照《建设项目环境风险评</w:t>
            </w:r>
            <w:r>
              <w:rPr>
                <w:rFonts w:hint="default" w:ascii="Times New Roman" w:hAnsi="Times New Roman" w:cs="Times New Roman"/>
                <w:color w:val="000000" w:themeColor="text1"/>
                <w:highlight w:val="none"/>
                <w14:textFill>
                  <w14:solidFill>
                    <w14:schemeClr w14:val="tx1"/>
                  </w14:solidFill>
                </w14:textFill>
              </w:rPr>
              <w:t>价技术导则》（HJ169-2018）附录中B，本项目涉及的危险物质最大存在总量及临界量见表</w:t>
            </w:r>
            <w:r>
              <w:rPr>
                <w:rFonts w:hint="default" w:ascii="Times New Roman" w:hAnsi="Times New Roman" w:cs="Times New Roman"/>
                <w:color w:val="000000" w:themeColor="text1"/>
                <w:highlight w:val="none"/>
                <w:lang w:val="en-US"/>
                <w14:textFill>
                  <w14:solidFill>
                    <w14:schemeClr w14:val="tx1"/>
                  </w14:solidFill>
                </w14:textFill>
              </w:rPr>
              <w:t>4-18</w:t>
            </w:r>
            <w:r>
              <w:rPr>
                <w:rFonts w:hint="default" w:ascii="Times New Roman" w:hAnsi="Times New Roman" w:cs="Times New Roman"/>
                <w:color w:val="000000" w:themeColor="text1"/>
                <w:highlight w:val="none"/>
                <w14:textFill>
                  <w14:solidFill>
                    <w14:schemeClr w14:val="tx1"/>
                  </w14:solidFill>
                </w14:textFill>
              </w:rPr>
              <w:t>。</w:t>
            </w:r>
          </w:p>
          <w:p w14:paraId="464702F2">
            <w:pPr>
              <w:shd w:val="clear" w:color="auto" w:fill="auto"/>
              <w:tabs>
                <w:tab w:val="left" w:pos="0"/>
              </w:tabs>
              <w:spacing w:line="240" w:lineRule="auto"/>
              <w:ind w:firstLine="0" w:firstLineChars="0"/>
              <w:jc w:val="center"/>
              <w:rPr>
                <w:rFonts w:hint="default" w:ascii="Times New Roman" w:hAnsi="Times New Roman" w:cs="Times New Roman"/>
                <w:b/>
                <w:color w:val="000000" w:themeColor="text1"/>
                <w:szCs w:val="21"/>
                <w:highlight w:val="none"/>
                <w14:textFill>
                  <w14:solidFill>
                    <w14:schemeClr w14:val="tx1"/>
                  </w14:solidFill>
                </w14:textFill>
              </w:rPr>
            </w:pPr>
            <w:r>
              <w:rPr>
                <w:rFonts w:hint="default" w:ascii="Times New Roman" w:hAnsi="Times New Roman" w:cs="Times New Roman"/>
                <w:b/>
                <w:color w:val="000000" w:themeColor="text1"/>
                <w:szCs w:val="21"/>
                <w:highlight w:val="none"/>
                <w14:textFill>
                  <w14:solidFill>
                    <w14:schemeClr w14:val="tx1"/>
                  </w14:solidFill>
                </w14:textFill>
              </w:rPr>
              <w:t>表4-</w:t>
            </w:r>
            <w:r>
              <w:rPr>
                <w:rFonts w:hint="default" w:ascii="Times New Roman" w:hAnsi="Times New Roman" w:cs="Times New Roman"/>
                <w:b/>
                <w:color w:val="000000" w:themeColor="text1"/>
                <w:szCs w:val="21"/>
                <w:highlight w:val="none"/>
                <w:lang w:val="en-US" w:eastAsia="zh-CN"/>
                <w14:textFill>
                  <w14:solidFill>
                    <w14:schemeClr w14:val="tx1"/>
                  </w14:solidFill>
                </w14:textFill>
              </w:rPr>
              <w:t>1</w:t>
            </w:r>
            <w:r>
              <w:rPr>
                <w:rFonts w:hint="eastAsia" w:cs="Times New Roman"/>
                <w:b/>
                <w:color w:val="000000" w:themeColor="text1"/>
                <w:szCs w:val="21"/>
                <w:highlight w:val="none"/>
                <w:lang w:val="en-US" w:eastAsia="zh-CN"/>
                <w14:textFill>
                  <w14:solidFill>
                    <w14:schemeClr w14:val="tx1"/>
                  </w14:solidFill>
                </w14:textFill>
              </w:rPr>
              <w:t>3</w:t>
            </w:r>
            <w:r>
              <w:rPr>
                <w:rFonts w:hint="default" w:ascii="Times New Roman" w:hAnsi="Times New Roman" w:cs="Times New Roman"/>
                <w:b/>
                <w:color w:val="000000" w:themeColor="text1"/>
                <w:szCs w:val="21"/>
                <w:highlight w:val="none"/>
                <w14:textFill>
                  <w14:solidFill>
                    <w14:schemeClr w14:val="tx1"/>
                  </w14:solidFill>
                </w14:textFill>
              </w:rPr>
              <w:t xml:space="preserve"> 项目Q值计算表</w:t>
            </w:r>
          </w:p>
          <w:tbl>
            <w:tblPr>
              <w:tblStyle w:val="32"/>
              <w:tblW w:w="4995"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030"/>
              <w:gridCol w:w="1020"/>
              <w:gridCol w:w="1485"/>
              <w:gridCol w:w="1323"/>
              <w:gridCol w:w="1092"/>
              <w:gridCol w:w="1214"/>
              <w:gridCol w:w="1228"/>
              <w:gridCol w:w="1398"/>
              <w:gridCol w:w="1191"/>
              <w:gridCol w:w="1095"/>
              <w:gridCol w:w="1266"/>
            </w:tblGrid>
            <w:tr w14:paraId="6CF8536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restart"/>
                  <w:noWrap w:val="0"/>
                  <w:vAlign w:val="center"/>
                </w:tcPr>
                <w:p w14:paraId="792E35CD">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危险物质来源</w:t>
                  </w:r>
                </w:p>
              </w:tc>
              <w:tc>
                <w:tcPr>
                  <w:tcW w:w="2298" w:type="pct"/>
                  <w:gridSpan w:val="5"/>
                  <w:noWrap w:val="0"/>
                  <w:vAlign w:val="center"/>
                </w:tcPr>
                <w:p w14:paraId="1D51F279">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危险物质名称</w:t>
                  </w:r>
                </w:p>
              </w:tc>
              <w:tc>
                <w:tcPr>
                  <w:tcW w:w="460" w:type="pct"/>
                  <w:vMerge w:val="restart"/>
                  <w:noWrap w:val="0"/>
                  <w:vAlign w:val="center"/>
                </w:tcPr>
                <w:p w14:paraId="16126275">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t>CAS号</w:t>
                  </w:r>
                </w:p>
              </w:tc>
              <w:tc>
                <w:tcPr>
                  <w:tcW w:w="523" w:type="pct"/>
                  <w:vMerge w:val="restart"/>
                  <w:noWrap w:val="0"/>
                  <w:vAlign w:val="center"/>
                </w:tcPr>
                <w:p w14:paraId="16A9F8C1">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分布情况</w:t>
                  </w:r>
                </w:p>
              </w:tc>
              <w:tc>
                <w:tcPr>
                  <w:tcW w:w="446" w:type="pct"/>
                  <w:vMerge w:val="restart"/>
                  <w:noWrap w:val="0"/>
                  <w:vAlign w:val="center"/>
                </w:tcPr>
                <w:p w14:paraId="0102C2CA">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最大存在总量qn/t</w:t>
                  </w:r>
                </w:p>
              </w:tc>
              <w:tc>
                <w:tcPr>
                  <w:tcW w:w="410" w:type="pct"/>
                  <w:vMerge w:val="restart"/>
                  <w:noWrap w:val="0"/>
                  <w:vAlign w:val="center"/>
                </w:tcPr>
                <w:p w14:paraId="6C21BD73">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临界量Qn/t</w:t>
                  </w:r>
                </w:p>
              </w:tc>
              <w:tc>
                <w:tcPr>
                  <w:tcW w:w="474" w:type="pct"/>
                  <w:vMerge w:val="restart"/>
                  <w:noWrap w:val="0"/>
                  <w:vAlign w:val="center"/>
                </w:tcPr>
                <w:p w14:paraId="22FBA9A2">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该种危险物质Q值</w:t>
                  </w:r>
                </w:p>
              </w:tc>
            </w:tr>
            <w:tr w14:paraId="0E506BE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0B8CBE55">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382" w:type="pct"/>
                  <w:noWrap w:val="0"/>
                  <w:vAlign w:val="center"/>
                </w:tcPr>
                <w:p w14:paraId="5FC2A2E2">
                  <w:pPr>
                    <w:pStyle w:val="136"/>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物质</w:t>
                  </w:r>
                </w:p>
              </w:tc>
              <w:tc>
                <w:tcPr>
                  <w:tcW w:w="556" w:type="pct"/>
                  <w:noWrap w:val="0"/>
                  <w:vAlign w:val="center"/>
                </w:tcPr>
                <w:p w14:paraId="6A939CD2">
                  <w:pPr>
                    <w:pStyle w:val="136"/>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来源</w:t>
                  </w:r>
                </w:p>
              </w:tc>
              <w:tc>
                <w:tcPr>
                  <w:tcW w:w="495" w:type="pct"/>
                  <w:noWrap w:val="0"/>
                  <w:vAlign w:val="center"/>
                </w:tcPr>
                <w:p w14:paraId="369B8197">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最大贮存量</w:t>
                  </w:r>
                </w:p>
              </w:tc>
              <w:tc>
                <w:tcPr>
                  <w:tcW w:w="409" w:type="pct"/>
                  <w:noWrap w:val="0"/>
                  <w:vAlign w:val="center"/>
                </w:tcPr>
                <w:p w14:paraId="1329DA68">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物质占比</w:t>
                  </w:r>
                </w:p>
              </w:tc>
              <w:tc>
                <w:tcPr>
                  <w:tcW w:w="454" w:type="pct"/>
                  <w:noWrap w:val="0"/>
                  <w:vAlign w:val="center"/>
                </w:tcPr>
                <w:p w14:paraId="5D6F062F">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eastAsia" w:cs="Times New Roman"/>
                      <w:b/>
                      <w:bCs/>
                      <w:color w:val="000000" w:themeColor="text1"/>
                      <w:sz w:val="21"/>
                      <w:szCs w:val="21"/>
                      <w:highlight w:val="none"/>
                      <w:lang w:val="en-US" w:eastAsia="zh-CN"/>
                      <w14:textFill>
                        <w14:solidFill>
                          <w14:schemeClr w14:val="tx1"/>
                        </w14:solidFill>
                      </w14:textFill>
                    </w:rPr>
                    <w:t>物质存量</w:t>
                  </w:r>
                </w:p>
              </w:tc>
              <w:tc>
                <w:tcPr>
                  <w:tcW w:w="460" w:type="pct"/>
                  <w:vMerge w:val="continue"/>
                  <w:noWrap w:val="0"/>
                  <w:vAlign w:val="center"/>
                </w:tcPr>
                <w:p w14:paraId="62634EE7">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lang w:val="en-US" w:eastAsia="zh-CN"/>
                      <w14:textFill>
                        <w14:solidFill>
                          <w14:schemeClr w14:val="tx1"/>
                        </w14:solidFill>
                      </w14:textFill>
                    </w:rPr>
                  </w:pPr>
                </w:p>
              </w:tc>
              <w:tc>
                <w:tcPr>
                  <w:tcW w:w="523" w:type="pct"/>
                  <w:vMerge w:val="continue"/>
                  <w:noWrap w:val="0"/>
                  <w:vAlign w:val="center"/>
                </w:tcPr>
                <w:p w14:paraId="01A5C8AE">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446" w:type="pct"/>
                  <w:vMerge w:val="continue"/>
                  <w:noWrap w:val="0"/>
                  <w:vAlign w:val="center"/>
                </w:tcPr>
                <w:p w14:paraId="0E687047">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410" w:type="pct"/>
                  <w:vMerge w:val="continue"/>
                  <w:noWrap w:val="0"/>
                  <w:vAlign w:val="center"/>
                </w:tcPr>
                <w:p w14:paraId="259AB22E">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c>
                <w:tcPr>
                  <w:tcW w:w="474" w:type="pct"/>
                  <w:vMerge w:val="continue"/>
                  <w:noWrap w:val="0"/>
                  <w:vAlign w:val="center"/>
                </w:tcPr>
                <w:p w14:paraId="465F2040">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b/>
                      <w:bCs/>
                      <w:color w:val="000000" w:themeColor="text1"/>
                      <w:sz w:val="21"/>
                      <w:szCs w:val="21"/>
                      <w:highlight w:val="none"/>
                      <w14:textFill>
                        <w14:solidFill>
                          <w14:schemeClr w14:val="tx1"/>
                        </w14:solidFill>
                      </w14:textFill>
                    </w:rPr>
                  </w:pPr>
                </w:p>
              </w:tc>
            </w:tr>
            <w:tr w14:paraId="2397DD4C">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restart"/>
                  <w:noWrap w:val="0"/>
                  <w:vAlign w:val="center"/>
                </w:tcPr>
                <w:p w14:paraId="52349227">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原辅材料</w:t>
                  </w:r>
                </w:p>
              </w:tc>
              <w:tc>
                <w:tcPr>
                  <w:tcW w:w="382" w:type="pct"/>
                  <w:noWrap w:val="0"/>
                  <w:vAlign w:val="center"/>
                </w:tcPr>
                <w:p w14:paraId="743A47AF">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kern w:val="2"/>
                      <w:sz w:val="21"/>
                      <w:szCs w:val="21"/>
                      <w:highlight w:val="none"/>
                      <w:lang w:val="en-US" w:eastAsia="zh-CN" w:bidi="ar-SA"/>
                      <w14:textFill>
                        <w14:solidFill>
                          <w14:schemeClr w14:val="tx1"/>
                        </w14:solidFill>
                      </w14:textFill>
                    </w:rPr>
                    <w:t>甲醛</w:t>
                  </w:r>
                </w:p>
              </w:tc>
              <w:tc>
                <w:tcPr>
                  <w:tcW w:w="556" w:type="pct"/>
                  <w:vMerge w:val="restart"/>
                  <w:noWrap w:val="0"/>
                  <w:vAlign w:val="center"/>
                </w:tcPr>
                <w:p w14:paraId="0767DA79">
                  <w:pPr>
                    <w:pStyle w:val="165"/>
                    <w:keepNext w:val="0"/>
                    <w:keepLines w:val="0"/>
                    <w:pageBreakBefore w:val="0"/>
                    <w:kinsoku/>
                    <w:wordWrap/>
                    <w:topLinePunct w:val="0"/>
                    <w:autoSpaceDE/>
                    <w:autoSpaceDN/>
                    <w:bidi w:val="0"/>
                    <w:snapToGrid/>
                    <w:spacing w:line="240" w:lineRule="auto"/>
                    <w:ind w:firstLine="0" w:firstLineChars="0"/>
                    <w:jc w:val="center"/>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lang w:val="en-US" w:eastAsia="zh-CN"/>
                      <w14:textFill>
                        <w14:solidFill>
                          <w14:schemeClr w14:val="tx1"/>
                        </w14:solidFill>
                      </w14:textFill>
                    </w:rPr>
                    <w:t>自硬呋喃</w:t>
                  </w:r>
                  <w:r>
                    <w:rPr>
                      <w:rFonts w:hint="default" w:ascii="Times New Roman" w:hAnsi="Times New Roman" w:eastAsia="宋体" w:cs="Times New Roman"/>
                      <w:bCs/>
                      <w:color w:val="000000" w:themeColor="text1"/>
                      <w:sz w:val="21"/>
                      <w:szCs w:val="21"/>
                      <w:highlight w:val="none"/>
                      <w14:textFill>
                        <w14:solidFill>
                          <w14:schemeClr w14:val="tx1"/>
                        </w14:solidFill>
                      </w14:textFill>
                    </w:rPr>
                    <w:t>树脂</w:t>
                  </w:r>
                </w:p>
              </w:tc>
              <w:tc>
                <w:tcPr>
                  <w:tcW w:w="495" w:type="pct"/>
                  <w:vMerge w:val="restart"/>
                  <w:noWrap w:val="0"/>
                  <w:vAlign w:val="center"/>
                </w:tcPr>
                <w:p w14:paraId="3FDEB749">
                  <w:pPr>
                    <w:pStyle w:val="159"/>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w:t>
                  </w:r>
                </w:p>
              </w:tc>
              <w:tc>
                <w:tcPr>
                  <w:tcW w:w="409" w:type="pct"/>
                  <w:noWrap w:val="0"/>
                  <w:vAlign w:val="center"/>
                </w:tcPr>
                <w:p w14:paraId="3941414B">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0.1</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454" w:type="pct"/>
                  <w:noWrap w:val="0"/>
                  <w:vAlign w:val="center"/>
                </w:tcPr>
                <w:p w14:paraId="366A892B">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0.005</w:t>
                  </w:r>
                </w:p>
              </w:tc>
              <w:tc>
                <w:tcPr>
                  <w:tcW w:w="460" w:type="pct"/>
                  <w:noWrap w:val="0"/>
                  <w:vAlign w:val="center"/>
                </w:tcPr>
                <w:p w14:paraId="404FEDB9">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50-00-0</w:t>
                  </w:r>
                </w:p>
              </w:tc>
              <w:tc>
                <w:tcPr>
                  <w:tcW w:w="523" w:type="pct"/>
                  <w:vMerge w:val="restart"/>
                  <w:noWrap w:val="0"/>
                  <w:vAlign w:val="center"/>
                </w:tcPr>
                <w:p w14:paraId="6B5CBF6F">
                  <w:pPr>
                    <w:pStyle w:val="136"/>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危化品间</w:t>
                  </w:r>
                </w:p>
              </w:tc>
              <w:tc>
                <w:tcPr>
                  <w:tcW w:w="446" w:type="pct"/>
                  <w:noWrap w:val="0"/>
                  <w:vAlign w:val="center"/>
                </w:tcPr>
                <w:p w14:paraId="1A4F1BB1">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w:t>
                  </w:r>
                  <w:r>
                    <w:rPr>
                      <w:rFonts w:hint="eastAsia" w:cs="Times New Roman"/>
                      <w:i w:val="0"/>
                      <w:iCs w:val="0"/>
                      <w:color w:val="000000" w:themeColor="text1"/>
                      <w:kern w:val="0"/>
                      <w:sz w:val="21"/>
                      <w:szCs w:val="21"/>
                      <w:u w:val="none"/>
                      <w:lang w:val="en-US" w:eastAsia="zh-CN" w:bidi="ar"/>
                      <w14:textFill>
                        <w14:solidFill>
                          <w14:schemeClr w14:val="tx1"/>
                        </w14:solidFill>
                      </w14:textFill>
                    </w:rPr>
                    <w:t>5</w:t>
                  </w:r>
                </w:p>
              </w:tc>
              <w:tc>
                <w:tcPr>
                  <w:tcW w:w="410" w:type="pct"/>
                  <w:noWrap w:val="0"/>
                  <w:vAlign w:val="center"/>
                </w:tcPr>
                <w:p w14:paraId="4E20DFD5">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0.5</w:t>
                  </w:r>
                </w:p>
              </w:tc>
              <w:tc>
                <w:tcPr>
                  <w:tcW w:w="474" w:type="pct"/>
                  <w:noWrap w:val="0"/>
                  <w:vAlign w:val="center"/>
                </w:tcPr>
                <w:p w14:paraId="10002EB9">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0.01</w:t>
                  </w:r>
                </w:p>
              </w:tc>
            </w:tr>
            <w:tr w14:paraId="7128262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7FA2A0DC">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382" w:type="pct"/>
                  <w:noWrap w:val="0"/>
                  <w:vAlign w:val="center"/>
                </w:tcPr>
                <w:p w14:paraId="16C7FB03">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kern w:val="2"/>
                      <w:sz w:val="21"/>
                      <w:szCs w:val="21"/>
                      <w:highlight w:val="none"/>
                      <w:lang w:val="en-US" w:eastAsia="zh-CN" w:bidi="ar-SA"/>
                      <w14:textFill>
                        <w14:solidFill>
                          <w14:schemeClr w14:val="tx1"/>
                        </w14:solidFill>
                      </w14:textFill>
                    </w:rPr>
                    <w:t>酚类化合物（以苯酚计）</w:t>
                  </w:r>
                </w:p>
              </w:tc>
              <w:tc>
                <w:tcPr>
                  <w:tcW w:w="556" w:type="pct"/>
                  <w:vMerge w:val="continue"/>
                  <w:noWrap w:val="0"/>
                  <w:vAlign w:val="center"/>
                </w:tcPr>
                <w:p w14:paraId="337417A4">
                  <w:pPr>
                    <w:pStyle w:val="165"/>
                    <w:keepNext w:val="0"/>
                    <w:keepLines w:val="0"/>
                    <w:pageBreakBefore w:val="0"/>
                    <w:kinsoku/>
                    <w:wordWrap/>
                    <w:topLinePunct w:val="0"/>
                    <w:autoSpaceDE/>
                    <w:autoSpaceDN/>
                    <w:bidi w:val="0"/>
                    <w:snapToGrid/>
                    <w:spacing w:line="240" w:lineRule="auto"/>
                    <w:ind w:firstLine="0" w:firstLineChars="0"/>
                    <w:jc w:val="center"/>
                    <w:rPr>
                      <w:rFonts w:hint="eastAsia"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p>
              </w:tc>
              <w:tc>
                <w:tcPr>
                  <w:tcW w:w="495" w:type="pct"/>
                  <w:vMerge w:val="continue"/>
                  <w:noWrap w:val="0"/>
                  <w:vAlign w:val="center"/>
                </w:tcPr>
                <w:p w14:paraId="4ECD28EF">
                  <w:pPr>
                    <w:pStyle w:val="159"/>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409" w:type="pct"/>
                  <w:noWrap w:val="0"/>
                  <w:vAlign w:val="center"/>
                </w:tcPr>
                <w:p w14:paraId="05A478CD">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0.3</w:t>
                  </w:r>
                  <w: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t>%</w:t>
                  </w:r>
                </w:p>
              </w:tc>
              <w:tc>
                <w:tcPr>
                  <w:tcW w:w="454" w:type="pct"/>
                  <w:noWrap w:val="0"/>
                  <w:vAlign w:val="center"/>
                </w:tcPr>
                <w:p w14:paraId="1D2B8EDC">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0.015</w:t>
                  </w:r>
                </w:p>
              </w:tc>
              <w:tc>
                <w:tcPr>
                  <w:tcW w:w="460" w:type="pct"/>
                  <w:noWrap w:val="0"/>
                  <w:vAlign w:val="center"/>
                </w:tcPr>
                <w:p w14:paraId="16518D2E">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108-95-2</w:t>
                  </w:r>
                </w:p>
              </w:tc>
              <w:tc>
                <w:tcPr>
                  <w:tcW w:w="523" w:type="pct"/>
                  <w:vMerge w:val="continue"/>
                  <w:noWrap w:val="0"/>
                  <w:vAlign w:val="center"/>
                </w:tcPr>
                <w:p w14:paraId="63E53F98">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446" w:type="pct"/>
                  <w:noWrap w:val="0"/>
                  <w:vAlign w:val="center"/>
                </w:tcPr>
                <w:p w14:paraId="3729CCBC">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0.015</w:t>
                  </w:r>
                </w:p>
              </w:tc>
              <w:tc>
                <w:tcPr>
                  <w:tcW w:w="410" w:type="pct"/>
                  <w:noWrap w:val="0"/>
                  <w:vAlign w:val="center"/>
                </w:tcPr>
                <w:p w14:paraId="4D5007D9">
                  <w:pPr>
                    <w:pStyle w:val="136"/>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w:t>
                  </w:r>
                </w:p>
              </w:tc>
              <w:tc>
                <w:tcPr>
                  <w:tcW w:w="474" w:type="pct"/>
                  <w:noWrap w:val="0"/>
                  <w:vAlign w:val="center"/>
                </w:tcPr>
                <w:p w14:paraId="5749627C">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0.003</w:t>
                  </w:r>
                </w:p>
              </w:tc>
            </w:tr>
            <w:tr w14:paraId="100919F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4E21127B">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382" w:type="pct"/>
                  <w:noWrap w:val="0"/>
                  <w:vAlign w:val="center"/>
                </w:tcPr>
                <w:p w14:paraId="6698EB54">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机油</w:t>
                  </w:r>
                </w:p>
              </w:tc>
              <w:tc>
                <w:tcPr>
                  <w:tcW w:w="556" w:type="pct"/>
                  <w:noWrap w:val="0"/>
                  <w:vAlign w:val="center"/>
                </w:tcPr>
                <w:p w14:paraId="173EDF87">
                  <w:pPr>
                    <w:pStyle w:val="165"/>
                    <w:keepNext w:val="0"/>
                    <w:keepLines w:val="0"/>
                    <w:pageBreakBefore w:val="0"/>
                    <w:kinsoku/>
                    <w:wordWrap/>
                    <w:topLinePunct w:val="0"/>
                    <w:autoSpaceDE/>
                    <w:autoSpaceDN/>
                    <w:bidi w:val="0"/>
                    <w:snapToGrid/>
                    <w:spacing w:line="240" w:lineRule="auto"/>
                    <w:ind w:firstLine="0" w:firstLineChars="0"/>
                    <w:jc w:val="center"/>
                    <w:rPr>
                      <w:rFonts w:hint="eastAsia"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机油</w:t>
                  </w:r>
                </w:p>
              </w:tc>
              <w:tc>
                <w:tcPr>
                  <w:tcW w:w="495" w:type="pct"/>
                  <w:noWrap w:val="0"/>
                  <w:vAlign w:val="center"/>
                </w:tcPr>
                <w:p w14:paraId="66AF672E">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0.5</w:t>
                  </w:r>
                </w:p>
              </w:tc>
              <w:tc>
                <w:tcPr>
                  <w:tcW w:w="409" w:type="pct"/>
                  <w:noWrap w:val="0"/>
                  <w:vAlign w:val="center"/>
                </w:tcPr>
                <w:p w14:paraId="226BDB62">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sz w:val="21"/>
                      <w:szCs w:val="21"/>
                      <w:highlight w:val="none"/>
                      <w:lang w:val="en-US" w:eastAsia="zh-CN"/>
                      <w14:textFill>
                        <w14:solidFill>
                          <w14:schemeClr w14:val="tx1"/>
                        </w14:solidFill>
                      </w14:textFill>
                    </w:rPr>
                    <w:t>/</w:t>
                  </w:r>
                </w:p>
              </w:tc>
              <w:tc>
                <w:tcPr>
                  <w:tcW w:w="454" w:type="pct"/>
                  <w:noWrap w:val="0"/>
                  <w:vAlign w:val="center"/>
                </w:tcPr>
                <w:p w14:paraId="5B2E6621">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b w:val="0"/>
                      <w:bCs w:val="0"/>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0.5</w:t>
                  </w:r>
                </w:p>
              </w:tc>
              <w:tc>
                <w:tcPr>
                  <w:tcW w:w="460" w:type="pct"/>
                  <w:noWrap w:val="0"/>
                  <w:vAlign w:val="center"/>
                </w:tcPr>
                <w:p w14:paraId="60CA324E">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c>
                <w:tcPr>
                  <w:tcW w:w="523" w:type="pct"/>
                  <w:vMerge w:val="continue"/>
                  <w:noWrap w:val="0"/>
                  <w:vAlign w:val="center"/>
                </w:tcPr>
                <w:p w14:paraId="756BF9BB">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446" w:type="pct"/>
                  <w:noWrap w:val="0"/>
                  <w:vAlign w:val="center"/>
                </w:tcPr>
                <w:p w14:paraId="2D8746A7">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0.5</w:t>
                  </w:r>
                </w:p>
              </w:tc>
              <w:tc>
                <w:tcPr>
                  <w:tcW w:w="410" w:type="pct"/>
                  <w:noWrap w:val="0"/>
                  <w:vAlign w:val="center"/>
                </w:tcPr>
                <w:p w14:paraId="695467A7">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2500</w:t>
                  </w:r>
                </w:p>
              </w:tc>
              <w:tc>
                <w:tcPr>
                  <w:tcW w:w="474" w:type="pct"/>
                  <w:noWrap w:val="0"/>
                  <w:vAlign w:val="center"/>
                </w:tcPr>
                <w:p w14:paraId="1F8F504F">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0.0002</w:t>
                  </w:r>
                </w:p>
              </w:tc>
            </w:tr>
            <w:tr w14:paraId="53E4100A">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restart"/>
                  <w:noWrap w:val="0"/>
                  <w:vAlign w:val="center"/>
                </w:tcPr>
                <w:p w14:paraId="2A369CF3">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废气处理</w:t>
                  </w:r>
                </w:p>
              </w:tc>
              <w:tc>
                <w:tcPr>
                  <w:tcW w:w="2298" w:type="pct"/>
                  <w:gridSpan w:val="5"/>
                  <w:shd w:val="clear" w:color="auto" w:fill="auto"/>
                  <w:noWrap w:val="0"/>
                  <w:vAlign w:val="center"/>
                </w:tcPr>
                <w:p w14:paraId="67D9FC63">
                  <w:pPr>
                    <w:pStyle w:val="165"/>
                    <w:keepNext w:val="0"/>
                    <w:keepLines w:val="0"/>
                    <w:pageBreakBefore w:val="0"/>
                    <w:kinsoku/>
                    <w:wordWrap/>
                    <w:topLinePunct w:val="0"/>
                    <w:autoSpaceDE/>
                    <w:autoSpaceDN/>
                    <w:bidi w:val="0"/>
                    <w:snapToGrid/>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b w:val="0"/>
                      <w:bCs w:val="0"/>
                      <w:color w:val="000000" w:themeColor="text1"/>
                      <w:kern w:val="2"/>
                      <w:sz w:val="21"/>
                      <w:szCs w:val="21"/>
                      <w:highlight w:val="none"/>
                      <w:lang w:val="en-US" w:eastAsia="zh-CN" w:bidi="ar-SA"/>
                      <w14:textFill>
                        <w14:solidFill>
                          <w14:schemeClr w14:val="tx1"/>
                        </w14:solidFill>
                      </w14:textFill>
                    </w:rPr>
                    <w:t>甲醛</w:t>
                  </w:r>
                </w:p>
              </w:tc>
              <w:tc>
                <w:tcPr>
                  <w:tcW w:w="460" w:type="pct"/>
                  <w:shd w:val="clear" w:color="auto" w:fill="auto"/>
                  <w:noWrap w:val="0"/>
                  <w:vAlign w:val="center"/>
                </w:tcPr>
                <w:p w14:paraId="36750844">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50-00-0</w:t>
                  </w:r>
                </w:p>
              </w:tc>
              <w:tc>
                <w:tcPr>
                  <w:tcW w:w="523" w:type="pct"/>
                  <w:vMerge w:val="restart"/>
                  <w:noWrap w:val="0"/>
                  <w:vAlign w:val="center"/>
                </w:tcPr>
                <w:p w14:paraId="576531F9">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废气治理设施</w:t>
                  </w:r>
                </w:p>
              </w:tc>
              <w:tc>
                <w:tcPr>
                  <w:tcW w:w="446" w:type="pct"/>
                  <w:shd w:val="clear" w:color="auto" w:fill="auto"/>
                  <w:noWrap w:val="0"/>
                  <w:vAlign w:val="center"/>
                </w:tcPr>
                <w:p w14:paraId="1E0F49E5">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0.0000303</w:t>
                  </w:r>
                </w:p>
              </w:tc>
              <w:tc>
                <w:tcPr>
                  <w:tcW w:w="410" w:type="pct"/>
                  <w:shd w:val="clear" w:color="auto" w:fill="auto"/>
                  <w:noWrap w:val="0"/>
                  <w:vAlign w:val="center"/>
                </w:tcPr>
                <w:p w14:paraId="3801F4F9">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0.5</w:t>
                  </w:r>
                </w:p>
              </w:tc>
              <w:tc>
                <w:tcPr>
                  <w:tcW w:w="474" w:type="pct"/>
                  <w:shd w:val="clear" w:color="auto" w:fill="auto"/>
                  <w:noWrap w:val="0"/>
                  <w:vAlign w:val="center"/>
                </w:tcPr>
                <w:p w14:paraId="5B1C583F">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0.0000606</w:t>
                  </w:r>
                </w:p>
              </w:tc>
            </w:tr>
            <w:tr w14:paraId="67925584">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2A024B67">
                  <w:pPr>
                    <w:pStyle w:val="136"/>
                    <w:keepNext w:val="0"/>
                    <w:keepLines w:val="0"/>
                    <w:pageBreakBefore w:val="0"/>
                    <w:kinsoku/>
                    <w:wordWrap/>
                    <w:topLinePunct w:val="0"/>
                    <w:autoSpaceDE/>
                    <w:autoSpaceDN/>
                    <w:bidi w:val="0"/>
                    <w:spacing w:line="240" w:lineRule="auto"/>
                    <w:ind w:firstLine="0" w:firstLineChars="0"/>
                    <w:jc w:val="center"/>
                    <w:rPr>
                      <w:rFonts w:hint="eastAsia" w:cs="Times New Roman"/>
                      <w:color w:val="000000" w:themeColor="text1"/>
                      <w:sz w:val="21"/>
                      <w:szCs w:val="21"/>
                      <w:highlight w:val="none"/>
                      <w:lang w:val="en-US" w:eastAsia="zh-CN"/>
                      <w14:textFill>
                        <w14:solidFill>
                          <w14:schemeClr w14:val="tx1"/>
                        </w14:solidFill>
                      </w14:textFill>
                    </w:rPr>
                  </w:pPr>
                </w:p>
              </w:tc>
              <w:tc>
                <w:tcPr>
                  <w:tcW w:w="2298" w:type="pct"/>
                  <w:gridSpan w:val="5"/>
                  <w:noWrap w:val="0"/>
                  <w:vAlign w:val="center"/>
                </w:tcPr>
                <w:p w14:paraId="29433D80">
                  <w:pPr>
                    <w:pStyle w:val="165"/>
                    <w:keepNext w:val="0"/>
                    <w:keepLines w:val="0"/>
                    <w:pageBreakBefore w:val="0"/>
                    <w:kinsoku/>
                    <w:wordWrap/>
                    <w:topLinePunct w:val="0"/>
                    <w:autoSpaceDE/>
                    <w:autoSpaceDN/>
                    <w:bidi w:val="0"/>
                    <w:snapToGrid/>
                    <w:spacing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b w:val="0"/>
                      <w:bCs w:val="0"/>
                      <w:color w:val="000000" w:themeColor="text1"/>
                      <w:kern w:val="2"/>
                      <w:sz w:val="21"/>
                      <w:szCs w:val="21"/>
                      <w:highlight w:val="none"/>
                      <w:lang w:val="en-US" w:eastAsia="zh-CN" w:bidi="ar-SA"/>
                      <w14:textFill>
                        <w14:solidFill>
                          <w14:schemeClr w14:val="tx1"/>
                        </w14:solidFill>
                      </w14:textFill>
                    </w:rPr>
                    <w:t>酚类化合物（以苯酚计）</w:t>
                  </w:r>
                </w:p>
              </w:tc>
              <w:tc>
                <w:tcPr>
                  <w:tcW w:w="460" w:type="pct"/>
                  <w:noWrap w:val="0"/>
                  <w:vAlign w:val="center"/>
                </w:tcPr>
                <w:p w14:paraId="3A62D2A4">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108-95-2</w:t>
                  </w:r>
                </w:p>
              </w:tc>
              <w:tc>
                <w:tcPr>
                  <w:tcW w:w="523" w:type="pct"/>
                  <w:vMerge w:val="continue"/>
                  <w:noWrap w:val="0"/>
                  <w:vAlign w:val="center"/>
                </w:tcPr>
                <w:p w14:paraId="2A8400A5">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446" w:type="pct"/>
                  <w:noWrap w:val="0"/>
                  <w:vAlign w:val="center"/>
                </w:tcPr>
                <w:p w14:paraId="3E4D7E5A">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0.000091</w:t>
                  </w:r>
                </w:p>
              </w:tc>
              <w:tc>
                <w:tcPr>
                  <w:tcW w:w="410" w:type="pct"/>
                  <w:noWrap w:val="0"/>
                  <w:vAlign w:val="center"/>
                </w:tcPr>
                <w:p w14:paraId="7A2B89F5">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5</w:t>
                  </w:r>
                </w:p>
              </w:tc>
              <w:tc>
                <w:tcPr>
                  <w:tcW w:w="474" w:type="pct"/>
                  <w:noWrap w:val="0"/>
                  <w:vAlign w:val="center"/>
                </w:tcPr>
                <w:p w14:paraId="241FC169">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0.0000182</w:t>
                  </w:r>
                </w:p>
              </w:tc>
            </w:tr>
            <w:tr w14:paraId="3D47888D">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restart"/>
                  <w:noWrap w:val="0"/>
                  <w:vAlign w:val="center"/>
                </w:tcPr>
                <w:p w14:paraId="5A77D750">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废弃物</w:t>
                  </w:r>
                </w:p>
              </w:tc>
              <w:tc>
                <w:tcPr>
                  <w:tcW w:w="2298" w:type="pct"/>
                  <w:gridSpan w:val="5"/>
                  <w:noWrap w:val="0"/>
                  <w:vAlign w:val="center"/>
                </w:tcPr>
                <w:p w14:paraId="5BA34D95">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w:t>
                  </w:r>
                </w:p>
              </w:tc>
              <w:tc>
                <w:tcPr>
                  <w:tcW w:w="460" w:type="pct"/>
                  <w:noWrap w:val="0"/>
                  <w:vAlign w:val="center"/>
                </w:tcPr>
                <w:p w14:paraId="1695448B">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w:t>
                  </w:r>
                </w:p>
              </w:tc>
              <w:tc>
                <w:tcPr>
                  <w:tcW w:w="523" w:type="pct"/>
                  <w:vMerge w:val="restart"/>
                  <w:noWrap w:val="0"/>
                  <w:vAlign w:val="center"/>
                </w:tcPr>
                <w:p w14:paraId="15A30E98">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危废暂存间</w:t>
                  </w:r>
                </w:p>
              </w:tc>
              <w:tc>
                <w:tcPr>
                  <w:tcW w:w="446" w:type="pct"/>
                  <w:noWrap w:val="0"/>
                  <w:vAlign w:val="center"/>
                </w:tcPr>
                <w:p w14:paraId="095BCEC5">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0.05</w:t>
                  </w:r>
                </w:p>
              </w:tc>
              <w:tc>
                <w:tcPr>
                  <w:tcW w:w="410" w:type="pct"/>
                  <w:noWrap w:val="0"/>
                  <w:vAlign w:val="center"/>
                </w:tcPr>
                <w:p w14:paraId="342B56CA">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2500</w:t>
                  </w:r>
                </w:p>
              </w:tc>
              <w:tc>
                <w:tcPr>
                  <w:tcW w:w="474" w:type="pct"/>
                  <w:noWrap w:val="0"/>
                  <w:vAlign w:val="center"/>
                </w:tcPr>
                <w:p w14:paraId="015C15B1">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0.00002</w:t>
                  </w:r>
                </w:p>
              </w:tc>
            </w:tr>
            <w:tr w14:paraId="7248BC0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201100B5">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2298" w:type="pct"/>
                  <w:gridSpan w:val="5"/>
                  <w:noWrap w:val="0"/>
                  <w:vAlign w:val="center"/>
                </w:tcPr>
                <w:p w14:paraId="116055AC">
                  <w:pPr>
                    <w:pStyle w:val="136"/>
                    <w:keepNext w:val="0"/>
                    <w:keepLines w:val="0"/>
                    <w:pageBreakBefore w:val="0"/>
                    <w:kinsoku/>
                    <w:wordWrap/>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废乳化液</w:t>
                  </w:r>
                </w:p>
              </w:tc>
              <w:tc>
                <w:tcPr>
                  <w:tcW w:w="460" w:type="pct"/>
                  <w:noWrap w:val="0"/>
                  <w:vAlign w:val="center"/>
                </w:tcPr>
                <w:p w14:paraId="2677B7E0">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c>
                <w:tcPr>
                  <w:tcW w:w="523" w:type="pct"/>
                  <w:vMerge w:val="continue"/>
                  <w:noWrap w:val="0"/>
                  <w:vAlign w:val="center"/>
                </w:tcPr>
                <w:p w14:paraId="1DE80DD6">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446" w:type="pct"/>
                  <w:noWrap w:val="0"/>
                  <w:vAlign w:val="center"/>
                </w:tcPr>
                <w:p w14:paraId="6AED4CE7">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2</w:t>
                  </w:r>
                </w:p>
              </w:tc>
              <w:tc>
                <w:tcPr>
                  <w:tcW w:w="410" w:type="pct"/>
                  <w:noWrap w:val="0"/>
                  <w:vAlign w:val="center"/>
                </w:tcPr>
                <w:p w14:paraId="07366471">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eastAsia" w:cs="Times New Roman"/>
                      <w:i w:val="0"/>
                      <w:iCs w:val="0"/>
                      <w:color w:val="000000" w:themeColor="text1"/>
                      <w:kern w:val="0"/>
                      <w:sz w:val="21"/>
                      <w:szCs w:val="21"/>
                      <w:u w:val="none"/>
                      <w:lang w:val="en-US" w:eastAsia="zh-CN" w:bidi="ar"/>
                      <w14:textFill>
                        <w14:solidFill>
                          <w14:schemeClr w14:val="tx1"/>
                        </w14:solidFill>
                      </w14:textFill>
                    </w:rPr>
                    <w:t>10</w:t>
                  </w:r>
                </w:p>
              </w:tc>
              <w:tc>
                <w:tcPr>
                  <w:tcW w:w="474" w:type="pct"/>
                  <w:noWrap w:val="0"/>
                  <w:vAlign w:val="center"/>
                </w:tcPr>
                <w:p w14:paraId="00610F92">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0.2</w:t>
                  </w:r>
                </w:p>
              </w:tc>
            </w:tr>
            <w:tr w14:paraId="27581F16">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385" w:type="pct"/>
                  <w:vMerge w:val="continue"/>
                  <w:noWrap w:val="0"/>
                  <w:vAlign w:val="center"/>
                </w:tcPr>
                <w:p w14:paraId="6AD0B0CA">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2298" w:type="pct"/>
                  <w:gridSpan w:val="5"/>
                  <w:noWrap w:val="0"/>
                  <w:vAlign w:val="center"/>
                </w:tcPr>
                <w:p w14:paraId="5AC48FAB">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水帘柜废水</w:t>
                  </w:r>
                </w:p>
              </w:tc>
              <w:tc>
                <w:tcPr>
                  <w:tcW w:w="460" w:type="pct"/>
                  <w:noWrap w:val="0"/>
                  <w:vAlign w:val="center"/>
                </w:tcPr>
                <w:p w14:paraId="5F31131F">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c>
                <w:tcPr>
                  <w:tcW w:w="523" w:type="pct"/>
                  <w:noWrap w:val="0"/>
                  <w:vAlign w:val="center"/>
                </w:tcPr>
                <w:p w14:paraId="59A95303">
                  <w:pPr>
                    <w:pStyle w:val="136"/>
                    <w:keepNext w:val="0"/>
                    <w:keepLines w:val="0"/>
                    <w:pageBreakBefore w:val="0"/>
                    <w:kinsoku/>
                    <w:wordWrap/>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喷漆房、</w:t>
                  </w:r>
                  <w:r>
                    <w:rPr>
                      <w:rFonts w:hint="default" w:ascii="Times New Roman" w:hAnsi="Times New Roman" w:cs="Times New Roman"/>
                      <w:color w:val="000000" w:themeColor="text1"/>
                      <w:sz w:val="21"/>
                      <w:szCs w:val="21"/>
                      <w:highlight w:val="none"/>
                      <w14:textFill>
                        <w14:solidFill>
                          <w14:schemeClr w14:val="tx1"/>
                        </w14:solidFill>
                      </w14:textFill>
                    </w:rPr>
                    <w:t>危废暂存间</w:t>
                  </w:r>
                </w:p>
              </w:tc>
              <w:tc>
                <w:tcPr>
                  <w:tcW w:w="446" w:type="pct"/>
                  <w:noWrap w:val="0"/>
                  <w:vAlign w:val="center"/>
                </w:tcPr>
                <w:p w14:paraId="13EDC2AF">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2.96</w:t>
                  </w:r>
                </w:p>
              </w:tc>
              <w:tc>
                <w:tcPr>
                  <w:tcW w:w="410" w:type="pct"/>
                  <w:noWrap w:val="0"/>
                  <w:vAlign w:val="center"/>
                </w:tcPr>
                <w:p w14:paraId="08C643C3">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10</w:t>
                  </w:r>
                </w:p>
              </w:tc>
              <w:tc>
                <w:tcPr>
                  <w:tcW w:w="474" w:type="pct"/>
                  <w:noWrap w:val="0"/>
                  <w:vAlign w:val="center"/>
                </w:tcPr>
                <w:p w14:paraId="6B37FB76">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0.296</w:t>
                  </w:r>
                </w:p>
              </w:tc>
            </w:tr>
            <w:tr w14:paraId="6FF102E5">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283" w:hRule="atLeast"/>
                <w:jc w:val="center"/>
              </w:trPr>
              <w:tc>
                <w:tcPr>
                  <w:tcW w:w="4525" w:type="pct"/>
                  <w:gridSpan w:val="10"/>
                  <w:noWrap w:val="0"/>
                  <w:vAlign w:val="center"/>
                </w:tcPr>
                <w:p w14:paraId="01894753">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项目Q值∑</w:t>
                  </w:r>
                </w:p>
              </w:tc>
              <w:tc>
                <w:tcPr>
                  <w:tcW w:w="474" w:type="pct"/>
                  <w:shd w:val="clear" w:color="auto" w:fill="auto"/>
                  <w:noWrap w:val="0"/>
                  <w:vAlign w:val="center"/>
                </w:tcPr>
                <w:p w14:paraId="5157BD5A">
                  <w:pPr>
                    <w:keepNext w:val="0"/>
                    <w:keepLines w:val="0"/>
                    <w:pageBreakBefore w:val="0"/>
                    <w:widowControl/>
                    <w:suppressLineNumbers w:val="0"/>
                    <w:kinsoku/>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pPr>
                  <w:r>
                    <w:rPr>
                      <w:rFonts w:hint="default"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0.5092988</w:t>
                  </w:r>
                </w:p>
              </w:tc>
            </w:tr>
          </w:tbl>
          <w:p w14:paraId="49E60FED">
            <w:pPr>
              <w:shd w:val="clear" w:color="auto" w:fill="auto"/>
              <w:spacing w:line="240" w:lineRule="auto"/>
              <w:rPr>
                <w:rFonts w:hint="default" w:ascii="Times New Roman" w:hAnsi="Times New Roman" w:cs="Times New Roman"/>
                <w:color w:val="000000" w:themeColor="text1"/>
                <w:kern w:val="0"/>
                <w:sz w:val="21"/>
                <w:szCs w:val="21"/>
                <w:highlight w:val="none"/>
                <w:lang w:val="en-US"/>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注：废气以1h在线量计</w:t>
            </w:r>
            <w:r>
              <w:rPr>
                <w:rFonts w:hint="eastAsia" w:cs="Times New Roman"/>
                <w:color w:val="000000" w:themeColor="text1"/>
                <w:sz w:val="21"/>
                <w:szCs w:val="21"/>
                <w:highlight w:val="none"/>
                <w:lang w:val="en-US" w:eastAsia="zh-CN"/>
                <w14:textFill>
                  <w14:solidFill>
                    <w14:schemeClr w14:val="tx1"/>
                  </w14:solidFill>
                </w14:textFill>
              </w:rPr>
              <w:t>，废乳化液和水帘柜废水临界量按照CODcr浓度</w:t>
            </w:r>
            <w:r>
              <w:rPr>
                <w:rFonts w:hint="default" w:ascii="Arial" w:hAnsi="Arial" w:cs="Arial"/>
                <w:color w:val="000000" w:themeColor="text1"/>
                <w:sz w:val="21"/>
                <w:szCs w:val="21"/>
                <w:highlight w:val="none"/>
                <w:lang w:val="en-US" w:eastAsia="zh-CN"/>
                <w14:textFill>
                  <w14:solidFill>
                    <w14:schemeClr w14:val="tx1"/>
                  </w14:solidFill>
                </w14:textFill>
              </w:rPr>
              <w:t>≥</w:t>
            </w:r>
            <w:r>
              <w:rPr>
                <w:rFonts w:hint="eastAsia" w:cs="Times New Roman"/>
                <w:color w:val="000000" w:themeColor="text1"/>
                <w:sz w:val="21"/>
                <w:szCs w:val="21"/>
                <w:highlight w:val="none"/>
                <w:lang w:val="en-US" w:eastAsia="zh-CN"/>
                <w14:textFill>
                  <w14:solidFill>
                    <w14:schemeClr w14:val="tx1"/>
                  </w14:solidFill>
                </w14:textFill>
              </w:rPr>
              <w:t>10000mg/L的有机废液评价。</w:t>
            </w:r>
          </w:p>
          <w:p w14:paraId="145F61D3">
            <w:pPr>
              <w:shd w:val="clear" w:color="auto" w:fill="auto"/>
              <w:ind w:firstLine="480"/>
              <w:rPr>
                <w:rFonts w:hint="default" w:ascii="Times New Roman" w:hAnsi="Times New Roman" w:cs="Times New Roman"/>
                <w:color w:val="000000" w:themeColor="text1"/>
                <w:kern w:val="0"/>
                <w:highlight w:val="none"/>
                <w14:textFill>
                  <w14:solidFill>
                    <w14:schemeClr w14:val="tx1"/>
                  </w14:solidFill>
                </w14:textFill>
              </w:rPr>
            </w:pPr>
            <w:r>
              <w:rPr>
                <w:rFonts w:hint="default" w:ascii="Times New Roman" w:hAnsi="Times New Roman" w:cs="Times New Roman"/>
                <w:color w:val="000000" w:themeColor="text1"/>
                <w:kern w:val="0"/>
                <w:highlight w:val="none"/>
                <w14:textFill>
                  <w14:solidFill>
                    <w14:schemeClr w14:val="tx1"/>
                  </w14:solidFill>
                </w14:textFill>
              </w:rPr>
              <w:t>经计算，本项目危险物质数量与临界量比值Q＜1，可直接判定环境风险潜势为Ⅰ。</w:t>
            </w:r>
          </w:p>
          <w:p w14:paraId="5C7BE3B0">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项目危险品主要影响途径见表4</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4</w:t>
            </w:r>
            <w:r>
              <w:rPr>
                <w:rFonts w:hint="default" w:ascii="Times New Roman" w:hAnsi="Times New Roman" w:cs="Times New Roman"/>
                <w:color w:val="000000" w:themeColor="text1"/>
                <w:highlight w:val="none"/>
                <w14:textFill>
                  <w14:solidFill>
                    <w14:schemeClr w14:val="tx1"/>
                  </w14:solidFill>
                </w14:textFill>
              </w:rPr>
              <w:t>。</w:t>
            </w:r>
          </w:p>
          <w:p w14:paraId="6D361287">
            <w:pPr>
              <w:shd w:val="clear" w:color="auto" w:fill="auto"/>
              <w:tabs>
                <w:tab w:val="left" w:pos="0"/>
              </w:tabs>
              <w:spacing w:line="240" w:lineRule="auto"/>
              <w:ind w:firstLine="0" w:firstLineChars="0"/>
              <w:jc w:val="center"/>
              <w:rPr>
                <w:rFonts w:hint="default" w:ascii="Times New Roman" w:hAnsi="Times New Roman" w:cs="Times New Roman"/>
                <w:b/>
                <w:color w:val="000000" w:themeColor="text1"/>
                <w:szCs w:val="21"/>
                <w:highlight w:val="none"/>
                <w14:textFill>
                  <w14:solidFill>
                    <w14:schemeClr w14:val="tx1"/>
                  </w14:solidFill>
                </w14:textFill>
              </w:rPr>
            </w:pPr>
            <w:r>
              <w:rPr>
                <w:rFonts w:hint="default" w:ascii="Times New Roman" w:hAnsi="Times New Roman" w:cs="Times New Roman"/>
                <w:b/>
                <w:color w:val="000000" w:themeColor="text1"/>
                <w:szCs w:val="21"/>
                <w:highlight w:val="none"/>
                <w14:textFill>
                  <w14:solidFill>
                    <w14:schemeClr w14:val="tx1"/>
                  </w14:solidFill>
                </w14:textFill>
              </w:rPr>
              <w:t>表4-1</w:t>
            </w:r>
            <w:r>
              <w:rPr>
                <w:rFonts w:hint="eastAsia" w:cs="Times New Roman"/>
                <w:b/>
                <w:color w:val="000000" w:themeColor="text1"/>
                <w:szCs w:val="21"/>
                <w:highlight w:val="none"/>
                <w:lang w:val="en-US" w:eastAsia="zh-CN"/>
                <w14:textFill>
                  <w14:solidFill>
                    <w14:schemeClr w14:val="tx1"/>
                  </w14:solidFill>
                </w14:textFill>
              </w:rPr>
              <w:t>4</w:t>
            </w:r>
            <w:r>
              <w:rPr>
                <w:rFonts w:hint="default" w:ascii="Times New Roman" w:hAnsi="Times New Roman" w:cs="Times New Roman"/>
                <w:b/>
                <w:color w:val="000000" w:themeColor="text1"/>
                <w:szCs w:val="21"/>
                <w:highlight w:val="none"/>
                <w14:textFill>
                  <w14:solidFill>
                    <w14:schemeClr w14:val="tx1"/>
                  </w14:solidFill>
                </w14:textFill>
              </w:rPr>
              <w:t xml:space="preserve"> 建设项目环境风险识别表</w:t>
            </w:r>
          </w:p>
          <w:tbl>
            <w:tblPr>
              <w:tblStyle w:val="32"/>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75"/>
              <w:gridCol w:w="1394"/>
              <w:gridCol w:w="1037"/>
              <w:gridCol w:w="1515"/>
              <w:gridCol w:w="1587"/>
              <w:gridCol w:w="2850"/>
              <w:gridCol w:w="1755"/>
              <w:gridCol w:w="2436"/>
            </w:tblGrid>
            <w:tr w14:paraId="3A651F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0" w:type="pct"/>
                  <w:noWrap w:val="0"/>
                  <w:vAlign w:val="center"/>
                </w:tcPr>
                <w:p w14:paraId="174EA487">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序号</w:t>
                  </w:r>
                </w:p>
              </w:tc>
              <w:tc>
                <w:tcPr>
                  <w:tcW w:w="522" w:type="pct"/>
                  <w:noWrap w:val="0"/>
                  <w:vAlign w:val="center"/>
                </w:tcPr>
                <w:p w14:paraId="4DF96066">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危险单元</w:t>
                  </w:r>
                </w:p>
              </w:tc>
              <w:tc>
                <w:tcPr>
                  <w:tcW w:w="388" w:type="pct"/>
                  <w:noWrap w:val="0"/>
                  <w:vAlign w:val="center"/>
                </w:tcPr>
                <w:p w14:paraId="24B6068A">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风险源</w:t>
                  </w:r>
                </w:p>
              </w:tc>
              <w:tc>
                <w:tcPr>
                  <w:tcW w:w="567" w:type="pct"/>
                  <w:noWrap w:val="0"/>
                  <w:vAlign w:val="center"/>
                </w:tcPr>
                <w:p w14:paraId="73795CD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主要危险物质</w:t>
                  </w:r>
                </w:p>
              </w:tc>
              <w:tc>
                <w:tcPr>
                  <w:tcW w:w="594" w:type="pct"/>
                  <w:noWrap w:val="0"/>
                  <w:vAlign w:val="center"/>
                </w:tcPr>
                <w:p w14:paraId="49BC1C9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环境风险类型</w:t>
                  </w:r>
                </w:p>
              </w:tc>
              <w:tc>
                <w:tcPr>
                  <w:tcW w:w="1067" w:type="pct"/>
                  <w:noWrap w:val="0"/>
                  <w:vAlign w:val="center"/>
                </w:tcPr>
                <w:p w14:paraId="17DFB087">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环境风险途径</w:t>
                  </w:r>
                </w:p>
              </w:tc>
              <w:tc>
                <w:tcPr>
                  <w:tcW w:w="657" w:type="pct"/>
                  <w:noWrap w:val="0"/>
                  <w:vAlign w:val="center"/>
                </w:tcPr>
                <w:p w14:paraId="4976CF59">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伴生/次生污染物</w:t>
                  </w:r>
                </w:p>
              </w:tc>
              <w:tc>
                <w:tcPr>
                  <w:tcW w:w="912" w:type="pct"/>
                  <w:noWrap w:val="0"/>
                  <w:vAlign w:val="center"/>
                </w:tcPr>
                <w:p w14:paraId="58DCC279">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可能影响的环境敏感目标</w:t>
                  </w:r>
                </w:p>
              </w:tc>
            </w:tr>
            <w:tr w14:paraId="3BFDF7E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90" w:type="pct"/>
                  <w:noWrap w:val="0"/>
                  <w:vAlign w:val="center"/>
                </w:tcPr>
                <w:p w14:paraId="1692DB9C">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b/>
                      <w:color w:val="000000" w:themeColor="text1"/>
                      <w:kern w:val="0"/>
                      <w:sz w:val="21"/>
                      <w:szCs w:val="21"/>
                      <w:highlight w:val="none"/>
                      <w14:textFill>
                        <w14:solidFill>
                          <w14:schemeClr w14:val="tx1"/>
                        </w14:solidFill>
                      </w14:textFill>
                    </w:rPr>
                  </w:pPr>
                  <w:r>
                    <w:rPr>
                      <w:rFonts w:hint="default" w:ascii="Times New Roman" w:hAnsi="Times New Roman" w:cs="Times New Roman"/>
                      <w:b/>
                      <w:color w:val="000000" w:themeColor="text1"/>
                      <w:kern w:val="0"/>
                      <w:sz w:val="21"/>
                      <w:szCs w:val="21"/>
                      <w:highlight w:val="none"/>
                      <w14:textFill>
                        <w14:solidFill>
                          <w14:schemeClr w14:val="tx1"/>
                        </w14:solidFill>
                      </w14:textFill>
                    </w:rPr>
                    <w:t>1</w:t>
                  </w:r>
                </w:p>
              </w:tc>
              <w:tc>
                <w:tcPr>
                  <w:tcW w:w="522" w:type="pct"/>
                  <w:noWrap w:val="0"/>
                  <w:vAlign w:val="center"/>
                </w:tcPr>
                <w:p w14:paraId="52D6B190">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原料仓库</w:t>
                  </w:r>
                </w:p>
              </w:tc>
              <w:tc>
                <w:tcPr>
                  <w:tcW w:w="388" w:type="pct"/>
                  <w:noWrap w:val="0"/>
                  <w:vAlign w:val="center"/>
                </w:tcPr>
                <w:p w14:paraId="31BAA77F">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原料</w:t>
                  </w:r>
                </w:p>
              </w:tc>
              <w:tc>
                <w:tcPr>
                  <w:tcW w:w="567" w:type="pct"/>
                  <w:noWrap w:val="0"/>
                  <w:vAlign w:val="center"/>
                </w:tcPr>
                <w:p w14:paraId="30D27338">
                  <w:pPr>
                    <w:shd w:val="clear" w:color="auto" w:fill="auto"/>
                    <w:adjustRightInd w:val="0"/>
                    <w:snapToGrid w:val="0"/>
                    <w:spacing w:line="240" w:lineRule="atLeast"/>
                    <w:ind w:firstLine="0" w:firstLineChars="0"/>
                    <w:jc w:val="center"/>
                    <w:textAlignment w:val="baseline"/>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苯酚</w:t>
                  </w:r>
                  <w:r>
                    <w:rPr>
                      <w:rFonts w:hint="eastAsia" w:cs="Times New Roman"/>
                      <w:color w:val="000000" w:themeColor="text1"/>
                      <w:kern w:val="0"/>
                      <w:sz w:val="21"/>
                      <w:szCs w:val="21"/>
                      <w:highlight w:val="none"/>
                      <w:lang w:eastAsia="zh-CN"/>
                      <w14:textFill>
                        <w14:solidFill>
                          <w14:schemeClr w14:val="tx1"/>
                        </w14:solidFill>
                      </w14:textFill>
                    </w:rPr>
                    <w:t>、</w:t>
                  </w:r>
                  <w:r>
                    <w:rPr>
                      <w:rFonts w:hint="eastAsia" w:cs="Times New Roman"/>
                      <w:color w:val="000000" w:themeColor="text1"/>
                      <w:kern w:val="0"/>
                      <w:sz w:val="21"/>
                      <w:szCs w:val="21"/>
                      <w:highlight w:val="none"/>
                      <w:lang w:val="en-US" w:eastAsia="zh-CN"/>
                      <w14:textFill>
                        <w14:solidFill>
                          <w14:schemeClr w14:val="tx1"/>
                        </w14:solidFill>
                      </w14:textFill>
                    </w:rPr>
                    <w:t>甲醛</w:t>
                  </w:r>
                </w:p>
              </w:tc>
              <w:tc>
                <w:tcPr>
                  <w:tcW w:w="594" w:type="pct"/>
                  <w:noWrap w:val="0"/>
                  <w:vAlign w:val="center"/>
                </w:tcPr>
                <w:p w14:paraId="22D1199D">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泄漏、火灾</w:t>
                  </w:r>
                </w:p>
              </w:tc>
              <w:tc>
                <w:tcPr>
                  <w:tcW w:w="1067" w:type="pct"/>
                  <w:noWrap w:val="0"/>
                  <w:vAlign w:val="center"/>
                </w:tcPr>
                <w:p w14:paraId="77C6DF6A">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液体物质，主要是原料桶破损泄漏形成废液，一旦泄漏会污染地下水、土壤、环境空气。</w:t>
                  </w:r>
                </w:p>
              </w:tc>
              <w:tc>
                <w:tcPr>
                  <w:tcW w:w="657" w:type="pct"/>
                  <w:noWrap w:val="0"/>
                  <w:vAlign w:val="center"/>
                </w:tcPr>
                <w:p w14:paraId="2C905AC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苯酚</w:t>
                  </w:r>
                  <w:r>
                    <w:rPr>
                      <w:rFonts w:hint="eastAsia" w:cs="Times New Roman"/>
                      <w:color w:val="000000" w:themeColor="text1"/>
                      <w:kern w:val="0"/>
                      <w:sz w:val="21"/>
                      <w:szCs w:val="21"/>
                      <w:highlight w:val="none"/>
                      <w:lang w:eastAsia="zh-CN"/>
                      <w14:textFill>
                        <w14:solidFill>
                          <w14:schemeClr w14:val="tx1"/>
                        </w14:solidFill>
                      </w14:textFill>
                    </w:rPr>
                    <w:t>、</w:t>
                  </w:r>
                  <w:r>
                    <w:rPr>
                      <w:rFonts w:hint="eastAsia" w:cs="Times New Roman"/>
                      <w:color w:val="000000" w:themeColor="text1"/>
                      <w:kern w:val="0"/>
                      <w:sz w:val="21"/>
                      <w:szCs w:val="21"/>
                      <w:highlight w:val="none"/>
                      <w:lang w:val="en-US" w:eastAsia="zh-CN"/>
                      <w14:textFill>
                        <w14:solidFill>
                          <w14:schemeClr w14:val="tx1"/>
                        </w14:solidFill>
                      </w14:textFill>
                    </w:rPr>
                    <w:t>甲醛、</w:t>
                  </w:r>
                  <w:r>
                    <w:rPr>
                      <w:rFonts w:hint="default" w:ascii="Times New Roman" w:hAnsi="Times New Roman" w:cs="Times New Roman"/>
                      <w:color w:val="000000" w:themeColor="text1"/>
                      <w:kern w:val="0"/>
                      <w:sz w:val="21"/>
                      <w:szCs w:val="21"/>
                      <w:highlight w:val="none"/>
                      <w14:textFill>
                        <w14:solidFill>
                          <w14:schemeClr w14:val="tx1"/>
                        </w14:solidFill>
                      </w14:textFill>
                    </w:rPr>
                    <w:t>一氧化碳有毒气体</w:t>
                  </w:r>
                </w:p>
              </w:tc>
              <w:tc>
                <w:tcPr>
                  <w:tcW w:w="912" w:type="pct"/>
                  <w:vMerge w:val="restart"/>
                  <w:noWrap w:val="0"/>
                  <w:vAlign w:val="center"/>
                </w:tcPr>
                <w:p w14:paraId="2B45D41F">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主要可能影响泄漏点附近的员工，对外环境基本无影响</w:t>
                  </w:r>
                </w:p>
              </w:tc>
            </w:tr>
            <w:tr w14:paraId="3D8C2E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90" w:type="pct"/>
                  <w:noWrap w:val="0"/>
                  <w:vAlign w:val="center"/>
                </w:tcPr>
                <w:p w14:paraId="07C88A52">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2</w:t>
                  </w:r>
                </w:p>
              </w:tc>
              <w:tc>
                <w:tcPr>
                  <w:tcW w:w="522" w:type="pct"/>
                  <w:noWrap w:val="0"/>
                  <w:vAlign w:val="center"/>
                </w:tcPr>
                <w:p w14:paraId="2A8400AA">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原料仓库</w:t>
                  </w:r>
                </w:p>
              </w:tc>
              <w:tc>
                <w:tcPr>
                  <w:tcW w:w="388" w:type="pct"/>
                  <w:noWrap w:val="0"/>
                  <w:vAlign w:val="center"/>
                </w:tcPr>
                <w:p w14:paraId="03B2182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原料</w:t>
                  </w:r>
                </w:p>
              </w:tc>
              <w:tc>
                <w:tcPr>
                  <w:tcW w:w="567" w:type="pct"/>
                  <w:noWrap w:val="0"/>
                  <w:vAlign w:val="center"/>
                </w:tcPr>
                <w:p w14:paraId="31B7EE32">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机油</w:t>
                  </w:r>
                </w:p>
              </w:tc>
              <w:tc>
                <w:tcPr>
                  <w:tcW w:w="594" w:type="pct"/>
                  <w:vMerge w:val="restart"/>
                  <w:noWrap w:val="0"/>
                  <w:vAlign w:val="center"/>
                </w:tcPr>
                <w:p w14:paraId="02760071">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泄漏、火灾</w:t>
                  </w:r>
                </w:p>
              </w:tc>
              <w:tc>
                <w:tcPr>
                  <w:tcW w:w="1067" w:type="pct"/>
                  <w:vMerge w:val="restart"/>
                  <w:noWrap w:val="0"/>
                  <w:vAlign w:val="center"/>
                </w:tcPr>
                <w:p w14:paraId="1D36AD49">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液体物质，主要是原料桶破损泄漏形成废液，一旦火灾会影响环境空气。</w:t>
                  </w:r>
                </w:p>
              </w:tc>
              <w:tc>
                <w:tcPr>
                  <w:tcW w:w="657" w:type="pct"/>
                  <w:vMerge w:val="restart"/>
                  <w:noWrap w:val="0"/>
                  <w:vAlign w:val="center"/>
                </w:tcPr>
                <w:p w14:paraId="4B9F99B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一氧化碳有毒气体</w:t>
                  </w:r>
                </w:p>
              </w:tc>
              <w:tc>
                <w:tcPr>
                  <w:tcW w:w="912" w:type="pct"/>
                  <w:vMerge w:val="continue"/>
                  <w:noWrap w:val="0"/>
                  <w:vAlign w:val="center"/>
                </w:tcPr>
                <w:p w14:paraId="471CE370">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r>
            <w:tr w14:paraId="163055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90" w:type="pct"/>
                  <w:noWrap w:val="0"/>
                  <w:vAlign w:val="center"/>
                </w:tcPr>
                <w:p w14:paraId="16F21AC6">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3</w:t>
                  </w:r>
                </w:p>
              </w:tc>
              <w:tc>
                <w:tcPr>
                  <w:tcW w:w="522" w:type="pct"/>
                  <w:noWrap w:val="0"/>
                  <w:vAlign w:val="center"/>
                </w:tcPr>
                <w:p w14:paraId="2E1AF641">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危险废物暂存库</w:t>
                  </w:r>
                </w:p>
              </w:tc>
              <w:tc>
                <w:tcPr>
                  <w:tcW w:w="388" w:type="pct"/>
                  <w:noWrap w:val="0"/>
                  <w:vAlign w:val="center"/>
                </w:tcPr>
                <w:p w14:paraId="28F98DC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固体废物</w:t>
                  </w:r>
                </w:p>
              </w:tc>
              <w:tc>
                <w:tcPr>
                  <w:tcW w:w="567" w:type="pct"/>
                  <w:noWrap w:val="0"/>
                  <w:vAlign w:val="center"/>
                </w:tcPr>
                <w:p w14:paraId="1201065C">
                  <w:pPr>
                    <w:shd w:val="clear" w:color="auto" w:fill="auto"/>
                    <w:adjustRightInd w:val="0"/>
                    <w:snapToGrid w:val="0"/>
                    <w:spacing w:line="240" w:lineRule="atLeast"/>
                    <w:ind w:firstLine="0" w:firstLineChars="0"/>
                    <w:jc w:val="center"/>
                    <w:textAlignment w:val="baseline"/>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废机油</w:t>
                  </w:r>
                  <w:r>
                    <w:rPr>
                      <w:rFonts w:hint="eastAsia" w:cs="Times New Roman"/>
                      <w:color w:val="000000" w:themeColor="text1"/>
                      <w:kern w:val="0"/>
                      <w:sz w:val="21"/>
                      <w:szCs w:val="21"/>
                      <w:highlight w:val="none"/>
                      <w:lang w:eastAsia="zh-CN"/>
                      <w14:textFill>
                        <w14:solidFill>
                          <w14:schemeClr w14:val="tx1"/>
                        </w14:solidFill>
                      </w14:textFill>
                    </w:rPr>
                    <w:t>、</w:t>
                  </w:r>
                  <w:r>
                    <w:rPr>
                      <w:rFonts w:hint="eastAsia" w:cs="Times New Roman"/>
                      <w:color w:val="000000" w:themeColor="text1"/>
                      <w:kern w:val="0"/>
                      <w:sz w:val="21"/>
                      <w:szCs w:val="21"/>
                      <w:highlight w:val="none"/>
                      <w:lang w:val="en-US" w:eastAsia="zh-CN"/>
                      <w14:textFill>
                        <w14:solidFill>
                          <w14:schemeClr w14:val="tx1"/>
                        </w14:solidFill>
                      </w14:textFill>
                    </w:rPr>
                    <w:t>废乳化液</w:t>
                  </w:r>
                </w:p>
              </w:tc>
              <w:tc>
                <w:tcPr>
                  <w:tcW w:w="594" w:type="pct"/>
                  <w:vMerge w:val="continue"/>
                  <w:noWrap w:val="0"/>
                  <w:vAlign w:val="center"/>
                </w:tcPr>
                <w:p w14:paraId="7ECFB32F">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c>
                <w:tcPr>
                  <w:tcW w:w="1067" w:type="pct"/>
                  <w:vMerge w:val="continue"/>
                  <w:noWrap w:val="0"/>
                  <w:vAlign w:val="center"/>
                </w:tcPr>
                <w:p w14:paraId="20367FF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c>
                <w:tcPr>
                  <w:tcW w:w="657" w:type="pct"/>
                  <w:vMerge w:val="continue"/>
                  <w:noWrap w:val="0"/>
                  <w:vAlign w:val="center"/>
                </w:tcPr>
                <w:p w14:paraId="37E95A62">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c>
                <w:tcPr>
                  <w:tcW w:w="912" w:type="pct"/>
                  <w:vMerge w:val="continue"/>
                  <w:noWrap w:val="0"/>
                  <w:vAlign w:val="center"/>
                </w:tcPr>
                <w:p w14:paraId="330D281C">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r>
            <w:tr w14:paraId="1B86118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15" w:hRule="atLeast"/>
                <w:jc w:val="center"/>
              </w:trPr>
              <w:tc>
                <w:tcPr>
                  <w:tcW w:w="290" w:type="pct"/>
                  <w:noWrap w:val="0"/>
                  <w:vAlign w:val="center"/>
                </w:tcPr>
                <w:p w14:paraId="31216F1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4</w:t>
                  </w:r>
                </w:p>
              </w:tc>
              <w:tc>
                <w:tcPr>
                  <w:tcW w:w="522" w:type="pct"/>
                  <w:noWrap w:val="0"/>
                  <w:vAlign w:val="center"/>
                </w:tcPr>
                <w:p w14:paraId="16FB9E9E">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喷漆房</w:t>
                  </w:r>
                </w:p>
              </w:tc>
              <w:tc>
                <w:tcPr>
                  <w:tcW w:w="388" w:type="pct"/>
                  <w:noWrap w:val="0"/>
                  <w:vAlign w:val="center"/>
                </w:tcPr>
                <w:p w14:paraId="50E21C74">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原料</w:t>
                  </w:r>
                </w:p>
              </w:tc>
              <w:tc>
                <w:tcPr>
                  <w:tcW w:w="567" w:type="pct"/>
                  <w:noWrap w:val="0"/>
                  <w:vAlign w:val="center"/>
                </w:tcPr>
                <w:p w14:paraId="4DBD3418">
                  <w:pPr>
                    <w:shd w:val="clear" w:color="auto" w:fill="auto"/>
                    <w:adjustRightInd w:val="0"/>
                    <w:snapToGrid w:val="0"/>
                    <w:spacing w:line="240" w:lineRule="atLeast"/>
                    <w:ind w:firstLine="0" w:firstLineChars="0"/>
                    <w:jc w:val="center"/>
                    <w:textAlignment w:val="baseline"/>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cs="Times New Roman"/>
                      <w:color w:val="000000" w:themeColor="text1"/>
                      <w:kern w:val="0"/>
                      <w:sz w:val="21"/>
                      <w:szCs w:val="21"/>
                      <w:highlight w:val="none"/>
                      <w:lang w:val="en-US" w:eastAsia="zh-CN"/>
                      <w14:textFill>
                        <w14:solidFill>
                          <w14:schemeClr w14:val="tx1"/>
                        </w14:solidFill>
                      </w14:textFill>
                    </w:rPr>
                    <w:t>水帘柜废水</w:t>
                  </w:r>
                </w:p>
              </w:tc>
              <w:tc>
                <w:tcPr>
                  <w:tcW w:w="594" w:type="pct"/>
                  <w:noWrap w:val="0"/>
                  <w:vAlign w:val="center"/>
                </w:tcPr>
                <w:p w14:paraId="34BB8C61">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泄漏</w:t>
                  </w:r>
                </w:p>
              </w:tc>
              <w:tc>
                <w:tcPr>
                  <w:tcW w:w="1067" w:type="pct"/>
                  <w:noWrap w:val="0"/>
                  <w:vAlign w:val="center"/>
                </w:tcPr>
                <w:p w14:paraId="53194B0C">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液体物质，主要是原料桶破损泄漏形成废液，一旦火灾会影响环境空气。</w:t>
                  </w:r>
                </w:p>
              </w:tc>
              <w:tc>
                <w:tcPr>
                  <w:tcW w:w="657" w:type="pct"/>
                  <w:noWrap w:val="0"/>
                  <w:vAlign w:val="center"/>
                </w:tcPr>
                <w:p w14:paraId="2C7F78B1">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r>
                    <w:rPr>
                      <w:rFonts w:hint="default" w:ascii="Times New Roman" w:hAnsi="Times New Roman" w:cs="Times New Roman"/>
                      <w:color w:val="000000" w:themeColor="text1"/>
                      <w:kern w:val="0"/>
                      <w:sz w:val="21"/>
                      <w:szCs w:val="21"/>
                      <w:highlight w:val="none"/>
                      <w14:textFill>
                        <w14:solidFill>
                          <w14:schemeClr w14:val="tx1"/>
                        </w14:solidFill>
                      </w14:textFill>
                    </w:rPr>
                    <w:t>一氧化碳有毒气体</w:t>
                  </w:r>
                </w:p>
              </w:tc>
              <w:tc>
                <w:tcPr>
                  <w:tcW w:w="912" w:type="pct"/>
                  <w:vMerge w:val="continue"/>
                  <w:noWrap w:val="0"/>
                  <w:vAlign w:val="center"/>
                </w:tcPr>
                <w:p w14:paraId="70AB088A">
                  <w:pPr>
                    <w:shd w:val="clear" w:color="auto" w:fill="auto"/>
                    <w:adjustRightInd w:val="0"/>
                    <w:snapToGrid w:val="0"/>
                    <w:spacing w:line="240" w:lineRule="atLeast"/>
                    <w:ind w:firstLine="0" w:firstLineChars="0"/>
                    <w:jc w:val="center"/>
                    <w:textAlignment w:val="baseline"/>
                    <w:rPr>
                      <w:rFonts w:hint="default" w:ascii="Times New Roman" w:hAnsi="Times New Roman" w:cs="Times New Roman"/>
                      <w:color w:val="000000" w:themeColor="text1"/>
                      <w:kern w:val="0"/>
                      <w:sz w:val="21"/>
                      <w:szCs w:val="21"/>
                      <w:highlight w:val="none"/>
                      <w14:textFill>
                        <w14:solidFill>
                          <w14:schemeClr w14:val="tx1"/>
                        </w14:solidFill>
                      </w14:textFill>
                    </w:rPr>
                  </w:pPr>
                </w:p>
              </w:tc>
            </w:tr>
          </w:tbl>
          <w:p w14:paraId="7DB73485">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kern w:val="0"/>
                <w:highlight w:val="none"/>
                <w14:textFill>
                  <w14:solidFill>
                    <w14:schemeClr w14:val="tx1"/>
                  </w14:solidFill>
                </w14:textFill>
              </w:rPr>
              <w:t>项目原料仓库、危废暂存间存放的危险化学品若储存过程中发生泄漏，有害成分进入大气、水中，对环境空气、地表水、地下</w:t>
            </w:r>
            <w:r>
              <w:rPr>
                <w:rFonts w:hint="default" w:ascii="Times New Roman" w:hAnsi="Times New Roman" w:cs="Times New Roman"/>
                <w:color w:val="000000" w:themeColor="text1"/>
                <w:highlight w:val="none"/>
                <w14:textFill>
                  <w14:solidFill>
                    <w14:schemeClr w14:val="tx1"/>
                  </w14:solidFill>
                </w14:textFill>
              </w:rPr>
              <w:t>水和土壤会造成污染。</w:t>
            </w:r>
          </w:p>
          <w:p w14:paraId="4AF4A4A3">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2、风险防范措施</w:t>
            </w:r>
          </w:p>
          <w:p w14:paraId="0135522B">
            <w:pPr>
              <w:pStyle w:val="4"/>
              <w:shd w:val="clear" w:color="auto" w:fill="auto"/>
              <w:spacing w:before="0" w:after="0" w:line="360" w:lineRule="auto"/>
              <w:ind w:firstLine="482"/>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（1）火灾事故风险防范措施</w:t>
            </w:r>
          </w:p>
          <w:p w14:paraId="1147E149">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①加强消防设施和灭火器材的配备，严格落实有关消防技术规范的规定，加强人员疏散设施管理，保证疏散通道畅通；</w:t>
            </w:r>
          </w:p>
          <w:p w14:paraId="78F458F3">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②定期进行防火安全检查，确保消防设施完整好用；</w:t>
            </w:r>
          </w:p>
          <w:p w14:paraId="17C844FA">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③公司要求职工应遵守各项规章制度，杜绝“三违”（违章作业、违章指挥、违反劳动纪律），作业时要遵守各项规定（如动火、高处作业、进入设备作业等规定）、要求，确保安全生产；</w:t>
            </w:r>
          </w:p>
          <w:p w14:paraId="5F29993C">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④公司强化安全、消防和环保管理，完善环保安全管理机构，完善各项管理制度，加强日常监督检查；厂区内严禁烟火，严格动火审批制度，进料车辆必须戴阻火器。</w:t>
            </w:r>
          </w:p>
          <w:p w14:paraId="1323642C">
            <w:pPr>
              <w:pStyle w:val="4"/>
              <w:shd w:val="clear" w:color="auto" w:fill="auto"/>
              <w:spacing w:before="0" w:after="0" w:line="360" w:lineRule="auto"/>
              <w:ind w:firstLine="482"/>
              <w:rPr>
                <w:rFonts w:hint="default" w:ascii="Times New Roman" w:hAnsi="Times New Roman" w:cs="Times New Roman"/>
                <w:color w:val="000000" w:themeColor="text1"/>
                <w:sz w:val="24"/>
                <w:szCs w:val="24"/>
                <w:highlight w:val="none"/>
                <w14:textFill>
                  <w14:solidFill>
                    <w14:schemeClr w14:val="tx1"/>
                  </w14:solidFill>
                </w14:textFill>
              </w:rPr>
            </w:pPr>
            <w:r>
              <w:rPr>
                <w:rFonts w:hint="eastAsia" w:cs="Times New Roman"/>
                <w:color w:val="000000" w:themeColor="text1"/>
                <w:sz w:val="24"/>
                <w:szCs w:val="24"/>
                <w:highlight w:val="none"/>
                <w:lang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2</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cs="Times New Roman"/>
                <w:color w:val="000000" w:themeColor="text1"/>
                <w:sz w:val="24"/>
                <w:szCs w:val="24"/>
                <w:highlight w:val="none"/>
                <w14:textFill>
                  <w14:solidFill>
                    <w14:schemeClr w14:val="tx1"/>
                  </w14:solidFill>
                </w14:textFill>
              </w:rPr>
              <w:t>废气事故防范措施</w:t>
            </w:r>
          </w:p>
          <w:p w14:paraId="14C1FE4C">
            <w:pPr>
              <w:pStyle w:val="4"/>
              <w:shd w:val="clear" w:color="auto" w:fill="auto"/>
              <w:spacing w:before="0" w:after="0" w:line="360" w:lineRule="auto"/>
              <w:ind w:firstLine="482"/>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①当废气检测超标时，立即启动应急响应机制，由相关车间开展应急处置工作；</w:t>
            </w:r>
          </w:p>
          <w:p w14:paraId="798A2FBC">
            <w:pPr>
              <w:pStyle w:val="4"/>
              <w:shd w:val="clear" w:color="auto" w:fill="auto"/>
              <w:spacing w:before="0" w:after="0" w:line="360" w:lineRule="auto"/>
              <w:ind w:firstLine="482"/>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②与废气产生的工序立即停止，对废气污染防治措施进行初步检查，检查设备接电状况、设备装置运行状况等，初步掌握废气处理措施异常原因，如可现场直接修理、调整好的立即进行处理。</w:t>
            </w:r>
          </w:p>
          <w:p w14:paraId="78313B4F">
            <w:pPr>
              <w:pStyle w:val="4"/>
              <w:shd w:val="clear" w:color="auto" w:fill="auto"/>
              <w:spacing w:before="0" w:after="0" w:line="360" w:lineRule="auto"/>
              <w:ind w:firstLine="482"/>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③如涉及需要向专业人员解决的情况，立即向设施设计单位寻求帮助，对废气处理设备进行维修、更换、调试。</w:t>
            </w:r>
          </w:p>
          <w:p w14:paraId="5553F812">
            <w:pPr>
              <w:pStyle w:val="4"/>
              <w:shd w:val="clear" w:color="auto" w:fill="auto"/>
              <w:spacing w:before="0" w:after="0" w:line="360" w:lineRule="auto"/>
              <w:ind w:firstLine="482"/>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④在废气处理设施可正常运作之前，与之相关产生废气的生产工序不可进行生产。</w:t>
            </w:r>
          </w:p>
          <w:p w14:paraId="7CF4268A">
            <w:pPr>
              <w:pStyle w:val="4"/>
              <w:shd w:val="clear" w:color="auto" w:fill="auto"/>
              <w:spacing w:before="0" w:after="0" w:line="360" w:lineRule="auto"/>
              <w:ind w:firstLine="482"/>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color w:val="000000" w:themeColor="text1"/>
                <w:sz w:val="24"/>
                <w:szCs w:val="24"/>
                <w:highlight w:val="none"/>
                <w14:textFill>
                  <w14:solidFill>
                    <w14:schemeClr w14:val="tx1"/>
                  </w14:solidFill>
                </w14:textFill>
              </w:rPr>
              <w:t>）危险化学品储存区泄漏事故风险防范措施</w:t>
            </w:r>
          </w:p>
          <w:p w14:paraId="4868D888">
            <w:pPr>
              <w:pStyle w:val="4"/>
              <w:shd w:val="clear" w:color="auto" w:fill="auto"/>
              <w:spacing w:before="0" w:after="0" w:line="360" w:lineRule="auto"/>
              <w:ind w:firstLine="480"/>
              <w:rPr>
                <w:rFonts w:hint="default" w:ascii="Times New Roman" w:hAnsi="Times New Roman" w:cs="Times New Roman"/>
                <w:b w:val="0"/>
                <w:bCs w:val="0"/>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①本项目自硬呋喃树脂</w:t>
            </w:r>
            <w:r>
              <w:rPr>
                <w:rFonts w:hint="eastAsia" w:cs="Times New Roman"/>
                <w:b w:val="0"/>
                <w:bCs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val="0"/>
                <w:color w:val="000000" w:themeColor="text1"/>
                <w:sz w:val="24"/>
                <w:szCs w:val="24"/>
                <w:highlight w:val="none"/>
                <w14:textFill>
                  <w14:solidFill>
                    <w14:schemeClr w14:val="tx1"/>
                  </w14:solidFill>
                </w14:textFill>
              </w:rPr>
              <w:t>磺酸固化剂</w:t>
            </w:r>
            <w:r>
              <w:rPr>
                <w:rFonts w:hint="eastAsia" w:cs="Times New Roman"/>
                <w:b w:val="0"/>
                <w:bCs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b w:val="0"/>
                <w:bCs w:val="0"/>
                <w:color w:val="000000" w:themeColor="text1"/>
                <w:sz w:val="24"/>
                <w:szCs w:val="24"/>
                <w:highlight w:val="none"/>
                <w14:textFill>
                  <w14:solidFill>
                    <w14:schemeClr w14:val="tx1"/>
                  </w14:solidFill>
                </w14:textFill>
              </w:rPr>
              <w:t>机油</w:t>
            </w:r>
            <w:r>
              <w:rPr>
                <w:rFonts w:hint="eastAsia" w:cs="Times New Roman"/>
                <w:b w:val="0"/>
                <w:bCs w:val="0"/>
                <w:color w:val="000000" w:themeColor="text1"/>
                <w:sz w:val="24"/>
                <w:szCs w:val="24"/>
                <w:highlight w:val="none"/>
                <w:lang w:eastAsia="zh-CN"/>
                <w14:textFill>
                  <w14:solidFill>
                    <w14:schemeClr w14:val="tx1"/>
                  </w14:solidFill>
                </w14:textFill>
              </w:rPr>
              <w:t>、水性丙烯酸聚氨酯面漆、</w:t>
            </w:r>
            <w:r>
              <w:rPr>
                <w:rFonts w:hint="eastAsia" w:cs="Times New Roman"/>
                <w:b w:val="0"/>
                <w:bCs w:val="0"/>
                <w:color w:val="000000" w:themeColor="text1"/>
                <w:sz w:val="24"/>
                <w:szCs w:val="24"/>
                <w:highlight w:val="none"/>
                <w:lang w:val="en-US" w:eastAsia="zh-CN"/>
                <w14:textFill>
                  <w14:solidFill>
                    <w14:schemeClr w14:val="tx1"/>
                  </w14:solidFill>
                </w14:textFill>
              </w:rPr>
              <w:t>乳化液、脱模剂</w:t>
            </w:r>
            <w:r>
              <w:rPr>
                <w:rFonts w:hint="default" w:ascii="Times New Roman" w:hAnsi="Times New Roman" w:cs="Times New Roman"/>
                <w:b w:val="0"/>
                <w:bCs w:val="0"/>
                <w:color w:val="000000" w:themeColor="text1"/>
                <w:sz w:val="24"/>
                <w:szCs w:val="24"/>
                <w:highlight w:val="none"/>
                <w14:textFill>
                  <w14:solidFill>
                    <w14:schemeClr w14:val="tx1"/>
                  </w14:solidFill>
                </w14:textFill>
              </w:rPr>
              <w:t>单独设置储存区，储存区设置1个长1m，宽</w:t>
            </w:r>
            <w:r>
              <w:rPr>
                <w:rFonts w:hint="eastAsia" w:cs="Times New Roman"/>
                <w:b w:val="0"/>
                <w:bCs w:val="0"/>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b w:val="0"/>
                <w:bCs w:val="0"/>
                <w:color w:val="000000" w:themeColor="text1"/>
                <w:sz w:val="24"/>
                <w:szCs w:val="24"/>
                <w:highlight w:val="none"/>
                <w14:textFill>
                  <w14:solidFill>
                    <w14:schemeClr w14:val="tx1"/>
                  </w14:solidFill>
                </w14:textFill>
              </w:rPr>
              <w:t>m，</w:t>
            </w:r>
            <w:r>
              <w:rPr>
                <w:rFonts w:hint="eastAsia" w:cs="Times New Roman"/>
                <w:b w:val="0"/>
                <w:bCs w:val="0"/>
                <w:color w:val="000000" w:themeColor="text1"/>
                <w:sz w:val="24"/>
                <w:szCs w:val="24"/>
                <w:highlight w:val="none"/>
                <w:lang w:val="en-US" w:eastAsia="zh-CN"/>
                <w14:textFill>
                  <w14:solidFill>
                    <w14:schemeClr w14:val="tx1"/>
                  </w14:solidFill>
                </w14:textFill>
              </w:rPr>
              <w:t>深</w:t>
            </w:r>
            <w:r>
              <w:rPr>
                <w:rFonts w:hint="default" w:ascii="Times New Roman" w:hAnsi="Times New Roman" w:cs="Times New Roman"/>
                <w:b w:val="0"/>
                <w:bCs w:val="0"/>
                <w:color w:val="000000" w:themeColor="text1"/>
                <w:sz w:val="24"/>
                <w:szCs w:val="24"/>
                <w:highlight w:val="none"/>
                <w14:textFill>
                  <w14:solidFill>
                    <w14:schemeClr w14:val="tx1"/>
                  </w14:solidFill>
                </w14:textFill>
              </w:rPr>
              <w:t>0.5m，容积</w:t>
            </w:r>
            <w:r>
              <w:rPr>
                <w:rFonts w:hint="eastAsia" w:cs="Times New Roman"/>
                <w:b w:val="0"/>
                <w:bCs w:val="0"/>
                <w:color w:val="000000" w:themeColor="text1"/>
                <w:sz w:val="24"/>
                <w:szCs w:val="24"/>
                <w:highlight w:val="none"/>
                <w:lang w:val="en-US" w:eastAsia="zh-CN"/>
                <w14:textFill>
                  <w14:solidFill>
                    <w14:schemeClr w14:val="tx1"/>
                  </w14:solidFill>
                </w14:textFill>
              </w:rPr>
              <w:t>0.5</w:t>
            </w:r>
            <w:r>
              <w:rPr>
                <w:rFonts w:hint="default" w:ascii="Times New Roman" w:hAnsi="Times New Roman" w:cs="Times New Roman"/>
                <w:b w:val="0"/>
                <w:bCs w:val="0"/>
                <w:color w:val="000000" w:themeColor="text1"/>
                <w:sz w:val="24"/>
                <w:szCs w:val="24"/>
                <w:highlight w:val="none"/>
                <w14:textFill>
                  <w14:solidFill>
                    <w14:schemeClr w14:val="tx1"/>
                  </w14:solidFill>
                </w14:textFill>
              </w:rPr>
              <w:t>m</w:t>
            </w:r>
            <w:r>
              <w:rPr>
                <w:rFonts w:hint="default" w:ascii="Times New Roman" w:hAnsi="Times New Roman" w:cs="Times New Roman"/>
                <w:b w:val="0"/>
                <w:bCs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b w:val="0"/>
                <w:bCs w:val="0"/>
                <w:color w:val="000000" w:themeColor="text1"/>
                <w:sz w:val="24"/>
                <w:szCs w:val="24"/>
                <w:highlight w:val="none"/>
                <w14:textFill>
                  <w14:solidFill>
                    <w14:schemeClr w14:val="tx1"/>
                  </w14:solidFill>
                </w14:textFill>
              </w:rPr>
              <w:t>的</w:t>
            </w:r>
            <w:r>
              <w:rPr>
                <w:rFonts w:hint="eastAsia" w:cs="Times New Roman"/>
                <w:b w:val="0"/>
                <w:bCs w:val="0"/>
                <w:color w:val="000000" w:themeColor="text1"/>
                <w:sz w:val="24"/>
                <w:szCs w:val="24"/>
                <w:highlight w:val="none"/>
                <w:lang w:val="en-US" w:eastAsia="zh-CN"/>
                <w14:textFill>
                  <w14:solidFill>
                    <w14:schemeClr w14:val="tx1"/>
                  </w14:solidFill>
                </w14:textFill>
              </w:rPr>
              <w:t>集液池并配套设置收集沟，防止泄漏物料外溢</w:t>
            </w:r>
            <w:r>
              <w:rPr>
                <w:rFonts w:hint="default" w:ascii="Times New Roman" w:hAnsi="Times New Roman" w:cs="Times New Roman"/>
                <w:b w:val="0"/>
                <w:bCs w:val="0"/>
                <w:color w:val="000000" w:themeColor="text1"/>
                <w:sz w:val="24"/>
                <w:szCs w:val="24"/>
                <w:highlight w:val="none"/>
                <w14:textFill>
                  <w14:solidFill>
                    <w14:schemeClr w14:val="tx1"/>
                  </w14:solidFill>
                </w14:textFill>
              </w:rPr>
              <w:t>，</w:t>
            </w:r>
            <w:r>
              <w:rPr>
                <w:rFonts w:hint="eastAsia" w:cs="Times New Roman"/>
                <w:b w:val="0"/>
                <w:bCs w:val="0"/>
                <w:color w:val="000000" w:themeColor="text1"/>
                <w:sz w:val="24"/>
                <w:szCs w:val="24"/>
                <w:highlight w:val="none"/>
                <w:lang w:val="en-US" w:eastAsia="zh-CN"/>
                <w14:textFill>
                  <w14:solidFill>
                    <w14:schemeClr w14:val="tx1"/>
                  </w14:solidFill>
                </w14:textFill>
              </w:rPr>
              <w:t>集液池</w:t>
            </w:r>
            <w:r>
              <w:rPr>
                <w:rFonts w:hint="default" w:ascii="Times New Roman" w:hAnsi="Times New Roman" w:cs="Times New Roman"/>
                <w:b w:val="0"/>
                <w:bCs w:val="0"/>
                <w:color w:val="000000" w:themeColor="text1"/>
                <w:sz w:val="24"/>
                <w:szCs w:val="24"/>
                <w:highlight w:val="none"/>
                <w14:textFill>
                  <w14:solidFill>
                    <w14:schemeClr w14:val="tx1"/>
                  </w14:solidFill>
                </w14:textFill>
              </w:rPr>
              <w:t>容积能够满足最大存储量的泄漏，地面采取防渗，设置警示标识等；</w:t>
            </w:r>
          </w:p>
          <w:p w14:paraId="0D394296">
            <w:pPr>
              <w:pStyle w:val="4"/>
              <w:shd w:val="clear" w:color="auto" w:fill="auto"/>
              <w:spacing w:before="0" w:after="0" w:line="360" w:lineRule="auto"/>
              <w:ind w:firstLine="480"/>
              <w:rPr>
                <w:rFonts w:hint="default" w:ascii="Times New Roman" w:hAnsi="Times New Roman" w:cs="Times New Roman"/>
                <w:color w:val="000000" w:themeColor="text1"/>
                <w:sz w:val="24"/>
                <w:szCs w:val="24"/>
                <w:highlight w:val="none"/>
                <w14:textFill>
                  <w14:solidFill>
                    <w14:schemeClr w14:val="tx1"/>
                  </w14:solidFill>
                </w14:textFill>
              </w:rPr>
            </w:pPr>
            <w:r>
              <w:rPr>
                <w:rFonts w:hint="default" w:ascii="Times New Roman" w:hAnsi="Times New Roman" w:cs="Times New Roman"/>
                <w:b w:val="0"/>
                <w:bCs w:val="0"/>
                <w:color w:val="000000" w:themeColor="text1"/>
                <w:sz w:val="24"/>
                <w:szCs w:val="24"/>
                <w:highlight w:val="none"/>
                <w14:textFill>
                  <w14:solidFill>
                    <w14:schemeClr w14:val="tx1"/>
                  </w14:solidFill>
                </w14:textFill>
              </w:rPr>
              <w:t>②储存区严禁明火，严格遵守操作规程，避免因操作失误发生事故；配备相应的堵漏材料（砂袋、灭火器等）；</w:t>
            </w:r>
          </w:p>
          <w:p w14:paraId="017FA6E2">
            <w:pPr>
              <w:shd w:val="clear" w:color="auto" w:fill="auto"/>
              <w:ind w:firstLine="48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③本项目</w:t>
            </w:r>
            <w:r>
              <w:rPr>
                <w:rFonts w:hint="eastAsia" w:cs="Times New Roman"/>
                <w:color w:val="000000" w:themeColor="text1"/>
                <w:highlight w:val="none"/>
                <w:lang w:val="en-US" w:eastAsia="zh-CN"/>
                <w14:textFill>
                  <w14:solidFill>
                    <w14:schemeClr w14:val="tx1"/>
                  </w14:solidFill>
                </w14:textFill>
              </w:rPr>
              <w:t>危化品间发现</w:t>
            </w:r>
            <w:r>
              <w:rPr>
                <w:rFonts w:hint="default" w:ascii="Times New Roman" w:hAnsi="Times New Roman" w:cs="Times New Roman"/>
                <w:color w:val="000000" w:themeColor="text1"/>
                <w:highlight w:val="none"/>
                <w14:textFill>
                  <w14:solidFill>
                    <w14:schemeClr w14:val="tx1"/>
                  </w14:solidFill>
                </w14:textFill>
              </w:rPr>
              <w:t>泄漏时，立即用砂袋、吸油毡吸附清理，且地面做好防渗措施，并转移至危废间内，由危废处置单位接收、转运、处置。</w:t>
            </w:r>
          </w:p>
          <w:p w14:paraId="14D8DA18">
            <w:pPr>
              <w:pStyle w:val="4"/>
              <w:shd w:val="clear" w:color="auto" w:fill="auto"/>
              <w:spacing w:before="0" w:after="0" w:line="360" w:lineRule="auto"/>
              <w:ind w:firstLine="482"/>
              <w:rPr>
                <w:rFonts w:hint="default" w:ascii="Times New Roman" w:hAnsi="Times New Roman" w:eastAsia="宋体" w:cs="Times New Roman"/>
                <w:color w:val="000000" w:themeColor="text1"/>
                <w:sz w:val="24"/>
                <w:szCs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zh-CN"/>
                <w14:textFill>
                  <w14:solidFill>
                    <w14:schemeClr w14:val="tx1"/>
                  </w14:solidFill>
                </w14:textFill>
              </w:rPr>
              <w:t>危险废物的风险防范措施</w:t>
            </w:r>
          </w:p>
          <w:p w14:paraId="14BE6EFA">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由前面工程分析可知，本项目生产过程产生的危险废物主要为</w:t>
            </w:r>
            <w:r>
              <w:rPr>
                <w:rFonts w:hint="default" w:ascii="Times New Roman" w:hAnsi="Times New Roman" w:cs="Times New Roman"/>
                <w:color w:val="000000" w:themeColor="text1"/>
                <w:sz w:val="24"/>
                <w:highlight w:val="none"/>
                <w:lang w:bidi="ar"/>
                <w14:textFill>
                  <w14:solidFill>
                    <w14:schemeClr w14:val="tx1"/>
                  </w14:solidFill>
                </w14:textFill>
              </w:rPr>
              <w:t>沾染废乳化液刨花屑</w:t>
            </w:r>
            <w:r>
              <w:rPr>
                <w:rFonts w:hint="eastAsia" w:cs="Times New Roman"/>
                <w:color w:val="000000" w:themeColor="text1"/>
                <w:sz w:val="24"/>
                <w:highlight w:val="none"/>
                <w:lang w:eastAsia="zh-CN" w:bidi="ar"/>
                <w14:textFill>
                  <w14:solidFill>
                    <w14:schemeClr w14:val="tx1"/>
                  </w14:solidFill>
                </w14:textFill>
              </w:rPr>
              <w:t>、</w:t>
            </w:r>
            <w:r>
              <w:rPr>
                <w:rFonts w:hint="default" w:ascii="Times New Roman" w:hAnsi="Times New Roman" w:cs="Times New Roman"/>
                <w:color w:val="000000" w:themeColor="text1"/>
                <w:sz w:val="24"/>
                <w:highlight w:val="none"/>
                <w:lang w:bidi="ar"/>
                <w14:textFill>
                  <w14:solidFill>
                    <w14:schemeClr w14:val="tx1"/>
                  </w14:solidFill>
                </w14:textFill>
              </w:rPr>
              <w:t>废乳化液</w:t>
            </w:r>
            <w:r>
              <w:rPr>
                <w:rFonts w:hint="eastAsia" w:cs="Times New Roman"/>
                <w:color w:val="000000" w:themeColor="text1"/>
                <w:sz w:val="24"/>
                <w:highlight w:val="none"/>
                <w:lang w:eastAsia="zh-CN" w:bidi="ar"/>
                <w14:textFill>
                  <w14:solidFill>
                    <w14:schemeClr w14:val="tx1"/>
                  </w14:solidFill>
                </w14:textFill>
              </w:rPr>
              <w:t>、</w:t>
            </w:r>
            <w:r>
              <w:rPr>
                <w:rFonts w:hint="default" w:ascii="Times New Roman" w:hAnsi="Times New Roman" w:cs="Times New Roman"/>
                <w:color w:val="000000" w:themeColor="text1"/>
                <w:sz w:val="24"/>
                <w:highlight w:val="none"/>
                <w:lang w:bidi="ar"/>
                <w14:textFill>
                  <w14:solidFill>
                    <w14:schemeClr w14:val="tx1"/>
                  </w14:solidFill>
                </w14:textFill>
              </w:rPr>
              <w:t>脱模剂空桶</w:t>
            </w:r>
            <w:r>
              <w:rPr>
                <w:rFonts w:hint="eastAsia" w:cs="Times New Roman"/>
                <w:color w:val="000000" w:themeColor="text1"/>
                <w:sz w:val="24"/>
                <w:highlight w:val="none"/>
                <w:lang w:eastAsia="zh-CN" w:bidi="ar"/>
                <w14:textFill>
                  <w14:solidFill>
                    <w14:schemeClr w14:val="tx1"/>
                  </w14:solidFill>
                </w14:textFill>
              </w:rPr>
              <w:t>、</w:t>
            </w:r>
            <w:r>
              <w:rPr>
                <w:rFonts w:hint="eastAsia" w:ascii="Times New Roman" w:hAnsi="Times New Roman" w:cs="Times New Roman"/>
                <w:color w:val="000000" w:themeColor="text1"/>
                <w:sz w:val="24"/>
                <w:highlight w:val="none"/>
                <w:lang w:val="en-US" w:eastAsia="zh-CN" w:bidi="ar"/>
                <w14:textFill>
                  <w14:solidFill>
                    <w14:schemeClr w14:val="tx1"/>
                  </w14:solidFill>
                </w14:textFill>
              </w:rPr>
              <w:t>漆渣、漆料空桶</w:t>
            </w:r>
            <w:r>
              <w:rPr>
                <w:rFonts w:hint="eastAsia" w:ascii="Times New Roman" w:hAnsi="Times New Roman" w:cs="Times New Roman"/>
                <w:color w:val="000000" w:themeColor="text1"/>
                <w:sz w:val="24"/>
                <w:highlight w:val="none"/>
                <w:lang w:eastAsia="zh-CN" w:bidi="ar"/>
                <w14:textFill>
                  <w14:solidFill>
                    <w14:schemeClr w14:val="tx1"/>
                  </w14:solidFill>
                </w14:textFill>
              </w:rPr>
              <w:t>、</w:t>
            </w:r>
            <w:r>
              <w:rPr>
                <w:rFonts w:hint="eastAsia" w:ascii="Times New Roman" w:hAnsi="Times New Roman" w:cs="Times New Roman"/>
                <w:color w:val="000000" w:themeColor="text1"/>
                <w:sz w:val="24"/>
                <w:highlight w:val="none"/>
                <w:lang w:val="en-US" w:eastAsia="zh-CN" w:bidi="ar"/>
                <w14:textFill>
                  <w14:solidFill>
                    <w14:schemeClr w14:val="tx1"/>
                  </w14:solidFill>
                </w14:textFill>
              </w:rPr>
              <w:t>水帘柜废水、</w:t>
            </w:r>
            <w:r>
              <w:rPr>
                <w:rFonts w:hint="default" w:ascii="Times New Roman" w:hAnsi="Times New Roman" w:cs="Times New Roman"/>
                <w:color w:val="000000" w:themeColor="text1"/>
                <w:sz w:val="24"/>
                <w:highlight w:val="none"/>
                <w:lang w:bidi="ar"/>
                <w14:textFill>
                  <w14:solidFill>
                    <w14:schemeClr w14:val="tx1"/>
                  </w14:solidFill>
                </w14:textFill>
              </w:rPr>
              <w:t>废活性炭、</w:t>
            </w:r>
            <w:r>
              <w:rPr>
                <w:rFonts w:hint="eastAsia" w:cs="Times New Roman"/>
                <w:color w:val="000000" w:themeColor="text1"/>
                <w:sz w:val="24"/>
                <w:highlight w:val="none"/>
                <w:lang w:val="en-US" w:eastAsia="zh-CN" w:bidi="ar"/>
                <w14:textFill>
                  <w14:solidFill>
                    <w14:schemeClr w14:val="tx1"/>
                  </w14:solidFill>
                </w14:textFill>
              </w:rPr>
              <w:t>废过滤棉、</w:t>
            </w:r>
            <w:r>
              <w:rPr>
                <w:rFonts w:hint="default" w:ascii="Times New Roman" w:hAnsi="Times New Roman" w:cs="Times New Roman"/>
                <w:color w:val="000000" w:themeColor="text1"/>
                <w:sz w:val="24"/>
                <w:highlight w:val="none"/>
                <w:lang w:bidi="ar"/>
                <w14:textFill>
                  <w14:solidFill>
                    <w14:schemeClr w14:val="tx1"/>
                  </w14:solidFill>
                </w14:textFill>
              </w:rPr>
              <w:t>废机油、废机油桶、废劳保用品</w:t>
            </w:r>
            <w:r>
              <w:rPr>
                <w:rFonts w:hint="default" w:ascii="Times New Roman" w:hAnsi="Times New Roman" w:eastAsia="宋体" w:cs="Times New Roman"/>
                <w:color w:val="000000" w:themeColor="text1"/>
                <w:sz w:val="24"/>
                <w:highlight w:val="none"/>
                <w:lang w:val="zh-CN"/>
                <w14:textFill>
                  <w14:solidFill>
                    <w14:schemeClr w14:val="tx1"/>
                  </w14:solidFill>
                </w14:textFill>
              </w:rPr>
              <w:t>。在建设单位交由有资质的单位处理处置前，厂内必须设置危险废物暂存场所对其进行合理贮存和严格管理，若任意堆放或暂存场所未采取防渗防漏措施或疏于管理，都将造成危险废物中的有毒有害物质进入周边环境，给周边的土壤、生态、水体及空气等环境造成一定的危害。</w:t>
            </w:r>
          </w:p>
          <w:p w14:paraId="0AB13AC9">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危险废物暂存仓的贮存场所须满足以下要求：</w:t>
            </w:r>
          </w:p>
          <w:p w14:paraId="6F1A84B1">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①基础做好防渗层，地面和墙壁设置防渗衬里。</w:t>
            </w:r>
          </w:p>
          <w:p w14:paraId="4BF618D8">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②堆放危险废物的高度应根据地面承载能力确定。</w:t>
            </w:r>
          </w:p>
          <w:p w14:paraId="2A83B445">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③衬里放在一个基础或底座上。</w:t>
            </w:r>
          </w:p>
          <w:p w14:paraId="01D5704D">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④衬里要能够覆盖危险废物或其溶出物可能涉及的范围。</w:t>
            </w:r>
          </w:p>
          <w:p w14:paraId="459D8D0C">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⑤衬里材料与堆放危险废物相容。</w:t>
            </w:r>
          </w:p>
          <w:p w14:paraId="6EC0C73C">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⑥危险废物采用密闭的胶桶包装，不同类型的危险废物分开包装，不得混合。</w:t>
            </w:r>
          </w:p>
          <w:p w14:paraId="2511D40A">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⑦危险废物临时堆放场要做好防风、防雨、防晒、防渗漏。</w:t>
            </w:r>
          </w:p>
          <w:p w14:paraId="10AE7D3A">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危废仓库泄漏防范和应对措施：</w:t>
            </w:r>
          </w:p>
          <w:p w14:paraId="0864B018">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①仓库门口应设置墁坡高于室内地面20cm，形成内封闭系统。</w:t>
            </w:r>
          </w:p>
          <w:p w14:paraId="0B12E354">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②墙体及地面做好防腐、防渗等措施，废液储存桶周围设置0.3m高的围堰。</w:t>
            </w:r>
          </w:p>
          <w:p w14:paraId="57156728">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③配备相应品种和数量的防器材；禁止使用易产生火花的机械设备和工具；要设置“危险”、“禁止烟火”等</w:t>
            </w:r>
            <w:r>
              <w:rPr>
                <w:rFonts w:hint="default" w:ascii="Times New Roman" w:hAnsi="Times New Roman" w:eastAsia="宋体" w:cs="Times New Roman"/>
                <w:color w:val="000000" w:themeColor="text1"/>
                <w:sz w:val="24"/>
                <w:highlight w:val="none"/>
                <w14:textFill>
                  <w14:solidFill>
                    <w14:schemeClr w14:val="tx1"/>
                  </w14:solidFill>
                </w14:textFill>
              </w:rPr>
              <w:t>警示</w:t>
            </w:r>
            <w:r>
              <w:rPr>
                <w:rFonts w:hint="default" w:ascii="Times New Roman" w:hAnsi="Times New Roman" w:eastAsia="宋体" w:cs="Times New Roman"/>
                <w:color w:val="000000" w:themeColor="text1"/>
                <w:sz w:val="24"/>
                <w:highlight w:val="none"/>
                <w:lang w:val="zh-CN"/>
                <w14:textFill>
                  <w14:solidFill>
                    <w14:schemeClr w14:val="tx1"/>
                  </w14:solidFill>
                </w14:textFill>
              </w:rPr>
              <w:t>标志。</w:t>
            </w:r>
          </w:p>
          <w:p w14:paraId="6B2B3684">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④各种废液应按其相应堆放规范堆置，禁止堆置过高，防止滚动。</w:t>
            </w:r>
          </w:p>
          <w:p w14:paraId="3B4088F7">
            <w:pPr>
              <w:pStyle w:val="127"/>
              <w:adjustRightInd w:val="0"/>
              <w:snapToGrid w:val="0"/>
              <w:spacing w:line="360" w:lineRule="auto"/>
              <w:rPr>
                <w:rFonts w:hint="default" w:ascii="Times New Roman" w:hAnsi="Times New Roman" w:eastAsia="宋体" w:cs="Times New Roman"/>
                <w:color w:val="000000" w:themeColor="text1"/>
                <w:sz w:val="24"/>
                <w:highlight w:val="none"/>
                <w:lang w:val="zh-CN"/>
                <w14:textFill>
                  <w14:solidFill>
                    <w14:schemeClr w14:val="tx1"/>
                  </w14:solidFill>
                </w14:textFill>
              </w:rPr>
            </w:pPr>
            <w:r>
              <w:rPr>
                <w:rFonts w:hint="default" w:ascii="Times New Roman" w:hAnsi="Times New Roman" w:eastAsia="宋体" w:cs="Times New Roman"/>
                <w:color w:val="000000" w:themeColor="text1"/>
                <w:sz w:val="24"/>
                <w:highlight w:val="none"/>
                <w:lang w:val="zh-CN"/>
                <w14:textFill>
                  <w14:solidFill>
                    <w14:schemeClr w14:val="tx1"/>
                  </w14:solidFill>
                </w14:textFill>
              </w:rPr>
              <w:t>⑤建立严格的管理和规章制度，废液装卸时，全过程应有人在现场监督，一旦发生事故，立即采用防范措施。</w:t>
            </w:r>
          </w:p>
          <w:p w14:paraId="6A3839EE">
            <w:pPr>
              <w:pStyle w:val="4"/>
              <w:shd w:val="clear" w:color="auto" w:fill="auto"/>
              <w:spacing w:before="0" w:after="0" w:line="360" w:lineRule="auto"/>
              <w:ind w:firstLine="482"/>
              <w:rPr>
                <w:rFonts w:hint="default" w:ascii="Times New Roman" w:hAnsi="Times New Roman" w:eastAsia="宋体" w:cs="Times New Roman"/>
                <w:color w:val="000000" w:themeColor="text1"/>
                <w:sz w:val="24"/>
                <w:szCs w:val="24"/>
                <w:highlight w:val="none"/>
                <w:lang w:val="zh-CN"/>
                <w14:textFill>
                  <w14:solidFill>
                    <w14:schemeClr w14:val="tx1"/>
                  </w14:solidFill>
                </w14:textFill>
              </w:rPr>
            </w:pP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eastAsia" w:cs="Times New Roman"/>
                <w:color w:val="000000" w:themeColor="text1"/>
                <w:sz w:val="24"/>
                <w:szCs w:val="24"/>
                <w:highlight w:val="none"/>
                <w:lang w:val="en-US" w:eastAsia="zh-CN"/>
                <w14:textFill>
                  <w14:solidFill>
                    <w14:schemeClr w14:val="tx1"/>
                  </w14:solidFill>
                </w14:textFill>
              </w:rPr>
              <w:t>5</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w:t>
            </w:r>
            <w:r>
              <w:rPr>
                <w:rFonts w:hint="default" w:ascii="Times New Roman" w:hAnsi="Times New Roman" w:eastAsia="宋体" w:cs="Times New Roman"/>
                <w:color w:val="000000" w:themeColor="text1"/>
                <w:sz w:val="24"/>
                <w:szCs w:val="24"/>
                <w:highlight w:val="none"/>
                <w:lang w:val="zh-CN"/>
                <w14:textFill>
                  <w14:solidFill>
                    <w14:schemeClr w14:val="tx1"/>
                  </w14:solidFill>
                </w14:textFill>
              </w:rPr>
              <w:t>制定突发环境事件应急预案</w:t>
            </w:r>
          </w:p>
          <w:p w14:paraId="20985BCC">
            <w:pPr>
              <w:pStyle w:val="166"/>
              <w:ind w:firstLine="482"/>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lang w:val="zh-CN"/>
                <w14:textFill>
                  <w14:solidFill>
                    <w14:schemeClr w14:val="tx1"/>
                  </w14:solidFill>
                </w14:textFill>
              </w:rPr>
              <w:t>建设单位应根据《关于印发&lt;企业事业单位突发环境事件应急预案备案管理办法(试行)&gt;的通知》（环发〔2015</w:t>
            </w:r>
            <w:r>
              <w:rPr>
                <w:rFonts w:hint="default" w:ascii="Times New Roman" w:hAnsi="Times New Roman" w:eastAsia="宋体" w:cs="Times New Roman"/>
                <w:color w:val="000000" w:themeColor="text1"/>
                <w:highlight w:val="none"/>
                <w:lang w:val="zh-CN" w:eastAsia="zh-CN"/>
                <w14:textFill>
                  <w14:solidFill>
                    <w14:schemeClr w14:val="tx1"/>
                  </w14:solidFill>
                </w14:textFill>
              </w:rPr>
              <w:t>〕</w:t>
            </w:r>
            <w:r>
              <w:rPr>
                <w:rFonts w:hint="default" w:ascii="Times New Roman" w:hAnsi="Times New Roman" w:cs="Times New Roman"/>
                <w:color w:val="000000" w:themeColor="text1"/>
                <w:highlight w:val="none"/>
                <w:lang w:val="zh-CN"/>
                <w14:textFill>
                  <w14:solidFill>
                    <w14:schemeClr w14:val="tx1"/>
                  </w14:solidFill>
                </w14:textFill>
              </w:rPr>
              <w:t>4号）的相关要求编制环境应急预案，并结合实际情况，开展环境应急预案的培训、宣传和必要的应急演练，发生或者可能发生突发环境事件时及时启动环境应急预案，定期进行修订完善。</w:t>
            </w:r>
          </w:p>
          <w:p w14:paraId="0D7F0A4A">
            <w:pPr>
              <w:pStyle w:val="166"/>
              <w:rPr>
                <w:rFonts w:hint="default" w:ascii="Times New Roman" w:hAnsi="Times New Roman" w:eastAsia="宋体" w:cs="Times New Roman"/>
                <w:b/>
                <w:bCs/>
                <w:color w:val="000000" w:themeColor="text1"/>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highlight w:val="none"/>
                <w:lang w:val="en-US" w:eastAsia="zh-CN"/>
                <w14:textFill>
                  <w14:solidFill>
                    <w14:schemeClr w14:val="tx1"/>
                  </w14:solidFill>
                </w14:textFill>
              </w:rPr>
              <w:t>3、</w:t>
            </w:r>
            <w:r>
              <w:rPr>
                <w:rFonts w:hint="default" w:ascii="Times New Roman" w:hAnsi="Times New Roman" w:eastAsia="宋体" w:cs="Times New Roman"/>
                <w:b/>
                <w:bCs/>
                <w:color w:val="000000" w:themeColor="text1"/>
                <w:highlight w:val="none"/>
                <w:lang w:val="en-US" w:eastAsia="zh-CN"/>
                <w14:textFill>
                  <w14:solidFill>
                    <w14:schemeClr w14:val="tx1"/>
                  </w14:solidFill>
                </w14:textFill>
              </w:rPr>
              <w:t>结论</w:t>
            </w:r>
          </w:p>
          <w:p w14:paraId="09588E37">
            <w:pPr>
              <w:pStyle w:val="166"/>
              <w:rPr>
                <w:rFonts w:hint="default" w:ascii="Times New Roman" w:hAnsi="Times New Roman" w:eastAsia="宋体" w:cs="Times New Roman"/>
                <w:color w:val="000000" w:themeColor="text1"/>
                <w:highlight w:val="none"/>
                <w:lang w:val="zh-CN" w:eastAsia="zh-CN"/>
                <w14:textFill>
                  <w14:solidFill>
                    <w14:schemeClr w14:val="tx1"/>
                  </w14:solidFill>
                </w14:textFill>
              </w:rPr>
            </w:pPr>
            <w:r>
              <w:rPr>
                <w:rFonts w:hint="default" w:ascii="Times New Roman" w:hAnsi="Times New Roman" w:eastAsia="宋体" w:cs="Times New Roman"/>
                <w:color w:val="000000" w:themeColor="text1"/>
                <w:highlight w:val="none"/>
                <w:lang w:val="en-US" w:eastAsia="zh-CN"/>
                <w14:textFill>
                  <w14:solidFill>
                    <w14:schemeClr w14:val="tx1"/>
                  </w14:solidFill>
                </w14:textFill>
              </w:rPr>
              <w:t>综上所述，项目环境风险潜势为Ⅰ，评价等级属于简单分析，总体上环境风险很小且易于控制，只要做好泄漏、火灾风险事故后的收集、灭火工作，环境风险影响范围主要在厂区内，对环境影响很小</w:t>
            </w:r>
            <w:r>
              <w:rPr>
                <w:rFonts w:hint="default" w:ascii="Times New Roman" w:hAnsi="Times New Roman" w:eastAsia="宋体" w:cs="Times New Roman"/>
                <w:color w:val="000000" w:themeColor="text1"/>
                <w:highlight w:val="none"/>
                <w:lang w:val="zh-CN" w:eastAsia="zh-CN"/>
                <w14:textFill>
                  <w14:solidFill>
                    <w14:schemeClr w14:val="tx1"/>
                  </w14:solidFill>
                </w14:textFill>
              </w:rPr>
              <w:t>。</w:t>
            </w:r>
          </w:p>
          <w:p w14:paraId="42154E2B">
            <w:pPr>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eastAsia" w:cs="Times New Roman"/>
                <w:b/>
                <w:bCs/>
                <w:color w:val="000000" w:themeColor="text1"/>
                <w:highlight w:val="none"/>
                <w:lang w:val="en-US" w:eastAsia="zh-CN"/>
                <w14:textFill>
                  <w14:solidFill>
                    <w14:schemeClr w14:val="tx1"/>
                  </w14:solidFill>
                </w14:textFill>
              </w:rPr>
              <w:t>七</w:t>
            </w:r>
            <w:r>
              <w:rPr>
                <w:rFonts w:hint="default" w:ascii="Times New Roman" w:hAnsi="Times New Roman" w:cs="Times New Roman"/>
                <w:b/>
                <w:bCs/>
                <w:color w:val="000000" w:themeColor="text1"/>
                <w:highlight w:val="none"/>
                <w14:textFill>
                  <w14:solidFill>
                    <w14:schemeClr w14:val="tx1"/>
                  </w14:solidFill>
                </w14:textFill>
              </w:rPr>
              <w:t>、排污口规范化设置</w:t>
            </w:r>
          </w:p>
          <w:p w14:paraId="755D7CD1">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szCs w:val="20"/>
                <w:highlight w:val="none"/>
                <w14:textFill>
                  <w14:solidFill>
                    <w14:schemeClr w14:val="tx1"/>
                  </w14:solidFill>
                </w14:textFill>
              </w:rPr>
              <w:t>固定噪声源、固体废物贮存和烟囱（排气筒）必须按照《江西省排污口设置与规范化整治管理办法》进行建设，应符合“一明显、二合理、三便于”的要求，即环保标志明显，排污口设置</w:t>
            </w:r>
            <w:r>
              <w:rPr>
                <w:rFonts w:hint="default" w:ascii="Times New Roman" w:hAnsi="Times New Roman" w:cs="Times New Roman"/>
                <w:color w:val="000000" w:themeColor="text1"/>
                <w:highlight w:val="none"/>
                <w14:textFill>
                  <w14:solidFill>
                    <w14:schemeClr w14:val="tx1"/>
                  </w14:solidFill>
                </w14:textFill>
              </w:rPr>
              <w:t>合理，便于采集样品、便于监测计量、便于公众参与和监督管理。同时要求按照《环境保护图形标志实施细则（试行）》（环监</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1996</w:t>
            </w:r>
            <w:r>
              <w:rPr>
                <w:rFonts w:hint="default" w:ascii="Times New Roman" w:hAnsi="Times New Roman" w:cs="Times New Roman"/>
                <w:color w:val="000000" w:themeColor="text1"/>
                <w:highlight w:val="none"/>
                <w:lang w:eastAsia="zh-CN"/>
                <w14:textFill>
                  <w14:solidFill>
                    <w14:schemeClr w14:val="tx1"/>
                  </w14:solidFill>
                </w14:textFill>
              </w:rPr>
              <w:t>〕</w:t>
            </w:r>
            <w:r>
              <w:rPr>
                <w:rFonts w:hint="default" w:ascii="Times New Roman" w:hAnsi="Times New Roman" w:cs="Times New Roman"/>
                <w:color w:val="000000" w:themeColor="text1"/>
                <w:highlight w:val="none"/>
                <w14:textFill>
                  <w14:solidFill>
                    <w14:schemeClr w14:val="tx1"/>
                  </w14:solidFill>
                </w14:textFill>
              </w:rPr>
              <w:t>463号）的规定，设置与排污口相应的图形标志牌。</w:t>
            </w:r>
          </w:p>
          <w:p w14:paraId="1A82B7A4">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（1）烟囱（排气筒）设置取样口，并具备采样监测条件，废水排放口设置在线监测设备，附近竖立图形标志牌。</w:t>
            </w:r>
          </w:p>
          <w:p w14:paraId="286A1836">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2）排污口管理。建设单位应在各个排污口处竖立标志牌，并如实填写《中华人民共和国规范化排污口标记登记证》，由生态环境部门签发。生态环境主管部门和建设单位可分别按以下内容建立排污口管理的专门档案：排污口性质和编号；位置；排放主要污染物种类、数量、浓度；排放去向；达标情况；治理设施运行情况及整改意见。</w:t>
            </w:r>
          </w:p>
          <w:p w14:paraId="391ED09D">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（3）环境保护图形标志</w:t>
            </w:r>
          </w:p>
          <w:p w14:paraId="68DDAEDC">
            <w:pPr>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在厂区的废水排放口、废气排放源、固体废物贮存处置场应设置环境保护图形标志，图形符号分为提示图形和警告图形符号两种，环境保护图形标志的形状及颜色见表4-</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5</w:t>
            </w:r>
            <w:r>
              <w:rPr>
                <w:rFonts w:hint="default" w:ascii="Times New Roman" w:hAnsi="Times New Roman" w:cs="Times New Roman"/>
                <w:color w:val="000000" w:themeColor="text1"/>
                <w:highlight w:val="none"/>
                <w14:textFill>
                  <w14:solidFill>
                    <w14:schemeClr w14:val="tx1"/>
                  </w14:solidFill>
                </w14:textFill>
              </w:rPr>
              <w:t>，环境保护图形符号见表4-</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6</w:t>
            </w:r>
            <w:r>
              <w:rPr>
                <w:rFonts w:hint="default" w:ascii="Times New Roman" w:hAnsi="Times New Roman" w:cs="Times New Roman"/>
                <w:color w:val="000000" w:themeColor="text1"/>
                <w:highlight w:val="none"/>
                <w14:textFill>
                  <w14:solidFill>
                    <w14:schemeClr w14:val="tx1"/>
                  </w14:solidFill>
                </w14:textFill>
              </w:rPr>
              <w:t>。</w:t>
            </w:r>
          </w:p>
          <w:p w14:paraId="40712F3A">
            <w:pPr>
              <w:shd w:val="clear" w:color="auto" w:fill="auto"/>
              <w:tabs>
                <w:tab w:val="left" w:pos="420"/>
                <w:tab w:val="left" w:pos="630"/>
              </w:tabs>
              <w:spacing w:line="240" w:lineRule="auto"/>
              <w:ind w:firstLine="0" w:firstLineChars="0"/>
              <w:jc w:val="center"/>
              <w:rPr>
                <w:rFonts w:hint="default" w:ascii="Times New Roman" w:hAnsi="Times New Roman" w:cs="Times New Roman"/>
                <w:b/>
                <w:color w:val="000000" w:themeColor="text1"/>
                <w:highlight w:val="none"/>
                <w14:textFill>
                  <w14:solidFill>
                    <w14:schemeClr w14:val="tx1"/>
                  </w14:solidFill>
                </w14:textFill>
              </w:rPr>
            </w:pPr>
            <w:bookmarkStart w:id="4" w:name="_Ref5097005"/>
            <w:r>
              <w:rPr>
                <w:rFonts w:hint="default" w:ascii="Times New Roman" w:hAnsi="Times New Roman" w:cs="Times New Roman"/>
                <w:b/>
                <w:color w:val="000000" w:themeColor="text1"/>
                <w:highlight w:val="none"/>
                <w14:textFill>
                  <w14:solidFill>
                    <w14:schemeClr w14:val="tx1"/>
                  </w14:solidFill>
                </w14:textFill>
              </w:rPr>
              <w:t>表4-</w:t>
            </w:r>
            <w:r>
              <w:rPr>
                <w:rFonts w:hint="default" w:ascii="Times New Roman" w:hAnsi="Times New Roman" w:cs="Times New Roman"/>
                <w:b/>
                <w:color w:val="000000" w:themeColor="text1"/>
                <w:highlight w:val="none"/>
                <w:lang w:val="en-US" w:eastAsia="zh-CN"/>
                <w14:textFill>
                  <w14:solidFill>
                    <w14:schemeClr w14:val="tx1"/>
                  </w14:solidFill>
                </w14:textFill>
              </w:rPr>
              <w:t>1</w:t>
            </w:r>
            <w:r>
              <w:rPr>
                <w:rFonts w:hint="eastAsia" w:cs="Times New Roman"/>
                <w:b/>
                <w:color w:val="000000" w:themeColor="text1"/>
                <w:highlight w:val="none"/>
                <w:lang w:val="en-US" w:eastAsia="zh-CN"/>
                <w14:textFill>
                  <w14:solidFill>
                    <w14:schemeClr w14:val="tx1"/>
                  </w14:solidFill>
                </w14:textFill>
              </w:rPr>
              <w:t>5</w:t>
            </w:r>
            <w:r>
              <w:rPr>
                <w:rFonts w:hint="default" w:ascii="Times New Roman" w:hAnsi="Times New Roman" w:cs="Times New Roman"/>
                <w:b/>
                <w:color w:val="000000" w:themeColor="text1"/>
                <w:highlight w:val="none"/>
                <w14:textFill>
                  <w14:solidFill>
                    <w14:schemeClr w14:val="tx1"/>
                  </w14:solidFill>
                </w14:textFill>
              </w:rPr>
              <w:t xml:space="preserve"> 环境保护图形标志的形状及颜色表</w:t>
            </w:r>
            <w:bookmarkEnd w:id="4"/>
          </w:p>
          <w:tbl>
            <w:tblPr>
              <w:tblStyle w:val="32"/>
              <w:tblW w:w="4998" w:type="pct"/>
              <w:tblInd w:w="1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96"/>
              <w:gridCol w:w="3979"/>
              <w:gridCol w:w="2932"/>
              <w:gridCol w:w="4142"/>
            </w:tblGrid>
            <w:tr w14:paraId="5D95BC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16" w:hRule="atLeast"/>
              </w:trPr>
              <w:tc>
                <w:tcPr>
                  <w:tcW w:w="860" w:type="pct"/>
                  <w:noWrap w:val="0"/>
                  <w:vAlign w:val="center"/>
                </w:tcPr>
                <w:p w14:paraId="2B9B2EB8">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标志名称</w:t>
                  </w:r>
                </w:p>
              </w:tc>
              <w:tc>
                <w:tcPr>
                  <w:tcW w:w="1490" w:type="pct"/>
                  <w:noWrap w:val="0"/>
                  <w:vAlign w:val="center"/>
                </w:tcPr>
                <w:p w14:paraId="0C861160">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形状</w:t>
                  </w:r>
                </w:p>
              </w:tc>
              <w:tc>
                <w:tcPr>
                  <w:tcW w:w="1098" w:type="pct"/>
                  <w:noWrap w:val="0"/>
                  <w:vAlign w:val="center"/>
                </w:tcPr>
                <w:p w14:paraId="4FC2387C">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背景颜色</w:t>
                  </w:r>
                </w:p>
              </w:tc>
              <w:tc>
                <w:tcPr>
                  <w:tcW w:w="1551" w:type="pct"/>
                  <w:noWrap w:val="0"/>
                  <w:vAlign w:val="center"/>
                </w:tcPr>
                <w:p w14:paraId="7EF37DEA">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图形颜色</w:t>
                  </w:r>
                </w:p>
              </w:tc>
            </w:tr>
            <w:tr w14:paraId="302BBA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60" w:type="pct"/>
                  <w:noWrap w:val="0"/>
                  <w:vAlign w:val="center"/>
                </w:tcPr>
                <w:p w14:paraId="7F084B9B">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警告标志</w:t>
                  </w:r>
                </w:p>
              </w:tc>
              <w:tc>
                <w:tcPr>
                  <w:tcW w:w="1490" w:type="pct"/>
                  <w:noWrap w:val="0"/>
                  <w:vAlign w:val="center"/>
                </w:tcPr>
                <w:p w14:paraId="7CC4FA65">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三角形边框</w:t>
                  </w:r>
                </w:p>
              </w:tc>
              <w:tc>
                <w:tcPr>
                  <w:tcW w:w="1098" w:type="pct"/>
                  <w:noWrap w:val="0"/>
                  <w:vAlign w:val="center"/>
                </w:tcPr>
                <w:p w14:paraId="7F6E4973">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黄色</w:t>
                  </w:r>
                </w:p>
              </w:tc>
              <w:tc>
                <w:tcPr>
                  <w:tcW w:w="1551" w:type="pct"/>
                  <w:noWrap w:val="0"/>
                  <w:vAlign w:val="center"/>
                </w:tcPr>
                <w:p w14:paraId="29DBBBEE">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黑色</w:t>
                  </w:r>
                </w:p>
              </w:tc>
            </w:tr>
            <w:tr w14:paraId="0A30B3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860" w:type="pct"/>
                  <w:noWrap w:val="0"/>
                  <w:vAlign w:val="center"/>
                </w:tcPr>
                <w:p w14:paraId="16B08CBD">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提示标志</w:t>
                  </w:r>
                </w:p>
              </w:tc>
              <w:tc>
                <w:tcPr>
                  <w:tcW w:w="1490" w:type="pct"/>
                  <w:noWrap w:val="0"/>
                  <w:vAlign w:val="center"/>
                </w:tcPr>
                <w:p w14:paraId="2927EE3A">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正方形边框</w:t>
                  </w:r>
                </w:p>
              </w:tc>
              <w:tc>
                <w:tcPr>
                  <w:tcW w:w="1098" w:type="pct"/>
                  <w:noWrap w:val="0"/>
                  <w:vAlign w:val="center"/>
                </w:tcPr>
                <w:p w14:paraId="07BCFC3A">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绿色</w:t>
                  </w:r>
                </w:p>
              </w:tc>
              <w:tc>
                <w:tcPr>
                  <w:tcW w:w="1551" w:type="pct"/>
                  <w:noWrap w:val="0"/>
                  <w:vAlign w:val="center"/>
                </w:tcPr>
                <w:p w14:paraId="21849D67">
                  <w:pPr>
                    <w:shd w:val="clear" w:color="auto" w:fill="auto"/>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白色</w:t>
                  </w:r>
                </w:p>
              </w:tc>
            </w:tr>
          </w:tbl>
          <w:p w14:paraId="0AB69212">
            <w:pPr>
              <w:shd w:val="clear" w:color="auto" w:fill="auto"/>
              <w:tabs>
                <w:tab w:val="left" w:pos="420"/>
                <w:tab w:val="left" w:pos="630"/>
              </w:tabs>
              <w:spacing w:line="240" w:lineRule="auto"/>
              <w:ind w:left="480" w:leftChars="200" w:firstLine="0" w:firstLineChars="0"/>
              <w:jc w:val="center"/>
              <w:rPr>
                <w:rFonts w:hint="default" w:ascii="Times New Roman" w:hAnsi="Times New Roman" w:cs="Times New Roman"/>
                <w:b/>
                <w:color w:val="000000" w:themeColor="text1"/>
                <w:highlight w:val="none"/>
                <w14:textFill>
                  <w14:solidFill>
                    <w14:schemeClr w14:val="tx1"/>
                  </w14:solidFill>
                </w14:textFill>
              </w:rPr>
            </w:pPr>
            <w:bookmarkStart w:id="5" w:name="_Ref5097018"/>
            <w:r>
              <w:rPr>
                <w:rFonts w:hint="default" w:ascii="Times New Roman" w:hAnsi="Times New Roman" w:cs="Times New Roman"/>
                <w:b/>
                <w:color w:val="000000" w:themeColor="text1"/>
                <w:highlight w:val="none"/>
                <w14:textFill>
                  <w14:solidFill>
                    <w14:schemeClr w14:val="tx1"/>
                  </w14:solidFill>
                </w14:textFill>
              </w:rPr>
              <w:t>表4-</w:t>
            </w:r>
            <w:r>
              <w:rPr>
                <w:rFonts w:hint="default" w:ascii="Times New Roman" w:hAnsi="Times New Roman" w:cs="Times New Roman"/>
                <w:b/>
                <w:color w:val="000000" w:themeColor="text1"/>
                <w:highlight w:val="none"/>
                <w:lang w:val="en-US" w:eastAsia="zh-CN"/>
                <w14:textFill>
                  <w14:solidFill>
                    <w14:schemeClr w14:val="tx1"/>
                  </w14:solidFill>
                </w14:textFill>
              </w:rPr>
              <w:t>1</w:t>
            </w:r>
            <w:r>
              <w:rPr>
                <w:rFonts w:hint="eastAsia" w:cs="Times New Roman"/>
                <w:b/>
                <w:color w:val="000000" w:themeColor="text1"/>
                <w:highlight w:val="none"/>
                <w:lang w:val="en-US" w:eastAsia="zh-CN"/>
                <w14:textFill>
                  <w14:solidFill>
                    <w14:schemeClr w14:val="tx1"/>
                  </w14:solidFill>
                </w14:textFill>
              </w:rPr>
              <w:t>6</w:t>
            </w:r>
            <w:r>
              <w:rPr>
                <w:rFonts w:hint="default" w:ascii="Times New Roman" w:hAnsi="Times New Roman" w:cs="Times New Roman"/>
                <w:b/>
                <w:color w:val="000000" w:themeColor="text1"/>
                <w:highlight w:val="none"/>
                <w14:textFill>
                  <w14:solidFill>
                    <w14:schemeClr w14:val="tx1"/>
                  </w14:solidFill>
                </w14:textFill>
              </w:rPr>
              <w:t xml:space="preserve"> 环境保护图形符号一览表</w:t>
            </w:r>
          </w:p>
          <w:bookmarkEnd w:id="5"/>
          <w:tbl>
            <w:tblPr>
              <w:tblStyle w:val="3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2704"/>
              <w:gridCol w:w="2916"/>
              <w:gridCol w:w="2170"/>
              <w:gridCol w:w="4430"/>
            </w:tblGrid>
            <w:tr w14:paraId="3ECA898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424" w:type="pct"/>
                  <w:noWrap w:val="0"/>
                  <w:vAlign w:val="center"/>
                </w:tcPr>
                <w:p w14:paraId="6C61B788">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序号</w:t>
                  </w:r>
                </w:p>
              </w:tc>
              <w:tc>
                <w:tcPr>
                  <w:tcW w:w="1012" w:type="pct"/>
                  <w:noWrap w:val="0"/>
                  <w:vAlign w:val="center"/>
                </w:tcPr>
                <w:p w14:paraId="25813196">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提示图形符号</w:t>
                  </w:r>
                </w:p>
              </w:tc>
              <w:tc>
                <w:tcPr>
                  <w:tcW w:w="1091" w:type="pct"/>
                  <w:noWrap w:val="0"/>
                  <w:vAlign w:val="center"/>
                </w:tcPr>
                <w:p w14:paraId="78540E6B">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警告图形符号</w:t>
                  </w:r>
                </w:p>
              </w:tc>
              <w:tc>
                <w:tcPr>
                  <w:tcW w:w="812" w:type="pct"/>
                  <w:noWrap w:val="0"/>
                  <w:vAlign w:val="center"/>
                </w:tcPr>
                <w:p w14:paraId="4C7138D0">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名称</w:t>
                  </w:r>
                </w:p>
              </w:tc>
              <w:tc>
                <w:tcPr>
                  <w:tcW w:w="1658" w:type="pct"/>
                  <w:noWrap w:val="0"/>
                  <w:vAlign w:val="center"/>
                </w:tcPr>
                <w:p w14:paraId="6B5A8863">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b/>
                      <w:bCs/>
                      <w:color w:val="000000" w:themeColor="text1"/>
                      <w:sz w:val="21"/>
                      <w:szCs w:val="21"/>
                      <w:highlight w:val="none"/>
                      <w14:textFill>
                        <w14:solidFill>
                          <w14:schemeClr w14:val="tx1"/>
                        </w14:solidFill>
                      </w14:textFill>
                    </w:rPr>
                  </w:pPr>
                  <w:r>
                    <w:rPr>
                      <w:rFonts w:hint="default" w:ascii="Times New Roman" w:hAnsi="Times New Roman" w:cs="Times New Roman"/>
                      <w:b/>
                      <w:bCs/>
                      <w:color w:val="000000" w:themeColor="text1"/>
                      <w:sz w:val="21"/>
                      <w:szCs w:val="21"/>
                      <w:highlight w:val="none"/>
                      <w14:textFill>
                        <w14:solidFill>
                          <w14:schemeClr w14:val="tx1"/>
                        </w14:solidFill>
                      </w14:textFill>
                    </w:rPr>
                    <w:t>功能</w:t>
                  </w:r>
                </w:p>
              </w:tc>
            </w:tr>
            <w:tr w14:paraId="4384B1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090" w:hRule="atLeast"/>
                <w:jc w:val="center"/>
              </w:trPr>
              <w:tc>
                <w:tcPr>
                  <w:tcW w:w="424" w:type="pct"/>
                  <w:noWrap w:val="0"/>
                  <w:vAlign w:val="center"/>
                </w:tcPr>
                <w:p w14:paraId="0D904F8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1</w:t>
                  </w:r>
                </w:p>
              </w:tc>
              <w:tc>
                <w:tcPr>
                  <w:tcW w:w="1012" w:type="pct"/>
                  <w:noWrap w:val="0"/>
                  <w:vAlign w:val="center"/>
                </w:tcPr>
                <w:p w14:paraId="6F53C592">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848360" cy="857250"/>
                        <wp:effectExtent l="0" t="0" r="8890" b="0"/>
                        <wp:docPr id="10" name="图片 107" descr="说明: 说明: 说明: 说明: 1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7" descr="说明: 说明: 说明: 说明: 13001"/>
                                <pic:cNvPicPr>
                                  <a:picLocks noChangeAspect="1"/>
                                </pic:cNvPicPr>
                              </pic:nvPicPr>
                              <pic:blipFill>
                                <a:blip r:embed="rId33"/>
                                <a:stretch>
                                  <a:fillRect/>
                                </a:stretch>
                              </pic:blipFill>
                              <pic:spPr>
                                <a:xfrm>
                                  <a:off x="0" y="0"/>
                                  <a:ext cx="848360" cy="857250"/>
                                </a:xfrm>
                                <a:prstGeom prst="rect">
                                  <a:avLst/>
                                </a:prstGeom>
                                <a:noFill/>
                                <a:ln>
                                  <a:noFill/>
                                </a:ln>
                              </pic:spPr>
                            </pic:pic>
                          </a:graphicData>
                        </a:graphic>
                      </wp:inline>
                    </w:drawing>
                  </w:r>
                </w:p>
              </w:tc>
              <w:tc>
                <w:tcPr>
                  <w:tcW w:w="1091" w:type="pct"/>
                  <w:noWrap w:val="0"/>
                  <w:vAlign w:val="center"/>
                </w:tcPr>
                <w:p w14:paraId="12A0BD88">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829310" cy="838835"/>
                        <wp:effectExtent l="0" t="0" r="8890" b="18415"/>
                        <wp:docPr id="20" name="图片 108" descr="说明: 说明: 说明: 说明: 1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8" descr="说明: 说明: 说明: 说明: 13002"/>
                                <pic:cNvPicPr>
                                  <a:picLocks noChangeAspect="1"/>
                                </pic:cNvPicPr>
                              </pic:nvPicPr>
                              <pic:blipFill>
                                <a:blip r:embed="rId34"/>
                                <a:stretch>
                                  <a:fillRect/>
                                </a:stretch>
                              </pic:blipFill>
                              <pic:spPr>
                                <a:xfrm>
                                  <a:off x="0" y="0"/>
                                  <a:ext cx="829310" cy="838835"/>
                                </a:xfrm>
                                <a:prstGeom prst="rect">
                                  <a:avLst/>
                                </a:prstGeom>
                                <a:noFill/>
                                <a:ln>
                                  <a:noFill/>
                                </a:ln>
                              </pic:spPr>
                            </pic:pic>
                          </a:graphicData>
                        </a:graphic>
                      </wp:inline>
                    </w:drawing>
                  </w:r>
                </w:p>
              </w:tc>
              <w:tc>
                <w:tcPr>
                  <w:tcW w:w="812" w:type="pct"/>
                  <w:noWrap w:val="0"/>
                  <w:vAlign w:val="center"/>
                </w:tcPr>
                <w:p w14:paraId="7C8DD6E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废水排放口</w:t>
                  </w:r>
                </w:p>
              </w:tc>
              <w:tc>
                <w:tcPr>
                  <w:tcW w:w="1658" w:type="pct"/>
                  <w:noWrap w:val="0"/>
                  <w:vAlign w:val="center"/>
                </w:tcPr>
                <w:p w14:paraId="3E04C51D">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表示废水向水体排放</w:t>
                  </w:r>
                </w:p>
              </w:tc>
            </w:tr>
            <w:tr w14:paraId="6B991AD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97" w:hRule="atLeast"/>
                <w:jc w:val="center"/>
              </w:trPr>
              <w:tc>
                <w:tcPr>
                  <w:tcW w:w="424" w:type="pct"/>
                  <w:noWrap w:val="0"/>
                  <w:vAlign w:val="center"/>
                </w:tcPr>
                <w:p w14:paraId="788196F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2</w:t>
                  </w:r>
                </w:p>
              </w:tc>
              <w:tc>
                <w:tcPr>
                  <w:tcW w:w="1012" w:type="pct"/>
                  <w:noWrap w:val="0"/>
                  <w:vAlign w:val="center"/>
                </w:tcPr>
                <w:p w14:paraId="0E2D41F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781050" cy="789305"/>
                        <wp:effectExtent l="0" t="0" r="0" b="10795"/>
                        <wp:docPr id="21" name="图片 109" descr="说明: 说明: 说明: 说明: 1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9" descr="说明: 说明: 说明: 说明: 13003"/>
                                <pic:cNvPicPr>
                                  <a:picLocks noChangeAspect="1"/>
                                </pic:cNvPicPr>
                              </pic:nvPicPr>
                              <pic:blipFill>
                                <a:blip r:embed="rId35"/>
                                <a:stretch>
                                  <a:fillRect/>
                                </a:stretch>
                              </pic:blipFill>
                              <pic:spPr>
                                <a:xfrm>
                                  <a:off x="0" y="0"/>
                                  <a:ext cx="781050" cy="789305"/>
                                </a:xfrm>
                                <a:prstGeom prst="rect">
                                  <a:avLst/>
                                </a:prstGeom>
                                <a:noFill/>
                                <a:ln>
                                  <a:noFill/>
                                </a:ln>
                              </pic:spPr>
                            </pic:pic>
                          </a:graphicData>
                        </a:graphic>
                      </wp:inline>
                    </w:drawing>
                  </w:r>
                </w:p>
              </w:tc>
              <w:tc>
                <w:tcPr>
                  <w:tcW w:w="1091" w:type="pct"/>
                  <w:noWrap w:val="0"/>
                  <w:vAlign w:val="center"/>
                </w:tcPr>
                <w:p w14:paraId="7C456739">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829310" cy="828675"/>
                        <wp:effectExtent l="0" t="0" r="8890" b="9525"/>
                        <wp:docPr id="22" name="图片 110" descr="说明: 说明: 说明: 说明: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0" descr="说明: 说明: 说明: 说明: 4"/>
                                <pic:cNvPicPr>
                                  <a:picLocks noChangeAspect="1"/>
                                </pic:cNvPicPr>
                              </pic:nvPicPr>
                              <pic:blipFill>
                                <a:blip r:embed="rId36"/>
                                <a:stretch>
                                  <a:fillRect/>
                                </a:stretch>
                              </pic:blipFill>
                              <pic:spPr>
                                <a:xfrm>
                                  <a:off x="0" y="0"/>
                                  <a:ext cx="829310" cy="828675"/>
                                </a:xfrm>
                                <a:prstGeom prst="rect">
                                  <a:avLst/>
                                </a:prstGeom>
                                <a:noFill/>
                                <a:ln>
                                  <a:noFill/>
                                </a:ln>
                              </pic:spPr>
                            </pic:pic>
                          </a:graphicData>
                        </a:graphic>
                      </wp:inline>
                    </w:drawing>
                  </w:r>
                </w:p>
              </w:tc>
              <w:tc>
                <w:tcPr>
                  <w:tcW w:w="812" w:type="pct"/>
                  <w:noWrap w:val="0"/>
                  <w:vAlign w:val="center"/>
                </w:tcPr>
                <w:p w14:paraId="6F2E1DB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废气排放口</w:t>
                  </w:r>
                </w:p>
              </w:tc>
              <w:tc>
                <w:tcPr>
                  <w:tcW w:w="1658" w:type="pct"/>
                  <w:noWrap w:val="0"/>
                  <w:vAlign w:val="center"/>
                </w:tcPr>
                <w:p w14:paraId="69DB24B7">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表示废气向大气环境排放</w:t>
                  </w:r>
                </w:p>
              </w:tc>
            </w:tr>
            <w:tr w14:paraId="2F802C1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424" w:type="pct"/>
                  <w:noWrap w:val="0"/>
                  <w:vAlign w:val="center"/>
                </w:tcPr>
                <w:p w14:paraId="68198911">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3</w:t>
                  </w:r>
                </w:p>
              </w:tc>
              <w:tc>
                <w:tcPr>
                  <w:tcW w:w="1012" w:type="pct"/>
                  <w:noWrap w:val="0"/>
                  <w:vAlign w:val="center"/>
                </w:tcPr>
                <w:p w14:paraId="4E96DACC">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767715" cy="767715"/>
                        <wp:effectExtent l="0" t="0" r="13335" b="13335"/>
                        <wp:docPr id="23" name="图片 111" descr="说明: 说明: 说明: 说明: 200602201518049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1" descr="说明: 说明: 说明: 说明: 200602201518049853"/>
                                <pic:cNvPicPr>
                                  <a:picLocks noChangeAspect="1"/>
                                </pic:cNvPicPr>
                              </pic:nvPicPr>
                              <pic:blipFill>
                                <a:blip r:embed="rId37"/>
                                <a:stretch>
                                  <a:fillRect/>
                                </a:stretch>
                              </pic:blipFill>
                              <pic:spPr>
                                <a:xfrm>
                                  <a:off x="0" y="0"/>
                                  <a:ext cx="767715" cy="767715"/>
                                </a:xfrm>
                                <a:prstGeom prst="rect">
                                  <a:avLst/>
                                </a:prstGeom>
                                <a:noFill/>
                                <a:ln>
                                  <a:noFill/>
                                </a:ln>
                              </pic:spPr>
                            </pic:pic>
                          </a:graphicData>
                        </a:graphic>
                      </wp:inline>
                    </w:drawing>
                  </w:r>
                </w:p>
              </w:tc>
              <w:tc>
                <w:tcPr>
                  <w:tcW w:w="1091" w:type="pct"/>
                  <w:noWrap w:val="0"/>
                  <w:vAlign w:val="center"/>
                </w:tcPr>
                <w:p w14:paraId="0AEC2C9C">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885825" cy="790575"/>
                        <wp:effectExtent l="0" t="0" r="9525" b="9525"/>
                        <wp:docPr id="24" name="图片 112" descr="说明: 说明: 说明: 说明: 20060220151901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2" descr="说明: 说明: 说明: 说明: 200602201519018631"/>
                                <pic:cNvPicPr>
                                  <a:picLocks noChangeAspect="1"/>
                                </pic:cNvPicPr>
                              </pic:nvPicPr>
                              <pic:blipFill>
                                <a:blip r:embed="rId38"/>
                                <a:stretch>
                                  <a:fillRect/>
                                </a:stretch>
                              </pic:blipFill>
                              <pic:spPr>
                                <a:xfrm>
                                  <a:off x="0" y="0"/>
                                  <a:ext cx="885825" cy="790575"/>
                                </a:xfrm>
                                <a:prstGeom prst="rect">
                                  <a:avLst/>
                                </a:prstGeom>
                                <a:noFill/>
                                <a:ln>
                                  <a:noFill/>
                                </a:ln>
                              </pic:spPr>
                            </pic:pic>
                          </a:graphicData>
                        </a:graphic>
                      </wp:inline>
                    </w:drawing>
                  </w:r>
                </w:p>
              </w:tc>
              <w:tc>
                <w:tcPr>
                  <w:tcW w:w="812" w:type="pct"/>
                  <w:noWrap w:val="0"/>
                  <w:vAlign w:val="center"/>
                </w:tcPr>
                <w:p w14:paraId="7370B15A">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噪声排放源</w:t>
                  </w:r>
                </w:p>
              </w:tc>
              <w:tc>
                <w:tcPr>
                  <w:tcW w:w="1658" w:type="pct"/>
                  <w:noWrap w:val="0"/>
                  <w:vAlign w:val="center"/>
                </w:tcPr>
                <w:p w14:paraId="04613E4D">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表示噪声向外环境排放</w:t>
                  </w:r>
                </w:p>
              </w:tc>
            </w:tr>
            <w:tr w14:paraId="39C8AC7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4" w:type="pct"/>
                  <w:noWrap w:val="0"/>
                  <w:vAlign w:val="center"/>
                </w:tcPr>
                <w:p w14:paraId="51C0417F">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4</w:t>
                  </w:r>
                </w:p>
              </w:tc>
              <w:tc>
                <w:tcPr>
                  <w:tcW w:w="1012" w:type="pct"/>
                  <w:noWrap w:val="0"/>
                  <w:vAlign w:val="center"/>
                </w:tcPr>
                <w:p w14:paraId="73EB8BB3">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772795" cy="781050"/>
                        <wp:effectExtent l="0" t="0" r="8255" b="0"/>
                        <wp:docPr id="25" name="图片 113" descr="说明: 说明: 说明: 说明: 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3" descr="说明: 说明: 说明: 说明: 14001"/>
                                <pic:cNvPicPr>
                                  <a:picLocks noChangeAspect="1"/>
                                </pic:cNvPicPr>
                              </pic:nvPicPr>
                              <pic:blipFill>
                                <a:blip r:embed="rId39"/>
                                <a:stretch>
                                  <a:fillRect/>
                                </a:stretch>
                              </pic:blipFill>
                              <pic:spPr>
                                <a:xfrm>
                                  <a:off x="0" y="0"/>
                                  <a:ext cx="772795" cy="781050"/>
                                </a:xfrm>
                                <a:prstGeom prst="rect">
                                  <a:avLst/>
                                </a:prstGeom>
                                <a:noFill/>
                                <a:ln>
                                  <a:noFill/>
                                </a:ln>
                              </pic:spPr>
                            </pic:pic>
                          </a:graphicData>
                        </a:graphic>
                      </wp:inline>
                    </w:drawing>
                  </w:r>
                </w:p>
              </w:tc>
              <w:tc>
                <w:tcPr>
                  <w:tcW w:w="1091" w:type="pct"/>
                  <w:noWrap w:val="0"/>
                  <w:vAlign w:val="center"/>
                </w:tcPr>
                <w:p w14:paraId="3E0451AA">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848995" cy="801370"/>
                        <wp:effectExtent l="0" t="0" r="8255" b="17780"/>
                        <wp:docPr id="26" name="图片 114" descr="说明: 说明: 说明: 说明: 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4" descr="说明: 说明: 说明: 说明: 14002"/>
                                <pic:cNvPicPr>
                                  <a:picLocks noChangeAspect="1"/>
                                </pic:cNvPicPr>
                              </pic:nvPicPr>
                              <pic:blipFill>
                                <a:blip r:embed="rId40"/>
                                <a:stretch>
                                  <a:fillRect/>
                                </a:stretch>
                              </pic:blipFill>
                              <pic:spPr>
                                <a:xfrm>
                                  <a:off x="0" y="0"/>
                                  <a:ext cx="848995" cy="801370"/>
                                </a:xfrm>
                                <a:prstGeom prst="rect">
                                  <a:avLst/>
                                </a:prstGeom>
                                <a:noFill/>
                                <a:ln>
                                  <a:noFill/>
                                </a:ln>
                              </pic:spPr>
                            </pic:pic>
                          </a:graphicData>
                        </a:graphic>
                      </wp:inline>
                    </w:drawing>
                  </w:r>
                </w:p>
              </w:tc>
              <w:tc>
                <w:tcPr>
                  <w:tcW w:w="812" w:type="pct"/>
                  <w:noWrap w:val="0"/>
                  <w:vAlign w:val="center"/>
                </w:tcPr>
                <w:p w14:paraId="6A73BA80">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一般固体废物</w:t>
                  </w:r>
                </w:p>
              </w:tc>
              <w:tc>
                <w:tcPr>
                  <w:tcW w:w="1658" w:type="pct"/>
                  <w:noWrap w:val="0"/>
                  <w:vAlign w:val="center"/>
                </w:tcPr>
                <w:p w14:paraId="7187589D">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表示一般固体废物贮存、处置场</w:t>
                  </w:r>
                </w:p>
              </w:tc>
            </w:tr>
            <w:tr w14:paraId="3DFAA6E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24" w:type="pct"/>
                  <w:noWrap w:val="0"/>
                  <w:vAlign w:val="center"/>
                </w:tcPr>
                <w:p w14:paraId="11B28AA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5</w:t>
                  </w:r>
                </w:p>
              </w:tc>
              <w:tc>
                <w:tcPr>
                  <w:tcW w:w="1012" w:type="pct"/>
                  <w:noWrap w:val="0"/>
                  <w:vAlign w:val="center"/>
                </w:tcPr>
                <w:p w14:paraId="43964061">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1091" w:type="pct"/>
                  <w:noWrap w:val="0"/>
                  <w:vAlign w:val="center"/>
                </w:tcPr>
                <w:p w14:paraId="06E8FEF8">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drawing>
                      <wp:inline distT="0" distB="0" distL="114300" distR="114300">
                        <wp:extent cx="1394460" cy="894715"/>
                        <wp:effectExtent l="0" t="0" r="15240" b="635"/>
                        <wp:docPr id="27" name="图片 115" descr="f61a3634380f21d8318d03122d4ac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5" descr="f61a3634380f21d8318d03122d4ac335"/>
                                <pic:cNvPicPr>
                                  <a:picLocks noChangeAspect="1"/>
                                </pic:cNvPicPr>
                              </pic:nvPicPr>
                              <pic:blipFill>
                                <a:blip r:embed="rId41"/>
                                <a:srcRect b="11063"/>
                                <a:stretch>
                                  <a:fillRect/>
                                </a:stretch>
                              </pic:blipFill>
                              <pic:spPr>
                                <a:xfrm>
                                  <a:off x="0" y="0"/>
                                  <a:ext cx="1394460" cy="894715"/>
                                </a:xfrm>
                                <a:prstGeom prst="rect">
                                  <a:avLst/>
                                </a:prstGeom>
                                <a:noFill/>
                                <a:ln>
                                  <a:noFill/>
                                </a:ln>
                              </pic:spPr>
                            </pic:pic>
                          </a:graphicData>
                        </a:graphic>
                      </wp:inline>
                    </w:drawing>
                  </w:r>
                </w:p>
              </w:tc>
              <w:tc>
                <w:tcPr>
                  <w:tcW w:w="812" w:type="pct"/>
                  <w:noWrap w:val="0"/>
                  <w:vAlign w:val="center"/>
                </w:tcPr>
                <w:p w14:paraId="6A038FA4">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危险废物</w:t>
                  </w:r>
                </w:p>
              </w:tc>
              <w:tc>
                <w:tcPr>
                  <w:tcW w:w="1658" w:type="pct"/>
                  <w:noWrap w:val="0"/>
                  <w:vAlign w:val="center"/>
                </w:tcPr>
                <w:p w14:paraId="651DBB2E">
                  <w:pPr>
                    <w:keepNext w:val="0"/>
                    <w:keepLines w:val="0"/>
                    <w:pageBreakBefore w:val="0"/>
                    <w:widowControl w:val="0"/>
                    <w:kinsoku/>
                    <w:wordWrap/>
                    <w:overflowPunct/>
                    <w:topLinePunct w:val="0"/>
                    <w:autoSpaceDE w:val="0"/>
                    <w:autoSpaceDN w:val="0"/>
                    <w:bidi w:val="0"/>
                    <w:adjustRightInd w:val="0"/>
                    <w:snapToGrid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表示危险废物贮存设施</w:t>
                  </w:r>
                </w:p>
              </w:tc>
            </w:tr>
          </w:tbl>
          <w:p w14:paraId="1A84FA22">
            <w:pPr>
              <w:pStyle w:val="118"/>
              <w:shd w:val="clear" w:color="auto" w:fill="auto"/>
              <w:ind w:firstLine="482"/>
              <w:jc w:val="both"/>
              <w:rPr>
                <w:rFonts w:hint="default" w:ascii="Times New Roman" w:hAnsi="Times New Roman" w:cs="Times New Roman"/>
                <w:b/>
                <w:bCs/>
                <w:color w:val="000000" w:themeColor="text1"/>
                <w:highlight w:val="none"/>
                <w14:textFill>
                  <w14:solidFill>
                    <w14:schemeClr w14:val="tx1"/>
                  </w14:solidFill>
                </w14:textFill>
              </w:rPr>
            </w:pPr>
            <w:r>
              <w:rPr>
                <w:rFonts w:hint="default" w:ascii="Times New Roman" w:hAnsi="Times New Roman" w:cs="Times New Roman"/>
                <w:b/>
                <w:bCs/>
                <w:color w:val="000000" w:themeColor="text1"/>
                <w:highlight w:val="none"/>
                <w14:textFill>
                  <w14:solidFill>
                    <w14:schemeClr w14:val="tx1"/>
                  </w14:solidFill>
                </w14:textFill>
              </w:rPr>
              <w:t>9、环保投资</w:t>
            </w:r>
          </w:p>
          <w:p w14:paraId="4D5207A1">
            <w:pPr>
              <w:pStyle w:val="118"/>
              <w:shd w:val="clear" w:color="auto" w:fill="auto"/>
              <w:ind w:firstLine="48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本项目环保投资包括废气处理、废水处理、噪声控制及固体废弃物处理等费用，项目总投资</w:t>
            </w:r>
            <w:r>
              <w:rPr>
                <w:rFonts w:hint="eastAsia" w:cs="Times New Roman"/>
                <w:color w:val="000000" w:themeColor="text1"/>
                <w:kern w:val="21"/>
                <w:highlight w:val="none"/>
                <w:lang w:val="en-US" w:eastAsia="zh-CN"/>
                <w14:textFill>
                  <w14:solidFill>
                    <w14:schemeClr w14:val="tx1"/>
                  </w14:solidFill>
                </w14:textFill>
              </w:rPr>
              <w:t>1</w:t>
            </w:r>
            <w:r>
              <w:rPr>
                <w:rFonts w:hint="default" w:ascii="Times New Roman" w:hAnsi="Times New Roman" w:cs="Times New Roman"/>
                <w:color w:val="000000" w:themeColor="text1"/>
                <w:kern w:val="21"/>
                <w:highlight w:val="none"/>
                <w14:textFill>
                  <w14:solidFill>
                    <w14:schemeClr w14:val="tx1"/>
                  </w14:solidFill>
                </w14:textFill>
              </w:rPr>
              <w:t>0000</w:t>
            </w:r>
            <w:r>
              <w:rPr>
                <w:rFonts w:hint="default" w:ascii="Times New Roman" w:hAnsi="Times New Roman" w:cs="Times New Roman"/>
                <w:color w:val="000000" w:themeColor="text1"/>
                <w:highlight w:val="none"/>
                <w14:textFill>
                  <w14:solidFill>
                    <w14:schemeClr w14:val="tx1"/>
                  </w14:solidFill>
                </w14:textFill>
              </w:rPr>
              <w:t>万元，总环保投资费用约为1</w:t>
            </w:r>
            <w:r>
              <w:rPr>
                <w:rFonts w:hint="eastAsia" w:cs="Times New Roman"/>
                <w:color w:val="000000" w:themeColor="text1"/>
                <w:highlight w:val="none"/>
                <w:lang w:val="en-US" w:eastAsia="zh-CN"/>
                <w14:textFill>
                  <w14:solidFill>
                    <w14:schemeClr w14:val="tx1"/>
                  </w14:solidFill>
                </w14:textFill>
              </w:rPr>
              <w:t>15</w:t>
            </w:r>
            <w:r>
              <w:rPr>
                <w:rFonts w:hint="default" w:ascii="Times New Roman" w:hAnsi="Times New Roman" w:cs="Times New Roman"/>
                <w:color w:val="000000" w:themeColor="text1"/>
                <w:highlight w:val="none"/>
                <w14:textFill>
                  <w14:solidFill>
                    <w14:schemeClr w14:val="tx1"/>
                  </w14:solidFill>
                </w14:textFill>
              </w:rPr>
              <w:t>万元，占总投资的</w:t>
            </w:r>
            <w:r>
              <w:rPr>
                <w:rFonts w:hint="eastAsia" w:cs="Times New Roman"/>
                <w:color w:val="000000" w:themeColor="text1"/>
                <w:highlight w:val="none"/>
                <w:lang w:val="en-US" w:eastAsia="zh-CN"/>
                <w14:textFill>
                  <w14:solidFill>
                    <w14:schemeClr w14:val="tx1"/>
                  </w14:solidFill>
                </w14:textFill>
              </w:rPr>
              <w:t>1.15</w:t>
            </w:r>
            <w:r>
              <w:rPr>
                <w:rFonts w:hint="default" w:ascii="Times New Roman" w:hAnsi="Times New Roman" w:cs="Times New Roman"/>
                <w:color w:val="000000" w:themeColor="text1"/>
                <w:highlight w:val="none"/>
                <w14:textFill>
                  <w14:solidFill>
                    <w14:schemeClr w14:val="tx1"/>
                  </w14:solidFill>
                </w14:textFill>
              </w:rPr>
              <w:t>%。具体见表4-</w:t>
            </w:r>
            <w:r>
              <w:rPr>
                <w:rFonts w:hint="default" w:ascii="Times New Roman" w:hAnsi="Times New Roman" w:cs="Times New Roman"/>
                <w:color w:val="000000" w:themeColor="text1"/>
                <w:highlight w:val="none"/>
                <w:lang w:val="en-US" w:eastAsia="zh-CN"/>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7</w:t>
            </w:r>
            <w:r>
              <w:rPr>
                <w:rFonts w:hint="default" w:ascii="Times New Roman" w:hAnsi="Times New Roman" w:cs="Times New Roman"/>
                <w:color w:val="000000" w:themeColor="text1"/>
                <w:highlight w:val="none"/>
                <w14:textFill>
                  <w14:solidFill>
                    <w14:schemeClr w14:val="tx1"/>
                  </w14:solidFill>
                </w14:textFill>
              </w:rPr>
              <w:t>。</w:t>
            </w:r>
          </w:p>
          <w:p w14:paraId="150E9556">
            <w:pPr>
              <w:pStyle w:val="106"/>
              <w:shd w:val="clear" w:color="auto" w:fill="auto"/>
              <w:spacing w:before="0" w:beforeLines="0"/>
              <w:rPr>
                <w:rFonts w:hint="default" w:ascii="Times New Roman" w:hAnsi="Times New Roman" w:cs="Times New Roman"/>
                <w:color w:val="000000" w:themeColor="text1"/>
                <w:szCs w:val="24"/>
                <w:highlight w:val="none"/>
                <w14:textFill>
                  <w14:solidFill>
                    <w14:schemeClr w14:val="tx1"/>
                  </w14:solidFill>
                </w14:textFill>
              </w:rPr>
            </w:pPr>
            <w:r>
              <w:rPr>
                <w:rFonts w:hint="default" w:ascii="Times New Roman" w:hAnsi="Times New Roman" w:cs="Times New Roman"/>
                <w:color w:val="000000" w:themeColor="text1"/>
                <w:szCs w:val="24"/>
                <w:highlight w:val="none"/>
                <w14:textFill>
                  <w14:solidFill>
                    <w14:schemeClr w14:val="tx1"/>
                  </w14:solidFill>
                </w14:textFill>
              </w:rPr>
              <w:t>表4-</w:t>
            </w:r>
            <w:r>
              <w:rPr>
                <w:rFonts w:hint="default" w:ascii="Times New Roman" w:hAnsi="Times New Roman" w:cs="Times New Roman"/>
                <w:color w:val="000000" w:themeColor="text1"/>
                <w:szCs w:val="24"/>
                <w:highlight w:val="none"/>
                <w:lang w:val="en-US" w:eastAsia="zh-CN"/>
                <w14:textFill>
                  <w14:solidFill>
                    <w14:schemeClr w14:val="tx1"/>
                  </w14:solidFill>
                </w14:textFill>
              </w:rPr>
              <w:t>1</w:t>
            </w:r>
            <w:r>
              <w:rPr>
                <w:rFonts w:hint="eastAsia" w:cs="Times New Roman"/>
                <w:color w:val="000000" w:themeColor="text1"/>
                <w:szCs w:val="24"/>
                <w:highlight w:val="none"/>
                <w:lang w:val="en-US" w:eastAsia="zh-CN"/>
                <w14:textFill>
                  <w14:solidFill>
                    <w14:schemeClr w14:val="tx1"/>
                  </w14:solidFill>
                </w14:textFill>
              </w:rPr>
              <w:t>7</w:t>
            </w:r>
            <w:r>
              <w:rPr>
                <w:rFonts w:hint="default" w:ascii="Times New Roman" w:hAnsi="Times New Roman" w:cs="Times New Roman"/>
                <w:color w:val="000000" w:themeColor="text1"/>
                <w:szCs w:val="24"/>
                <w:highlight w:val="none"/>
                <w14:textFill>
                  <w14:solidFill>
                    <w14:schemeClr w14:val="tx1"/>
                  </w14:solidFill>
                </w14:textFill>
              </w:rPr>
              <w:t xml:space="preserve"> 环保投资一览表</w:t>
            </w:r>
          </w:p>
          <w:tbl>
            <w:tblPr>
              <w:tblStyle w:val="32"/>
              <w:tblW w:w="4983"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33"/>
              <w:gridCol w:w="8022"/>
              <w:gridCol w:w="2154"/>
            </w:tblGrid>
            <w:tr w14:paraId="72DD11C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1117FF7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污染源</w:t>
                  </w:r>
                </w:p>
              </w:tc>
              <w:tc>
                <w:tcPr>
                  <w:tcW w:w="3013" w:type="pct"/>
                  <w:noWrap w:val="0"/>
                  <w:vAlign w:val="center"/>
                </w:tcPr>
                <w:p w14:paraId="2A79A8EA">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治理设施</w:t>
                  </w:r>
                </w:p>
              </w:tc>
              <w:tc>
                <w:tcPr>
                  <w:tcW w:w="809" w:type="pct"/>
                  <w:noWrap w:val="0"/>
                  <w:vAlign w:val="center"/>
                </w:tcPr>
                <w:p w14:paraId="3FA76019">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投资（万元）</w:t>
                  </w:r>
                </w:p>
              </w:tc>
            </w:tr>
            <w:tr w14:paraId="2A8A57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restart"/>
                  <w:noWrap w:val="0"/>
                  <w:vAlign w:val="center"/>
                </w:tcPr>
                <w:p w14:paraId="1287F734">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废气</w:t>
                  </w:r>
                </w:p>
              </w:tc>
              <w:tc>
                <w:tcPr>
                  <w:tcW w:w="3013" w:type="pct"/>
                  <w:noWrap w:val="0"/>
                  <w:vAlign w:val="center"/>
                </w:tcPr>
                <w:p w14:paraId="57C94C34">
                  <w:pPr>
                    <w:pStyle w:val="61"/>
                    <w:shd w:val="clear" w:color="auto" w:fill="auto"/>
                    <w:rPr>
                      <w:rFonts w:hint="default" w:ascii="Times New Roman" w:hAnsi="Times New Roman" w:cs="Times New Roman"/>
                      <w:bCs/>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金属熔化废气：一体化收尘+耐高温布袋除尘器</w:t>
                  </w:r>
                  <w:r>
                    <w:rPr>
                      <w:rFonts w:hint="default" w:ascii="Times New Roman" w:hAnsi="Times New Roman" w:cs="Times New Roman"/>
                      <w:color w:val="000000" w:themeColor="text1"/>
                      <w:highlight w:val="none"/>
                      <w14:textFill>
                        <w14:solidFill>
                          <w14:schemeClr w14:val="tx1"/>
                        </w14:solidFill>
                      </w14:textFill>
                    </w:rPr>
                    <w:t>+1</w:t>
                  </w:r>
                  <w:r>
                    <w:rPr>
                      <w:rFonts w:hint="default" w:ascii="Times New Roman" w:hAnsi="Times New Roman" w:cs="Times New Roman"/>
                      <w:color w:val="000000" w:themeColor="text1"/>
                      <w:highlight w:val="none"/>
                      <w:lang w:val="en-US" w:eastAsia="zh-CN"/>
                      <w14:textFill>
                        <w14:solidFill>
                          <w14:schemeClr w14:val="tx1"/>
                        </w14:solidFill>
                      </w14:textFill>
                    </w:rPr>
                    <w:t>8</w:t>
                  </w:r>
                  <w:r>
                    <w:rPr>
                      <w:rFonts w:hint="default" w:ascii="Times New Roman" w:hAnsi="Times New Roman" w:cs="Times New Roman"/>
                      <w:color w:val="000000" w:themeColor="text1"/>
                      <w:highlight w:val="none"/>
                      <w14:textFill>
                        <w14:solidFill>
                          <w14:schemeClr w14:val="tx1"/>
                        </w14:solidFill>
                      </w14:textFill>
                    </w:rPr>
                    <w:t>m排气筒DA001</w:t>
                  </w:r>
                </w:p>
              </w:tc>
              <w:tc>
                <w:tcPr>
                  <w:tcW w:w="809" w:type="pct"/>
                  <w:noWrap w:val="0"/>
                  <w:vAlign w:val="center"/>
                </w:tcPr>
                <w:p w14:paraId="63DD489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10</w:t>
                  </w:r>
                </w:p>
              </w:tc>
            </w:tr>
            <w:tr w14:paraId="1189573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1BADE39F">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noWrap w:val="0"/>
                  <w:vAlign w:val="center"/>
                </w:tcPr>
                <w:p w14:paraId="69767DE1">
                  <w:pPr>
                    <w:pStyle w:val="61"/>
                    <w:shd w:val="clear" w:color="auto" w:fill="auto"/>
                    <w:rPr>
                      <w:rFonts w:hint="default" w:ascii="Times New Roman" w:hAnsi="Times New Roman" w:cs="Times New Roman"/>
                      <w:bCs/>
                      <w:color w:val="000000" w:themeColor="text1"/>
                      <w:highlight w:val="none"/>
                      <w14:textFill>
                        <w14:solidFill>
                          <w14:schemeClr w14:val="tx1"/>
                        </w14:solidFill>
                      </w14:textFill>
                    </w:rPr>
                  </w:pPr>
                  <w:r>
                    <w:rPr>
                      <w:rFonts w:hint="default" w:ascii="Times New Roman" w:hAnsi="Times New Roman" w:cs="Times New Roman"/>
                      <w:bCs/>
                      <w:color w:val="000000" w:themeColor="text1"/>
                      <w:highlight w:val="none"/>
                      <w14:textFill>
                        <w14:solidFill>
                          <w14:schemeClr w14:val="tx1"/>
                        </w14:solidFill>
                      </w14:textFill>
                    </w:rPr>
                    <w:t>造型</w:t>
                  </w:r>
                  <w:r>
                    <w:rPr>
                      <w:rFonts w:hint="eastAsia" w:cs="Times New Roman"/>
                      <w:bCs/>
                      <w:color w:val="000000" w:themeColor="text1"/>
                      <w:highlight w:val="none"/>
                      <w:lang w:val="en-US" w:eastAsia="zh-CN"/>
                      <w14:textFill>
                        <w14:solidFill>
                          <w14:schemeClr w14:val="tx1"/>
                        </w14:solidFill>
                      </w14:textFill>
                    </w:rPr>
                    <w:t>/制芯</w:t>
                  </w:r>
                  <w:r>
                    <w:rPr>
                      <w:rFonts w:hint="default" w:ascii="Times New Roman" w:hAnsi="Times New Roman" w:cs="Times New Roman"/>
                      <w:bCs/>
                      <w:color w:val="000000" w:themeColor="text1"/>
                      <w:highlight w:val="none"/>
                      <w14:textFill>
                        <w14:solidFill>
                          <w14:schemeClr w14:val="tx1"/>
                        </w14:solidFill>
                      </w14:textFill>
                    </w:rPr>
                    <w:t>废气、浇注废气：集气罩+布袋除尘器+三级活性炭</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m排气筒DA002</w:t>
                  </w:r>
                </w:p>
              </w:tc>
              <w:tc>
                <w:tcPr>
                  <w:tcW w:w="809" w:type="pct"/>
                  <w:noWrap w:val="0"/>
                  <w:vAlign w:val="center"/>
                </w:tcPr>
                <w:p w14:paraId="495E4CA8">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12</w:t>
                  </w:r>
                </w:p>
              </w:tc>
            </w:tr>
            <w:tr w14:paraId="4FAD285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33D43760">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noWrap w:val="0"/>
                  <w:vAlign w:val="center"/>
                </w:tcPr>
                <w:p w14:paraId="22B579DE">
                  <w:pPr>
                    <w:pStyle w:val="61"/>
                    <w:shd w:val="clear" w:color="auto" w:fill="auto"/>
                    <w:rPr>
                      <w:rFonts w:hint="default" w:ascii="Times New Roman" w:hAnsi="Times New Roman" w:eastAsia="宋体" w:cs="Times New Roman"/>
                      <w:bCs/>
                      <w:color w:val="000000" w:themeColor="text1"/>
                      <w:highlight w:val="none"/>
                      <w:lang w:val="en-US" w:eastAsia="zh-CN"/>
                      <w14:textFill>
                        <w14:solidFill>
                          <w14:schemeClr w14:val="tx1"/>
                        </w14:solidFill>
                      </w14:textFill>
                    </w:rPr>
                  </w:pPr>
                  <w:r>
                    <w:rPr>
                      <w:rFonts w:hint="eastAsia" w:cs="Times New Roman"/>
                      <w:bCs/>
                      <w:color w:val="000000" w:themeColor="text1"/>
                      <w:highlight w:val="none"/>
                      <w:lang w:val="en-US" w:eastAsia="zh-CN"/>
                      <w14:textFill>
                        <w14:solidFill>
                          <w14:schemeClr w14:val="tx1"/>
                        </w14:solidFill>
                      </w14:textFill>
                    </w:rPr>
                    <w:t>落砂废气：密闭收集+布袋除尘器</w:t>
                  </w:r>
                  <w:r>
                    <w:rPr>
                      <w:rFonts w:hint="default" w:ascii="Times New Roman" w:hAnsi="Times New Roman" w:cs="Times New Roman"/>
                      <w:color w:val="000000" w:themeColor="text1"/>
                      <w:highlight w:val="none"/>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w:t>
                  </w:r>
                  <w:r>
                    <w:rPr>
                      <w:rFonts w:hint="eastAsia" w:cs="Times New Roman"/>
                      <w:color w:val="000000" w:themeColor="text1"/>
                      <w:highlight w:val="none"/>
                      <w:lang w:val="en-US" w:eastAsia="zh-CN"/>
                      <w14:textFill>
                        <w14:solidFill>
                          <w14:schemeClr w14:val="tx1"/>
                        </w14:solidFill>
                      </w14:textFill>
                    </w:rPr>
                    <w:t>3</w:t>
                  </w:r>
                </w:p>
              </w:tc>
              <w:tc>
                <w:tcPr>
                  <w:tcW w:w="809" w:type="pct"/>
                  <w:noWrap w:val="0"/>
                  <w:vAlign w:val="center"/>
                </w:tcPr>
                <w:p w14:paraId="32D7833D">
                  <w:pPr>
                    <w:pStyle w:val="121"/>
                    <w:shd w:val="clear" w:color="auto" w:fil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0</w:t>
                  </w:r>
                </w:p>
              </w:tc>
            </w:tr>
            <w:tr w14:paraId="798FEC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4962EAD6">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shd w:val="clear" w:color="auto" w:fill="auto"/>
                  <w:noWrap w:val="0"/>
                  <w:vAlign w:val="center"/>
                </w:tcPr>
                <w:p w14:paraId="16224E59">
                  <w:pPr>
                    <w:pStyle w:val="61"/>
                    <w:shd w:val="clear" w:color="auto" w:fill="auto"/>
                    <w:ind w:firstLine="0" w:firstLineChars="0"/>
                    <w:rPr>
                      <w:rFonts w:hint="eastAsia"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highlight w:val="none"/>
                      <w:lang w:val="en-US" w:eastAsia="zh-CN"/>
                      <w14:textFill>
                        <w14:solidFill>
                          <w14:schemeClr w14:val="tx1"/>
                        </w14:solidFill>
                      </w14:textFill>
                    </w:rPr>
                    <w:t>树脂砂再生</w:t>
                  </w:r>
                  <w:r>
                    <w:rPr>
                      <w:rFonts w:hint="default" w:ascii="Times New Roman" w:hAnsi="Times New Roman" w:cs="Times New Roman"/>
                      <w:bCs/>
                      <w:color w:val="000000" w:themeColor="text1"/>
                      <w:highlight w:val="none"/>
                      <w14:textFill>
                        <w14:solidFill>
                          <w14:schemeClr w14:val="tx1"/>
                        </w14:solidFill>
                      </w14:textFill>
                    </w:rPr>
                    <w:t>处理废气：密闭收集+袋式除尘+二级活性炭</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w:t>
                  </w:r>
                  <w:r>
                    <w:rPr>
                      <w:rFonts w:hint="eastAsia" w:ascii="Times New Roman" w:hAnsi="Times New Roman" w:cs="Times New Roman"/>
                      <w:color w:val="000000" w:themeColor="text1"/>
                      <w:highlight w:val="none"/>
                      <w:lang w:val="en-US" w:eastAsia="zh-CN"/>
                      <w14:textFill>
                        <w14:solidFill>
                          <w14:schemeClr w14:val="tx1"/>
                        </w14:solidFill>
                      </w14:textFill>
                    </w:rPr>
                    <w:t>4</w:t>
                  </w:r>
                </w:p>
              </w:tc>
              <w:tc>
                <w:tcPr>
                  <w:tcW w:w="809" w:type="pct"/>
                  <w:noWrap w:val="0"/>
                  <w:vAlign w:val="center"/>
                </w:tcPr>
                <w:p w14:paraId="2F8776E2">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11</w:t>
                  </w:r>
                </w:p>
              </w:tc>
            </w:tr>
            <w:tr w14:paraId="39BE79D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6DE40DD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shd w:val="clear" w:color="auto" w:fill="auto"/>
                  <w:noWrap w:val="0"/>
                  <w:vAlign w:val="center"/>
                </w:tcPr>
                <w:p w14:paraId="4D25714F">
                  <w:pPr>
                    <w:pStyle w:val="61"/>
                    <w:shd w:val="clear" w:color="auto" w:fill="auto"/>
                    <w:ind w:firstLine="0" w:firstLineChars="0"/>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highlight w:val="none"/>
                      <w:lang w:val="en-US" w:eastAsia="zh-CN"/>
                      <w14:textFill>
                        <w14:solidFill>
                          <w14:schemeClr w14:val="tx1"/>
                        </w14:solidFill>
                      </w14:textFill>
                    </w:rPr>
                    <w:t>粘土砂再生</w:t>
                  </w:r>
                  <w:r>
                    <w:rPr>
                      <w:rFonts w:hint="default" w:ascii="Times New Roman" w:hAnsi="Times New Roman" w:cs="Times New Roman"/>
                      <w:bCs/>
                      <w:color w:val="000000" w:themeColor="text1"/>
                      <w:highlight w:val="none"/>
                      <w14:textFill>
                        <w14:solidFill>
                          <w14:schemeClr w14:val="tx1"/>
                        </w14:solidFill>
                      </w14:textFill>
                    </w:rPr>
                    <w:t>处理废气：密闭收集+袋式除尘</w:t>
                  </w:r>
                  <w:r>
                    <w:rPr>
                      <w:rFonts w:hint="default" w:ascii="Times New Roman" w:hAnsi="Times New Roman" w:cs="Times New Roman"/>
                      <w:color w:val="000000" w:themeColor="text1"/>
                      <w:highlight w:val="none"/>
                      <w14:textFill>
                        <w14:solidFill>
                          <w14:schemeClr w14:val="tx1"/>
                        </w14:solidFill>
                      </w14:textFill>
                    </w:rPr>
                    <w:t>+</w:t>
                  </w:r>
                  <w:r>
                    <w:rPr>
                      <w:rFonts w:hint="eastAsia"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w:t>
                  </w:r>
                  <w:r>
                    <w:rPr>
                      <w:rFonts w:hint="eastAsia" w:ascii="Times New Roman" w:hAnsi="Times New Roman" w:cs="Times New Roman"/>
                      <w:color w:val="000000" w:themeColor="text1"/>
                      <w:highlight w:val="none"/>
                      <w:lang w:val="en-US" w:eastAsia="zh-CN"/>
                      <w14:textFill>
                        <w14:solidFill>
                          <w14:schemeClr w14:val="tx1"/>
                        </w14:solidFill>
                      </w14:textFill>
                    </w:rPr>
                    <w:t>5</w:t>
                  </w:r>
                </w:p>
              </w:tc>
              <w:tc>
                <w:tcPr>
                  <w:tcW w:w="809" w:type="pct"/>
                  <w:noWrap w:val="0"/>
                  <w:vAlign w:val="center"/>
                </w:tcPr>
                <w:p w14:paraId="1DE3B2DB">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10</w:t>
                  </w:r>
                </w:p>
              </w:tc>
            </w:tr>
            <w:tr w14:paraId="168FB0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0146F4F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shd w:val="clear" w:color="auto" w:fill="auto"/>
                  <w:noWrap w:val="0"/>
                  <w:vAlign w:val="center"/>
                </w:tcPr>
                <w:p w14:paraId="05BB05AA">
                  <w:pPr>
                    <w:pStyle w:val="61"/>
                    <w:shd w:val="clear" w:color="auto" w:fill="auto"/>
                    <w:ind w:firstLine="0" w:firstLineChars="0"/>
                    <w:rPr>
                      <w:rFonts w:hint="default" w:ascii="Times New Roman" w:hAnsi="Times New Roman" w:eastAsia="宋体" w:cs="Times New Roman"/>
                      <w:bCs/>
                      <w:color w:val="000000" w:themeColor="text1"/>
                      <w:kern w:val="2"/>
                      <w:sz w:val="21"/>
                      <w:szCs w:val="21"/>
                      <w:highlight w:val="none"/>
                      <w:lang w:val="en-US" w:eastAsia="zh-CN" w:bidi="ar-SA"/>
                      <w14:textFill>
                        <w14:solidFill>
                          <w14:schemeClr w14:val="tx1"/>
                        </w14:solidFill>
                      </w14:textFill>
                    </w:rPr>
                  </w:pPr>
                  <w:r>
                    <w:rPr>
                      <w:rFonts w:hint="eastAsia" w:cs="Times New Roman"/>
                      <w:bCs/>
                      <w:color w:val="000000" w:themeColor="text1"/>
                      <w:highlight w:val="none"/>
                      <w:lang w:val="en-US" w:eastAsia="zh-CN"/>
                      <w14:textFill>
                        <w14:solidFill>
                          <w14:schemeClr w14:val="tx1"/>
                        </w14:solidFill>
                      </w14:textFill>
                    </w:rPr>
                    <w:t>打磨/</w:t>
                  </w:r>
                  <w:r>
                    <w:rPr>
                      <w:rFonts w:hint="default" w:ascii="Times New Roman" w:hAnsi="Times New Roman" w:cs="Times New Roman"/>
                      <w:bCs/>
                      <w:color w:val="000000" w:themeColor="text1"/>
                      <w:highlight w:val="none"/>
                      <w14:textFill>
                        <w14:solidFill>
                          <w14:schemeClr w14:val="tx1"/>
                        </w14:solidFill>
                      </w14:textFill>
                    </w:rPr>
                    <w:t>抛丸粉尘：</w:t>
                  </w:r>
                  <w:r>
                    <w:rPr>
                      <w:rFonts w:hint="eastAsia" w:cs="Times New Roman"/>
                      <w:bCs/>
                      <w:color w:val="000000" w:themeColor="text1"/>
                      <w:highlight w:val="none"/>
                      <w:lang w:val="en-US" w:eastAsia="zh-CN"/>
                      <w14:textFill>
                        <w14:solidFill>
                          <w14:schemeClr w14:val="tx1"/>
                        </w14:solidFill>
                      </w14:textFill>
                    </w:rPr>
                    <w:t>集气罩和密闭收集+布袋除尘器</w:t>
                  </w:r>
                  <w:r>
                    <w:rPr>
                      <w:rFonts w:hint="default" w:ascii="Times New Roman" w:hAnsi="Times New Roman" w:cs="Times New Roman"/>
                      <w:color w:val="000000" w:themeColor="text1"/>
                      <w:highlight w:val="none"/>
                      <w14:textFill>
                        <w14:solidFill>
                          <w14:schemeClr w14:val="tx1"/>
                        </w14:solidFill>
                      </w14:textFill>
                    </w:rPr>
                    <w:t>+</w:t>
                  </w:r>
                  <w:r>
                    <w:rPr>
                      <w:rFonts w:hint="default" w:ascii="Times New Roman" w:hAnsi="Times New Roman"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w:t>
                  </w:r>
                  <w:r>
                    <w:rPr>
                      <w:rFonts w:hint="eastAsia" w:cs="Times New Roman"/>
                      <w:color w:val="000000" w:themeColor="text1"/>
                      <w:highlight w:val="none"/>
                      <w:lang w:val="en-US" w:eastAsia="zh-CN"/>
                      <w14:textFill>
                        <w14:solidFill>
                          <w14:schemeClr w14:val="tx1"/>
                        </w14:solidFill>
                      </w14:textFill>
                    </w:rPr>
                    <w:t>6</w:t>
                  </w:r>
                </w:p>
              </w:tc>
              <w:tc>
                <w:tcPr>
                  <w:tcW w:w="809" w:type="pct"/>
                  <w:noWrap w:val="0"/>
                  <w:vAlign w:val="center"/>
                </w:tcPr>
                <w:p w14:paraId="2BB44ADA">
                  <w:pPr>
                    <w:pStyle w:val="121"/>
                    <w:shd w:val="clear" w:color="auto" w:fill="auto"/>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w:t>
                  </w:r>
                  <w:r>
                    <w:rPr>
                      <w:rFonts w:hint="eastAsia" w:cs="Times New Roman"/>
                      <w:color w:val="000000" w:themeColor="text1"/>
                      <w:highlight w:val="none"/>
                      <w:lang w:val="en-US" w:eastAsia="zh-CN"/>
                      <w14:textFill>
                        <w14:solidFill>
                          <w14:schemeClr w14:val="tx1"/>
                        </w14:solidFill>
                      </w14:textFill>
                    </w:rPr>
                    <w:t>0</w:t>
                  </w:r>
                </w:p>
              </w:tc>
            </w:tr>
            <w:tr w14:paraId="4B5BEB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vMerge w:val="continue"/>
                  <w:noWrap w:val="0"/>
                  <w:vAlign w:val="center"/>
                </w:tcPr>
                <w:p w14:paraId="35AB8A3D">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p>
              </w:tc>
              <w:tc>
                <w:tcPr>
                  <w:tcW w:w="3013" w:type="pct"/>
                  <w:noWrap w:val="0"/>
                  <w:vAlign w:val="center"/>
                </w:tcPr>
                <w:p w14:paraId="3F7E4A90">
                  <w:pPr>
                    <w:pStyle w:val="61"/>
                    <w:shd w:val="clear" w:color="auto" w:fill="auto"/>
                    <w:rPr>
                      <w:rFonts w:hint="eastAsia" w:ascii="Times New Roman" w:hAnsi="Times New Roman" w:eastAsia="宋体" w:cs="Times New Roman"/>
                      <w:bCs/>
                      <w:color w:val="000000" w:themeColor="text1"/>
                      <w:highlight w:val="none"/>
                      <w:lang w:val="en-US" w:eastAsia="zh-CN"/>
                      <w14:textFill>
                        <w14:solidFill>
                          <w14:schemeClr w14:val="tx1"/>
                        </w14:solidFill>
                      </w14:textFill>
                    </w:rPr>
                  </w:pPr>
                  <w:r>
                    <w:rPr>
                      <w:rFonts w:hint="eastAsia" w:ascii="Times New Roman" w:hAnsi="Times New Roman" w:cs="Times New Roman"/>
                      <w:bCs/>
                      <w:color w:val="000000" w:themeColor="text1"/>
                      <w:sz w:val="21"/>
                      <w:szCs w:val="21"/>
                      <w:lang w:val="en-US" w:eastAsia="zh-CN"/>
                      <w14:textFill>
                        <w14:solidFill>
                          <w14:schemeClr w14:val="tx1"/>
                        </w14:solidFill>
                      </w14:textFill>
                    </w:rPr>
                    <w:t>喷漆、晾干废气：</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密闭收集+水帘柜+干式过滤器+</w:t>
                  </w:r>
                  <w:r>
                    <w:rPr>
                      <w:rFonts w:hint="eastAsia" w:cs="Times New Roman"/>
                      <w:i w:val="0"/>
                      <w:iCs w:val="0"/>
                      <w:color w:val="000000" w:themeColor="text1"/>
                      <w:kern w:val="0"/>
                      <w:sz w:val="21"/>
                      <w:szCs w:val="21"/>
                      <w:u w:val="none"/>
                      <w:lang w:val="en-US" w:eastAsia="zh-CN" w:bidi="ar"/>
                      <w14:textFill>
                        <w14:solidFill>
                          <w14:schemeClr w14:val="tx1"/>
                        </w14:solidFill>
                      </w14:textFill>
                    </w:rPr>
                    <w:t>二</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级活性炭吸附+</w:t>
                  </w:r>
                  <w:r>
                    <w:rPr>
                      <w:rFonts w:hint="default" w:ascii="Times New Roman" w:hAnsi="Times New Roman" w:cs="Times New Roman"/>
                      <w:color w:val="000000" w:themeColor="text1"/>
                      <w:highlight w:val="none"/>
                      <w:lang w:val="en-US" w:eastAsia="zh-CN"/>
                      <w14:textFill>
                        <w14:solidFill>
                          <w14:schemeClr w14:val="tx1"/>
                        </w14:solidFill>
                      </w14:textFill>
                    </w:rPr>
                    <w:t>18</w:t>
                  </w:r>
                  <w:r>
                    <w:rPr>
                      <w:rFonts w:hint="default" w:ascii="Times New Roman" w:hAnsi="Times New Roman" w:cs="Times New Roman"/>
                      <w:color w:val="000000" w:themeColor="text1"/>
                      <w:highlight w:val="none"/>
                      <w14:textFill>
                        <w14:solidFill>
                          <w14:schemeClr w14:val="tx1"/>
                        </w14:solidFill>
                      </w14:textFill>
                    </w:rPr>
                    <w:t>m排气筒DA00</w:t>
                  </w:r>
                  <w:r>
                    <w:rPr>
                      <w:rFonts w:hint="eastAsia" w:ascii="Times New Roman" w:hAnsi="Times New Roman" w:cs="Times New Roman"/>
                      <w:color w:val="000000" w:themeColor="text1"/>
                      <w:highlight w:val="none"/>
                      <w:lang w:val="en-US" w:eastAsia="zh-CN"/>
                      <w14:textFill>
                        <w14:solidFill>
                          <w14:schemeClr w14:val="tx1"/>
                        </w14:solidFill>
                      </w14:textFill>
                    </w:rPr>
                    <w:t>7</w:t>
                  </w:r>
                </w:p>
              </w:tc>
              <w:tc>
                <w:tcPr>
                  <w:tcW w:w="809" w:type="pct"/>
                  <w:noWrap w:val="0"/>
                  <w:vAlign w:val="center"/>
                </w:tcPr>
                <w:p w14:paraId="3E6520A5">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15</w:t>
                  </w:r>
                </w:p>
              </w:tc>
            </w:tr>
            <w:tr w14:paraId="3DC6C1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3A71380D">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废水</w:t>
                  </w:r>
                </w:p>
              </w:tc>
              <w:tc>
                <w:tcPr>
                  <w:tcW w:w="3013" w:type="pct"/>
                  <w:noWrap w:val="0"/>
                  <w:vAlign w:val="center"/>
                </w:tcPr>
                <w:p w14:paraId="68766CF9">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隔油池+化粪池、污水处理设施</w:t>
                  </w:r>
                </w:p>
              </w:tc>
              <w:tc>
                <w:tcPr>
                  <w:tcW w:w="809" w:type="pct"/>
                  <w:noWrap w:val="0"/>
                  <w:vAlign w:val="center"/>
                </w:tcPr>
                <w:p w14:paraId="2D2904DE">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15</w:t>
                  </w:r>
                </w:p>
              </w:tc>
            </w:tr>
            <w:tr w14:paraId="4255C5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50F9AB16">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噪声</w:t>
                  </w:r>
                </w:p>
              </w:tc>
              <w:tc>
                <w:tcPr>
                  <w:tcW w:w="3013" w:type="pct"/>
                  <w:noWrap w:val="0"/>
                  <w:vAlign w:val="center"/>
                </w:tcPr>
                <w:p w14:paraId="09FDD0DB">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设屏蔽、减震、吸收等</w:t>
                  </w:r>
                </w:p>
              </w:tc>
              <w:tc>
                <w:tcPr>
                  <w:tcW w:w="809" w:type="pct"/>
                  <w:noWrap w:val="0"/>
                  <w:vAlign w:val="center"/>
                </w:tcPr>
                <w:p w14:paraId="1B6169E8">
                  <w:pPr>
                    <w:pStyle w:val="121"/>
                    <w:shd w:val="clear" w:color="auto" w:fil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2</w:t>
                  </w:r>
                </w:p>
              </w:tc>
            </w:tr>
            <w:tr w14:paraId="7DC7B8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008C66B0">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固体废物</w:t>
                  </w:r>
                </w:p>
              </w:tc>
              <w:tc>
                <w:tcPr>
                  <w:tcW w:w="3013" w:type="pct"/>
                  <w:noWrap w:val="0"/>
                  <w:vAlign w:val="center"/>
                </w:tcPr>
                <w:p w14:paraId="67CB3F8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1个一般固废暂存间（</w:t>
                  </w:r>
                  <w:r>
                    <w:rPr>
                      <w:rFonts w:hint="eastAsia" w:cs="Times New Roman"/>
                      <w:color w:val="000000" w:themeColor="text1"/>
                      <w:highlight w:val="none"/>
                      <w:lang w:val="en-US" w:eastAsia="zh-CN"/>
                      <w14:textFill>
                        <w14:solidFill>
                          <w14:schemeClr w14:val="tx1"/>
                        </w14:solidFill>
                      </w14:textFill>
                    </w:rPr>
                    <w:t>92</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）；1个危险废物暂存间（</w:t>
                  </w:r>
                  <w:r>
                    <w:rPr>
                      <w:rFonts w:hint="eastAsia" w:cs="Times New Roman"/>
                      <w:color w:val="000000" w:themeColor="text1"/>
                      <w:highlight w:val="none"/>
                      <w:lang w:val="en-US" w:eastAsia="zh-CN"/>
                      <w14:textFill>
                        <w14:solidFill>
                          <w14:schemeClr w14:val="tx1"/>
                        </w14:solidFill>
                      </w14:textFill>
                    </w:rPr>
                    <w:t>46</w:t>
                  </w:r>
                  <w:r>
                    <w:rPr>
                      <w:rFonts w:hint="default" w:ascii="Times New Roman" w:hAnsi="Times New Roman" w:cs="Times New Roman"/>
                      <w:color w:val="000000" w:themeColor="text1"/>
                      <w:highlight w:val="none"/>
                      <w14:textFill>
                        <w14:solidFill>
                          <w14:schemeClr w14:val="tx1"/>
                        </w14:solidFill>
                      </w14:textFill>
                    </w:rPr>
                    <w:t>m</w:t>
                  </w:r>
                  <w:r>
                    <w:rPr>
                      <w:rFonts w:hint="default" w:ascii="Times New Roman" w:hAnsi="Times New Roman" w:cs="Times New Roman"/>
                      <w:color w:val="000000" w:themeColor="text1"/>
                      <w:highlight w:val="none"/>
                      <w:vertAlign w:val="superscript"/>
                      <w14:textFill>
                        <w14:solidFill>
                          <w14:schemeClr w14:val="tx1"/>
                        </w14:solidFill>
                      </w14:textFill>
                    </w:rPr>
                    <w:t>2</w:t>
                  </w:r>
                  <w:r>
                    <w:rPr>
                      <w:rFonts w:hint="default" w:ascii="Times New Roman" w:hAnsi="Times New Roman" w:cs="Times New Roman"/>
                      <w:color w:val="000000" w:themeColor="text1"/>
                      <w:highlight w:val="none"/>
                      <w14:textFill>
                        <w14:solidFill>
                          <w14:schemeClr w14:val="tx1"/>
                        </w14:solidFill>
                      </w14:textFill>
                    </w:rPr>
                    <w:t>）</w:t>
                  </w:r>
                </w:p>
              </w:tc>
              <w:tc>
                <w:tcPr>
                  <w:tcW w:w="809" w:type="pct"/>
                  <w:noWrap w:val="0"/>
                  <w:vAlign w:val="center"/>
                </w:tcPr>
                <w:p w14:paraId="5DC8631D">
                  <w:pPr>
                    <w:pStyle w:val="121"/>
                    <w:shd w:val="clear" w:color="auto" w:fil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5</w:t>
                  </w:r>
                </w:p>
              </w:tc>
            </w:tr>
            <w:tr w14:paraId="2DED7D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0052029D">
                  <w:pPr>
                    <w:pStyle w:val="121"/>
                    <w:shd w:val="clear" w:color="auto" w:fill="auto"/>
                    <w:rPr>
                      <w:rFonts w:hint="eastAsia"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防渗</w:t>
                  </w:r>
                </w:p>
              </w:tc>
              <w:tc>
                <w:tcPr>
                  <w:tcW w:w="3013" w:type="pct"/>
                  <w:noWrap w:val="0"/>
                  <w:vAlign w:val="center"/>
                </w:tcPr>
                <w:p w14:paraId="0996F6B6">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危化品仓、</w:t>
                  </w:r>
                  <w:r>
                    <w:rPr>
                      <w:rFonts w:hint="default" w:ascii="Times New Roman" w:hAnsi="Times New Roman" w:cs="Times New Roman"/>
                      <w:color w:val="000000" w:themeColor="text1"/>
                      <w:sz w:val="21"/>
                      <w:szCs w:val="21"/>
                      <w:highlight w:val="none"/>
                      <w14:textFill>
                        <w14:solidFill>
                          <w14:schemeClr w14:val="tx1"/>
                        </w14:solidFill>
                      </w14:textFill>
                    </w:rPr>
                    <w:t>污水处理设施、</w:t>
                  </w:r>
                  <w:r>
                    <w:rPr>
                      <w:rFonts w:hint="eastAsia" w:cs="Times New Roman"/>
                      <w:color w:val="000000" w:themeColor="text1"/>
                      <w:sz w:val="21"/>
                      <w:szCs w:val="21"/>
                      <w:highlight w:val="none"/>
                      <w:lang w:val="en-US" w:eastAsia="zh-CN"/>
                      <w14:textFill>
                        <w14:solidFill>
                          <w14:schemeClr w14:val="tx1"/>
                        </w14:solidFill>
                      </w14:textFill>
                    </w:rPr>
                    <w:t>喷漆房</w:t>
                  </w:r>
                  <w:r>
                    <w:rPr>
                      <w:rFonts w:hint="default" w:ascii="Times New Roman" w:hAnsi="Times New Roman" w:cs="Times New Roman"/>
                      <w:color w:val="000000" w:themeColor="text1"/>
                      <w:sz w:val="21"/>
                      <w:szCs w:val="21"/>
                      <w:highlight w:val="none"/>
                      <w14:textFill>
                        <w14:solidFill>
                          <w14:schemeClr w14:val="tx1"/>
                        </w14:solidFill>
                      </w14:textFill>
                    </w:rPr>
                    <w:t>、危废暂存间作为重点防渗区采用防渗钢筋混凝土，混凝土渗透系数K≤1×10</w:t>
                  </w:r>
                  <w:r>
                    <w:rPr>
                      <w:rFonts w:hint="default" w:ascii="Times New Roman" w:hAnsi="Times New Roman" w:cs="Times New Roman"/>
                      <w:color w:val="000000" w:themeColor="text1"/>
                      <w:sz w:val="21"/>
                      <w:szCs w:val="21"/>
                      <w:highlight w:val="none"/>
                      <w:vertAlign w:val="superscript"/>
                      <w14:textFill>
                        <w14:solidFill>
                          <w14:schemeClr w14:val="tx1"/>
                        </w14:solidFill>
                      </w14:textFill>
                    </w:rPr>
                    <w:t>-11</w:t>
                  </w:r>
                  <w:r>
                    <w:rPr>
                      <w:rFonts w:hint="default" w:ascii="Times New Roman" w:hAnsi="Times New Roman" w:cs="Times New Roman"/>
                      <w:color w:val="000000" w:themeColor="text1"/>
                      <w:sz w:val="21"/>
                      <w:szCs w:val="21"/>
                      <w:highlight w:val="none"/>
                      <w14:textFill>
                        <w14:solidFill>
                          <w14:schemeClr w14:val="tx1"/>
                        </w14:solidFill>
                      </w14:textFill>
                    </w:rPr>
                    <w:t>cm/s，壁厚≥250mm，池体内表面涂刷水泥基渗透结晶型防渗涂料；污水管道防渗采用中粗砂回填、长丝无纺土工布、2mm厚HDPE土工膜、长丝无纺土工布、中砂垫层、原土夯实的结构进行防渗</w:t>
                  </w: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处理</w:t>
                  </w:r>
                  <w:r>
                    <w:rPr>
                      <w:rFonts w:hint="default" w:ascii="Times New Roman" w:hAnsi="Times New Roman" w:cs="Times New Roman"/>
                      <w:color w:val="000000" w:themeColor="text1"/>
                      <w:sz w:val="21"/>
                      <w:szCs w:val="21"/>
                      <w:highlight w:val="none"/>
                      <w14:textFill>
                        <w14:solidFill>
                          <w14:schemeClr w14:val="tx1"/>
                        </w14:solidFill>
                      </w14:textFill>
                    </w:rPr>
                    <w:t>。</w:t>
                  </w:r>
                </w:p>
              </w:tc>
              <w:tc>
                <w:tcPr>
                  <w:tcW w:w="809" w:type="pct"/>
                  <w:noWrap w:val="0"/>
                  <w:vAlign w:val="center"/>
                </w:tcPr>
                <w:p w14:paraId="6E9A6713">
                  <w:pPr>
                    <w:pStyle w:val="121"/>
                    <w:shd w:val="clear" w:color="auto" w:fill="auto"/>
                    <w:rPr>
                      <w:rFonts w:hint="default"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10</w:t>
                  </w:r>
                </w:p>
              </w:tc>
            </w:tr>
            <w:tr w14:paraId="0F5F3C0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696CC35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环境风险</w:t>
                  </w:r>
                </w:p>
              </w:tc>
              <w:tc>
                <w:tcPr>
                  <w:tcW w:w="3013" w:type="pct"/>
                  <w:noWrap w:val="0"/>
                  <w:vAlign w:val="center"/>
                </w:tcPr>
                <w:p w14:paraId="6937F60D">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建立事故应急措施和管理体系，</w:t>
                  </w:r>
                  <w:r>
                    <w:rPr>
                      <w:rFonts w:hint="eastAsia" w:cs="Times New Roman"/>
                      <w:color w:val="000000" w:themeColor="text1"/>
                      <w:highlight w:val="none"/>
                      <w:lang w:val="en-US" w:eastAsia="zh-CN"/>
                      <w14:textFill>
                        <w14:solidFill>
                          <w14:schemeClr w14:val="tx1"/>
                        </w14:solidFill>
                      </w14:textFill>
                    </w:rPr>
                    <w:t>突发环境事故应急预案</w:t>
                  </w:r>
                </w:p>
              </w:tc>
              <w:tc>
                <w:tcPr>
                  <w:tcW w:w="809" w:type="pct"/>
                  <w:noWrap w:val="0"/>
                  <w:vAlign w:val="center"/>
                </w:tcPr>
                <w:p w14:paraId="44920EF7">
                  <w:pPr>
                    <w:pStyle w:val="121"/>
                    <w:shd w:val="clear" w:color="auto" w:fill="auto"/>
                    <w:rPr>
                      <w:rFonts w:hint="eastAsia" w:ascii="Times New Roman" w:hAnsi="Times New Roman" w:eastAsia="宋体" w:cs="Times New Roman"/>
                      <w:color w:val="000000" w:themeColor="text1"/>
                      <w:highlight w:val="none"/>
                      <w:lang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5</w:t>
                  </w:r>
                </w:p>
              </w:tc>
            </w:tr>
            <w:tr w14:paraId="5BA2E48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7" w:type="pct"/>
                  <w:noWrap w:val="0"/>
                  <w:vAlign w:val="center"/>
                </w:tcPr>
                <w:p w14:paraId="4791F383">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合计</w:t>
                  </w:r>
                </w:p>
              </w:tc>
              <w:tc>
                <w:tcPr>
                  <w:tcW w:w="3013" w:type="pct"/>
                  <w:noWrap w:val="0"/>
                  <w:vAlign w:val="center"/>
                </w:tcPr>
                <w:p w14:paraId="5A6CDA55">
                  <w:pPr>
                    <w:pStyle w:val="121"/>
                    <w:shd w:val="clear" w:color="auto" w:fill="auto"/>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t>/</w:t>
                  </w:r>
                </w:p>
              </w:tc>
              <w:tc>
                <w:tcPr>
                  <w:tcW w:w="809" w:type="pct"/>
                  <w:noWrap w:val="0"/>
                  <w:vAlign w:val="center"/>
                </w:tcPr>
                <w:p w14:paraId="5FCA66AD">
                  <w:pPr>
                    <w:pStyle w:val="121"/>
                    <w:shd w:val="clear" w:color="auto" w:fill="auto"/>
                    <w:rPr>
                      <w:rFonts w:hint="default" w:ascii="Times New Roman" w:hAnsi="Times New Roman" w:eastAsia="宋体" w:cs="Times New Roman"/>
                      <w:color w:val="000000" w:themeColor="text1"/>
                      <w:highlight w:val="none"/>
                      <w:lang w:val="en-US" w:eastAsia="zh-CN"/>
                      <w14:textFill>
                        <w14:solidFill>
                          <w14:schemeClr w14:val="tx1"/>
                        </w14:solidFill>
                      </w14:textFill>
                    </w:rPr>
                  </w:pPr>
                  <w:r>
                    <w:rPr>
                      <w:rFonts w:hint="eastAsia" w:cs="Times New Roman"/>
                      <w:color w:val="000000" w:themeColor="text1"/>
                      <w:highlight w:val="none"/>
                      <w:lang w:val="en-US" w:eastAsia="zh-CN"/>
                      <w14:textFill>
                        <w14:solidFill>
                          <w14:schemeClr w14:val="tx1"/>
                        </w14:solidFill>
                      </w14:textFill>
                    </w:rPr>
                    <w:t>115</w:t>
                  </w:r>
                </w:p>
              </w:tc>
            </w:tr>
          </w:tbl>
          <w:p w14:paraId="26EBB4D8">
            <w:pPr>
              <w:pStyle w:val="56"/>
              <w:shd w:val="clear" w:color="auto" w:fill="auto"/>
              <w:ind w:firstLine="0" w:firstLineChars="0"/>
              <w:rPr>
                <w:rFonts w:hint="default" w:ascii="Times New Roman" w:hAnsi="Times New Roman" w:cs="Times New Roman"/>
                <w:color w:val="000000" w:themeColor="text1"/>
                <w:szCs w:val="21"/>
                <w:highlight w:val="none"/>
                <w14:textFill>
                  <w14:solidFill>
                    <w14:schemeClr w14:val="tx1"/>
                  </w14:solidFill>
                </w14:textFill>
              </w:rPr>
            </w:pPr>
          </w:p>
          <w:p w14:paraId="0AE093DD">
            <w:pPr>
              <w:pStyle w:val="56"/>
              <w:shd w:val="clear" w:color="auto" w:fill="auto"/>
              <w:ind w:firstLine="0" w:firstLineChars="0"/>
              <w:rPr>
                <w:rFonts w:hint="default" w:ascii="Times New Roman" w:hAnsi="Times New Roman" w:cs="Times New Roman"/>
                <w:color w:val="000000" w:themeColor="text1"/>
                <w:szCs w:val="21"/>
                <w:highlight w:val="none"/>
                <w14:textFill>
                  <w14:solidFill>
                    <w14:schemeClr w14:val="tx1"/>
                  </w14:solidFill>
                </w14:textFill>
              </w:rPr>
            </w:pPr>
          </w:p>
        </w:tc>
      </w:tr>
    </w:tbl>
    <w:p w14:paraId="35536211">
      <w:pPr>
        <w:pStyle w:val="56"/>
        <w:numPr>
          <w:ilvl w:val="0"/>
          <w:numId w:val="10"/>
        </w:numPr>
        <w:shd w:val="clear" w:color="auto" w:fill="auto"/>
        <w:ind w:firstLine="480"/>
        <w:rPr>
          <w:rFonts w:hint="default"/>
          <w:color w:val="000000" w:themeColor="text1"/>
          <w:highlight w:val="none"/>
          <w14:textFill>
            <w14:solidFill>
              <w14:schemeClr w14:val="tx1"/>
            </w14:solidFill>
          </w14:textFill>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209FFB1F">
      <w:pPr>
        <w:pStyle w:val="2"/>
        <w:shd w:val="clear" w:color="auto" w:fill="auto"/>
        <w:rPr>
          <w:color w:val="000000" w:themeColor="text1"/>
          <w:highlight w:val="none"/>
          <w14:textFill>
            <w14:solidFill>
              <w14:schemeClr w14:val="tx1"/>
            </w14:solidFill>
          </w14:textFill>
        </w:rPr>
      </w:pPr>
      <w:bookmarkStart w:id="6" w:name="_Toc2361"/>
      <w:r>
        <w:rPr>
          <w:rFonts w:hint="eastAsia"/>
          <w:color w:val="000000" w:themeColor="text1"/>
          <w:highlight w:val="none"/>
          <w14:textFill>
            <w14:solidFill>
              <w14:schemeClr w14:val="tx1"/>
            </w14:solidFill>
          </w14:textFill>
        </w:rPr>
        <w:t>五、</w:t>
      </w:r>
      <w:r>
        <w:rPr>
          <w:color w:val="000000" w:themeColor="text1"/>
          <w:highlight w:val="none"/>
          <w14:textFill>
            <w14:solidFill>
              <w14:schemeClr w14:val="tx1"/>
            </w14:solidFill>
          </w14:textFill>
        </w:rPr>
        <w:t>环境保护措施监督检查清单</w:t>
      </w:r>
      <w:bookmarkEnd w:id="6"/>
    </w:p>
    <w:tbl>
      <w:tblPr>
        <w:tblStyle w:val="32"/>
        <w:tblW w:w="880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05"/>
        <w:gridCol w:w="1634"/>
        <w:gridCol w:w="1740"/>
        <w:gridCol w:w="1581"/>
        <w:gridCol w:w="2740"/>
      </w:tblGrid>
      <w:tr w14:paraId="31CD37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105" w:type="dxa"/>
            <w:noWrap w:val="0"/>
            <w:vAlign w:val="center"/>
          </w:tcPr>
          <w:p w14:paraId="49360C49">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内容要素</w:t>
            </w:r>
          </w:p>
        </w:tc>
        <w:tc>
          <w:tcPr>
            <w:tcW w:w="1634" w:type="dxa"/>
            <w:noWrap w:val="0"/>
            <w:vAlign w:val="center"/>
          </w:tcPr>
          <w:p w14:paraId="60FFC523">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排放口(编号、名称)/污染源</w:t>
            </w:r>
          </w:p>
        </w:tc>
        <w:tc>
          <w:tcPr>
            <w:tcW w:w="1740" w:type="dxa"/>
            <w:noWrap w:val="0"/>
            <w:vAlign w:val="center"/>
          </w:tcPr>
          <w:p w14:paraId="5F7776C4">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污染项目</w:t>
            </w:r>
          </w:p>
        </w:tc>
        <w:tc>
          <w:tcPr>
            <w:tcW w:w="1581" w:type="dxa"/>
            <w:noWrap w:val="0"/>
            <w:vAlign w:val="center"/>
          </w:tcPr>
          <w:p w14:paraId="2DA85A36">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环境保护措施</w:t>
            </w:r>
          </w:p>
        </w:tc>
        <w:tc>
          <w:tcPr>
            <w:tcW w:w="2740" w:type="dxa"/>
            <w:noWrap w:val="0"/>
            <w:vAlign w:val="center"/>
          </w:tcPr>
          <w:p w14:paraId="6F627370">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执行标准</w:t>
            </w:r>
          </w:p>
        </w:tc>
      </w:tr>
      <w:tr w14:paraId="36C22E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restart"/>
            <w:noWrap w:val="0"/>
            <w:vAlign w:val="center"/>
          </w:tcPr>
          <w:p w14:paraId="451F942D">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大气环境</w:t>
            </w:r>
          </w:p>
        </w:tc>
        <w:tc>
          <w:tcPr>
            <w:tcW w:w="1634" w:type="dxa"/>
            <w:noWrap w:val="0"/>
            <w:vAlign w:val="center"/>
          </w:tcPr>
          <w:p w14:paraId="7B33390C">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DA001</w:t>
            </w:r>
          </w:p>
        </w:tc>
        <w:tc>
          <w:tcPr>
            <w:tcW w:w="1740" w:type="dxa"/>
            <w:noWrap w:val="0"/>
            <w:vAlign w:val="center"/>
          </w:tcPr>
          <w:p w14:paraId="0B340CB7">
            <w:pPr>
              <w:pStyle w:val="8"/>
              <w:shd w:val="clear" w:color="auto" w:fill="auto"/>
              <w:spacing w:line="240" w:lineRule="auto"/>
              <w:ind w:left="0" w:leftChars="0" w:firstLine="0" w:firstLineChars="0"/>
              <w:jc w:val="center"/>
              <w:rPr>
                <w:rFonts w:hint="eastAsia" w:eastAsia="宋体"/>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颗粒物</w:t>
            </w:r>
          </w:p>
        </w:tc>
        <w:tc>
          <w:tcPr>
            <w:tcW w:w="1581" w:type="dxa"/>
            <w:noWrap w:val="0"/>
            <w:vAlign w:val="center"/>
          </w:tcPr>
          <w:p w14:paraId="5EF46ECE">
            <w:pPr>
              <w:pStyle w:val="61"/>
              <w:shd w:val="clear" w:color="auto" w:fill="auto"/>
              <w:rPr>
                <w:rFonts w:hint="eastAsia"/>
                <w:color w:val="000000" w:themeColor="text1"/>
                <w:highlight w:val="none"/>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一体化收尘+</w:t>
            </w:r>
            <w:r>
              <w:rPr>
                <w:rFonts w:hint="default" w:ascii="Times New Roman" w:hAnsi="Times New Roman" w:cs="Times New Roman"/>
                <w:color w:val="000000" w:themeColor="text1"/>
                <w:sz w:val="21"/>
                <w:szCs w:val="21"/>
                <w14:textFill>
                  <w14:solidFill>
                    <w14:schemeClr w14:val="tx1"/>
                  </w14:solidFill>
                </w14:textFill>
              </w:rPr>
              <w:t>耐高温布袋除尘器</w:t>
            </w:r>
          </w:p>
        </w:tc>
        <w:tc>
          <w:tcPr>
            <w:tcW w:w="2740" w:type="dxa"/>
            <w:noWrap w:val="0"/>
            <w:vAlign w:val="center"/>
          </w:tcPr>
          <w:p w14:paraId="53F5A33B">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《铸造工业大气污染物排放标准》（GB39726—2020）表1中金属熔炼（化）工段排放浓度限值</w:t>
            </w:r>
          </w:p>
        </w:tc>
      </w:tr>
      <w:tr w14:paraId="1E0AC6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313283FF">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vMerge w:val="restart"/>
            <w:noWrap w:val="0"/>
            <w:vAlign w:val="center"/>
          </w:tcPr>
          <w:p w14:paraId="02642E5C">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DA002</w:t>
            </w:r>
          </w:p>
        </w:tc>
        <w:tc>
          <w:tcPr>
            <w:tcW w:w="1740" w:type="dxa"/>
            <w:noWrap w:val="0"/>
            <w:vAlign w:val="center"/>
          </w:tcPr>
          <w:p w14:paraId="06CA0AF6">
            <w:pPr>
              <w:pStyle w:val="8"/>
              <w:shd w:val="clear" w:color="auto" w:fill="auto"/>
              <w:spacing w:line="240" w:lineRule="auto"/>
              <w:ind w:left="0" w:leftChars="0" w:firstLine="0" w:firstLineChars="0"/>
              <w:jc w:val="center"/>
              <w:rPr>
                <w:rFonts w:hint="eastAsia"/>
                <w:color w:val="000000" w:themeColor="text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颗粒物</w:t>
            </w:r>
          </w:p>
        </w:tc>
        <w:tc>
          <w:tcPr>
            <w:tcW w:w="1581" w:type="dxa"/>
            <w:vMerge w:val="restart"/>
            <w:noWrap w:val="0"/>
            <w:vAlign w:val="center"/>
          </w:tcPr>
          <w:p w14:paraId="698D01D9">
            <w:pPr>
              <w:pStyle w:val="61"/>
              <w:shd w:val="clear" w:color="auto" w:fill="auto"/>
              <w:rPr>
                <w:rFonts w:hint="eastAsia"/>
                <w:color w:val="000000" w:themeColor="text1"/>
                <w:highlight w:val="none"/>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集气罩+袋式除尘+三级活性炭吸附</w:t>
            </w:r>
          </w:p>
        </w:tc>
        <w:tc>
          <w:tcPr>
            <w:tcW w:w="2740" w:type="dxa"/>
            <w:noWrap w:val="0"/>
            <w:vAlign w:val="center"/>
          </w:tcPr>
          <w:p w14:paraId="0510B070">
            <w:pPr>
              <w:pStyle w:val="8"/>
              <w:shd w:val="clear" w:color="auto" w:fill="auto"/>
              <w:spacing w:line="240" w:lineRule="auto"/>
              <w:ind w:left="0" w:leftChars="0" w:firstLine="0" w:firstLineChars="0"/>
              <w:jc w:val="center"/>
              <w:rPr>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《铸造工业大气污染物排放标准》（GB39726—2020）表1中造型、制芯、浇注工段排放浓度限值</w:t>
            </w:r>
          </w:p>
        </w:tc>
      </w:tr>
      <w:tr w14:paraId="2D021A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6D6A52B6">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vMerge w:val="continue"/>
            <w:noWrap w:val="0"/>
            <w:vAlign w:val="center"/>
          </w:tcPr>
          <w:p w14:paraId="5AE8DC3D">
            <w:pPr>
              <w:pStyle w:val="8"/>
              <w:shd w:val="clear" w:color="auto" w:fill="auto"/>
              <w:spacing w:line="240" w:lineRule="auto"/>
              <w:ind w:left="0" w:leftChars="0" w:firstLine="0" w:firstLineChars="0"/>
              <w:jc w:val="center"/>
              <w:rPr>
                <w:rFonts w:hint="eastAsia"/>
                <w:bCs/>
                <w:color w:val="000000" w:themeColor="text1"/>
                <w:sz w:val="21"/>
                <w:szCs w:val="21"/>
                <w:highlight w:val="none"/>
                <w14:textFill>
                  <w14:solidFill>
                    <w14:schemeClr w14:val="tx1"/>
                  </w14:solidFill>
                </w14:textFill>
              </w:rPr>
            </w:pPr>
          </w:p>
        </w:tc>
        <w:tc>
          <w:tcPr>
            <w:tcW w:w="1740" w:type="dxa"/>
            <w:noWrap w:val="0"/>
            <w:vAlign w:val="center"/>
          </w:tcPr>
          <w:p w14:paraId="4DE5D868">
            <w:pPr>
              <w:pStyle w:val="8"/>
              <w:shd w:val="clear" w:color="auto" w:fill="auto"/>
              <w:spacing w:line="240" w:lineRule="auto"/>
              <w:ind w:left="0" w:leftChars="0" w:firstLine="0" w:firstLineChars="0"/>
              <w:jc w:val="center"/>
              <w:rPr>
                <w:rFonts w:hint="eastAsia" w:eastAsia="宋体"/>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酚类（以苯酚计）</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14:textFill>
                  <w14:solidFill>
                    <w14:schemeClr w14:val="tx1"/>
                  </w14:solidFill>
                </w14:textFill>
              </w:rPr>
              <w:t>甲醛</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eastAsia" w:cs="Times New Roman"/>
                <w:color w:val="000000" w:themeColor="text1"/>
                <w:sz w:val="21"/>
                <w:szCs w:val="21"/>
                <w:lang w:eastAsia="zh-CN"/>
                <w14:textFill>
                  <w14:solidFill>
                    <w14:schemeClr w14:val="tx1"/>
                  </w14:solidFill>
                </w14:textFill>
              </w:rPr>
              <w:t>TVOC</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14:textFill>
                  <w14:solidFill>
                    <w14:schemeClr w14:val="tx1"/>
                  </w14:solidFill>
                </w14:textFill>
              </w:rPr>
              <w:t>SO</w:t>
            </w:r>
            <w:r>
              <w:rPr>
                <w:rFonts w:hint="default" w:ascii="Times New Roman" w:hAnsi="Times New Roman" w:cs="Times New Roman"/>
                <w:color w:val="000000" w:themeColor="text1"/>
                <w:sz w:val="21"/>
                <w:szCs w:val="21"/>
                <w:vertAlign w:val="subscript"/>
                <w14:textFill>
                  <w14:solidFill>
                    <w14:schemeClr w14:val="tx1"/>
                  </w14:solidFill>
                </w14:textFill>
              </w:rPr>
              <w:t>2</w:t>
            </w:r>
          </w:p>
        </w:tc>
        <w:tc>
          <w:tcPr>
            <w:tcW w:w="1581" w:type="dxa"/>
            <w:vMerge w:val="continue"/>
            <w:noWrap w:val="0"/>
            <w:vAlign w:val="center"/>
          </w:tcPr>
          <w:p w14:paraId="2D434E7C">
            <w:pPr>
              <w:pStyle w:val="61"/>
              <w:shd w:val="clear" w:color="auto" w:fill="auto"/>
              <w:rPr>
                <w:rFonts w:hint="eastAsia"/>
                <w:bCs/>
                <w:color w:val="000000" w:themeColor="text1"/>
                <w:highlight w:val="none"/>
                <w14:textFill>
                  <w14:solidFill>
                    <w14:schemeClr w14:val="tx1"/>
                  </w14:solidFill>
                </w14:textFill>
              </w:rPr>
            </w:pPr>
          </w:p>
        </w:tc>
        <w:tc>
          <w:tcPr>
            <w:tcW w:w="2740" w:type="dxa"/>
            <w:noWrap w:val="0"/>
            <w:vAlign w:val="center"/>
          </w:tcPr>
          <w:p w14:paraId="02BA617C">
            <w:pPr>
              <w:shd w:val="clear" w:color="auto" w:fill="auto"/>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《大气污染物综合排放标准》（GB16297-1996）表2中二级标准</w:t>
            </w:r>
          </w:p>
        </w:tc>
      </w:tr>
      <w:tr w14:paraId="48DDE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3ECDFB06">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61628E5A">
            <w:pPr>
              <w:pStyle w:val="8"/>
              <w:shd w:val="clear" w:color="auto" w:fill="auto"/>
              <w:spacing w:line="240" w:lineRule="auto"/>
              <w:ind w:left="0" w:leftChars="0" w:firstLine="0" w:firstLineChars="0"/>
              <w:jc w:val="center"/>
              <w:rPr>
                <w:rFonts w:hint="eastAsia"/>
                <w:bCs/>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DA003</w:t>
            </w:r>
          </w:p>
        </w:tc>
        <w:tc>
          <w:tcPr>
            <w:tcW w:w="1740" w:type="dxa"/>
            <w:noWrap w:val="0"/>
            <w:vAlign w:val="center"/>
          </w:tcPr>
          <w:p w14:paraId="470DDF22">
            <w:pPr>
              <w:pStyle w:val="8"/>
              <w:shd w:val="clear" w:color="auto" w:fill="auto"/>
              <w:spacing w:line="240" w:lineRule="auto"/>
              <w:ind w:left="0" w:leftChars="0" w:firstLine="0" w:firstLineChars="0"/>
              <w:jc w:val="center"/>
              <w:rPr>
                <w:rFonts w:hint="eastAsia" w:eastAsia="宋体"/>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颗粒物</w:t>
            </w:r>
          </w:p>
        </w:tc>
        <w:tc>
          <w:tcPr>
            <w:tcW w:w="1581" w:type="dxa"/>
            <w:noWrap w:val="0"/>
            <w:vAlign w:val="center"/>
          </w:tcPr>
          <w:p w14:paraId="684D8E61">
            <w:pPr>
              <w:pStyle w:val="61"/>
              <w:shd w:val="clear" w:color="auto" w:fill="auto"/>
              <w:rPr>
                <w:rFonts w:hint="eastAsia"/>
                <w:bCs/>
                <w:color w:val="000000" w:themeColor="text1"/>
                <w:highlight w:val="none"/>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布袋除尘器</w:t>
            </w:r>
          </w:p>
        </w:tc>
        <w:tc>
          <w:tcPr>
            <w:tcW w:w="2740" w:type="dxa"/>
            <w:noWrap w:val="0"/>
            <w:vAlign w:val="center"/>
          </w:tcPr>
          <w:p w14:paraId="38F2FFB3">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《铸造工业大气污染物排放标准》（GB39726—2020）表1中落砂、清理工段排放浓度限值</w:t>
            </w:r>
          </w:p>
        </w:tc>
      </w:tr>
      <w:tr w14:paraId="361748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10B54A24">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vMerge w:val="restart"/>
            <w:noWrap w:val="0"/>
            <w:vAlign w:val="center"/>
          </w:tcPr>
          <w:p w14:paraId="0CB9B3D4">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r>
              <w:rPr>
                <w:rFonts w:hint="eastAsia" w:ascii="Times New Roman" w:hAnsi="Times New Roman" w:cs="Times New Roman"/>
                <w:color w:val="000000" w:themeColor="text1"/>
                <w:sz w:val="21"/>
                <w:lang w:val="en-US" w:eastAsia="zh-CN"/>
                <w14:textFill>
                  <w14:solidFill>
                    <w14:schemeClr w14:val="tx1"/>
                  </w14:solidFill>
                </w14:textFill>
              </w:rPr>
              <w:t>DA004</w:t>
            </w:r>
          </w:p>
        </w:tc>
        <w:tc>
          <w:tcPr>
            <w:tcW w:w="1740" w:type="dxa"/>
            <w:noWrap w:val="0"/>
            <w:vAlign w:val="center"/>
          </w:tcPr>
          <w:p w14:paraId="7CCADC7D">
            <w:pPr>
              <w:pStyle w:val="8"/>
              <w:shd w:val="clear" w:color="auto" w:fill="auto"/>
              <w:spacing w:line="240" w:lineRule="auto"/>
              <w:ind w:left="0" w:leftChars="0" w:firstLine="0" w:firstLineChars="0"/>
              <w:jc w:val="center"/>
              <w:rPr>
                <w:rFonts w:hint="eastAsia"/>
                <w:color w:val="000000" w:themeColor="text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颗粒物</w:t>
            </w:r>
          </w:p>
        </w:tc>
        <w:tc>
          <w:tcPr>
            <w:tcW w:w="1581" w:type="dxa"/>
            <w:vMerge w:val="restart"/>
            <w:noWrap w:val="0"/>
            <w:vAlign w:val="center"/>
          </w:tcPr>
          <w:p w14:paraId="72290D57">
            <w:pPr>
              <w:pStyle w:val="61"/>
              <w:shd w:val="clear" w:color="auto" w:fill="auto"/>
              <w:rPr>
                <w:rFonts w:hint="eastAsia"/>
                <w:color w:val="000000" w:themeColor="text1"/>
                <w:highlight w:val="none"/>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密闭收集+袋式除尘+二级活性炭</w:t>
            </w:r>
          </w:p>
        </w:tc>
        <w:tc>
          <w:tcPr>
            <w:tcW w:w="2740" w:type="dxa"/>
            <w:noWrap w:val="0"/>
            <w:vAlign w:val="center"/>
          </w:tcPr>
          <w:p w14:paraId="324F1667">
            <w:pPr>
              <w:pStyle w:val="8"/>
              <w:shd w:val="clear" w:color="auto" w:fill="auto"/>
              <w:spacing w:line="240" w:lineRule="auto"/>
              <w:ind w:left="0" w:leftChars="0" w:firstLine="0" w:firstLineChars="0"/>
              <w:jc w:val="center"/>
              <w:rPr>
                <w:rFonts w:hint="eastAsia"/>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《铸造工业大气污染物排放标准》（GB39726—2020）表1中砂处理、废砂再生工段排放浓度限值</w:t>
            </w:r>
          </w:p>
        </w:tc>
      </w:tr>
      <w:tr w14:paraId="46BBC8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7DE85D09">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vMerge w:val="continue"/>
            <w:noWrap w:val="0"/>
            <w:vAlign w:val="center"/>
          </w:tcPr>
          <w:p w14:paraId="69D9D0FD">
            <w:pPr>
              <w:pStyle w:val="8"/>
              <w:shd w:val="clear" w:color="auto" w:fill="auto"/>
              <w:spacing w:line="240" w:lineRule="auto"/>
              <w:ind w:left="0" w:leftChars="0" w:firstLine="0" w:firstLineChars="0"/>
              <w:jc w:val="center"/>
              <w:rPr>
                <w:rFonts w:hint="eastAsia"/>
                <w:color w:val="000000" w:themeColor="text1"/>
                <w:sz w:val="21"/>
                <w:szCs w:val="21"/>
                <w:highlight w:val="none"/>
                <w14:textFill>
                  <w14:solidFill>
                    <w14:schemeClr w14:val="tx1"/>
                  </w14:solidFill>
                </w14:textFill>
              </w:rPr>
            </w:pPr>
          </w:p>
        </w:tc>
        <w:tc>
          <w:tcPr>
            <w:tcW w:w="1740" w:type="dxa"/>
            <w:noWrap w:val="0"/>
            <w:vAlign w:val="center"/>
          </w:tcPr>
          <w:p w14:paraId="157FF6E2">
            <w:pPr>
              <w:pStyle w:val="8"/>
              <w:shd w:val="clear" w:color="auto" w:fill="auto"/>
              <w:spacing w:line="240" w:lineRule="auto"/>
              <w:ind w:left="0" w:leftChars="0" w:firstLine="0" w:firstLineChars="0"/>
              <w:jc w:val="center"/>
              <w:rPr>
                <w:rFonts w:hint="eastAsia" w:eastAsia="宋体"/>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酚类（以苯酚计）</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14:textFill>
                  <w14:solidFill>
                    <w14:schemeClr w14:val="tx1"/>
                  </w14:solidFill>
                </w14:textFill>
              </w:rPr>
              <w:t>甲醛</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eastAsia" w:cs="Times New Roman"/>
                <w:color w:val="000000" w:themeColor="text1"/>
                <w:sz w:val="21"/>
                <w:szCs w:val="21"/>
                <w:lang w:eastAsia="zh-CN"/>
                <w14:textFill>
                  <w14:solidFill>
                    <w14:schemeClr w14:val="tx1"/>
                  </w14:solidFill>
                </w14:textFill>
              </w:rPr>
              <w:t>TVOC</w:t>
            </w:r>
          </w:p>
        </w:tc>
        <w:tc>
          <w:tcPr>
            <w:tcW w:w="1581" w:type="dxa"/>
            <w:vMerge w:val="continue"/>
            <w:noWrap w:val="0"/>
            <w:vAlign w:val="center"/>
          </w:tcPr>
          <w:p w14:paraId="16612E9D">
            <w:pPr>
              <w:pStyle w:val="61"/>
              <w:shd w:val="clear" w:color="auto" w:fill="auto"/>
              <w:rPr>
                <w:rFonts w:hint="eastAsia"/>
                <w:color w:val="000000" w:themeColor="text1"/>
                <w:highlight w:val="none"/>
                <w14:textFill>
                  <w14:solidFill>
                    <w14:schemeClr w14:val="tx1"/>
                  </w14:solidFill>
                </w14:textFill>
              </w:rPr>
            </w:pPr>
          </w:p>
        </w:tc>
        <w:tc>
          <w:tcPr>
            <w:tcW w:w="2740" w:type="dxa"/>
            <w:noWrap w:val="0"/>
            <w:vAlign w:val="center"/>
          </w:tcPr>
          <w:p w14:paraId="605A6F40">
            <w:pPr>
              <w:pStyle w:val="8"/>
              <w:shd w:val="clear" w:color="auto" w:fill="auto"/>
              <w:spacing w:line="240" w:lineRule="auto"/>
              <w:ind w:left="0" w:leftChars="0" w:firstLine="0" w:firstLineChars="0"/>
              <w:jc w:val="center"/>
              <w:rPr>
                <w:color w:val="000000" w:themeColor="text1"/>
                <w:sz w:val="21"/>
                <w:highlight w:val="none"/>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《大气污染物综合排放标准》（GB16297-1996）表2中二级标准</w:t>
            </w:r>
          </w:p>
        </w:tc>
      </w:tr>
      <w:tr w14:paraId="7FC9D2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79" w:hRule="atLeast"/>
          <w:jc w:val="center"/>
        </w:trPr>
        <w:tc>
          <w:tcPr>
            <w:tcW w:w="1105" w:type="dxa"/>
            <w:vMerge w:val="continue"/>
            <w:noWrap w:val="0"/>
            <w:vAlign w:val="center"/>
          </w:tcPr>
          <w:p w14:paraId="22784E15">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14266A22">
            <w:pPr>
              <w:pStyle w:val="8"/>
              <w:shd w:val="clear" w:color="auto" w:fill="auto"/>
              <w:spacing w:line="240" w:lineRule="auto"/>
              <w:ind w:left="0" w:leftChars="0"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lang w:val="en-US" w:eastAsia="zh-CN"/>
                <w14:textFill>
                  <w14:solidFill>
                    <w14:schemeClr w14:val="tx1"/>
                  </w14:solidFill>
                </w14:textFill>
              </w:rPr>
              <w:t>DA00</w:t>
            </w:r>
            <w:r>
              <w:rPr>
                <w:rFonts w:hint="eastAsia" w:ascii="Times New Roman" w:hAnsi="Times New Roman" w:cs="Times New Roman"/>
                <w:color w:val="000000" w:themeColor="text1"/>
                <w:sz w:val="21"/>
                <w:lang w:val="en-US" w:eastAsia="zh-CN"/>
                <w14:textFill>
                  <w14:solidFill>
                    <w14:schemeClr w14:val="tx1"/>
                  </w14:solidFill>
                </w14:textFill>
              </w:rPr>
              <w:t>5</w:t>
            </w:r>
          </w:p>
        </w:tc>
        <w:tc>
          <w:tcPr>
            <w:tcW w:w="1740" w:type="dxa"/>
            <w:noWrap w:val="0"/>
            <w:vAlign w:val="center"/>
          </w:tcPr>
          <w:p w14:paraId="36CE03E5">
            <w:pPr>
              <w:pStyle w:val="8"/>
              <w:shd w:val="clear" w:color="auto" w:fill="auto"/>
              <w:spacing w:line="240" w:lineRule="auto"/>
              <w:ind w:left="0" w:leftChars="0" w:firstLine="0" w:firstLineChars="0"/>
              <w:jc w:val="center"/>
              <w:rPr>
                <w:rFonts w:hint="eastAsia"/>
                <w:color w:val="000000" w:themeColor="text1"/>
                <w:sz w:val="21"/>
                <w:highlight w:val="none"/>
                <w:lang w:eastAsia="zh-CN"/>
                <w14:textFill>
                  <w14:solidFill>
                    <w14:schemeClr w14:val="tx1"/>
                  </w14:solidFill>
                </w14:textFill>
              </w:rPr>
            </w:pPr>
            <w:r>
              <w:rPr>
                <w:rFonts w:hint="default" w:ascii="Times New Roman" w:hAnsi="Times New Roman" w:cs="Times New Roman"/>
                <w:color w:val="000000" w:themeColor="text1"/>
                <w:sz w:val="21"/>
                <w:lang w:val="en-US" w:eastAsia="zh-CN"/>
                <w14:textFill>
                  <w14:solidFill>
                    <w14:schemeClr w14:val="tx1"/>
                  </w14:solidFill>
                </w14:textFill>
              </w:rPr>
              <w:t>颗粒物</w:t>
            </w:r>
          </w:p>
        </w:tc>
        <w:tc>
          <w:tcPr>
            <w:tcW w:w="1581" w:type="dxa"/>
            <w:noWrap w:val="0"/>
            <w:vAlign w:val="center"/>
          </w:tcPr>
          <w:p w14:paraId="11567775">
            <w:pPr>
              <w:pStyle w:val="61"/>
              <w:shd w:val="clear" w:color="auto" w:fill="auto"/>
              <w:rPr>
                <w:rFonts w:hint="eastAsia"/>
                <w:color w:val="000000" w:themeColor="text1"/>
                <w:highlight w:val="none"/>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布袋除尘器</w:t>
            </w:r>
          </w:p>
        </w:tc>
        <w:tc>
          <w:tcPr>
            <w:tcW w:w="2740" w:type="dxa"/>
            <w:noWrap w:val="0"/>
            <w:vAlign w:val="center"/>
          </w:tcPr>
          <w:p w14:paraId="1356B762">
            <w:pPr>
              <w:pStyle w:val="8"/>
              <w:shd w:val="clear" w:color="auto" w:fill="auto"/>
              <w:spacing w:line="240" w:lineRule="auto"/>
              <w:ind w:left="0" w:leftChars="0" w:firstLine="0" w:firstLineChars="0"/>
              <w:jc w:val="center"/>
              <w:rPr>
                <w:rFonts w:hint="eastAsia"/>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《铸造工业大气污染物排放标准》（GB39726—2020）表1中砂处理、废砂再生工段排放浓度限值</w:t>
            </w:r>
          </w:p>
        </w:tc>
      </w:tr>
      <w:tr w14:paraId="759F08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7FBEC4DD">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594DA29D">
            <w:pPr>
              <w:pStyle w:val="8"/>
              <w:shd w:val="clear" w:color="auto" w:fill="auto"/>
              <w:spacing w:line="240" w:lineRule="auto"/>
              <w:ind w:left="0" w:leftChars="0"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lang w:val="en-US" w:eastAsia="zh-CN"/>
                <w14:textFill>
                  <w14:solidFill>
                    <w14:schemeClr w14:val="tx1"/>
                  </w14:solidFill>
                </w14:textFill>
              </w:rPr>
              <w:t>DA00</w:t>
            </w:r>
            <w:r>
              <w:rPr>
                <w:rFonts w:hint="eastAsia" w:ascii="Times New Roman" w:hAnsi="Times New Roman" w:cs="Times New Roman"/>
                <w:color w:val="000000" w:themeColor="text1"/>
                <w:sz w:val="21"/>
                <w:lang w:val="en-US" w:eastAsia="zh-CN"/>
                <w14:textFill>
                  <w14:solidFill>
                    <w14:schemeClr w14:val="tx1"/>
                  </w14:solidFill>
                </w14:textFill>
              </w:rPr>
              <w:t>6</w:t>
            </w:r>
          </w:p>
        </w:tc>
        <w:tc>
          <w:tcPr>
            <w:tcW w:w="1740" w:type="dxa"/>
            <w:noWrap w:val="0"/>
            <w:vAlign w:val="center"/>
          </w:tcPr>
          <w:p w14:paraId="35559EB2">
            <w:pPr>
              <w:pStyle w:val="8"/>
              <w:shd w:val="clear" w:color="auto" w:fill="auto"/>
              <w:spacing w:line="240" w:lineRule="auto"/>
              <w:ind w:left="0" w:leftChars="0" w:firstLine="0" w:firstLineChars="0"/>
              <w:jc w:val="center"/>
              <w:rPr>
                <w:rFonts w:hint="eastAsia"/>
                <w:color w:val="000000" w:themeColor="text1"/>
                <w:sz w:val="21"/>
                <w:highlight w:val="none"/>
                <w:lang w:eastAsia="zh-CN"/>
                <w14:textFill>
                  <w14:solidFill>
                    <w14:schemeClr w14:val="tx1"/>
                  </w14:solidFill>
                </w14:textFill>
              </w:rPr>
            </w:pPr>
            <w:r>
              <w:rPr>
                <w:rFonts w:hint="default" w:ascii="Times New Roman" w:hAnsi="Times New Roman" w:cs="Times New Roman"/>
                <w:color w:val="000000" w:themeColor="text1"/>
                <w:sz w:val="21"/>
                <w:lang w:eastAsia="zh-CN"/>
                <w14:textFill>
                  <w14:solidFill>
                    <w14:schemeClr w14:val="tx1"/>
                  </w14:solidFill>
                </w14:textFill>
              </w:rPr>
              <w:t>颗粒物</w:t>
            </w:r>
          </w:p>
        </w:tc>
        <w:tc>
          <w:tcPr>
            <w:tcW w:w="1581" w:type="dxa"/>
            <w:noWrap w:val="0"/>
            <w:vAlign w:val="center"/>
          </w:tcPr>
          <w:p w14:paraId="3D56D02C">
            <w:pPr>
              <w:pStyle w:val="61"/>
              <w:shd w:val="clear" w:color="auto" w:fill="auto"/>
              <w:rPr>
                <w:rFonts w:hint="eastAsia" w:eastAsia="宋体"/>
                <w:color w:val="000000" w:themeColor="text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布袋除尘器</w:t>
            </w:r>
          </w:p>
        </w:tc>
        <w:tc>
          <w:tcPr>
            <w:tcW w:w="2740" w:type="dxa"/>
            <w:noWrap w:val="0"/>
            <w:vAlign w:val="center"/>
          </w:tcPr>
          <w:p w14:paraId="255E8A9E">
            <w:pPr>
              <w:pStyle w:val="8"/>
              <w:shd w:val="clear" w:color="auto" w:fill="auto"/>
              <w:spacing w:line="240" w:lineRule="auto"/>
              <w:ind w:left="0" w:leftChars="0" w:firstLine="0" w:firstLineChars="0"/>
              <w:jc w:val="center"/>
              <w:rPr>
                <w:rFonts w:hint="eastAsia"/>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《铸造工业大气污染物排放标准》（GB39726—2020）表1中其他生产工序或设备、设施排放浓度限值</w:t>
            </w:r>
          </w:p>
        </w:tc>
      </w:tr>
      <w:tr w14:paraId="07E383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388CE4D0">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006CDAFC">
            <w:pPr>
              <w:pStyle w:val="8"/>
              <w:shd w:val="clear" w:color="auto" w:fill="auto"/>
              <w:spacing w:line="240" w:lineRule="auto"/>
              <w:ind w:left="0" w:leftChars="0" w:firstLine="0" w:firstLineChars="0"/>
              <w:jc w:val="center"/>
              <w:rPr>
                <w:rFonts w:hint="eastAsia" w:eastAsia="宋体"/>
                <w:color w:val="000000" w:themeColor="text1"/>
                <w:sz w:val="21"/>
                <w:szCs w:val="21"/>
                <w:highlight w:val="none"/>
                <w:lang w:eastAsia="zh-CN"/>
                <w14:textFill>
                  <w14:solidFill>
                    <w14:schemeClr w14:val="tx1"/>
                  </w14:solidFill>
                </w14:textFill>
              </w:rPr>
            </w:pPr>
            <w:r>
              <w:rPr>
                <w:rFonts w:hint="eastAsia" w:ascii="Times New Roman" w:hAnsi="Times New Roman" w:cs="Times New Roman"/>
                <w:color w:val="000000" w:themeColor="text1"/>
                <w:sz w:val="21"/>
                <w:lang w:val="en-US" w:eastAsia="zh-CN"/>
                <w14:textFill>
                  <w14:solidFill>
                    <w14:schemeClr w14:val="tx1"/>
                  </w14:solidFill>
                </w14:textFill>
              </w:rPr>
              <w:t>DA007</w:t>
            </w:r>
          </w:p>
        </w:tc>
        <w:tc>
          <w:tcPr>
            <w:tcW w:w="1740" w:type="dxa"/>
            <w:noWrap w:val="0"/>
            <w:vAlign w:val="center"/>
          </w:tcPr>
          <w:p w14:paraId="7E51B790">
            <w:pPr>
              <w:pStyle w:val="8"/>
              <w:shd w:val="clear" w:color="auto" w:fill="auto"/>
              <w:spacing w:line="240" w:lineRule="auto"/>
              <w:ind w:left="0" w:leftChars="0" w:firstLine="0" w:firstLineChars="0"/>
              <w:jc w:val="center"/>
              <w:rPr>
                <w:rFonts w:hint="eastAsia"/>
                <w:color w:val="000000" w:themeColor="text1"/>
                <w:sz w:val="21"/>
                <w:highlight w:val="none"/>
                <w:lang w:eastAsia="zh-CN"/>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漆雾</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eastAsia" w:cs="Times New Roman"/>
                <w:color w:val="000000" w:themeColor="text1"/>
                <w:sz w:val="21"/>
                <w:szCs w:val="21"/>
                <w:lang w:eastAsia="zh-CN"/>
                <w14:textFill>
                  <w14:solidFill>
                    <w14:schemeClr w14:val="tx1"/>
                  </w14:solidFill>
                </w14:textFill>
              </w:rPr>
              <w:t>TVOC、</w:t>
            </w:r>
            <w:r>
              <w:rPr>
                <w:rFonts w:hint="default" w:ascii="Times New Roman" w:hAnsi="Times New Roman" w:cs="Times New Roman"/>
                <w:color w:val="000000" w:themeColor="text1"/>
                <w:sz w:val="21"/>
                <w:szCs w:val="21"/>
                <w14:textFill>
                  <w14:solidFill>
                    <w14:schemeClr w14:val="tx1"/>
                  </w14:solidFill>
                </w14:textFill>
              </w:rPr>
              <w:t>NMHC</w:t>
            </w:r>
          </w:p>
        </w:tc>
        <w:tc>
          <w:tcPr>
            <w:tcW w:w="1581" w:type="dxa"/>
            <w:noWrap w:val="0"/>
            <w:vAlign w:val="center"/>
          </w:tcPr>
          <w:p w14:paraId="2E5BA750">
            <w:pPr>
              <w:pStyle w:val="61"/>
              <w:shd w:val="clear" w:color="auto" w:fill="auto"/>
              <w:rPr>
                <w:rFonts w:hint="eastAsia" w:eastAsia="宋体"/>
                <w:color w:val="000000" w:themeColor="text1"/>
                <w:highlight w:val="none"/>
                <w:lang w:val="en-US" w:eastAsia="zh-CN"/>
                <w14:textFill>
                  <w14:solidFill>
                    <w14:schemeClr w14:val="tx1"/>
                  </w14:solidFill>
                </w14:textFill>
              </w:rPr>
            </w:pP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密闭收集+水帘柜+干式过滤器+</w:t>
            </w:r>
            <w:r>
              <w:rPr>
                <w:rFonts w:hint="eastAsia" w:cs="Times New Roman"/>
                <w:i w:val="0"/>
                <w:iCs w:val="0"/>
                <w:color w:val="000000" w:themeColor="text1"/>
                <w:kern w:val="0"/>
                <w:sz w:val="21"/>
                <w:szCs w:val="21"/>
                <w:u w:val="none"/>
                <w:lang w:val="en-US" w:eastAsia="zh-CN" w:bidi="ar"/>
                <w14:textFill>
                  <w14:solidFill>
                    <w14:schemeClr w14:val="tx1"/>
                  </w14:solidFill>
                </w14:textFill>
              </w:rPr>
              <w:t>二</w:t>
            </w:r>
            <w:r>
              <w:rPr>
                <w:rFonts w:hint="eastAsia" w:ascii="Times New Roman" w:hAnsi="Times New Roman" w:eastAsia="宋体" w:cs="Times New Roman"/>
                <w:i w:val="0"/>
                <w:iCs w:val="0"/>
                <w:color w:val="000000" w:themeColor="text1"/>
                <w:kern w:val="0"/>
                <w:sz w:val="21"/>
                <w:szCs w:val="21"/>
                <w:u w:val="none"/>
                <w:lang w:val="en-US" w:eastAsia="zh-CN" w:bidi="ar"/>
                <w14:textFill>
                  <w14:solidFill>
                    <w14:schemeClr w14:val="tx1"/>
                  </w14:solidFill>
                </w14:textFill>
              </w:rPr>
              <w:t>级活性炭吸附</w:t>
            </w:r>
          </w:p>
        </w:tc>
        <w:tc>
          <w:tcPr>
            <w:tcW w:w="2740" w:type="dxa"/>
            <w:noWrap w:val="0"/>
            <w:vAlign w:val="center"/>
          </w:tcPr>
          <w:p w14:paraId="3F7B97C9">
            <w:pPr>
              <w:pStyle w:val="8"/>
              <w:shd w:val="clear" w:color="auto" w:fill="auto"/>
              <w:spacing w:line="240" w:lineRule="auto"/>
              <w:ind w:left="0" w:leftChars="0" w:firstLine="0" w:firstLineChars="0"/>
              <w:jc w:val="center"/>
              <w:rPr>
                <w:rFonts w:hint="eastAsia"/>
                <w:color w:val="000000" w:themeColor="text1"/>
                <w:sz w:val="21"/>
                <w:szCs w:val="2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《铸造工业大气污染物排放标准》（GB39726—2020）表1中表面涂装</w:t>
            </w:r>
          </w:p>
        </w:tc>
      </w:tr>
      <w:tr w14:paraId="7CD41A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350EA931">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3AFE4073">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厂界</w:t>
            </w:r>
          </w:p>
        </w:tc>
        <w:tc>
          <w:tcPr>
            <w:tcW w:w="1740" w:type="dxa"/>
            <w:noWrap w:val="0"/>
            <w:vAlign w:val="center"/>
          </w:tcPr>
          <w:p w14:paraId="67429DC6">
            <w:pPr>
              <w:pStyle w:val="8"/>
              <w:shd w:val="clear" w:color="auto" w:fill="auto"/>
              <w:rPr>
                <w:rFonts w:hint="eastAsia" w:eastAsia="宋体"/>
                <w:bCs/>
                <w:color w:val="000000" w:themeColor="text1"/>
                <w:highlight w:val="none"/>
                <w:lang w:eastAsia="zh-CN"/>
                <w14:textFill>
                  <w14:solidFill>
                    <w14:schemeClr w14:val="tx1"/>
                  </w14:solidFill>
                </w14:textFill>
              </w:rPr>
            </w:pPr>
            <w:r>
              <w:rPr>
                <w:rFonts w:hint="default" w:ascii="Times New Roman" w:hAnsi="Times New Roman" w:cs="Times New Roman"/>
                <w:color w:val="000000" w:themeColor="text1"/>
                <w:sz w:val="21"/>
                <w14:textFill>
                  <w14:solidFill>
                    <w14:schemeClr w14:val="tx1"/>
                  </w14:solidFill>
                </w14:textFill>
              </w:rPr>
              <w:t>颗粒物、</w:t>
            </w:r>
            <w:r>
              <w:rPr>
                <w:rFonts w:hint="default" w:ascii="Times New Roman" w:hAnsi="Times New Roman" w:cs="Times New Roman"/>
                <w:color w:val="000000" w:themeColor="text1"/>
                <w:sz w:val="21"/>
                <w:szCs w:val="21"/>
                <w14:textFill>
                  <w14:solidFill>
                    <w14:schemeClr w14:val="tx1"/>
                  </w14:solidFill>
                </w14:textFill>
              </w:rPr>
              <w:t>酚类（以苯酚计）</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14:textFill>
                  <w14:solidFill>
                    <w14:schemeClr w14:val="tx1"/>
                  </w14:solidFill>
                </w14:textFill>
              </w:rPr>
              <w:t>甲醛</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eastAsia" w:cs="Times New Roman"/>
                <w:color w:val="000000" w:themeColor="text1"/>
                <w:sz w:val="21"/>
                <w:szCs w:val="21"/>
                <w:lang w:eastAsia="zh-CN"/>
                <w14:textFill>
                  <w14:solidFill>
                    <w14:schemeClr w14:val="tx1"/>
                  </w14:solidFill>
                </w14:textFill>
              </w:rPr>
              <w:t>TVOC</w:t>
            </w:r>
            <w:r>
              <w:rPr>
                <w:rFonts w:hint="eastAsia" w:ascii="Times New Roman" w:hAnsi="Times New Roman" w:cs="Times New Roman"/>
                <w:color w:val="000000" w:themeColor="text1"/>
                <w:sz w:val="21"/>
                <w:szCs w:val="21"/>
                <w:lang w:eastAsia="zh-CN"/>
                <w14:textFill>
                  <w14:solidFill>
                    <w14:schemeClr w14:val="tx1"/>
                  </w14:solidFill>
                </w14:textFill>
              </w:rPr>
              <w:t>、</w:t>
            </w:r>
            <w:r>
              <w:rPr>
                <w:rFonts w:hint="default" w:ascii="Times New Roman" w:hAnsi="Times New Roman" w:cs="Times New Roman"/>
                <w:color w:val="000000" w:themeColor="text1"/>
                <w:sz w:val="21"/>
                <w:szCs w:val="21"/>
                <w14:textFill>
                  <w14:solidFill>
                    <w14:schemeClr w14:val="tx1"/>
                  </w14:solidFill>
                </w14:textFill>
              </w:rPr>
              <w:t>SO</w:t>
            </w:r>
            <w:r>
              <w:rPr>
                <w:rFonts w:hint="default" w:ascii="Times New Roman" w:hAnsi="Times New Roman" w:cs="Times New Roman"/>
                <w:color w:val="000000" w:themeColor="text1"/>
                <w:sz w:val="21"/>
                <w:szCs w:val="21"/>
                <w:vertAlign w:val="subscript"/>
                <w14:textFill>
                  <w14:solidFill>
                    <w14:schemeClr w14:val="tx1"/>
                  </w14:solidFill>
                </w14:textFill>
              </w:rPr>
              <w:t>2</w:t>
            </w:r>
            <w:r>
              <w:rPr>
                <w:rFonts w:hint="eastAsia" w:cs="Times New Roman"/>
                <w:color w:val="000000" w:themeColor="text1"/>
                <w:sz w:val="21"/>
                <w:szCs w:val="21"/>
                <w:lang w:val="en-US" w:eastAsia="zh-CN"/>
                <w14:textFill>
                  <w14:solidFill>
                    <w14:schemeClr w14:val="tx1"/>
                  </w14:solidFill>
                </w14:textFill>
              </w:rPr>
              <w:t>、</w:t>
            </w:r>
            <w:r>
              <w:rPr>
                <w:rFonts w:hint="eastAsia"/>
                <w:color w:val="000000" w:themeColor="text1"/>
                <w:sz w:val="21"/>
                <w:highlight w:val="none"/>
                <w14:textFill>
                  <w14:solidFill>
                    <w14:schemeClr w14:val="tx1"/>
                  </w14:solidFill>
                </w14:textFill>
              </w:rPr>
              <w:t>NMHC</w:t>
            </w:r>
          </w:p>
        </w:tc>
        <w:tc>
          <w:tcPr>
            <w:tcW w:w="1581" w:type="dxa"/>
            <w:noWrap w:val="0"/>
            <w:vAlign w:val="center"/>
          </w:tcPr>
          <w:p w14:paraId="1AE1D590">
            <w:pPr>
              <w:pStyle w:val="61"/>
              <w:shd w:val="clear" w:color="auto" w:fill="auto"/>
              <w:rPr>
                <w:rFonts w:hint="eastAsia"/>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加强通风</w:t>
            </w:r>
          </w:p>
        </w:tc>
        <w:tc>
          <w:tcPr>
            <w:tcW w:w="2740" w:type="dxa"/>
            <w:noWrap w:val="0"/>
            <w:vAlign w:val="center"/>
          </w:tcPr>
          <w:p w14:paraId="36017383">
            <w:pPr>
              <w:shd w:val="clear" w:color="auto" w:fill="auto"/>
              <w:adjustRightInd w:val="0"/>
              <w:snapToGrid w:val="0"/>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《大气污染物综合排放标准》（GB16297-1996）表2中无组织排放浓度限值</w:t>
            </w:r>
          </w:p>
        </w:tc>
      </w:tr>
      <w:tr w14:paraId="7205A6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 w:hRule="atLeast"/>
          <w:jc w:val="center"/>
        </w:trPr>
        <w:tc>
          <w:tcPr>
            <w:tcW w:w="1105" w:type="dxa"/>
            <w:vMerge w:val="continue"/>
            <w:noWrap w:val="0"/>
            <w:vAlign w:val="center"/>
          </w:tcPr>
          <w:p w14:paraId="6B96880B">
            <w:pPr>
              <w:pStyle w:val="95"/>
              <w:shd w:val="clear" w:color="auto" w:fill="auto"/>
              <w:rPr>
                <w:rFonts w:hint="eastAsia"/>
                <w:color w:val="000000" w:themeColor="text1"/>
                <w:sz w:val="21"/>
                <w:szCs w:val="21"/>
                <w:highlight w:val="none"/>
                <w14:textFill>
                  <w14:solidFill>
                    <w14:schemeClr w14:val="tx1"/>
                  </w14:solidFill>
                </w14:textFill>
              </w:rPr>
            </w:pPr>
          </w:p>
        </w:tc>
        <w:tc>
          <w:tcPr>
            <w:tcW w:w="1634" w:type="dxa"/>
            <w:noWrap w:val="0"/>
            <w:vAlign w:val="center"/>
          </w:tcPr>
          <w:p w14:paraId="05A2B839">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厂区内</w:t>
            </w:r>
          </w:p>
        </w:tc>
        <w:tc>
          <w:tcPr>
            <w:tcW w:w="1740" w:type="dxa"/>
            <w:noWrap w:val="0"/>
            <w:vAlign w:val="center"/>
          </w:tcPr>
          <w:p w14:paraId="641822C4">
            <w:pPr>
              <w:pStyle w:val="8"/>
              <w:shd w:val="clear" w:color="auto" w:fill="auto"/>
              <w:rPr>
                <w:bCs/>
                <w:color w:val="000000" w:themeColor="text1"/>
                <w:highlight w:val="none"/>
                <w14:textFill>
                  <w14:solidFill>
                    <w14:schemeClr w14:val="tx1"/>
                  </w14:solidFill>
                </w14:textFill>
              </w:rPr>
            </w:pPr>
            <w:r>
              <w:rPr>
                <w:rFonts w:hint="eastAsia"/>
                <w:color w:val="000000" w:themeColor="text1"/>
                <w:sz w:val="21"/>
                <w:highlight w:val="none"/>
                <w14:textFill>
                  <w14:solidFill>
                    <w14:schemeClr w14:val="tx1"/>
                  </w14:solidFill>
                </w14:textFill>
              </w:rPr>
              <w:t>NMHC、颗粒物</w:t>
            </w:r>
          </w:p>
        </w:tc>
        <w:tc>
          <w:tcPr>
            <w:tcW w:w="1581" w:type="dxa"/>
            <w:noWrap w:val="0"/>
            <w:vAlign w:val="center"/>
          </w:tcPr>
          <w:p w14:paraId="0AEB8C98">
            <w:pPr>
              <w:pStyle w:val="61"/>
              <w:shd w:val="clear" w:color="auto" w:fill="auto"/>
              <w:rPr>
                <w:rFonts w:hint="eastAsia"/>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加强通风</w:t>
            </w:r>
          </w:p>
        </w:tc>
        <w:tc>
          <w:tcPr>
            <w:tcW w:w="2740" w:type="dxa"/>
            <w:noWrap w:val="0"/>
            <w:vAlign w:val="center"/>
          </w:tcPr>
          <w:p w14:paraId="771BF7C8">
            <w:pPr>
              <w:shd w:val="clear" w:color="auto" w:fill="auto"/>
              <w:adjustRightInd w:val="0"/>
              <w:snapToGrid w:val="0"/>
              <w:spacing w:line="240" w:lineRule="auto"/>
              <w:ind w:firstLine="0" w:firstLineChars="0"/>
              <w:jc w:val="center"/>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《铸造工业大气污染物排放标准》（GB39726-2020）表A.1</w:t>
            </w:r>
          </w:p>
        </w:tc>
      </w:tr>
      <w:tr w14:paraId="39743C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701" w:hRule="atLeast"/>
          <w:jc w:val="center"/>
        </w:trPr>
        <w:tc>
          <w:tcPr>
            <w:tcW w:w="1105" w:type="dxa"/>
            <w:noWrap w:val="0"/>
            <w:vAlign w:val="center"/>
          </w:tcPr>
          <w:p w14:paraId="53208FE9">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地表水环境</w:t>
            </w:r>
          </w:p>
        </w:tc>
        <w:tc>
          <w:tcPr>
            <w:tcW w:w="1634" w:type="dxa"/>
            <w:noWrap w:val="0"/>
            <w:vAlign w:val="center"/>
          </w:tcPr>
          <w:p w14:paraId="427C80C4">
            <w:pPr>
              <w:pStyle w:val="120"/>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生活废水</w:t>
            </w:r>
          </w:p>
        </w:tc>
        <w:tc>
          <w:tcPr>
            <w:tcW w:w="1740" w:type="dxa"/>
            <w:noWrap w:val="0"/>
            <w:vAlign w:val="center"/>
          </w:tcPr>
          <w:p w14:paraId="67DA48B2">
            <w:pPr>
              <w:pStyle w:val="120"/>
              <w:shd w:val="clear" w:color="auto" w:fill="auto"/>
              <w:rPr>
                <w:rFonts w:hint="eastAsia"/>
                <w:color w:val="000000" w:themeColor="text1"/>
                <w:kern w:val="2"/>
                <w:highlight w:val="none"/>
                <w14:textFill>
                  <w14:solidFill>
                    <w14:schemeClr w14:val="tx1"/>
                  </w14:solidFill>
                </w14:textFill>
              </w:rPr>
            </w:pPr>
            <w:r>
              <w:rPr>
                <w:rFonts w:hint="eastAsia"/>
                <w:color w:val="000000" w:themeColor="text1"/>
                <w:highlight w:val="none"/>
                <w14:textFill>
                  <w14:solidFill>
                    <w14:schemeClr w14:val="tx1"/>
                  </w14:solidFill>
                </w14:textFill>
              </w:rPr>
              <w:t>pH、</w:t>
            </w:r>
            <w:r>
              <w:rPr>
                <w:color w:val="000000" w:themeColor="text1"/>
                <w:highlight w:val="none"/>
                <w14:textFill>
                  <w14:solidFill>
                    <w14:schemeClr w14:val="tx1"/>
                  </w14:solidFill>
                </w14:textFill>
              </w:rPr>
              <w:t>COD</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BOD</w:t>
            </w:r>
            <w:r>
              <w:rPr>
                <w:color w:val="000000" w:themeColor="text1"/>
                <w:highlight w:val="none"/>
                <w:vertAlign w:val="subscript"/>
                <w14:textFill>
                  <w14:solidFill>
                    <w14:schemeClr w14:val="tx1"/>
                  </w14:solidFill>
                </w14:textFill>
              </w:rPr>
              <w:t>5</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SS</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NH</w:t>
            </w:r>
            <w:r>
              <w:rPr>
                <w:color w:val="000000" w:themeColor="text1"/>
                <w:highlight w:val="none"/>
                <w:vertAlign w:val="subscript"/>
                <w14:textFill>
                  <w14:solidFill>
                    <w14:schemeClr w14:val="tx1"/>
                  </w14:solidFill>
                </w14:textFill>
              </w:rPr>
              <w:t>3</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、TP、动植物油</w:t>
            </w:r>
          </w:p>
        </w:tc>
        <w:tc>
          <w:tcPr>
            <w:tcW w:w="1581" w:type="dxa"/>
            <w:noWrap w:val="0"/>
            <w:vAlign w:val="center"/>
          </w:tcPr>
          <w:p w14:paraId="6EB83B75">
            <w:pPr>
              <w:pStyle w:val="61"/>
              <w:shd w:val="clear" w:color="auto" w:fill="auto"/>
              <w:rPr>
                <w:rFonts w:hint="eastAsia" w:ascii="Times New Roman" w:hAnsi="Times New Roman" w:eastAsia="宋体" w:cs="Times New Roman"/>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highlight w:val="none"/>
                <w14:textFill>
                  <w14:solidFill>
                    <w14:schemeClr w14:val="tx1"/>
                  </w14:solidFill>
                </w14:textFill>
              </w:rPr>
              <w:t>近期生活污水经隔油池+化粪池预处理后进入一体化污水处理设施（1m3/h）处理后通过园区管网排入乐安河。远期待金山工业园污水处理厂建成后经化粪池+一体化污水处理设施处理后排入污水处理厂处理</w:t>
            </w:r>
          </w:p>
        </w:tc>
        <w:tc>
          <w:tcPr>
            <w:tcW w:w="2740" w:type="dxa"/>
            <w:noWrap w:val="0"/>
            <w:vAlign w:val="center"/>
          </w:tcPr>
          <w:p w14:paraId="1CEF4385">
            <w:pPr>
              <w:pStyle w:val="61"/>
              <w:shd w:val="clear" w:color="auto" w:fill="auto"/>
              <w:rPr>
                <w:rFonts w:hint="eastAsia" w:ascii="Times New Roman" w:hAnsi="Times New Roman" w:eastAsia="宋体" w:cs="Times New Roman"/>
                <w:color w:val="000000" w:themeColor="text1"/>
                <w:highlight w:val="none"/>
                <w14:textFill>
                  <w14:solidFill>
                    <w14:schemeClr w14:val="tx1"/>
                  </w14:solidFill>
                </w14:textFill>
              </w:rPr>
            </w:pPr>
            <w:r>
              <w:rPr>
                <w:rFonts w:hint="eastAsia" w:ascii="Times New Roman" w:hAnsi="Times New Roman" w:eastAsia="宋体" w:cs="Times New Roman"/>
                <w:color w:val="000000" w:themeColor="text1"/>
                <w:highlight w:val="none"/>
                <w14:textFill>
                  <w14:solidFill>
                    <w14:schemeClr w14:val="tx1"/>
                  </w14:solidFill>
                </w14:textFill>
              </w:rPr>
              <w:t>近期：《污水综合排放标准》（GB8978-1996）表4中一级标准，远期：金山工业园污水处理厂接管标准</w:t>
            </w:r>
          </w:p>
        </w:tc>
      </w:tr>
      <w:tr w14:paraId="7335C7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7" w:hRule="atLeast"/>
          <w:jc w:val="center"/>
        </w:trPr>
        <w:tc>
          <w:tcPr>
            <w:tcW w:w="1105" w:type="dxa"/>
            <w:noWrap w:val="0"/>
            <w:vAlign w:val="center"/>
          </w:tcPr>
          <w:p w14:paraId="11E55E58">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声环境</w:t>
            </w:r>
          </w:p>
        </w:tc>
        <w:tc>
          <w:tcPr>
            <w:tcW w:w="1634" w:type="dxa"/>
            <w:noWrap w:val="0"/>
            <w:vAlign w:val="center"/>
          </w:tcPr>
          <w:p w14:paraId="090DA4CF">
            <w:pPr>
              <w:pStyle w:val="71"/>
              <w:shd w:val="clear" w:color="auto" w:fill="auto"/>
              <w:spacing w:line="240" w:lineRule="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机械设备</w:t>
            </w:r>
          </w:p>
        </w:tc>
        <w:tc>
          <w:tcPr>
            <w:tcW w:w="1740" w:type="dxa"/>
            <w:noWrap w:val="0"/>
            <w:vAlign w:val="center"/>
          </w:tcPr>
          <w:p w14:paraId="1AA1168B">
            <w:pPr>
              <w:pStyle w:val="71"/>
              <w:shd w:val="clear" w:color="auto" w:fill="auto"/>
              <w:spacing w:line="240" w:lineRule="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生产设备</w:t>
            </w:r>
          </w:p>
        </w:tc>
        <w:tc>
          <w:tcPr>
            <w:tcW w:w="1581" w:type="dxa"/>
            <w:noWrap w:val="0"/>
            <w:vAlign w:val="center"/>
          </w:tcPr>
          <w:p w14:paraId="30B48B8F">
            <w:pPr>
              <w:pStyle w:val="71"/>
              <w:shd w:val="clear" w:color="auto" w:fill="auto"/>
              <w:spacing w:line="240" w:lineRule="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隔声、减震、距离衰减等</w:t>
            </w:r>
          </w:p>
        </w:tc>
        <w:tc>
          <w:tcPr>
            <w:tcW w:w="2740" w:type="dxa"/>
            <w:noWrap w:val="0"/>
            <w:vAlign w:val="center"/>
          </w:tcPr>
          <w:p w14:paraId="549C2A9E">
            <w:pPr>
              <w:pStyle w:val="71"/>
              <w:shd w:val="clear" w:color="auto" w:fill="auto"/>
              <w:spacing w:line="240" w:lineRule="auto"/>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满足《工业企业厂界环境噪声排放标准》3类标准</w:t>
            </w:r>
          </w:p>
        </w:tc>
      </w:tr>
      <w:tr w14:paraId="45BFA5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105" w:type="dxa"/>
            <w:noWrap w:val="0"/>
            <w:vAlign w:val="center"/>
          </w:tcPr>
          <w:p w14:paraId="7CFB75A0">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电磁辐射</w:t>
            </w:r>
          </w:p>
        </w:tc>
        <w:tc>
          <w:tcPr>
            <w:tcW w:w="1634" w:type="dxa"/>
            <w:noWrap w:val="0"/>
            <w:vAlign w:val="center"/>
          </w:tcPr>
          <w:p w14:paraId="2A450971">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w:t>
            </w:r>
          </w:p>
        </w:tc>
        <w:tc>
          <w:tcPr>
            <w:tcW w:w="1740" w:type="dxa"/>
            <w:noWrap w:val="0"/>
            <w:vAlign w:val="center"/>
          </w:tcPr>
          <w:p w14:paraId="1222A42C">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w:t>
            </w:r>
          </w:p>
        </w:tc>
        <w:tc>
          <w:tcPr>
            <w:tcW w:w="1581" w:type="dxa"/>
            <w:noWrap w:val="0"/>
            <w:vAlign w:val="center"/>
          </w:tcPr>
          <w:p w14:paraId="45988393">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w:t>
            </w:r>
          </w:p>
        </w:tc>
        <w:tc>
          <w:tcPr>
            <w:tcW w:w="2740" w:type="dxa"/>
            <w:noWrap w:val="0"/>
            <w:vAlign w:val="center"/>
          </w:tcPr>
          <w:p w14:paraId="38D2D0F8">
            <w:pPr>
              <w:pStyle w:val="61"/>
              <w:shd w:val="clear" w:color="auto" w:fil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w:t>
            </w:r>
          </w:p>
        </w:tc>
      </w:tr>
      <w:tr w14:paraId="39F7B0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56" w:hRule="atLeast"/>
          <w:jc w:val="center"/>
        </w:trPr>
        <w:tc>
          <w:tcPr>
            <w:tcW w:w="1105" w:type="dxa"/>
            <w:noWrap w:val="0"/>
            <w:vAlign w:val="center"/>
          </w:tcPr>
          <w:p w14:paraId="7834A734">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固体废物</w:t>
            </w:r>
          </w:p>
        </w:tc>
        <w:tc>
          <w:tcPr>
            <w:tcW w:w="7695" w:type="dxa"/>
            <w:gridSpan w:val="4"/>
            <w:noWrap w:val="0"/>
            <w:vAlign w:val="center"/>
          </w:tcPr>
          <w:p w14:paraId="33916331">
            <w:pPr>
              <w:pStyle w:val="8"/>
              <w:shd w:val="clear" w:color="auto" w:fill="auto"/>
              <w:rPr>
                <w:rFonts w:hint="eastAsia"/>
                <w:color w:val="000000" w:themeColor="text1"/>
                <w:sz w:val="21"/>
                <w:highlight w:val="none"/>
                <w14:textFill>
                  <w14:solidFill>
                    <w14:schemeClr w14:val="tx1"/>
                  </w14:solidFill>
                </w14:textFill>
              </w:rPr>
            </w:pPr>
            <w:r>
              <w:rPr>
                <w:rFonts w:hint="eastAsia"/>
                <w:color w:val="000000" w:themeColor="text1"/>
                <w:sz w:val="21"/>
                <w:highlight w:val="none"/>
                <w14:textFill>
                  <w14:solidFill>
                    <w14:schemeClr w14:val="tx1"/>
                  </w14:solidFill>
                </w14:textFill>
              </w:rPr>
              <w:t>项目一般工业固体废物暂存库应满足“防渗漏、防雨淋、防扬尘”等环境保护要求。危险废物执行《危险废物贮存污染控制标准》（GB18597-2023）中相关要求。</w:t>
            </w:r>
          </w:p>
        </w:tc>
      </w:tr>
      <w:tr w14:paraId="3CD8F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76" w:hRule="atLeast"/>
          <w:jc w:val="center"/>
        </w:trPr>
        <w:tc>
          <w:tcPr>
            <w:tcW w:w="1105" w:type="dxa"/>
            <w:noWrap w:val="0"/>
            <w:vAlign w:val="center"/>
          </w:tcPr>
          <w:p w14:paraId="2AEB6CB9">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土壤及地下水污染防治措施</w:t>
            </w:r>
          </w:p>
        </w:tc>
        <w:tc>
          <w:tcPr>
            <w:tcW w:w="7695" w:type="dxa"/>
            <w:gridSpan w:val="4"/>
            <w:noWrap w:val="0"/>
            <w:vAlign w:val="center"/>
          </w:tcPr>
          <w:p w14:paraId="768B1B65">
            <w:pPr>
              <w:pStyle w:val="8"/>
              <w:shd w:val="clear" w:color="auto" w:fill="auto"/>
              <w:jc w:val="left"/>
              <w:rPr>
                <w:rFonts w:hint="eastAsia"/>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w:t>对</w:t>
            </w:r>
            <w:r>
              <w:rPr>
                <w:rFonts w:hint="eastAsia"/>
                <w:color w:val="000000" w:themeColor="text1"/>
                <w:sz w:val="21"/>
                <w:highlight w:val="none"/>
                <w14:textFill>
                  <w14:solidFill>
                    <w14:schemeClr w14:val="tx1"/>
                  </w14:solidFill>
                </w14:textFill>
              </w:rPr>
              <w:t>厂房、固废间</w:t>
            </w:r>
            <w:r>
              <w:rPr>
                <w:color w:val="000000" w:themeColor="text1"/>
                <w:sz w:val="21"/>
                <w:highlight w:val="none"/>
                <w14:textFill>
                  <w14:solidFill>
                    <w14:schemeClr w14:val="tx1"/>
                  </w14:solidFill>
                </w14:textFill>
              </w:rPr>
              <w:t>进行水泥硬化处理，地基先用三合土夯实后，再在上层铺10~15cm的水泥进行硬化，使防渗层渗透系数小于1×10</w:t>
            </w:r>
            <w:r>
              <w:rPr>
                <w:color w:val="000000" w:themeColor="text1"/>
                <w:sz w:val="21"/>
                <w:highlight w:val="none"/>
                <w:vertAlign w:val="superscript"/>
                <w14:textFill>
                  <w14:solidFill>
                    <w14:schemeClr w14:val="tx1"/>
                  </w14:solidFill>
                </w14:textFill>
              </w:rPr>
              <w:t>-7</w:t>
            </w:r>
            <w:r>
              <w:rPr>
                <w:color w:val="000000" w:themeColor="text1"/>
                <w:sz w:val="21"/>
                <w:highlight w:val="none"/>
                <w14:textFill>
                  <w14:solidFill>
                    <w14:schemeClr w14:val="tx1"/>
                  </w14:solidFill>
                </w14:textFill>
              </w:rPr>
              <w:t>cm/s</w:t>
            </w:r>
            <w:r>
              <w:rPr>
                <w:rFonts w:hint="eastAsia"/>
                <w:color w:val="000000" w:themeColor="text1"/>
                <w:sz w:val="21"/>
                <w:highlight w:val="none"/>
                <w14:textFill>
                  <w14:solidFill>
                    <w14:schemeClr w14:val="tx1"/>
                  </w14:solidFill>
                </w14:textFill>
              </w:rPr>
              <w:t>，等效黏土防渗层</w:t>
            </w:r>
            <w:r>
              <w:rPr>
                <w:color w:val="000000" w:themeColor="text1"/>
                <w:sz w:val="21"/>
                <w:highlight w:val="none"/>
                <w14:textFill>
                  <w14:solidFill>
                    <w14:schemeClr w14:val="tx1"/>
                  </w14:solidFill>
                </w14:textFill>
              </w:rPr>
              <w:t>Mb≥</w:t>
            </w:r>
            <w:r>
              <w:rPr>
                <w:rFonts w:hint="eastAsia"/>
                <w:color w:val="000000" w:themeColor="text1"/>
                <w:sz w:val="21"/>
                <w:highlight w:val="none"/>
                <w14:textFill>
                  <w14:solidFill>
                    <w14:schemeClr w14:val="tx1"/>
                  </w14:solidFill>
                </w14:textFill>
              </w:rPr>
              <w:t>1.5</w:t>
            </w:r>
            <w:r>
              <w:rPr>
                <w:color w:val="000000" w:themeColor="text1"/>
                <w:sz w:val="21"/>
                <w:highlight w:val="none"/>
                <w14:textFill>
                  <w14:solidFill>
                    <w14:schemeClr w14:val="tx1"/>
                  </w14:solidFill>
                </w14:textFill>
              </w:rPr>
              <w:t>m</w:t>
            </w:r>
            <w:r>
              <w:rPr>
                <w:rFonts w:hint="eastAsia"/>
                <w:color w:val="000000" w:themeColor="text1"/>
                <w:sz w:val="21"/>
                <w:highlight w:val="none"/>
                <w14:textFill>
                  <w14:solidFill>
                    <w14:schemeClr w14:val="tx1"/>
                  </w14:solidFill>
                </w14:textFill>
              </w:rPr>
              <w:t>；</w:t>
            </w:r>
            <w:r>
              <w:rPr>
                <w:color w:val="000000" w:themeColor="text1"/>
                <w:sz w:val="21"/>
                <w:highlight w:val="none"/>
                <w14:textFill>
                  <w14:solidFill>
                    <w14:schemeClr w14:val="tx1"/>
                  </w14:solidFill>
                </w14:textFill>
              </w:rPr>
              <w:t>对</w:t>
            </w:r>
            <w:r>
              <w:rPr>
                <w:rFonts w:hint="eastAsia" w:cs="Times New Roman"/>
                <w:color w:val="000000" w:themeColor="text1"/>
                <w:sz w:val="21"/>
                <w:szCs w:val="21"/>
                <w:highlight w:val="none"/>
                <w:lang w:val="en-US" w:eastAsia="zh-CN"/>
                <w14:textFill>
                  <w14:solidFill>
                    <w14:schemeClr w14:val="tx1"/>
                  </w14:solidFill>
                </w14:textFill>
              </w:rPr>
              <w:t>危化品仓、</w:t>
            </w:r>
            <w:r>
              <w:rPr>
                <w:rFonts w:hint="default" w:ascii="Times New Roman" w:hAnsi="Times New Roman" w:cs="Times New Roman"/>
                <w:color w:val="000000" w:themeColor="text1"/>
                <w:sz w:val="21"/>
                <w:szCs w:val="21"/>
                <w:highlight w:val="none"/>
                <w14:textFill>
                  <w14:solidFill>
                    <w14:schemeClr w14:val="tx1"/>
                  </w14:solidFill>
                </w14:textFill>
              </w:rPr>
              <w:t>污水处理设施、</w:t>
            </w:r>
            <w:r>
              <w:rPr>
                <w:rFonts w:hint="eastAsia" w:cs="Times New Roman"/>
                <w:color w:val="000000" w:themeColor="text1"/>
                <w:sz w:val="21"/>
                <w:szCs w:val="21"/>
                <w:highlight w:val="none"/>
                <w:lang w:val="en-US" w:eastAsia="zh-CN"/>
                <w14:textFill>
                  <w14:solidFill>
                    <w14:schemeClr w14:val="tx1"/>
                  </w14:solidFill>
                </w14:textFill>
              </w:rPr>
              <w:t>喷漆房</w:t>
            </w:r>
            <w:r>
              <w:rPr>
                <w:rFonts w:hint="default" w:ascii="Times New Roman" w:hAnsi="Times New Roman" w:cs="Times New Roman"/>
                <w:color w:val="000000" w:themeColor="text1"/>
                <w:sz w:val="21"/>
                <w:szCs w:val="21"/>
                <w:highlight w:val="none"/>
                <w14:textFill>
                  <w14:solidFill>
                    <w14:schemeClr w14:val="tx1"/>
                  </w14:solidFill>
                </w14:textFill>
              </w:rPr>
              <w:t>、危废暂存间</w:t>
            </w:r>
            <w:r>
              <w:rPr>
                <w:rFonts w:hint="eastAsia"/>
                <w:color w:val="000000" w:themeColor="text1"/>
                <w:sz w:val="21"/>
                <w:highlight w:val="none"/>
                <w14:textFill>
                  <w14:solidFill>
                    <w14:schemeClr w14:val="tx1"/>
                  </w14:solidFill>
                </w14:textFill>
              </w:rPr>
              <w:t>地面</w:t>
            </w:r>
            <w:r>
              <w:rPr>
                <w:color w:val="000000" w:themeColor="text1"/>
                <w:sz w:val="21"/>
                <w:highlight w:val="none"/>
                <w14:textFill>
                  <w14:solidFill>
                    <w14:schemeClr w14:val="tx1"/>
                  </w14:solidFill>
                </w14:textFill>
              </w:rPr>
              <w:t>进行防渗、防腐处理，接触地面水泥硬化，防渗系数小于10</w:t>
            </w:r>
            <w:r>
              <w:rPr>
                <w:color w:val="000000" w:themeColor="text1"/>
                <w:sz w:val="21"/>
                <w:highlight w:val="none"/>
                <w:vertAlign w:val="superscript"/>
                <w14:textFill>
                  <w14:solidFill>
                    <w14:schemeClr w14:val="tx1"/>
                  </w14:solidFill>
                </w14:textFill>
              </w:rPr>
              <w:t>-7</w:t>
            </w:r>
            <w:r>
              <w:rPr>
                <w:color w:val="000000" w:themeColor="text1"/>
                <w:sz w:val="21"/>
                <w:highlight w:val="none"/>
                <w14:textFill>
                  <w14:solidFill>
                    <w14:schemeClr w14:val="tx1"/>
                  </w14:solidFill>
                </w14:textFill>
              </w:rPr>
              <w:t>cm/s</w:t>
            </w:r>
            <w:r>
              <w:rPr>
                <w:rFonts w:hint="eastAsia"/>
                <w:color w:val="000000" w:themeColor="text1"/>
                <w:sz w:val="21"/>
                <w:highlight w:val="none"/>
                <w14:textFill>
                  <w14:solidFill>
                    <w14:schemeClr w14:val="tx1"/>
                  </w14:solidFill>
                </w14:textFill>
              </w:rPr>
              <w:t>，等效黏土防渗层</w:t>
            </w:r>
            <w:r>
              <w:rPr>
                <w:color w:val="000000" w:themeColor="text1"/>
                <w:sz w:val="21"/>
                <w:highlight w:val="none"/>
                <w14:textFill>
                  <w14:solidFill>
                    <w14:schemeClr w14:val="tx1"/>
                  </w14:solidFill>
                </w14:textFill>
              </w:rPr>
              <w:t>Mb≥6.0m</w:t>
            </w:r>
            <w:r>
              <w:rPr>
                <w:rFonts w:hint="eastAsia"/>
                <w:color w:val="000000" w:themeColor="text1"/>
                <w:sz w:val="21"/>
                <w:highlight w:val="none"/>
                <w14:textFill>
                  <w14:solidFill>
                    <w14:schemeClr w14:val="tx1"/>
                  </w14:solidFill>
                </w14:textFill>
              </w:rPr>
              <w:t>；</w:t>
            </w:r>
            <w:r>
              <w:rPr>
                <w:color w:val="000000" w:themeColor="text1"/>
                <w:sz w:val="21"/>
                <w:highlight w:val="none"/>
                <w14:textFill>
                  <w14:solidFill>
                    <w14:schemeClr w14:val="tx1"/>
                  </w14:solidFill>
                </w14:textFill>
              </w:rPr>
              <w:t>对除其他以上区域地面进行简单硬化。</w:t>
            </w:r>
          </w:p>
        </w:tc>
      </w:tr>
      <w:tr w14:paraId="52F522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1" w:hRule="atLeast"/>
          <w:jc w:val="center"/>
        </w:trPr>
        <w:tc>
          <w:tcPr>
            <w:tcW w:w="1105" w:type="dxa"/>
            <w:noWrap w:val="0"/>
            <w:vAlign w:val="center"/>
          </w:tcPr>
          <w:p w14:paraId="5C3B522A">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生态保护措施</w:t>
            </w:r>
          </w:p>
        </w:tc>
        <w:tc>
          <w:tcPr>
            <w:tcW w:w="7695" w:type="dxa"/>
            <w:gridSpan w:val="4"/>
            <w:noWrap w:val="0"/>
            <w:vAlign w:val="center"/>
          </w:tcPr>
          <w:p w14:paraId="7B20D80A">
            <w:pPr>
              <w:pStyle w:val="8"/>
              <w:shd w:val="clear" w:color="auto" w:fill="auto"/>
              <w:rPr>
                <w:rFonts w:hint="eastAsia"/>
                <w:color w:val="000000" w:themeColor="text1"/>
                <w:sz w:val="21"/>
                <w:highlight w:val="none"/>
                <w14:textFill>
                  <w14:solidFill>
                    <w14:schemeClr w14:val="tx1"/>
                  </w14:solidFill>
                </w14:textFill>
              </w:rPr>
            </w:pPr>
            <w:r>
              <w:rPr>
                <w:rFonts w:hint="eastAsia"/>
                <w:color w:val="000000" w:themeColor="text1"/>
                <w:sz w:val="21"/>
                <w:highlight w:val="none"/>
                <w14:textFill>
                  <w14:solidFill>
                    <w14:schemeClr w14:val="tx1"/>
                  </w14:solidFill>
                </w14:textFill>
              </w:rPr>
              <w:t>不涉及。</w:t>
            </w:r>
          </w:p>
        </w:tc>
      </w:tr>
      <w:tr w14:paraId="1A371E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46" w:hRule="atLeast"/>
          <w:jc w:val="center"/>
        </w:trPr>
        <w:tc>
          <w:tcPr>
            <w:tcW w:w="1105" w:type="dxa"/>
            <w:noWrap w:val="0"/>
            <w:vAlign w:val="center"/>
          </w:tcPr>
          <w:p w14:paraId="63362C6C">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环境风险防范措施</w:t>
            </w:r>
          </w:p>
        </w:tc>
        <w:tc>
          <w:tcPr>
            <w:tcW w:w="7695" w:type="dxa"/>
            <w:gridSpan w:val="4"/>
            <w:noWrap w:val="0"/>
            <w:vAlign w:val="center"/>
          </w:tcPr>
          <w:p w14:paraId="59449B05">
            <w:pPr>
              <w:shd w:val="clear" w:color="auto" w:fill="auto"/>
              <w:spacing w:line="240" w:lineRule="auto"/>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（1）</w:t>
            </w:r>
            <w:r>
              <w:rPr>
                <w:color w:val="000000" w:themeColor="text1"/>
                <w:sz w:val="21"/>
                <w:szCs w:val="21"/>
                <w:highlight w:val="none"/>
                <w14:textFill>
                  <w14:solidFill>
                    <w14:schemeClr w14:val="tx1"/>
                  </w14:solidFill>
                </w14:textFill>
              </w:rPr>
              <w:t>加强消防设施和灭火器材的配备，严格落实有关消防技术规范的规定，加强人员疏散设施管理，保证疏散通道畅通；定期进行防火安全检查，确保消防设施完整好用；公司要求职工应遵守各项规章制度，杜绝“三违”（违章作业、违章指挥、违反劳动纪律），作业时要遵守各项规定（如动火、高处作业、进入设备作业等规定）、要求，确保安全生产；公司强化安全、消防和环保管理，完善环保安全管理机构，完善各项管理制度，加强日常监督检查；厂区内严禁烟火，严格动火审批制度，进料车辆必须戴阻火器。</w:t>
            </w:r>
          </w:p>
          <w:p w14:paraId="686DFDEE">
            <w:pPr>
              <w:shd w:val="clear" w:color="auto" w:fill="auto"/>
              <w:spacing w:line="240" w:lineRule="auto"/>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（2）</w:t>
            </w:r>
            <w:r>
              <w:rPr>
                <w:color w:val="000000" w:themeColor="text1"/>
                <w:sz w:val="21"/>
                <w:szCs w:val="21"/>
                <w:highlight w:val="none"/>
                <w14:textFill>
                  <w14:solidFill>
                    <w14:schemeClr w14:val="tx1"/>
                  </w14:solidFill>
                </w14:textFill>
              </w:rPr>
              <w:t>本项目</w:t>
            </w:r>
            <w:r>
              <w:rPr>
                <w:rFonts w:hint="eastAsia"/>
                <w:color w:val="000000" w:themeColor="text1"/>
                <w:sz w:val="21"/>
                <w:szCs w:val="21"/>
                <w:highlight w:val="none"/>
                <w14:textFill>
                  <w14:solidFill>
                    <w14:schemeClr w14:val="tx1"/>
                  </w14:solidFill>
                </w14:textFill>
              </w:rPr>
              <w:t>自硬呋喃树脂、磺酸固化剂、机油、</w:t>
            </w:r>
            <w:r>
              <w:rPr>
                <w:rFonts w:hint="eastAsia"/>
                <w:color w:val="000000" w:themeColor="text1"/>
                <w:sz w:val="21"/>
                <w:szCs w:val="21"/>
                <w:highlight w:val="none"/>
                <w:lang w:eastAsia="zh-CN"/>
                <w14:textFill>
                  <w14:solidFill>
                    <w14:schemeClr w14:val="tx1"/>
                  </w14:solidFill>
                </w14:textFill>
              </w:rPr>
              <w:t>水性丙烯酸聚氨酯面漆</w:t>
            </w:r>
            <w:r>
              <w:rPr>
                <w:rFonts w:hint="eastAsia"/>
                <w:color w:val="000000" w:themeColor="text1"/>
                <w:sz w:val="21"/>
                <w:szCs w:val="21"/>
                <w:highlight w:val="none"/>
                <w14:textFill>
                  <w14:solidFill>
                    <w14:schemeClr w14:val="tx1"/>
                  </w14:solidFill>
                </w14:textFill>
              </w:rPr>
              <w:t>、乳化液、脱模剂</w:t>
            </w:r>
            <w:r>
              <w:rPr>
                <w:color w:val="000000" w:themeColor="text1"/>
                <w:sz w:val="21"/>
                <w:szCs w:val="21"/>
                <w:highlight w:val="none"/>
                <w14:textFill>
                  <w14:solidFill>
                    <w14:schemeClr w14:val="tx1"/>
                  </w14:solidFill>
                </w14:textFill>
              </w:rPr>
              <w:t>单独设置储存区，储存区设置1个长</w:t>
            </w:r>
            <w:r>
              <w:rPr>
                <w:rFonts w:hint="eastAsia"/>
                <w:color w:val="000000" w:themeColor="text1"/>
                <w:sz w:val="21"/>
                <w:szCs w:val="21"/>
                <w:highlight w:val="none"/>
                <w14:textFill>
                  <w14:solidFill>
                    <w14:schemeClr w14:val="tx1"/>
                  </w14:solidFill>
                </w14:textFill>
              </w:rPr>
              <w:t>1</w:t>
            </w:r>
            <w:r>
              <w:rPr>
                <w:color w:val="000000" w:themeColor="text1"/>
                <w:sz w:val="21"/>
                <w:szCs w:val="21"/>
                <w:highlight w:val="none"/>
                <w14:textFill>
                  <w14:solidFill>
                    <w14:schemeClr w14:val="tx1"/>
                  </w14:solidFill>
                </w14:textFill>
              </w:rPr>
              <w:t>m，宽</w:t>
            </w:r>
            <w:r>
              <w:rPr>
                <w:rFonts w:hint="eastAsia"/>
                <w:color w:val="000000" w:themeColor="text1"/>
                <w:sz w:val="21"/>
                <w:szCs w:val="21"/>
                <w:highlight w:val="none"/>
                <w:lang w:val="en-US" w:eastAsia="zh-CN"/>
                <w14:textFill>
                  <w14:solidFill>
                    <w14:schemeClr w14:val="tx1"/>
                  </w14:solidFill>
                </w14:textFill>
              </w:rPr>
              <w:t>1</w:t>
            </w:r>
            <w:r>
              <w:rPr>
                <w:color w:val="000000" w:themeColor="text1"/>
                <w:sz w:val="21"/>
                <w:szCs w:val="21"/>
                <w:highlight w:val="none"/>
                <w14:textFill>
                  <w14:solidFill>
                    <w14:schemeClr w14:val="tx1"/>
                  </w14:solidFill>
                </w14:textFill>
              </w:rPr>
              <w:t>m，高0.5m，</w:t>
            </w:r>
            <w:r>
              <w:rPr>
                <w:rFonts w:hint="eastAsia"/>
                <w:color w:val="000000" w:themeColor="text1"/>
                <w:sz w:val="21"/>
                <w:szCs w:val="21"/>
                <w:highlight w:val="none"/>
                <w14:textFill>
                  <w14:solidFill>
                    <w14:schemeClr w14:val="tx1"/>
                  </w14:solidFill>
                </w14:textFill>
              </w:rPr>
              <w:t>容积0.5m3的集液池，集液池容积能够满足最大存储量的泄漏，地面采取防渗，设置警示标识等</w:t>
            </w:r>
            <w:r>
              <w:rPr>
                <w:color w:val="000000" w:themeColor="text1"/>
                <w:sz w:val="21"/>
                <w:szCs w:val="21"/>
                <w:highlight w:val="none"/>
                <w14:textFill>
                  <w14:solidFill>
                    <w14:schemeClr w14:val="tx1"/>
                  </w14:solidFill>
                </w14:textFill>
              </w:rPr>
              <w:t>；储存区严禁明火，严格遵守操作规程，避免因操作失误发生事故；配备相应的堵漏材料（砂袋、灭火器等）；</w:t>
            </w:r>
            <w:r>
              <w:rPr>
                <w:rFonts w:hint="eastAsia"/>
                <w:color w:val="000000" w:themeColor="text1"/>
                <w:sz w:val="21"/>
                <w:szCs w:val="21"/>
                <w:highlight w:val="none"/>
                <w14:textFill>
                  <w14:solidFill>
                    <w14:schemeClr w14:val="tx1"/>
                  </w14:solidFill>
                </w14:textFill>
              </w:rPr>
              <w:t>本项目危化品间发现泄漏时</w:t>
            </w:r>
            <w:r>
              <w:rPr>
                <w:color w:val="000000" w:themeColor="text1"/>
                <w:sz w:val="21"/>
                <w:szCs w:val="21"/>
                <w:highlight w:val="none"/>
                <w14:textFill>
                  <w14:solidFill>
                    <w14:schemeClr w14:val="tx1"/>
                  </w14:solidFill>
                </w14:textFill>
              </w:rPr>
              <w:t>，立即用砂袋、吸油毡吸附清理，且地面做好防渗措施，并转移至危废间内，由危废处置单位接收、转运、处置。</w:t>
            </w:r>
          </w:p>
          <w:p w14:paraId="70BEDE1F">
            <w:pPr>
              <w:pStyle w:val="4"/>
              <w:shd w:val="clear" w:color="auto" w:fill="auto"/>
              <w:spacing w:before="0" w:after="0" w:line="240" w:lineRule="auto"/>
              <w:rPr>
                <w:color w:val="000000" w:themeColor="text1"/>
                <w:sz w:val="21"/>
                <w:szCs w:val="21"/>
                <w:highlight w:val="none"/>
                <w14:textFill>
                  <w14:solidFill>
                    <w14:schemeClr w14:val="tx1"/>
                  </w14:solidFill>
                </w14:textFill>
              </w:rPr>
            </w:pPr>
            <w:r>
              <w:rPr>
                <w:rFonts w:hint="eastAsia"/>
                <w:b w:val="0"/>
                <w:bCs w:val="0"/>
                <w:color w:val="000000" w:themeColor="text1"/>
                <w:sz w:val="21"/>
                <w:szCs w:val="21"/>
                <w:highlight w:val="none"/>
                <w14:textFill>
                  <w14:solidFill>
                    <w14:schemeClr w14:val="tx1"/>
                  </w14:solidFill>
                </w14:textFill>
              </w:rPr>
              <w:t>（3）</w:t>
            </w:r>
            <w:r>
              <w:rPr>
                <w:b w:val="0"/>
                <w:bCs w:val="0"/>
                <w:color w:val="000000" w:themeColor="text1"/>
                <w:sz w:val="21"/>
                <w:szCs w:val="21"/>
                <w:highlight w:val="none"/>
                <w14:textFill>
                  <w14:solidFill>
                    <w14:schemeClr w14:val="tx1"/>
                  </w14:solidFill>
                </w14:textFill>
              </w:rPr>
              <w:t>采用优质管材，按管道设计规范设计，对管道采用优质防腐材料；严格控制天然气的气质，定期清管，排除管内的积水和污染物，以减轻管道内的腐蚀；加强管线的日常巡视，设置管线责任段、责任人和事故第一报警制度，发现问题及时处理；严把检修质量关，按期对管线进行检验，加强对安全附件的管理，定期进行校验，达到完美备用。</w:t>
            </w:r>
          </w:p>
        </w:tc>
      </w:tr>
      <w:tr w14:paraId="7FF06E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02" w:hRule="atLeast"/>
          <w:jc w:val="center"/>
        </w:trPr>
        <w:tc>
          <w:tcPr>
            <w:tcW w:w="1105" w:type="dxa"/>
            <w:noWrap w:val="0"/>
            <w:vAlign w:val="center"/>
          </w:tcPr>
          <w:p w14:paraId="019DDC92">
            <w:pPr>
              <w:pStyle w:val="95"/>
              <w:shd w:val="clear" w:color="auto" w:fill="auto"/>
              <w:rPr>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其他环</w:t>
            </w:r>
          </w:p>
          <w:p w14:paraId="243C21BE">
            <w:pPr>
              <w:pStyle w:val="95"/>
              <w:shd w:val="clear" w:color="auto" w:fill="auto"/>
              <w:rPr>
                <w:rFonts w:hint="eastAsia"/>
                <w:color w:val="000000" w:themeColor="text1"/>
                <w:sz w:val="21"/>
                <w:szCs w:val="21"/>
                <w:highlight w:val="none"/>
                <w14:textFill>
                  <w14:solidFill>
                    <w14:schemeClr w14:val="tx1"/>
                  </w14:solidFill>
                </w14:textFill>
              </w:rPr>
            </w:pPr>
            <w:r>
              <w:rPr>
                <w:rFonts w:hint="eastAsia"/>
                <w:color w:val="000000" w:themeColor="text1"/>
                <w:sz w:val="21"/>
                <w:szCs w:val="21"/>
                <w:highlight w:val="none"/>
                <w14:textFill>
                  <w14:solidFill>
                    <w14:schemeClr w14:val="tx1"/>
                  </w14:solidFill>
                </w14:textFill>
              </w:rPr>
              <w:t>管理要求</w:t>
            </w:r>
          </w:p>
        </w:tc>
        <w:tc>
          <w:tcPr>
            <w:tcW w:w="7695" w:type="dxa"/>
            <w:gridSpan w:val="4"/>
            <w:noWrap w:val="0"/>
            <w:vAlign w:val="center"/>
          </w:tcPr>
          <w:p w14:paraId="011CA44D">
            <w:pPr>
              <w:pStyle w:val="8"/>
              <w:shd w:val="clear" w:color="auto" w:fill="auto"/>
              <w:jc w:val="left"/>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w:t>1、根据生态环境部办公厅2018年5月16日印发《建设项目竣工环境保护验收技术指南 污染影响类》中相关规定，对本项目进行验收</w:t>
            </w:r>
            <w:r>
              <w:rPr>
                <w:rFonts w:hint="eastAsia"/>
                <w:color w:val="000000" w:themeColor="text1"/>
                <w:sz w:val="21"/>
                <w:highlight w:val="none"/>
                <w14:textFill>
                  <w14:solidFill>
                    <w14:schemeClr w14:val="tx1"/>
                  </w14:solidFill>
                </w14:textFill>
              </w:rPr>
              <w:t>。</w:t>
            </w:r>
          </w:p>
          <w:p w14:paraId="778A9F0D">
            <w:pPr>
              <w:pStyle w:val="8"/>
              <w:shd w:val="clear" w:color="auto" w:fill="auto"/>
              <w:jc w:val="left"/>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w:t>2、按照</w:t>
            </w:r>
            <w:r>
              <w:rPr>
                <w:rFonts w:hint="eastAsia"/>
                <w:color w:val="000000" w:themeColor="text1"/>
                <w:sz w:val="21"/>
                <w:highlight w:val="none"/>
                <w14:textFill>
                  <w14:solidFill>
                    <w14:schemeClr w14:val="tx1"/>
                  </w14:solidFill>
                </w14:textFill>
              </w:rPr>
              <w:t>《排污许可证申请与核发技术规范 金属铸造工业》（HJ1115-2020）</w:t>
            </w:r>
            <w:r>
              <w:rPr>
                <w:color w:val="000000" w:themeColor="text1"/>
                <w:sz w:val="21"/>
                <w:highlight w:val="none"/>
                <w14:textFill>
                  <w14:solidFill>
                    <w14:schemeClr w14:val="tx1"/>
                  </w14:solidFill>
                </w14:textFill>
              </w:rPr>
              <w:t>申请排污许可证</w:t>
            </w:r>
            <w:r>
              <w:rPr>
                <w:rFonts w:hint="eastAsia"/>
                <w:color w:val="000000" w:themeColor="text1"/>
                <w:sz w:val="21"/>
                <w:highlight w:val="none"/>
                <w14:textFill>
                  <w14:solidFill>
                    <w14:schemeClr w14:val="tx1"/>
                  </w14:solidFill>
                </w14:textFill>
              </w:rPr>
              <w:t>。</w:t>
            </w:r>
          </w:p>
          <w:p w14:paraId="6D023313">
            <w:pPr>
              <w:pStyle w:val="8"/>
              <w:shd w:val="clear" w:color="auto" w:fill="auto"/>
              <w:jc w:val="left"/>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w:t>3、废水排放口、固定噪声源、固体废物贮存和危险废物间必须按照《江西省排污口设置与规范化整治管理办法》进行建设，应符合</w:t>
            </w:r>
            <w:r>
              <w:rPr>
                <w:rFonts w:hint="eastAsia"/>
                <w:color w:val="000000" w:themeColor="text1"/>
                <w:sz w:val="21"/>
                <w:highlight w:val="none"/>
                <w14:textFill>
                  <w14:solidFill>
                    <w14:schemeClr w14:val="tx1"/>
                  </w14:solidFill>
                </w14:textFill>
              </w:rPr>
              <w:t>“</w:t>
            </w:r>
            <w:r>
              <w:rPr>
                <w:color w:val="000000" w:themeColor="text1"/>
                <w:sz w:val="21"/>
                <w:highlight w:val="none"/>
                <w14:textFill>
                  <w14:solidFill>
                    <w14:schemeClr w14:val="tx1"/>
                  </w14:solidFill>
                </w14:textFill>
              </w:rPr>
              <w:t>一明显、二合理、三便于</w:t>
            </w:r>
            <w:r>
              <w:rPr>
                <w:rFonts w:hint="eastAsia"/>
                <w:color w:val="000000" w:themeColor="text1"/>
                <w:sz w:val="21"/>
                <w:highlight w:val="none"/>
                <w14:textFill>
                  <w14:solidFill>
                    <w14:schemeClr w14:val="tx1"/>
                  </w14:solidFill>
                </w14:textFill>
              </w:rPr>
              <w:t>”</w:t>
            </w:r>
            <w:r>
              <w:rPr>
                <w:color w:val="000000" w:themeColor="text1"/>
                <w:sz w:val="21"/>
                <w:highlight w:val="none"/>
                <w14:textFill>
                  <w14:solidFill>
                    <w14:schemeClr w14:val="tx1"/>
                  </w14:solidFill>
                </w14:textFill>
              </w:rPr>
              <w:t>的要求，即环保标志明显，排污口设置合理，便于采集样品、便于监测计量、便于公众参与和监督管理。同时要求按照《环境保护图形标志实施细则（试行）》（环监</w:t>
            </w:r>
            <w:r>
              <w:rPr>
                <w:rFonts w:hint="eastAsia"/>
                <w:color w:val="000000" w:themeColor="text1"/>
                <w:sz w:val="21"/>
                <w:highlight w:val="none"/>
                <w:lang w:eastAsia="zh-CN"/>
                <w14:textFill>
                  <w14:solidFill>
                    <w14:schemeClr w14:val="tx1"/>
                  </w14:solidFill>
                </w14:textFill>
              </w:rPr>
              <w:t>〔</w:t>
            </w:r>
            <w:r>
              <w:rPr>
                <w:color w:val="000000" w:themeColor="text1"/>
                <w:sz w:val="21"/>
                <w:highlight w:val="none"/>
                <w14:textFill>
                  <w14:solidFill>
                    <w14:schemeClr w14:val="tx1"/>
                  </w14:solidFill>
                </w14:textFill>
              </w:rPr>
              <w:t>1996</w:t>
            </w:r>
            <w:r>
              <w:rPr>
                <w:rFonts w:hint="eastAsia"/>
                <w:color w:val="000000" w:themeColor="text1"/>
                <w:sz w:val="21"/>
                <w:highlight w:val="none"/>
                <w:lang w:eastAsia="zh-CN"/>
                <w14:textFill>
                  <w14:solidFill>
                    <w14:schemeClr w14:val="tx1"/>
                  </w14:solidFill>
                </w14:textFill>
              </w:rPr>
              <w:t>〕</w:t>
            </w:r>
            <w:r>
              <w:rPr>
                <w:color w:val="000000" w:themeColor="text1"/>
                <w:sz w:val="21"/>
                <w:highlight w:val="none"/>
                <w14:textFill>
                  <w14:solidFill>
                    <w14:schemeClr w14:val="tx1"/>
                  </w14:solidFill>
                </w14:textFill>
              </w:rPr>
              <w:t>463号）的规定，设置与排污口相应的图形标志牌。</w:t>
            </w:r>
          </w:p>
          <w:p w14:paraId="082ECB15">
            <w:pPr>
              <w:pStyle w:val="8"/>
              <w:shd w:val="clear" w:color="auto" w:fill="auto"/>
              <w:jc w:val="left"/>
              <w:rPr>
                <w:color w:val="000000" w:themeColor="text1"/>
                <w:sz w:val="21"/>
                <w:highlight w:val="none"/>
                <w14:textFill>
                  <w14:solidFill>
                    <w14:schemeClr w14:val="tx1"/>
                  </w14:solidFill>
                </w14:textFill>
              </w:rPr>
            </w:pPr>
            <w:r>
              <w:rPr>
                <w:color w:val="000000" w:themeColor="text1"/>
                <w:sz w:val="21"/>
                <w:highlight w:val="none"/>
                <w14:textFill>
                  <w14:solidFill>
                    <w14:schemeClr w14:val="tx1"/>
                  </w14:solidFill>
                </w14:textFill>
              </w:rPr>
              <w:t>4、</w:t>
            </w:r>
            <w:r>
              <w:rPr>
                <w:rFonts w:hint="eastAsia"/>
                <w:color w:val="000000" w:themeColor="text1"/>
                <w:sz w:val="21"/>
                <w:highlight w:val="none"/>
                <w14:textFill>
                  <w14:solidFill>
                    <w14:schemeClr w14:val="tx1"/>
                  </w14:solidFill>
                </w14:textFill>
              </w:rPr>
              <w:t>制定环境管理制度及台账。</w:t>
            </w:r>
          </w:p>
          <w:p w14:paraId="296E5D41">
            <w:pPr>
              <w:pStyle w:val="8"/>
              <w:shd w:val="clear" w:color="auto" w:fill="auto"/>
              <w:jc w:val="left"/>
              <w:rPr>
                <w:rFonts w:hint="eastAsia" w:eastAsia="宋体"/>
                <w:color w:val="000000" w:themeColor="text1"/>
                <w:sz w:val="21"/>
                <w:highlight w:val="none"/>
                <w:lang w:eastAsia="zh-CN"/>
                <w14:textFill>
                  <w14:solidFill>
                    <w14:schemeClr w14:val="tx1"/>
                  </w14:solidFill>
                </w14:textFill>
              </w:rPr>
            </w:pPr>
            <w:r>
              <w:rPr>
                <w:color w:val="000000" w:themeColor="text1"/>
                <w:sz w:val="21"/>
                <w:highlight w:val="none"/>
                <w14:textFill>
                  <w14:solidFill>
                    <w14:schemeClr w14:val="tx1"/>
                  </w14:solidFill>
                </w14:textFill>
              </w:rPr>
              <w:t>5、配置环境风险应急物资，加强员工安全培训强度，安排专人负责环保设施正常运行，定期检修环保设施</w:t>
            </w:r>
            <w:r>
              <w:rPr>
                <w:rFonts w:hint="eastAsia"/>
                <w:color w:val="000000" w:themeColor="text1"/>
                <w:sz w:val="21"/>
                <w:highlight w:val="none"/>
                <w:lang w:eastAsia="zh-CN"/>
                <w14:textFill>
                  <w14:solidFill>
                    <w14:schemeClr w14:val="tx1"/>
                  </w14:solidFill>
                </w14:textFill>
              </w:rPr>
              <w:t>。</w:t>
            </w:r>
          </w:p>
          <w:p w14:paraId="28162401">
            <w:pPr>
              <w:pStyle w:val="8"/>
              <w:shd w:val="clear" w:color="auto" w:fill="auto"/>
              <w:jc w:val="left"/>
              <w:rPr>
                <w:color w:val="000000" w:themeColor="text1"/>
                <w:sz w:val="21"/>
                <w:highlight w:val="none"/>
                <w14:textFill>
                  <w14:solidFill>
                    <w14:schemeClr w14:val="tx1"/>
                  </w14:solidFill>
                </w14:textFill>
              </w:rPr>
            </w:pPr>
          </w:p>
          <w:p w14:paraId="466B291E">
            <w:pPr>
              <w:pStyle w:val="8"/>
              <w:shd w:val="clear" w:color="auto" w:fill="auto"/>
              <w:jc w:val="left"/>
              <w:rPr>
                <w:color w:val="000000" w:themeColor="text1"/>
                <w:sz w:val="21"/>
                <w:highlight w:val="none"/>
                <w14:textFill>
                  <w14:solidFill>
                    <w14:schemeClr w14:val="tx1"/>
                  </w14:solidFill>
                </w14:textFill>
              </w:rPr>
            </w:pPr>
          </w:p>
          <w:p w14:paraId="52A778F5">
            <w:pPr>
              <w:pStyle w:val="8"/>
              <w:shd w:val="clear" w:color="auto" w:fill="auto"/>
              <w:jc w:val="left"/>
              <w:rPr>
                <w:color w:val="000000" w:themeColor="text1"/>
                <w:sz w:val="21"/>
                <w:highlight w:val="none"/>
                <w14:textFill>
                  <w14:solidFill>
                    <w14:schemeClr w14:val="tx1"/>
                  </w14:solidFill>
                </w14:textFill>
              </w:rPr>
            </w:pPr>
          </w:p>
          <w:p w14:paraId="35E0DC86">
            <w:pPr>
              <w:pStyle w:val="8"/>
              <w:shd w:val="clear" w:color="auto" w:fill="auto"/>
              <w:jc w:val="left"/>
              <w:rPr>
                <w:color w:val="000000" w:themeColor="text1"/>
                <w:sz w:val="21"/>
                <w:highlight w:val="none"/>
                <w14:textFill>
                  <w14:solidFill>
                    <w14:schemeClr w14:val="tx1"/>
                  </w14:solidFill>
                </w14:textFill>
              </w:rPr>
            </w:pPr>
          </w:p>
          <w:p w14:paraId="729006EB">
            <w:pPr>
              <w:pStyle w:val="8"/>
              <w:shd w:val="clear" w:color="auto" w:fill="auto"/>
              <w:jc w:val="left"/>
              <w:rPr>
                <w:color w:val="000000" w:themeColor="text1"/>
                <w:sz w:val="21"/>
                <w:highlight w:val="none"/>
                <w14:textFill>
                  <w14:solidFill>
                    <w14:schemeClr w14:val="tx1"/>
                  </w14:solidFill>
                </w14:textFill>
              </w:rPr>
            </w:pPr>
          </w:p>
          <w:p w14:paraId="3C61C82B">
            <w:pPr>
              <w:pStyle w:val="8"/>
              <w:shd w:val="clear" w:color="auto" w:fill="auto"/>
              <w:jc w:val="left"/>
              <w:rPr>
                <w:color w:val="000000" w:themeColor="text1"/>
                <w:sz w:val="21"/>
                <w:highlight w:val="none"/>
                <w14:textFill>
                  <w14:solidFill>
                    <w14:schemeClr w14:val="tx1"/>
                  </w14:solidFill>
                </w14:textFill>
              </w:rPr>
            </w:pPr>
          </w:p>
          <w:p w14:paraId="67C5F5E7">
            <w:pPr>
              <w:pStyle w:val="8"/>
              <w:shd w:val="clear" w:color="auto" w:fill="auto"/>
              <w:jc w:val="left"/>
              <w:rPr>
                <w:color w:val="000000" w:themeColor="text1"/>
                <w:sz w:val="21"/>
                <w:highlight w:val="none"/>
                <w14:textFill>
                  <w14:solidFill>
                    <w14:schemeClr w14:val="tx1"/>
                  </w14:solidFill>
                </w14:textFill>
              </w:rPr>
            </w:pPr>
          </w:p>
          <w:p w14:paraId="11102F83">
            <w:pPr>
              <w:pStyle w:val="8"/>
              <w:shd w:val="clear" w:color="auto" w:fill="auto"/>
              <w:jc w:val="left"/>
              <w:rPr>
                <w:color w:val="000000" w:themeColor="text1"/>
                <w:sz w:val="21"/>
                <w:highlight w:val="none"/>
                <w14:textFill>
                  <w14:solidFill>
                    <w14:schemeClr w14:val="tx1"/>
                  </w14:solidFill>
                </w14:textFill>
              </w:rPr>
            </w:pPr>
          </w:p>
          <w:p w14:paraId="7F2A6C4B">
            <w:pPr>
              <w:pStyle w:val="8"/>
              <w:shd w:val="clear" w:color="auto" w:fill="auto"/>
              <w:jc w:val="left"/>
              <w:rPr>
                <w:color w:val="000000" w:themeColor="text1"/>
                <w:sz w:val="21"/>
                <w:highlight w:val="none"/>
                <w14:textFill>
                  <w14:solidFill>
                    <w14:schemeClr w14:val="tx1"/>
                  </w14:solidFill>
                </w14:textFill>
              </w:rPr>
            </w:pPr>
          </w:p>
          <w:p w14:paraId="354567E8">
            <w:pPr>
              <w:pStyle w:val="8"/>
              <w:shd w:val="clear" w:color="auto" w:fill="auto"/>
              <w:jc w:val="left"/>
              <w:rPr>
                <w:color w:val="000000" w:themeColor="text1"/>
                <w:sz w:val="21"/>
                <w:highlight w:val="none"/>
                <w14:textFill>
                  <w14:solidFill>
                    <w14:schemeClr w14:val="tx1"/>
                  </w14:solidFill>
                </w14:textFill>
              </w:rPr>
            </w:pPr>
          </w:p>
          <w:p w14:paraId="05320016">
            <w:pPr>
              <w:pStyle w:val="8"/>
              <w:shd w:val="clear" w:color="auto" w:fill="auto"/>
              <w:jc w:val="left"/>
              <w:rPr>
                <w:color w:val="000000" w:themeColor="text1"/>
                <w:sz w:val="21"/>
                <w:highlight w:val="none"/>
                <w14:textFill>
                  <w14:solidFill>
                    <w14:schemeClr w14:val="tx1"/>
                  </w14:solidFill>
                </w14:textFill>
              </w:rPr>
            </w:pPr>
          </w:p>
          <w:p w14:paraId="6ED2D8A0">
            <w:pPr>
              <w:pStyle w:val="8"/>
              <w:shd w:val="clear" w:color="auto" w:fill="auto"/>
              <w:jc w:val="left"/>
              <w:rPr>
                <w:color w:val="000000" w:themeColor="text1"/>
                <w:sz w:val="21"/>
                <w:highlight w:val="none"/>
                <w14:textFill>
                  <w14:solidFill>
                    <w14:schemeClr w14:val="tx1"/>
                  </w14:solidFill>
                </w14:textFill>
              </w:rPr>
            </w:pPr>
          </w:p>
          <w:p w14:paraId="7C77BA3D">
            <w:pPr>
              <w:pStyle w:val="8"/>
              <w:shd w:val="clear" w:color="auto" w:fill="auto"/>
              <w:jc w:val="left"/>
              <w:rPr>
                <w:color w:val="000000" w:themeColor="text1"/>
                <w:sz w:val="21"/>
                <w:highlight w:val="none"/>
                <w14:textFill>
                  <w14:solidFill>
                    <w14:schemeClr w14:val="tx1"/>
                  </w14:solidFill>
                </w14:textFill>
              </w:rPr>
            </w:pPr>
          </w:p>
          <w:p w14:paraId="19B6FEEC">
            <w:pPr>
              <w:pStyle w:val="8"/>
              <w:shd w:val="clear" w:color="auto" w:fill="auto"/>
              <w:jc w:val="left"/>
              <w:rPr>
                <w:color w:val="000000" w:themeColor="text1"/>
                <w:sz w:val="21"/>
                <w:highlight w:val="none"/>
                <w14:textFill>
                  <w14:solidFill>
                    <w14:schemeClr w14:val="tx1"/>
                  </w14:solidFill>
                </w14:textFill>
              </w:rPr>
            </w:pPr>
          </w:p>
          <w:p w14:paraId="55143618">
            <w:pPr>
              <w:pStyle w:val="8"/>
              <w:shd w:val="clear" w:color="auto" w:fill="auto"/>
              <w:jc w:val="left"/>
              <w:rPr>
                <w:color w:val="000000" w:themeColor="text1"/>
                <w:sz w:val="21"/>
                <w:highlight w:val="none"/>
                <w14:textFill>
                  <w14:solidFill>
                    <w14:schemeClr w14:val="tx1"/>
                  </w14:solidFill>
                </w14:textFill>
              </w:rPr>
            </w:pPr>
          </w:p>
          <w:p w14:paraId="75C7545E">
            <w:pPr>
              <w:pStyle w:val="8"/>
              <w:shd w:val="clear" w:color="auto" w:fill="auto"/>
              <w:jc w:val="left"/>
              <w:rPr>
                <w:color w:val="000000" w:themeColor="text1"/>
                <w:sz w:val="21"/>
                <w:highlight w:val="none"/>
                <w14:textFill>
                  <w14:solidFill>
                    <w14:schemeClr w14:val="tx1"/>
                  </w14:solidFill>
                </w14:textFill>
              </w:rPr>
            </w:pPr>
          </w:p>
          <w:p w14:paraId="7C1AC401">
            <w:pPr>
              <w:pStyle w:val="8"/>
              <w:shd w:val="clear" w:color="auto" w:fill="auto"/>
              <w:jc w:val="left"/>
              <w:rPr>
                <w:color w:val="000000" w:themeColor="text1"/>
                <w:sz w:val="21"/>
                <w:highlight w:val="none"/>
                <w14:textFill>
                  <w14:solidFill>
                    <w14:schemeClr w14:val="tx1"/>
                  </w14:solidFill>
                </w14:textFill>
              </w:rPr>
            </w:pPr>
          </w:p>
          <w:p w14:paraId="4D660E6D">
            <w:pPr>
              <w:pStyle w:val="8"/>
              <w:shd w:val="clear" w:color="auto" w:fill="auto"/>
              <w:jc w:val="left"/>
              <w:rPr>
                <w:color w:val="000000" w:themeColor="text1"/>
                <w:sz w:val="21"/>
                <w:highlight w:val="none"/>
                <w14:textFill>
                  <w14:solidFill>
                    <w14:schemeClr w14:val="tx1"/>
                  </w14:solidFill>
                </w14:textFill>
              </w:rPr>
            </w:pPr>
          </w:p>
          <w:p w14:paraId="5390D019">
            <w:pPr>
              <w:pStyle w:val="8"/>
              <w:shd w:val="clear" w:color="auto" w:fill="auto"/>
              <w:jc w:val="left"/>
              <w:rPr>
                <w:color w:val="000000" w:themeColor="text1"/>
                <w:sz w:val="21"/>
                <w:highlight w:val="none"/>
                <w14:textFill>
                  <w14:solidFill>
                    <w14:schemeClr w14:val="tx1"/>
                  </w14:solidFill>
                </w14:textFill>
              </w:rPr>
            </w:pPr>
          </w:p>
          <w:p w14:paraId="3BAA7F97">
            <w:pPr>
              <w:pStyle w:val="8"/>
              <w:shd w:val="clear" w:color="auto" w:fill="auto"/>
              <w:jc w:val="left"/>
              <w:rPr>
                <w:rFonts w:hint="eastAsia"/>
                <w:color w:val="000000" w:themeColor="text1"/>
                <w:sz w:val="21"/>
                <w:highlight w:val="none"/>
                <w14:textFill>
                  <w14:solidFill>
                    <w14:schemeClr w14:val="tx1"/>
                  </w14:solidFill>
                </w14:textFill>
              </w:rPr>
            </w:pPr>
          </w:p>
        </w:tc>
      </w:tr>
    </w:tbl>
    <w:p w14:paraId="19D31A01">
      <w:pPr>
        <w:pStyle w:val="76"/>
        <w:numPr>
          <w:ilvl w:val="0"/>
          <w:numId w:val="10"/>
        </w:numPr>
        <w:shd w:val="clear" w:color="auto" w:fill="auto"/>
        <w:rPr>
          <w:color w:val="000000" w:themeColor="text1"/>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7366B1A9">
      <w:pPr>
        <w:pStyle w:val="2"/>
        <w:shd w:val="clear" w:color="auto" w:fill="auto"/>
        <w:rPr>
          <w:color w:val="000000" w:themeColor="text1"/>
          <w:highlight w:val="none"/>
          <w14:textFill>
            <w14:solidFill>
              <w14:schemeClr w14:val="tx1"/>
            </w14:solidFill>
          </w14:textFill>
        </w:rPr>
      </w:pPr>
      <w:bookmarkStart w:id="7" w:name="_Toc7162"/>
      <w:r>
        <w:rPr>
          <w:rFonts w:hint="eastAsia"/>
          <w:color w:val="000000" w:themeColor="text1"/>
          <w:highlight w:val="none"/>
          <w14:textFill>
            <w14:solidFill>
              <w14:schemeClr w14:val="tx1"/>
            </w14:solidFill>
          </w14:textFill>
        </w:rPr>
        <w:t>六、结</w:t>
      </w:r>
      <w:r>
        <w:rPr>
          <w:color w:val="000000" w:themeColor="text1"/>
          <w:highlight w:val="none"/>
          <w14:textFill>
            <w14:solidFill>
              <w14:schemeClr w14:val="tx1"/>
            </w14:solidFill>
          </w14:textFill>
        </w:rPr>
        <w:t>论</w:t>
      </w:r>
      <w:bookmarkEnd w:id="7"/>
    </w:p>
    <w:tbl>
      <w:tblPr>
        <w:tblStyle w:val="32"/>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fixed"/>
        <w:tblCellMar>
          <w:top w:w="0" w:type="dxa"/>
          <w:left w:w="108" w:type="dxa"/>
          <w:bottom w:w="0" w:type="dxa"/>
          <w:right w:w="108" w:type="dxa"/>
        </w:tblCellMar>
      </w:tblPr>
      <w:tblGrid>
        <w:gridCol w:w="8522"/>
      </w:tblGrid>
      <w:tr w14:paraId="0AA32A87">
        <w:tblPrEx>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PrEx>
        <w:trPr>
          <w:trHeight w:val="12726" w:hRule="atLeast"/>
        </w:trPr>
        <w:tc>
          <w:tcPr>
            <w:tcW w:w="8522" w:type="dxa"/>
            <w:noWrap w:val="0"/>
            <w:vAlign w:val="top"/>
          </w:tcPr>
          <w:p w14:paraId="3C4FA926">
            <w:pPr>
              <w:pStyle w:val="76"/>
              <w:shd w:val="clear" w:color="auto" w:fill="auto"/>
              <w:spacing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本项目符合国家、地方产业政策要求，并且满足 “三线一单”相关要求。</w:t>
            </w:r>
          </w:p>
          <w:p w14:paraId="55FA7405">
            <w:pPr>
              <w:pStyle w:val="76"/>
              <w:shd w:val="clear" w:color="auto" w:fill="auto"/>
              <w:spacing w:line="360" w:lineRule="auto"/>
              <w:ind w:firstLine="480" w:firstLineChars="200"/>
              <w:jc w:val="both"/>
              <w:rPr>
                <w:rFonts w:hint="eastAsia" w:ascii="宋体" w:hAnsi="宋体" w:eastAsia="宋体" w:cs="宋体"/>
                <w:color w:val="000000" w:themeColor="text1"/>
                <w:sz w:val="24"/>
                <w:szCs w:val="24"/>
                <w:highlight w:val="none"/>
                <w14:textFill>
                  <w14:solidFill>
                    <w14:schemeClr w14:val="tx1"/>
                  </w14:solidFill>
                </w14:textFill>
              </w:rPr>
            </w:pPr>
            <w:r>
              <w:rPr>
                <w:rFonts w:hint="eastAsia" w:ascii="宋体" w:hAnsi="宋体" w:eastAsia="宋体" w:cs="宋体"/>
                <w:color w:val="000000" w:themeColor="text1"/>
                <w:sz w:val="24"/>
                <w:szCs w:val="24"/>
                <w:highlight w:val="none"/>
                <w14:textFill>
                  <w14:solidFill>
                    <w14:schemeClr w14:val="tx1"/>
                  </w14:solidFill>
                </w14:textFill>
              </w:rPr>
              <w:t>同时各类污染物采取的防治措施可行，经本评价提出的污染防治措施治理后均可达标排放，对环境影响较小；环境风险在可控和可接受程度内，风险防范措施技术可行。因此，在落实各项污染防治、生态保护措施后，从环境保护角度，本项目建设是可行的。</w:t>
            </w:r>
          </w:p>
          <w:p w14:paraId="15EB3904">
            <w:pPr>
              <w:pStyle w:val="76"/>
              <w:shd w:val="clear" w:color="auto" w:fill="auto"/>
              <w:jc w:val="both"/>
              <w:rPr>
                <w:color w:val="000000" w:themeColor="text1"/>
                <w:sz w:val="21"/>
                <w:szCs w:val="21"/>
                <w:highlight w:val="none"/>
                <w14:textFill>
                  <w14:solidFill>
                    <w14:schemeClr w14:val="tx1"/>
                  </w14:solidFill>
                </w14:textFill>
              </w:rPr>
            </w:pPr>
          </w:p>
          <w:p w14:paraId="096933CA">
            <w:pPr>
              <w:pStyle w:val="76"/>
              <w:shd w:val="clear" w:color="auto" w:fill="auto"/>
              <w:jc w:val="both"/>
              <w:rPr>
                <w:color w:val="000000" w:themeColor="text1"/>
                <w:sz w:val="21"/>
                <w:szCs w:val="21"/>
                <w:highlight w:val="none"/>
                <w14:textFill>
                  <w14:solidFill>
                    <w14:schemeClr w14:val="tx1"/>
                  </w14:solidFill>
                </w14:textFill>
              </w:rPr>
            </w:pPr>
          </w:p>
          <w:p w14:paraId="41DFFF02">
            <w:pPr>
              <w:pStyle w:val="76"/>
              <w:shd w:val="clear" w:color="auto" w:fill="auto"/>
              <w:jc w:val="both"/>
              <w:rPr>
                <w:color w:val="000000" w:themeColor="text1"/>
                <w:sz w:val="21"/>
                <w:szCs w:val="21"/>
                <w:highlight w:val="none"/>
                <w14:textFill>
                  <w14:solidFill>
                    <w14:schemeClr w14:val="tx1"/>
                  </w14:solidFill>
                </w14:textFill>
              </w:rPr>
            </w:pPr>
          </w:p>
          <w:p w14:paraId="76F425AE">
            <w:pPr>
              <w:pStyle w:val="76"/>
              <w:shd w:val="clear" w:color="auto" w:fill="auto"/>
              <w:jc w:val="both"/>
              <w:rPr>
                <w:color w:val="000000" w:themeColor="text1"/>
                <w:sz w:val="21"/>
                <w:szCs w:val="21"/>
                <w:highlight w:val="none"/>
                <w14:textFill>
                  <w14:solidFill>
                    <w14:schemeClr w14:val="tx1"/>
                  </w14:solidFill>
                </w14:textFill>
              </w:rPr>
            </w:pPr>
          </w:p>
        </w:tc>
      </w:tr>
    </w:tbl>
    <w:p w14:paraId="0838F083">
      <w:pPr>
        <w:pStyle w:val="76"/>
        <w:shd w:val="clear" w:color="auto" w:fill="auto"/>
        <w:jc w:val="both"/>
        <w:rPr>
          <w:color w:val="000000" w:themeColor="text1"/>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4B378E06">
      <w:pPr>
        <w:shd w:val="clear" w:color="auto" w:fill="auto"/>
        <w:spacing w:before="30" w:line="399" w:lineRule="exact"/>
        <w:ind w:left="111" w:firstLine="0" w:firstLineChars="0"/>
        <w:rPr>
          <w:rFonts w:hint="eastAsia" w:ascii="黑体" w:eastAsia="黑体" w:cs="宋体"/>
          <w:color w:val="000000" w:themeColor="text1"/>
          <w:kern w:val="0"/>
          <w:sz w:val="32"/>
          <w:szCs w:val="22"/>
          <w:highlight w:val="none"/>
          <w:lang w:val="zh-CN" w:bidi="zh-CN"/>
          <w14:textFill>
            <w14:solidFill>
              <w14:schemeClr w14:val="tx1"/>
            </w14:solidFill>
          </w14:textFill>
        </w:rPr>
      </w:pPr>
      <w:r>
        <w:rPr>
          <w:rFonts w:hint="eastAsia" w:ascii="黑体" w:eastAsia="黑体" w:cs="宋体"/>
          <w:color w:val="000000" w:themeColor="text1"/>
          <w:kern w:val="0"/>
          <w:sz w:val="32"/>
          <w:szCs w:val="22"/>
          <w:highlight w:val="none"/>
          <w:lang w:val="zh-CN" w:bidi="zh-CN"/>
          <w14:textFill>
            <w14:solidFill>
              <w14:schemeClr w14:val="tx1"/>
            </w14:solidFill>
          </w14:textFill>
        </w:rPr>
        <w:t>附表</w:t>
      </w:r>
    </w:p>
    <w:p w14:paraId="2EB6FA62">
      <w:pPr>
        <w:shd w:val="clear" w:color="auto" w:fill="auto"/>
        <w:spacing w:line="689" w:lineRule="exact"/>
        <w:ind w:left="0" w:leftChars="0" w:firstLine="0" w:firstLineChars="0"/>
        <w:jc w:val="center"/>
        <w:rPr>
          <w:rFonts w:ascii="微软雅黑" w:eastAsia="微软雅黑" w:cs="宋体"/>
          <w:color w:val="000000" w:themeColor="text1"/>
          <w:kern w:val="0"/>
          <w:sz w:val="38"/>
          <w:szCs w:val="22"/>
          <w:highlight w:val="none"/>
          <w:lang w:bidi="zh-CN"/>
          <w14:textFill>
            <w14:solidFill>
              <w14:schemeClr w14:val="tx1"/>
            </w14:solidFill>
          </w14:textFill>
        </w:rPr>
      </w:pPr>
      <w:r>
        <w:rPr>
          <w:rFonts w:cs="宋体"/>
          <w:color w:val="000000" w:themeColor="text1"/>
          <w:kern w:val="0"/>
          <w:szCs w:val="22"/>
          <w:highlight w:val="none"/>
          <w:lang w:val="zh-CN" w:bidi="zh-CN"/>
          <w14:textFill>
            <w14:solidFill>
              <w14:schemeClr w14:val="tx1"/>
            </w14:solidFill>
          </w14:textFill>
        </w:rPr>
        <mc:AlternateContent>
          <mc:Choice Requires="wps">
            <w:drawing>
              <wp:anchor distT="0" distB="0" distL="114300" distR="114300" simplePos="0" relativeHeight="251659264" behindDoc="1" locked="0" layoutInCell="1" allowOverlap="1">
                <wp:simplePos x="0" y="0"/>
                <wp:positionH relativeFrom="page">
                  <wp:posOffset>985520</wp:posOffset>
                </wp:positionH>
                <wp:positionV relativeFrom="paragraph">
                  <wp:posOffset>434340</wp:posOffset>
                </wp:positionV>
                <wp:extent cx="807720" cy="519430"/>
                <wp:effectExtent l="2540" t="3810" r="8890" b="10160"/>
                <wp:wrapNone/>
                <wp:docPr id="1" name="直线 13"/>
                <wp:cNvGraphicFramePr/>
                <a:graphic xmlns:a="http://schemas.openxmlformats.org/drawingml/2006/main">
                  <a:graphicData uri="http://schemas.microsoft.com/office/word/2010/wordprocessingShape">
                    <wps:wsp>
                      <wps:cNvCnPr/>
                      <wps:spPr>
                        <a:xfrm>
                          <a:off x="0" y="0"/>
                          <a:ext cx="807720" cy="519430"/>
                        </a:xfrm>
                        <a:prstGeom prst="line">
                          <a:avLst/>
                        </a:prstGeom>
                        <a:ln w="6096" cap="flat" cmpd="sng">
                          <a:solidFill>
                            <a:srgbClr val="000000"/>
                          </a:solidFill>
                          <a:prstDash val="solid"/>
                          <a:headEnd type="none" w="med" len="med"/>
                          <a:tailEnd type="none" w="med" len="med"/>
                        </a:ln>
                        <a:effectLst/>
                      </wps:spPr>
                      <wps:bodyPr upright="1"/>
                    </wps:wsp>
                  </a:graphicData>
                </a:graphic>
              </wp:anchor>
            </w:drawing>
          </mc:Choice>
          <mc:Fallback>
            <w:pict>
              <v:line id="直线 13" o:spid="_x0000_s1026" o:spt="20" style="position:absolute;left:0pt;margin-left:77.6pt;margin-top:34.2pt;height:40.9pt;width:63.6pt;mso-position-horizontal-relative:page;z-index:-251657216;mso-width-relative:page;mso-height-relative:page;" filled="f" stroked="t" coordsize="21600,21600" o:gfxdata="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5kvmfYAAAACgEAAA8AAAAAAAAAAQAgAAAAIgAAAGRycy9kb3ducmV2LnhtbFBLAQIU&#10;ABQAAAAIAIdO4kAxM8sz8wEAAO4DAAAOAAAAAAAAAAEAIAAAACcBAABkcnMvZTJvRG9jLnhtbFBL&#10;BQYAAAAABgAGAFkBAACMBQAAAAA=&#10;">
                <v:fill on="f" focussize="0,0"/>
                <v:stroke weight="0.48pt" color="#000000" joinstyle="round"/>
                <v:imagedata o:title=""/>
                <o:lock v:ext="edit" aspectratio="f"/>
              </v:line>
            </w:pict>
          </mc:Fallback>
        </mc:AlternateContent>
      </w:r>
      <w:r>
        <w:rPr>
          <w:rFonts w:hint="eastAsia" w:ascii="微软雅黑" w:eastAsia="微软雅黑" w:cs="宋体"/>
          <w:color w:val="000000" w:themeColor="text1"/>
          <w:kern w:val="0"/>
          <w:sz w:val="38"/>
          <w:szCs w:val="22"/>
          <w:highlight w:val="none"/>
          <w:lang w:val="zh-CN" w:bidi="zh-CN"/>
          <w14:textFill>
            <w14:solidFill>
              <w14:schemeClr w14:val="tx1"/>
            </w14:solidFill>
          </w14:textFill>
        </w:rPr>
        <w:t>建设项目污染物排放量汇总表</w:t>
      </w:r>
    </w:p>
    <w:tbl>
      <w:tblPr>
        <w:tblStyle w:val="32"/>
        <w:tblW w:w="13764"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287"/>
        <w:gridCol w:w="1472"/>
        <w:gridCol w:w="1649"/>
        <w:gridCol w:w="1278"/>
        <w:gridCol w:w="1703"/>
        <w:gridCol w:w="1559"/>
        <w:gridCol w:w="1763"/>
        <w:gridCol w:w="1821"/>
        <w:gridCol w:w="1232"/>
      </w:tblGrid>
      <w:tr w14:paraId="6F562E3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817" w:hRule="atLeast"/>
          <w:jc w:val="center"/>
        </w:trPr>
        <w:tc>
          <w:tcPr>
            <w:tcW w:w="1287" w:type="dxa"/>
            <w:tcBorders>
              <w:bottom w:val="single" w:color="000000" w:sz="4" w:space="0"/>
              <w:right w:val="single" w:color="000000" w:sz="4" w:space="0"/>
            </w:tcBorders>
            <w:noWrap w:val="0"/>
            <w:vAlign w:val="center"/>
          </w:tcPr>
          <w:p w14:paraId="352F3BEA">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项目</w:t>
            </w:r>
          </w:p>
          <w:p w14:paraId="6B19C9BC">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分类</w:t>
            </w:r>
          </w:p>
        </w:tc>
        <w:tc>
          <w:tcPr>
            <w:tcW w:w="1472" w:type="dxa"/>
            <w:tcBorders>
              <w:left w:val="single" w:color="000000" w:sz="4" w:space="0"/>
              <w:bottom w:val="single" w:color="000000" w:sz="4" w:space="0"/>
              <w:right w:val="single" w:color="000000" w:sz="4" w:space="0"/>
            </w:tcBorders>
            <w:noWrap w:val="0"/>
            <w:vAlign w:val="center"/>
          </w:tcPr>
          <w:p w14:paraId="17C58ECF">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污染物名称</w:t>
            </w:r>
          </w:p>
        </w:tc>
        <w:tc>
          <w:tcPr>
            <w:tcW w:w="1649" w:type="dxa"/>
            <w:tcBorders>
              <w:left w:val="single" w:color="000000" w:sz="4" w:space="0"/>
              <w:bottom w:val="single" w:color="000000" w:sz="4" w:space="0"/>
              <w:right w:val="single" w:color="000000" w:sz="4" w:space="0"/>
            </w:tcBorders>
            <w:noWrap w:val="0"/>
            <w:vAlign w:val="center"/>
          </w:tcPr>
          <w:p w14:paraId="33B87FC8">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现有工程</w:t>
            </w:r>
          </w:p>
          <w:p w14:paraId="03514392">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排放量（固体废物产生量）①</w:t>
            </w:r>
          </w:p>
        </w:tc>
        <w:tc>
          <w:tcPr>
            <w:tcW w:w="1278" w:type="dxa"/>
            <w:tcBorders>
              <w:left w:val="single" w:color="000000" w:sz="4" w:space="0"/>
              <w:bottom w:val="single" w:color="000000" w:sz="4" w:space="0"/>
              <w:right w:val="single" w:color="000000" w:sz="4" w:space="0"/>
            </w:tcBorders>
            <w:noWrap w:val="0"/>
            <w:vAlign w:val="center"/>
          </w:tcPr>
          <w:p w14:paraId="24322E13">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现有工程</w:t>
            </w:r>
          </w:p>
          <w:p w14:paraId="2A718384">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许可排放量</w:t>
            </w:r>
          </w:p>
          <w:p w14:paraId="6B0CD194">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②</w:t>
            </w:r>
          </w:p>
        </w:tc>
        <w:tc>
          <w:tcPr>
            <w:tcW w:w="1703" w:type="dxa"/>
            <w:tcBorders>
              <w:left w:val="single" w:color="000000" w:sz="4" w:space="0"/>
              <w:bottom w:val="single" w:color="000000" w:sz="4" w:space="0"/>
              <w:right w:val="single" w:color="000000" w:sz="4" w:space="0"/>
            </w:tcBorders>
            <w:noWrap w:val="0"/>
            <w:vAlign w:val="center"/>
          </w:tcPr>
          <w:p w14:paraId="0AD5F398">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在建工程</w:t>
            </w:r>
          </w:p>
          <w:p w14:paraId="273307B3">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排放量（固体废物产生量）③</w:t>
            </w:r>
          </w:p>
        </w:tc>
        <w:tc>
          <w:tcPr>
            <w:tcW w:w="1559" w:type="dxa"/>
            <w:tcBorders>
              <w:left w:val="single" w:color="000000" w:sz="4" w:space="0"/>
              <w:bottom w:val="single" w:color="000000" w:sz="4" w:space="0"/>
              <w:right w:val="single" w:color="000000" w:sz="4" w:space="0"/>
            </w:tcBorders>
            <w:noWrap w:val="0"/>
            <w:vAlign w:val="center"/>
          </w:tcPr>
          <w:p w14:paraId="0A209394">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本项目</w:t>
            </w:r>
          </w:p>
          <w:p w14:paraId="2966C91E">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排放量（固体废物产生量）④</w:t>
            </w:r>
          </w:p>
        </w:tc>
        <w:tc>
          <w:tcPr>
            <w:tcW w:w="1763" w:type="dxa"/>
            <w:tcBorders>
              <w:left w:val="single" w:color="000000" w:sz="4" w:space="0"/>
              <w:bottom w:val="single" w:color="000000" w:sz="4" w:space="0"/>
              <w:right w:val="single" w:color="000000" w:sz="4" w:space="0"/>
            </w:tcBorders>
            <w:noWrap w:val="0"/>
            <w:vAlign w:val="center"/>
          </w:tcPr>
          <w:p w14:paraId="43007342">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以新带老削减量</w:t>
            </w:r>
          </w:p>
          <w:p w14:paraId="16064489">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（新建项目不填）⑤</w:t>
            </w:r>
          </w:p>
        </w:tc>
        <w:tc>
          <w:tcPr>
            <w:tcW w:w="1821" w:type="dxa"/>
            <w:tcBorders>
              <w:left w:val="single" w:color="000000" w:sz="4" w:space="0"/>
              <w:bottom w:val="single" w:color="000000" w:sz="4" w:space="0"/>
              <w:right w:val="single" w:color="000000" w:sz="4" w:space="0"/>
            </w:tcBorders>
            <w:noWrap w:val="0"/>
            <w:vAlign w:val="center"/>
          </w:tcPr>
          <w:p w14:paraId="25396735">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本项目建成后</w:t>
            </w:r>
          </w:p>
          <w:p w14:paraId="37A76377">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全厂排放量（固体废物产生量）⑥</w:t>
            </w:r>
          </w:p>
        </w:tc>
        <w:tc>
          <w:tcPr>
            <w:tcW w:w="1232" w:type="dxa"/>
            <w:tcBorders>
              <w:left w:val="single" w:color="000000" w:sz="4" w:space="0"/>
              <w:bottom w:val="single" w:color="000000" w:sz="4" w:space="0"/>
            </w:tcBorders>
            <w:noWrap w:val="0"/>
            <w:vAlign w:val="center"/>
          </w:tcPr>
          <w:p w14:paraId="7D9EB8E3">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变化量</w:t>
            </w:r>
          </w:p>
          <w:p w14:paraId="75BC8FB0">
            <w:pPr>
              <w:pStyle w:val="61"/>
              <w:keepNext w:val="0"/>
              <w:keepLines w:val="0"/>
              <w:pageBreakBefore w:val="0"/>
              <w:shd w:val="clear" w:color="auto" w:fill="auto"/>
              <w:kinsoku/>
              <w:wordWrap/>
              <w:overflowPunct/>
              <w:topLinePunct w:val="0"/>
              <w:autoSpaceDE/>
              <w:autoSpaceDN/>
              <w:bidi w:val="0"/>
              <w:spacing w:line="240" w:lineRule="auto"/>
              <w:ind w:firstLine="0" w:firstLineChars="0"/>
              <w:rPr>
                <w:rFonts w:eastAsia="黑体"/>
                <w:color w:val="000000" w:themeColor="text1"/>
                <w:highlight w:val="none"/>
                <w:lang w:val="zh-CN"/>
                <w14:textFill>
                  <w14:solidFill>
                    <w14:schemeClr w14:val="tx1"/>
                  </w14:solidFill>
                </w14:textFill>
              </w:rPr>
            </w:pPr>
            <w:r>
              <w:rPr>
                <w:rFonts w:eastAsia="黑体"/>
                <w:color w:val="000000" w:themeColor="text1"/>
                <w:highlight w:val="none"/>
                <w:lang w:val="zh-CN"/>
                <w14:textFill>
                  <w14:solidFill>
                    <w14:schemeClr w14:val="tx1"/>
                  </w14:solidFill>
                </w14:textFill>
              </w:rPr>
              <w:t>⑦</w:t>
            </w:r>
          </w:p>
        </w:tc>
      </w:tr>
      <w:tr w14:paraId="00D5CB2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restart"/>
            <w:tcBorders>
              <w:right w:val="single" w:color="000000" w:sz="4" w:space="0"/>
            </w:tcBorders>
            <w:noWrap w:val="0"/>
            <w:vAlign w:val="center"/>
          </w:tcPr>
          <w:p w14:paraId="2F335AF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废气</w:t>
            </w: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4F1B2226">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color w:val="000000" w:themeColor="text1"/>
                <w:sz w:val="21"/>
                <w:szCs w:val="21"/>
                <w:highlight w:val="none"/>
                <w14:textFill>
                  <w14:solidFill>
                    <w14:schemeClr w14:val="tx1"/>
                  </w14:solidFill>
                </w14:textFill>
              </w:rPr>
            </w:pPr>
            <w:r>
              <w:rPr>
                <w:rFonts w:hint="default" w:ascii="Times New Roman" w:hAnsi="Times New Roman" w:cs="Times New Roman"/>
                <w:bCs/>
                <w:color w:val="000000" w:themeColor="text1"/>
                <w:sz w:val="21"/>
                <w:szCs w:val="21"/>
                <w14:textFill>
                  <w14:solidFill>
                    <w14:schemeClr w14:val="tx1"/>
                  </w14:solidFill>
                </w14:textFill>
              </w:rPr>
              <w:t>颗粒物</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273A246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4CE25EB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60E6450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4C9ECD0C">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2.265</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28C26BF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noWrap w:val="0"/>
            <w:vAlign w:val="center"/>
          </w:tcPr>
          <w:p w14:paraId="283A087D">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2.265</w:t>
            </w:r>
          </w:p>
        </w:tc>
        <w:tc>
          <w:tcPr>
            <w:tcW w:w="1232" w:type="dxa"/>
            <w:tcBorders>
              <w:top w:val="single" w:color="000000" w:sz="4" w:space="0"/>
              <w:left w:val="single" w:color="000000" w:sz="4" w:space="0"/>
              <w:bottom w:val="single" w:color="000000" w:sz="4" w:space="0"/>
            </w:tcBorders>
            <w:noWrap w:val="0"/>
            <w:vAlign w:val="center"/>
          </w:tcPr>
          <w:p w14:paraId="0DDBFD99">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2.265</w:t>
            </w:r>
          </w:p>
        </w:tc>
      </w:tr>
      <w:tr w14:paraId="41A5073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continue"/>
            <w:tcBorders>
              <w:right w:val="single" w:color="000000" w:sz="4" w:space="0"/>
            </w:tcBorders>
            <w:noWrap w:val="0"/>
            <w:vAlign w:val="center"/>
          </w:tcPr>
          <w:p w14:paraId="66D358A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6AD75AD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14:textFill>
                  <w14:solidFill>
                    <w14:schemeClr w14:val="tx1"/>
                  </w14:solidFill>
                </w14:textFill>
              </w:rPr>
              <w:t>酚类（以苯酚计）</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5F4821D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62202F4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05AC614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7574AAA9">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0.109</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70EA0F3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noWrap w:val="0"/>
            <w:vAlign w:val="center"/>
          </w:tcPr>
          <w:p w14:paraId="3210749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0.109</w:t>
            </w:r>
          </w:p>
        </w:tc>
        <w:tc>
          <w:tcPr>
            <w:tcW w:w="1232" w:type="dxa"/>
            <w:tcBorders>
              <w:top w:val="single" w:color="000000" w:sz="4" w:space="0"/>
              <w:left w:val="single" w:color="000000" w:sz="4" w:space="0"/>
              <w:bottom w:val="single" w:color="000000" w:sz="4" w:space="0"/>
            </w:tcBorders>
            <w:noWrap w:val="0"/>
            <w:vAlign w:val="center"/>
          </w:tcPr>
          <w:p w14:paraId="35D7675A">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0.109</w:t>
            </w:r>
          </w:p>
        </w:tc>
      </w:tr>
      <w:tr w14:paraId="66A90C7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continue"/>
            <w:tcBorders>
              <w:right w:val="single" w:color="000000" w:sz="4" w:space="0"/>
            </w:tcBorders>
            <w:noWrap w:val="0"/>
            <w:vAlign w:val="center"/>
          </w:tcPr>
          <w:p w14:paraId="1568944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59C682B8">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default" w:ascii="Times New Roman" w:hAnsi="Times New Roman" w:cs="Times New Roman"/>
                <w:bCs/>
                <w:color w:val="000000" w:themeColor="text1"/>
                <w:sz w:val="21"/>
                <w:szCs w:val="21"/>
                <w:lang w:eastAsia="zh-CN"/>
                <w14:textFill>
                  <w14:solidFill>
                    <w14:schemeClr w14:val="tx1"/>
                  </w14:solidFill>
                </w14:textFill>
              </w:rPr>
              <w:t>甲醛</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243F1F0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64472A3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77D9A73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44FA741B">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0.038</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23ED39C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noWrap w:val="0"/>
            <w:vAlign w:val="center"/>
          </w:tcPr>
          <w:p w14:paraId="40CD7A7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0.038</w:t>
            </w:r>
          </w:p>
        </w:tc>
        <w:tc>
          <w:tcPr>
            <w:tcW w:w="1232" w:type="dxa"/>
            <w:tcBorders>
              <w:top w:val="single" w:color="000000" w:sz="4" w:space="0"/>
              <w:left w:val="single" w:color="000000" w:sz="4" w:space="0"/>
              <w:bottom w:val="single" w:color="000000" w:sz="4" w:space="0"/>
            </w:tcBorders>
            <w:noWrap w:val="0"/>
            <w:vAlign w:val="center"/>
          </w:tcPr>
          <w:p w14:paraId="4DFA5927">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0.038</w:t>
            </w:r>
          </w:p>
        </w:tc>
      </w:tr>
      <w:tr w14:paraId="6DBBBF7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continue"/>
            <w:tcBorders>
              <w:right w:val="single" w:color="000000" w:sz="4" w:space="0"/>
            </w:tcBorders>
            <w:noWrap w:val="0"/>
            <w:vAlign w:val="center"/>
          </w:tcPr>
          <w:p w14:paraId="11416EA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1DA37FBD">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eastAsia" w:cs="Times New Roman"/>
                <w:bCs/>
                <w:color w:val="000000" w:themeColor="text1"/>
                <w:sz w:val="21"/>
                <w:szCs w:val="21"/>
                <w:lang w:val="en-US" w:eastAsia="zh-CN"/>
                <w14:textFill>
                  <w14:solidFill>
                    <w14:schemeClr w14:val="tx1"/>
                  </w14:solidFill>
                </w14:textFill>
              </w:rPr>
              <w:t>TVOC</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195F8BC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2F343D9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6371BEE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1417FF92">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1.507</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7305736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noWrap w:val="0"/>
            <w:vAlign w:val="center"/>
          </w:tcPr>
          <w:p w14:paraId="0026CA5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1.507</w:t>
            </w:r>
          </w:p>
        </w:tc>
        <w:tc>
          <w:tcPr>
            <w:tcW w:w="1232" w:type="dxa"/>
            <w:tcBorders>
              <w:top w:val="single" w:color="000000" w:sz="4" w:space="0"/>
              <w:left w:val="single" w:color="000000" w:sz="4" w:space="0"/>
              <w:bottom w:val="single" w:color="000000" w:sz="4" w:space="0"/>
            </w:tcBorders>
            <w:noWrap w:val="0"/>
            <w:vAlign w:val="center"/>
          </w:tcPr>
          <w:p w14:paraId="35370088">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1.507</w:t>
            </w:r>
          </w:p>
        </w:tc>
      </w:tr>
      <w:tr w14:paraId="0269BD3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continue"/>
            <w:tcBorders>
              <w:right w:val="single" w:color="000000" w:sz="4" w:space="0"/>
            </w:tcBorders>
            <w:noWrap w:val="0"/>
            <w:vAlign w:val="center"/>
          </w:tcPr>
          <w:p w14:paraId="66C0760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70547DA8">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eastAsia" w:ascii="Times New Roman" w:hAnsi="Times New Roman" w:cs="Times New Roman"/>
                <w:bCs/>
                <w:color w:val="000000" w:themeColor="text1"/>
                <w:sz w:val="21"/>
                <w:szCs w:val="21"/>
                <w:lang w:val="en-US" w:eastAsia="zh-CN"/>
                <w14:textFill>
                  <w14:solidFill>
                    <w14:schemeClr w14:val="tx1"/>
                  </w14:solidFill>
                </w14:textFill>
              </w:rPr>
              <w:t>SO</w:t>
            </w:r>
            <w:r>
              <w:rPr>
                <w:rFonts w:hint="eastAsia" w:ascii="Times New Roman" w:hAnsi="Times New Roman" w:cs="Times New Roman"/>
                <w:bCs/>
                <w:color w:val="000000" w:themeColor="text1"/>
                <w:sz w:val="21"/>
                <w:szCs w:val="21"/>
                <w:vertAlign w:val="subscript"/>
                <w:lang w:val="en-US" w:eastAsia="zh-CN"/>
                <w14:textFill>
                  <w14:solidFill>
                    <w14:schemeClr w14:val="tx1"/>
                  </w14:solidFill>
                </w14:textFill>
              </w:rPr>
              <w:t>2</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6755110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2D1CA3C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19289EE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66746A61">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0.324</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7197C58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cs="Times New Roman"/>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noWrap w:val="0"/>
            <w:vAlign w:val="center"/>
          </w:tcPr>
          <w:p w14:paraId="5AE3F613">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0.324</w:t>
            </w:r>
          </w:p>
        </w:tc>
        <w:tc>
          <w:tcPr>
            <w:tcW w:w="1232" w:type="dxa"/>
            <w:tcBorders>
              <w:top w:val="single" w:color="000000" w:sz="4" w:space="0"/>
              <w:left w:val="single" w:color="000000" w:sz="4" w:space="0"/>
              <w:bottom w:val="single" w:color="000000" w:sz="4" w:space="0"/>
            </w:tcBorders>
            <w:noWrap w:val="0"/>
            <w:vAlign w:val="center"/>
          </w:tcPr>
          <w:p w14:paraId="41036E7D">
            <w:pPr>
              <w:pStyle w:val="103"/>
              <w:shd w:val="clear" w:color="auto" w:fill="auto"/>
              <w:spacing w:before="0" w:beforeLines="0" w:line="240" w:lineRule="auto"/>
              <w:ind w:firstLine="0" w:firstLineChars="0"/>
              <w:jc w:val="center"/>
              <w:rPr>
                <w:rFonts w:hint="default" w:ascii="Times New Roman" w:hAnsi="Times New Roman" w:cs="Times New Roman"/>
                <w:color w:val="000000" w:themeColor="text1"/>
                <w:kern w:val="2"/>
                <w:sz w:val="21"/>
                <w:szCs w:val="21"/>
                <w:highlight w:val="none"/>
                <w:lang w:val="en-US" w:eastAsia="zh-CN" w:bidi="ar-SA"/>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0.324</w:t>
            </w:r>
          </w:p>
        </w:tc>
      </w:tr>
      <w:tr w14:paraId="4817222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8" w:hRule="atLeast"/>
          <w:jc w:val="center"/>
        </w:trPr>
        <w:tc>
          <w:tcPr>
            <w:tcW w:w="1287" w:type="dxa"/>
            <w:vMerge w:val="continue"/>
            <w:tcBorders>
              <w:right w:val="single" w:color="000000" w:sz="4" w:space="0"/>
            </w:tcBorders>
            <w:noWrap w:val="0"/>
            <w:vAlign w:val="center"/>
          </w:tcPr>
          <w:p w14:paraId="40F9CDB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1DC993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themeColor="text1"/>
                <w:kern w:val="0"/>
                <w:sz w:val="21"/>
                <w:szCs w:val="21"/>
                <w:highlight w:val="none"/>
                <w:lang w:val="en-US" w:eastAsia="zh-CN" w:bidi="ar"/>
                <w14:textFill>
                  <w14:solidFill>
                    <w14:schemeClr w14:val="tx1"/>
                  </w14:solidFill>
                </w14:textFill>
              </w:rPr>
              <w:t>NMHC</w:t>
            </w:r>
          </w:p>
        </w:tc>
        <w:tc>
          <w:tcPr>
            <w:tcW w:w="164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865D5F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878BF3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3CC4A2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C90AE04">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0.109</w:t>
            </w:r>
          </w:p>
        </w:tc>
        <w:tc>
          <w:tcPr>
            <w:tcW w:w="176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9FF0F1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3395F79">
            <w:pPr>
              <w:pStyle w:val="103"/>
              <w:shd w:val="clear" w:color="auto" w:fill="auto"/>
              <w:spacing w:before="0" w:beforeLines="0"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default" w:ascii="Times New Roman" w:hAnsi="Times New Roman" w:eastAsia="宋体" w:cs="Times New Roman"/>
                <w:color w:val="000000"/>
                <w:sz w:val="21"/>
                <w:szCs w:val="21"/>
                <w:highlight w:val="none"/>
                <w:lang w:val="en-US" w:eastAsia="zh-CN"/>
              </w:rPr>
              <w:t>0.109</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095242EC">
            <w:pPr>
              <w:pStyle w:val="103"/>
              <w:shd w:val="clear" w:color="auto" w:fill="auto"/>
              <w:spacing w:before="0" w:beforeLines="0"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
                <w14:textFill>
                  <w14:solidFill>
                    <w14:schemeClr w14:val="tx1"/>
                  </w14:solidFill>
                </w14:textFill>
              </w:rPr>
            </w:pPr>
            <w:r>
              <w:rPr>
                <w:rFonts w:hint="eastAsia" w:cs="Times New Roman"/>
                <w:color w:val="000000"/>
                <w:sz w:val="21"/>
                <w:szCs w:val="21"/>
                <w:highlight w:val="none"/>
                <w:lang w:val="en-US" w:eastAsia="zh-CN"/>
              </w:rPr>
              <w:t>+</w:t>
            </w:r>
            <w:r>
              <w:rPr>
                <w:rFonts w:hint="default" w:ascii="Times New Roman" w:hAnsi="Times New Roman" w:eastAsia="宋体" w:cs="Times New Roman"/>
                <w:color w:val="000000"/>
                <w:sz w:val="21"/>
                <w:szCs w:val="21"/>
                <w:highlight w:val="none"/>
                <w:lang w:val="en-US" w:eastAsia="zh-CN"/>
              </w:rPr>
              <w:t>0.109</w:t>
            </w:r>
          </w:p>
        </w:tc>
      </w:tr>
      <w:tr w14:paraId="66B985F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restart"/>
            <w:tcBorders>
              <w:right w:val="single" w:color="000000" w:sz="4" w:space="0"/>
            </w:tcBorders>
            <w:noWrap w:val="0"/>
            <w:vAlign w:val="center"/>
          </w:tcPr>
          <w:p w14:paraId="121335B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r>
              <w:rPr>
                <w:color w:val="000000" w:themeColor="text1"/>
                <w:sz w:val="21"/>
                <w:szCs w:val="21"/>
                <w:highlight w:val="none"/>
                <w:lang w:val="zh-CN"/>
                <w14:textFill>
                  <w14:solidFill>
                    <w14:schemeClr w14:val="tx1"/>
                  </w14:solidFill>
                </w14:textFill>
              </w:rPr>
              <w:t>废水</w:t>
            </w:r>
          </w:p>
        </w:tc>
        <w:tc>
          <w:tcPr>
            <w:tcW w:w="1472" w:type="dxa"/>
            <w:tcBorders>
              <w:top w:val="single" w:color="000000" w:sz="4" w:space="0"/>
              <w:left w:val="single" w:color="000000" w:sz="4" w:space="0"/>
              <w:right w:val="single" w:color="000000" w:sz="4" w:space="0"/>
            </w:tcBorders>
            <w:noWrap w:val="0"/>
            <w:vAlign w:val="center"/>
          </w:tcPr>
          <w:p w14:paraId="775A090F">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lang w:val="zh-CN"/>
                <w14:textFill>
                  <w14:solidFill>
                    <w14:schemeClr w14:val="tx1"/>
                  </w14:solidFill>
                </w14:textFill>
              </w:rPr>
            </w:pPr>
            <w:r>
              <w:rPr>
                <w:bCs/>
                <w:color w:val="000000" w:themeColor="text1"/>
                <w:sz w:val="21"/>
                <w:szCs w:val="21"/>
                <w:highlight w:val="none"/>
                <w14:textFill>
                  <w14:solidFill>
                    <w14:schemeClr w14:val="tx1"/>
                  </w14:solidFill>
                </w14:textFill>
              </w:rPr>
              <w:t>COD</w:t>
            </w:r>
            <w:r>
              <w:rPr>
                <w:bCs/>
                <w:color w:val="000000" w:themeColor="text1"/>
                <w:sz w:val="21"/>
                <w:szCs w:val="21"/>
                <w:highlight w:val="none"/>
                <w:vertAlign w:val="subscript"/>
                <w14:textFill>
                  <w14:solidFill>
                    <w14:schemeClr w14:val="tx1"/>
                  </w14:solidFill>
                </w14:textFill>
              </w:rPr>
              <w:t>Cr</w:t>
            </w:r>
          </w:p>
        </w:tc>
        <w:tc>
          <w:tcPr>
            <w:tcW w:w="1649" w:type="dxa"/>
            <w:tcBorders>
              <w:top w:val="single" w:color="000000" w:sz="4" w:space="0"/>
              <w:left w:val="single" w:color="000000" w:sz="4" w:space="0"/>
              <w:right w:val="single" w:color="000000" w:sz="4" w:space="0"/>
            </w:tcBorders>
            <w:noWrap w:val="0"/>
            <w:vAlign w:val="center"/>
          </w:tcPr>
          <w:p w14:paraId="6148FD84">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1E2B7F1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502A68A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355C6DA0">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0.0792</w:t>
            </w:r>
          </w:p>
        </w:tc>
        <w:tc>
          <w:tcPr>
            <w:tcW w:w="1763" w:type="dxa"/>
            <w:tcBorders>
              <w:top w:val="single" w:color="000000" w:sz="4" w:space="0"/>
              <w:left w:val="single" w:color="000000" w:sz="4" w:space="0"/>
              <w:right w:val="single" w:color="000000" w:sz="4" w:space="0"/>
            </w:tcBorders>
            <w:noWrap w:val="0"/>
            <w:vAlign w:val="center"/>
          </w:tcPr>
          <w:p w14:paraId="7CC513A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1C5EBBA7">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0.0792</w:t>
            </w:r>
          </w:p>
        </w:tc>
        <w:tc>
          <w:tcPr>
            <w:tcW w:w="1232" w:type="dxa"/>
            <w:tcBorders>
              <w:top w:val="single" w:color="000000" w:sz="4" w:space="0"/>
              <w:left w:val="single" w:color="000000" w:sz="4" w:space="0"/>
              <w:bottom w:val="single" w:color="000000" w:sz="4" w:space="0"/>
            </w:tcBorders>
            <w:noWrap w:val="0"/>
            <w:vAlign w:val="center"/>
          </w:tcPr>
          <w:p w14:paraId="32F7B309">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0.0792</w:t>
            </w:r>
          </w:p>
        </w:tc>
      </w:tr>
      <w:tr w14:paraId="547B206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continue"/>
            <w:tcBorders>
              <w:right w:val="single" w:color="000000" w:sz="4" w:space="0"/>
            </w:tcBorders>
            <w:noWrap w:val="0"/>
            <w:vAlign w:val="center"/>
          </w:tcPr>
          <w:p w14:paraId="5C15DCE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right w:val="single" w:color="000000" w:sz="4" w:space="0"/>
            </w:tcBorders>
            <w:noWrap w:val="0"/>
            <w:vAlign w:val="center"/>
          </w:tcPr>
          <w:p w14:paraId="73CD983C">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BOD</w:t>
            </w:r>
            <w:r>
              <w:rPr>
                <w:bCs/>
                <w:color w:val="000000" w:themeColor="text1"/>
                <w:sz w:val="21"/>
                <w:szCs w:val="21"/>
                <w:highlight w:val="none"/>
                <w:vertAlign w:val="subscript"/>
                <w14:textFill>
                  <w14:solidFill>
                    <w14:schemeClr w14:val="tx1"/>
                  </w14:solidFill>
                </w14:textFill>
              </w:rPr>
              <w:t>5</w:t>
            </w:r>
          </w:p>
        </w:tc>
        <w:tc>
          <w:tcPr>
            <w:tcW w:w="1649" w:type="dxa"/>
            <w:tcBorders>
              <w:top w:val="single" w:color="000000" w:sz="4" w:space="0"/>
              <w:left w:val="single" w:color="000000" w:sz="4" w:space="0"/>
              <w:right w:val="single" w:color="000000" w:sz="4" w:space="0"/>
            </w:tcBorders>
            <w:noWrap w:val="0"/>
            <w:vAlign w:val="center"/>
          </w:tcPr>
          <w:p w14:paraId="6670FB06">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4B7EEC8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2BE6E77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7E8DF75E">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0.0238</w:t>
            </w:r>
          </w:p>
        </w:tc>
        <w:tc>
          <w:tcPr>
            <w:tcW w:w="1763" w:type="dxa"/>
            <w:tcBorders>
              <w:top w:val="single" w:color="000000" w:sz="4" w:space="0"/>
              <w:left w:val="single" w:color="000000" w:sz="4" w:space="0"/>
              <w:right w:val="single" w:color="000000" w:sz="4" w:space="0"/>
            </w:tcBorders>
            <w:noWrap w:val="0"/>
            <w:vAlign w:val="center"/>
          </w:tcPr>
          <w:p w14:paraId="4BD65F5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10230A4D">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0.0238</w:t>
            </w:r>
          </w:p>
        </w:tc>
        <w:tc>
          <w:tcPr>
            <w:tcW w:w="1232" w:type="dxa"/>
            <w:tcBorders>
              <w:top w:val="single" w:color="000000" w:sz="4" w:space="0"/>
              <w:left w:val="single" w:color="000000" w:sz="4" w:space="0"/>
              <w:bottom w:val="single" w:color="000000" w:sz="4" w:space="0"/>
            </w:tcBorders>
            <w:noWrap w:val="0"/>
            <w:vAlign w:val="center"/>
          </w:tcPr>
          <w:p w14:paraId="75F9133E">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0.0238</w:t>
            </w:r>
          </w:p>
        </w:tc>
      </w:tr>
      <w:tr w14:paraId="4053255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continue"/>
            <w:tcBorders>
              <w:right w:val="single" w:color="000000" w:sz="4" w:space="0"/>
            </w:tcBorders>
            <w:noWrap w:val="0"/>
            <w:vAlign w:val="center"/>
          </w:tcPr>
          <w:p w14:paraId="02A100A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right w:val="single" w:color="000000" w:sz="4" w:space="0"/>
            </w:tcBorders>
            <w:noWrap w:val="0"/>
            <w:vAlign w:val="center"/>
          </w:tcPr>
          <w:p w14:paraId="5451A73B">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SS</w:t>
            </w:r>
          </w:p>
        </w:tc>
        <w:tc>
          <w:tcPr>
            <w:tcW w:w="1649" w:type="dxa"/>
            <w:tcBorders>
              <w:top w:val="single" w:color="000000" w:sz="4" w:space="0"/>
              <w:left w:val="single" w:color="000000" w:sz="4" w:space="0"/>
              <w:right w:val="single" w:color="000000" w:sz="4" w:space="0"/>
            </w:tcBorders>
            <w:noWrap w:val="0"/>
            <w:vAlign w:val="center"/>
          </w:tcPr>
          <w:p w14:paraId="4F99783A">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62EEAB0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188AEBE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35325026">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0.0634</w:t>
            </w:r>
          </w:p>
        </w:tc>
        <w:tc>
          <w:tcPr>
            <w:tcW w:w="1763" w:type="dxa"/>
            <w:tcBorders>
              <w:top w:val="single" w:color="000000" w:sz="4" w:space="0"/>
              <w:left w:val="single" w:color="000000" w:sz="4" w:space="0"/>
              <w:right w:val="single" w:color="000000" w:sz="4" w:space="0"/>
            </w:tcBorders>
            <w:noWrap w:val="0"/>
            <w:vAlign w:val="center"/>
          </w:tcPr>
          <w:p w14:paraId="48EEDC6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7F8B85DD">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0.0634</w:t>
            </w:r>
          </w:p>
        </w:tc>
        <w:tc>
          <w:tcPr>
            <w:tcW w:w="1232" w:type="dxa"/>
            <w:tcBorders>
              <w:top w:val="single" w:color="000000" w:sz="4" w:space="0"/>
              <w:left w:val="single" w:color="000000" w:sz="4" w:space="0"/>
              <w:bottom w:val="single" w:color="000000" w:sz="4" w:space="0"/>
            </w:tcBorders>
            <w:noWrap w:val="0"/>
            <w:vAlign w:val="center"/>
          </w:tcPr>
          <w:p w14:paraId="14234E78">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0.0634</w:t>
            </w:r>
          </w:p>
        </w:tc>
      </w:tr>
      <w:tr w14:paraId="3326BE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continue"/>
            <w:tcBorders>
              <w:right w:val="single" w:color="000000" w:sz="4" w:space="0"/>
            </w:tcBorders>
            <w:noWrap w:val="0"/>
            <w:vAlign w:val="center"/>
          </w:tcPr>
          <w:p w14:paraId="29152AB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right w:val="single" w:color="000000" w:sz="4" w:space="0"/>
            </w:tcBorders>
            <w:noWrap w:val="0"/>
            <w:vAlign w:val="center"/>
          </w:tcPr>
          <w:p w14:paraId="623E0812">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NH</w:t>
            </w:r>
            <w:r>
              <w:rPr>
                <w:bCs/>
                <w:color w:val="000000" w:themeColor="text1"/>
                <w:sz w:val="21"/>
                <w:szCs w:val="21"/>
                <w:highlight w:val="none"/>
                <w:vertAlign w:val="subscript"/>
                <w14:textFill>
                  <w14:solidFill>
                    <w14:schemeClr w14:val="tx1"/>
                  </w14:solidFill>
                </w14:textFill>
              </w:rPr>
              <w:t>3</w:t>
            </w:r>
            <w:r>
              <w:rPr>
                <w:bCs/>
                <w:color w:val="000000" w:themeColor="text1"/>
                <w:sz w:val="21"/>
                <w:szCs w:val="21"/>
                <w:highlight w:val="none"/>
                <w14:textFill>
                  <w14:solidFill>
                    <w14:schemeClr w14:val="tx1"/>
                  </w14:solidFill>
                </w14:textFill>
              </w:rPr>
              <w:t>-N</w:t>
            </w:r>
          </w:p>
        </w:tc>
        <w:tc>
          <w:tcPr>
            <w:tcW w:w="1649" w:type="dxa"/>
            <w:tcBorders>
              <w:top w:val="single" w:color="000000" w:sz="4" w:space="0"/>
              <w:left w:val="single" w:color="000000" w:sz="4" w:space="0"/>
              <w:right w:val="single" w:color="000000" w:sz="4" w:space="0"/>
            </w:tcBorders>
            <w:noWrap w:val="0"/>
            <w:vAlign w:val="center"/>
          </w:tcPr>
          <w:p w14:paraId="79B4A281">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24BD92C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3B2279B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1978BC7E">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0.0158</w:t>
            </w:r>
          </w:p>
        </w:tc>
        <w:tc>
          <w:tcPr>
            <w:tcW w:w="1763" w:type="dxa"/>
            <w:tcBorders>
              <w:top w:val="single" w:color="000000" w:sz="4" w:space="0"/>
              <w:left w:val="single" w:color="000000" w:sz="4" w:space="0"/>
              <w:right w:val="single" w:color="000000" w:sz="4" w:space="0"/>
            </w:tcBorders>
            <w:noWrap w:val="0"/>
            <w:vAlign w:val="center"/>
          </w:tcPr>
          <w:p w14:paraId="6470F69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1FDC6864">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0.0158</w:t>
            </w:r>
          </w:p>
        </w:tc>
        <w:tc>
          <w:tcPr>
            <w:tcW w:w="1232" w:type="dxa"/>
            <w:tcBorders>
              <w:top w:val="single" w:color="000000" w:sz="4" w:space="0"/>
              <w:left w:val="single" w:color="000000" w:sz="4" w:space="0"/>
              <w:bottom w:val="single" w:color="000000" w:sz="4" w:space="0"/>
            </w:tcBorders>
            <w:noWrap w:val="0"/>
            <w:vAlign w:val="center"/>
          </w:tcPr>
          <w:p w14:paraId="540437CC">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0.0158</w:t>
            </w:r>
          </w:p>
        </w:tc>
      </w:tr>
      <w:tr w14:paraId="7E4865D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continue"/>
            <w:tcBorders>
              <w:right w:val="single" w:color="000000" w:sz="4" w:space="0"/>
            </w:tcBorders>
            <w:noWrap w:val="0"/>
            <w:vAlign w:val="center"/>
          </w:tcPr>
          <w:p w14:paraId="5985958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right w:val="single" w:color="000000" w:sz="4" w:space="0"/>
            </w:tcBorders>
            <w:noWrap w:val="0"/>
            <w:vAlign w:val="center"/>
          </w:tcPr>
          <w:p w14:paraId="6D6C6A9C">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TP</w:t>
            </w:r>
          </w:p>
        </w:tc>
        <w:tc>
          <w:tcPr>
            <w:tcW w:w="1649" w:type="dxa"/>
            <w:tcBorders>
              <w:top w:val="single" w:color="000000" w:sz="4" w:space="0"/>
              <w:left w:val="single" w:color="000000" w:sz="4" w:space="0"/>
              <w:right w:val="single" w:color="000000" w:sz="4" w:space="0"/>
            </w:tcBorders>
            <w:noWrap w:val="0"/>
            <w:vAlign w:val="center"/>
          </w:tcPr>
          <w:p w14:paraId="634BC384">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52103CF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67717A5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45B0EA1B">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0.0063</w:t>
            </w:r>
          </w:p>
        </w:tc>
        <w:tc>
          <w:tcPr>
            <w:tcW w:w="1763" w:type="dxa"/>
            <w:tcBorders>
              <w:top w:val="single" w:color="000000" w:sz="4" w:space="0"/>
              <w:left w:val="single" w:color="000000" w:sz="4" w:space="0"/>
              <w:right w:val="single" w:color="000000" w:sz="4" w:space="0"/>
            </w:tcBorders>
            <w:noWrap w:val="0"/>
            <w:vAlign w:val="center"/>
          </w:tcPr>
          <w:p w14:paraId="26FFC5F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4F8E9755">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0.0063</w:t>
            </w:r>
          </w:p>
        </w:tc>
        <w:tc>
          <w:tcPr>
            <w:tcW w:w="1232" w:type="dxa"/>
            <w:tcBorders>
              <w:top w:val="single" w:color="000000" w:sz="4" w:space="0"/>
              <w:left w:val="single" w:color="000000" w:sz="4" w:space="0"/>
              <w:bottom w:val="single" w:color="000000" w:sz="4" w:space="0"/>
            </w:tcBorders>
            <w:noWrap w:val="0"/>
            <w:vAlign w:val="center"/>
          </w:tcPr>
          <w:p w14:paraId="141C3A90">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0.0063</w:t>
            </w:r>
          </w:p>
        </w:tc>
      </w:tr>
      <w:tr w14:paraId="3F55BA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3" w:hRule="atLeast"/>
          <w:jc w:val="center"/>
        </w:trPr>
        <w:tc>
          <w:tcPr>
            <w:tcW w:w="1287" w:type="dxa"/>
            <w:vMerge w:val="continue"/>
            <w:tcBorders>
              <w:right w:val="single" w:color="000000" w:sz="4" w:space="0"/>
            </w:tcBorders>
            <w:noWrap w:val="0"/>
            <w:vAlign w:val="center"/>
          </w:tcPr>
          <w:p w14:paraId="584655F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right w:val="single" w:color="000000" w:sz="4" w:space="0"/>
            </w:tcBorders>
            <w:noWrap w:val="0"/>
            <w:vAlign w:val="center"/>
          </w:tcPr>
          <w:p w14:paraId="3024774A">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sz w:val="21"/>
                <w:szCs w:val="21"/>
                <w:highlight w:val="none"/>
                <w14:textFill>
                  <w14:solidFill>
                    <w14:schemeClr w14:val="tx1"/>
                  </w14:solidFill>
                </w14:textFill>
              </w:rPr>
            </w:pPr>
            <w:r>
              <w:rPr>
                <w:bCs/>
                <w:color w:val="000000" w:themeColor="text1"/>
                <w:sz w:val="21"/>
                <w:szCs w:val="21"/>
                <w:highlight w:val="none"/>
                <w14:textFill>
                  <w14:solidFill>
                    <w14:schemeClr w14:val="tx1"/>
                  </w14:solidFill>
                </w14:textFill>
              </w:rPr>
              <w:t>动植物油</w:t>
            </w:r>
          </w:p>
        </w:tc>
        <w:tc>
          <w:tcPr>
            <w:tcW w:w="1649" w:type="dxa"/>
            <w:tcBorders>
              <w:top w:val="single" w:color="000000" w:sz="4" w:space="0"/>
              <w:left w:val="single" w:color="000000" w:sz="4" w:space="0"/>
              <w:right w:val="single" w:color="000000" w:sz="4" w:space="0"/>
            </w:tcBorders>
            <w:noWrap w:val="0"/>
            <w:vAlign w:val="center"/>
          </w:tcPr>
          <w:p w14:paraId="13B94B25">
            <w:pPr>
              <w:keepNext w:val="0"/>
              <w:keepLines w:val="0"/>
              <w:pageBreakBefore w:val="0"/>
              <w:shd w:val="clear" w:color="auto" w:fill="auto"/>
              <w:kinsoku/>
              <w:wordWrap/>
              <w:overflowPunct/>
              <w:topLinePunct w:val="0"/>
              <w:autoSpaceDE/>
              <w:autoSpaceDN/>
              <w:bidi w:val="0"/>
              <w:adjustRightInd w:val="0"/>
              <w:snapToGrid w:val="0"/>
              <w:spacing w:line="240" w:lineRule="auto"/>
              <w:ind w:firstLine="0" w:firstLineChars="0"/>
              <w:jc w:val="center"/>
              <w:rPr>
                <w:bCs/>
                <w:color w:val="000000" w:themeColor="text1"/>
                <w:kern w:val="0"/>
                <w:sz w:val="21"/>
                <w:szCs w:val="21"/>
                <w:highlight w:val="none"/>
                <w:lang w:bidi="ar"/>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28861AF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1E4B411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71F91851">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0.0048</w:t>
            </w:r>
          </w:p>
        </w:tc>
        <w:tc>
          <w:tcPr>
            <w:tcW w:w="1763" w:type="dxa"/>
            <w:tcBorders>
              <w:top w:val="single" w:color="000000" w:sz="4" w:space="0"/>
              <w:left w:val="single" w:color="000000" w:sz="4" w:space="0"/>
              <w:right w:val="single" w:color="000000" w:sz="4" w:space="0"/>
            </w:tcBorders>
            <w:noWrap w:val="0"/>
            <w:vAlign w:val="center"/>
          </w:tcPr>
          <w:p w14:paraId="00551C3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right w:val="single" w:color="000000" w:sz="4" w:space="0"/>
            </w:tcBorders>
            <w:noWrap w:val="0"/>
            <w:vAlign w:val="center"/>
          </w:tcPr>
          <w:p w14:paraId="38676D7E">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0.0048</w:t>
            </w:r>
          </w:p>
        </w:tc>
        <w:tc>
          <w:tcPr>
            <w:tcW w:w="1232" w:type="dxa"/>
            <w:tcBorders>
              <w:top w:val="single" w:color="000000" w:sz="4" w:space="0"/>
              <w:left w:val="single" w:color="000000" w:sz="4" w:space="0"/>
              <w:bottom w:val="single" w:color="000000" w:sz="4" w:space="0"/>
            </w:tcBorders>
            <w:noWrap w:val="0"/>
            <w:vAlign w:val="center"/>
          </w:tcPr>
          <w:p w14:paraId="65BA43E0">
            <w:pPr>
              <w:pStyle w:val="167"/>
              <w:keepNext w:val="0"/>
              <w:keepLines w:val="0"/>
              <w:pageBreakBefore w:val="0"/>
              <w:widowControl/>
              <w:shd w:val="clear" w:color="auto" w:fill="auto"/>
              <w:kinsoku/>
              <w:wordWrap/>
              <w:overflowPunct/>
              <w:topLinePunct w:val="0"/>
              <w:autoSpaceDE/>
              <w:autoSpaceDN/>
              <w:bidi w:val="0"/>
              <w:adjustRightInd/>
              <w:snapToGrid/>
              <w:spacing w:line="240" w:lineRule="auto"/>
              <w:ind w:firstLine="0" w:firstLineChars="0"/>
              <w:jc w:val="center"/>
              <w:rPr>
                <w:color w:val="000000" w:themeColor="text1"/>
                <w:kern w:val="0"/>
                <w:sz w:val="21"/>
                <w:szCs w:val="21"/>
                <w:highlight w:val="none"/>
                <w:lang w:bidi="ar"/>
                <w14:textFill>
                  <w14:solidFill>
                    <w14:schemeClr w14:val="tx1"/>
                  </w14:solidFill>
                </w14:textFill>
              </w:rPr>
            </w:pPr>
            <w:r>
              <w:rPr>
                <w:rFonts w:hint="eastAsia" w:cs="Times New Roman"/>
                <w:color w:val="000000" w:themeColor="text1"/>
                <w:sz w:val="21"/>
                <w:szCs w:val="21"/>
                <w:lang w:val="en-US" w:eastAsia="zh-CN"/>
                <w14:textFill>
                  <w14:solidFill>
                    <w14:schemeClr w14:val="tx1"/>
                  </w14:solidFill>
                </w14:textFill>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0.0048</w:t>
            </w:r>
          </w:p>
        </w:tc>
      </w:tr>
      <w:tr w14:paraId="59D18AF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6" w:hRule="atLeast"/>
          <w:jc w:val="center"/>
        </w:trPr>
        <w:tc>
          <w:tcPr>
            <w:tcW w:w="1287" w:type="dxa"/>
            <w:tcBorders>
              <w:right w:val="single" w:color="000000" w:sz="4" w:space="0"/>
            </w:tcBorders>
            <w:noWrap w:val="0"/>
            <w:vAlign w:val="center"/>
          </w:tcPr>
          <w:p w14:paraId="3D33C105">
            <w:pPr>
              <w:pStyle w:val="61"/>
              <w:keepNext w:val="0"/>
              <w:keepLines w:val="0"/>
              <w:pageBreakBefore w:val="0"/>
              <w:shd w:val="clear" w:color="auto" w:fill="auto"/>
              <w:kinsoku/>
              <w:wordWrap/>
              <w:overflowPunct/>
              <w:topLinePunct w:val="0"/>
              <w:autoSpaceDE/>
              <w:autoSpaceDN/>
              <w:bidi w:val="0"/>
              <w:spacing w:line="240" w:lineRule="auto"/>
              <w:ind w:firstLine="0" w:firstLineChars="0"/>
              <w:rPr>
                <w:color w:val="000000" w:themeColor="text1"/>
                <w:highlight w:val="none"/>
                <w14:textFill>
                  <w14:solidFill>
                    <w14:schemeClr w14:val="tx1"/>
                  </w14:solidFill>
                </w14:textFill>
              </w:rPr>
            </w:pPr>
            <w:r>
              <w:rPr>
                <w:snapToGrid w:val="0"/>
                <w:color w:val="000000" w:themeColor="text1"/>
                <w:kern w:val="0"/>
                <w:highlight w:val="none"/>
                <w14:textFill>
                  <w14:solidFill>
                    <w14:schemeClr w14:val="tx1"/>
                  </w14:solidFill>
                </w14:textFill>
              </w:rPr>
              <w:t>生活垃圾</w:t>
            </w:r>
          </w:p>
        </w:tc>
        <w:tc>
          <w:tcPr>
            <w:tcW w:w="1472" w:type="dxa"/>
            <w:tcBorders>
              <w:left w:val="single" w:color="000000" w:sz="4" w:space="0"/>
              <w:right w:val="single" w:color="000000" w:sz="4" w:space="0"/>
            </w:tcBorders>
            <w:noWrap w:val="0"/>
            <w:vAlign w:val="center"/>
          </w:tcPr>
          <w:p w14:paraId="1403B08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snapToGrid w:val="0"/>
                <w:color w:val="000000" w:themeColor="text1"/>
                <w:kern w:val="0"/>
                <w:sz w:val="21"/>
                <w:szCs w:val="21"/>
                <w:highlight w:val="none"/>
                <w14:textFill>
                  <w14:solidFill>
                    <w14:schemeClr w14:val="tx1"/>
                  </w14:solidFill>
                </w14:textFill>
              </w:rPr>
            </w:pPr>
            <w:r>
              <w:rPr>
                <w:color w:val="000000" w:themeColor="text1"/>
                <w:kern w:val="0"/>
                <w:sz w:val="21"/>
                <w:szCs w:val="21"/>
                <w:highlight w:val="none"/>
                <w:lang w:bidi="ar"/>
                <w14:textFill>
                  <w14:solidFill>
                    <w14:schemeClr w14:val="tx1"/>
                  </w14:solidFill>
                </w14:textFill>
              </w:rPr>
              <w:t>生活垃圾</w:t>
            </w:r>
          </w:p>
        </w:tc>
        <w:tc>
          <w:tcPr>
            <w:tcW w:w="1649" w:type="dxa"/>
            <w:tcBorders>
              <w:top w:val="single" w:color="000000" w:sz="4" w:space="0"/>
              <w:left w:val="single" w:color="000000" w:sz="4" w:space="0"/>
              <w:right w:val="single" w:color="000000" w:sz="4" w:space="0"/>
            </w:tcBorders>
            <w:noWrap w:val="0"/>
            <w:vAlign w:val="center"/>
          </w:tcPr>
          <w:p w14:paraId="5B37A1FA">
            <w:pPr>
              <w:pStyle w:val="61"/>
              <w:keepNext w:val="0"/>
              <w:keepLines w:val="0"/>
              <w:pageBreakBefore w:val="0"/>
              <w:shd w:val="clear" w:color="auto" w:fill="auto"/>
              <w:kinsoku/>
              <w:wordWrap/>
              <w:overflowPunct/>
              <w:topLinePunct w:val="0"/>
              <w:autoSpaceDE/>
              <w:autoSpaceDN/>
              <w:bidi w:val="0"/>
              <w:spacing w:line="240" w:lineRule="auto"/>
              <w:ind w:firstLine="0" w:firstLineChars="0"/>
              <w:rPr>
                <w:color w:val="000000" w:themeColor="text1"/>
                <w:highlight w:val="none"/>
                <w14:textFill>
                  <w14:solidFill>
                    <w14:schemeClr w14:val="tx1"/>
                  </w14:solidFill>
                </w14:textFill>
              </w:rPr>
            </w:pPr>
          </w:p>
        </w:tc>
        <w:tc>
          <w:tcPr>
            <w:tcW w:w="1278" w:type="dxa"/>
            <w:tcBorders>
              <w:top w:val="single" w:color="000000" w:sz="4" w:space="0"/>
              <w:left w:val="single" w:color="000000" w:sz="4" w:space="0"/>
              <w:right w:val="single" w:color="000000" w:sz="4" w:space="0"/>
            </w:tcBorders>
            <w:noWrap w:val="0"/>
            <w:vAlign w:val="center"/>
          </w:tcPr>
          <w:p w14:paraId="1DCE4B1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703" w:type="dxa"/>
            <w:tcBorders>
              <w:top w:val="single" w:color="000000" w:sz="4" w:space="0"/>
              <w:left w:val="single" w:color="000000" w:sz="4" w:space="0"/>
              <w:right w:val="single" w:color="000000" w:sz="4" w:space="0"/>
            </w:tcBorders>
            <w:noWrap w:val="0"/>
            <w:vAlign w:val="center"/>
          </w:tcPr>
          <w:p w14:paraId="0E36413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559" w:type="dxa"/>
            <w:tcBorders>
              <w:top w:val="single" w:color="000000" w:sz="4" w:space="0"/>
              <w:left w:val="single" w:color="000000" w:sz="4" w:space="0"/>
              <w:right w:val="single" w:color="000000" w:sz="4" w:space="0"/>
            </w:tcBorders>
            <w:noWrap w:val="0"/>
            <w:vAlign w:val="center"/>
          </w:tcPr>
          <w:p w14:paraId="11D1B7F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default"/>
                <w:snapToGrid w:val="0"/>
                <w:color w:val="000000" w:themeColor="text1"/>
                <w:kern w:val="0"/>
                <w:sz w:val="21"/>
                <w:szCs w:val="21"/>
                <w:highlight w:val="none"/>
                <w:lang w:val="en-US"/>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9.9</w:t>
            </w:r>
          </w:p>
        </w:tc>
        <w:tc>
          <w:tcPr>
            <w:tcW w:w="1763" w:type="dxa"/>
            <w:tcBorders>
              <w:top w:val="single" w:color="000000" w:sz="4" w:space="0"/>
              <w:left w:val="single" w:color="000000" w:sz="4" w:space="0"/>
              <w:right w:val="single" w:color="000000" w:sz="4" w:space="0"/>
            </w:tcBorders>
            <w:noWrap w:val="0"/>
            <w:vAlign w:val="center"/>
          </w:tcPr>
          <w:p w14:paraId="7339BE7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821" w:type="dxa"/>
            <w:tcBorders>
              <w:top w:val="single" w:color="000000" w:sz="4" w:space="0"/>
              <w:left w:val="single" w:color="000000" w:sz="4" w:space="0"/>
              <w:right w:val="single" w:color="000000" w:sz="4" w:space="0"/>
            </w:tcBorders>
            <w:shd w:val="clear" w:color="auto" w:fill="auto"/>
            <w:noWrap w:val="0"/>
            <w:vAlign w:val="center"/>
          </w:tcPr>
          <w:p w14:paraId="3EC4CE9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9.9</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50C6A57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snapToGrid w:val="0"/>
                <w:color w:val="000000" w:themeColor="text1"/>
                <w:kern w:val="0"/>
                <w:sz w:val="21"/>
                <w:szCs w:val="21"/>
                <w:highlight w:val="none"/>
                <w:lang w:val="en-US" w:eastAsia="zh-CN" w:bidi="ar-SA"/>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+9.9</w:t>
            </w:r>
          </w:p>
        </w:tc>
      </w:tr>
      <w:tr w14:paraId="40A6BC7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287" w:type="dxa"/>
            <w:vMerge w:val="restart"/>
            <w:tcBorders>
              <w:top w:val="single" w:color="000000" w:sz="4" w:space="0"/>
              <w:right w:val="single" w:color="000000" w:sz="4" w:space="0"/>
            </w:tcBorders>
            <w:noWrap w:val="0"/>
            <w:vAlign w:val="center"/>
          </w:tcPr>
          <w:p w14:paraId="43B9837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r>
              <w:rPr>
                <w:color w:val="000000" w:themeColor="text1"/>
                <w:kern w:val="0"/>
                <w:sz w:val="21"/>
                <w:szCs w:val="21"/>
                <w:highlight w:val="none"/>
                <w:lang w:bidi="ar"/>
                <w14:textFill>
                  <w14:solidFill>
                    <w14:schemeClr w14:val="tx1"/>
                  </w14:solidFill>
                </w14:textFill>
              </w:rPr>
              <w:t>一般工业固体废物</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64ED5A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zh-CN"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钢材边角料及不合格品</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7CFD43F4">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4B18EB9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1AECA29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7AD5A3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2604</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3E620E1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BFFEBD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2604</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72CD243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+2604</w:t>
            </w:r>
          </w:p>
        </w:tc>
      </w:tr>
      <w:tr w14:paraId="1313FD2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287" w:type="dxa"/>
            <w:vMerge w:val="continue"/>
            <w:tcBorders>
              <w:right w:val="single" w:color="000000" w:sz="4" w:space="0"/>
            </w:tcBorders>
            <w:noWrap w:val="0"/>
            <w:vAlign w:val="center"/>
          </w:tcPr>
          <w:p w14:paraId="2277E34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E17504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炉渣</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227826BD">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5805578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0E2E0DB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5A8D03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92.378</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4F824A7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0AF9D1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92.378</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64AC5FF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+92.378</w:t>
            </w:r>
          </w:p>
        </w:tc>
      </w:tr>
      <w:tr w14:paraId="23875F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287" w:type="dxa"/>
            <w:vMerge w:val="continue"/>
            <w:tcBorders>
              <w:right w:val="single" w:color="000000" w:sz="4" w:space="0"/>
            </w:tcBorders>
            <w:noWrap w:val="0"/>
            <w:vAlign w:val="center"/>
          </w:tcPr>
          <w:p w14:paraId="64EACED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514762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废再生砂</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7C182EC1">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75E3367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76E560B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AA6ABA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47350.864</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603DF46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258D91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47350.864</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40932C4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+47350.864</w:t>
            </w:r>
          </w:p>
        </w:tc>
      </w:tr>
      <w:tr w14:paraId="2B31542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0" w:hRule="atLeast"/>
          <w:jc w:val="center"/>
        </w:trPr>
        <w:tc>
          <w:tcPr>
            <w:tcW w:w="1287" w:type="dxa"/>
            <w:vMerge w:val="continue"/>
            <w:tcBorders>
              <w:right w:val="single" w:color="000000" w:sz="4" w:space="0"/>
            </w:tcBorders>
            <w:noWrap w:val="0"/>
            <w:vAlign w:val="center"/>
          </w:tcPr>
          <w:p w14:paraId="06069C3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C7F84B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废抛丸</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0566BFE3">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4E4AC68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6B84923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DABDAE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595A258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19D9AB4">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53D15D38">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w:t>
            </w:r>
          </w:p>
        </w:tc>
      </w:tr>
      <w:tr w14:paraId="76068C7A">
        <w:tblPrEx>
          <w:tblCellMar>
            <w:top w:w="0" w:type="dxa"/>
            <w:left w:w="0" w:type="dxa"/>
            <w:bottom w:w="0" w:type="dxa"/>
            <w:right w:w="0" w:type="dxa"/>
          </w:tblCellMar>
        </w:tblPrEx>
        <w:trPr>
          <w:trHeight w:val="90" w:hRule="atLeast"/>
          <w:jc w:val="center"/>
        </w:trPr>
        <w:tc>
          <w:tcPr>
            <w:tcW w:w="1287" w:type="dxa"/>
            <w:vMerge w:val="continue"/>
            <w:tcBorders>
              <w:right w:val="single" w:color="000000" w:sz="4" w:space="0"/>
            </w:tcBorders>
            <w:noWrap w:val="0"/>
            <w:vAlign w:val="center"/>
          </w:tcPr>
          <w:p w14:paraId="4051633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kern w:val="0"/>
                <w:sz w:val="21"/>
                <w:szCs w:val="21"/>
                <w:highlight w:val="none"/>
                <w:lang w:bidi="ar"/>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F7CC0F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不可再生砂</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7455B5B2">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51B0E75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3337689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4A2213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330</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75D4748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lang w:val="zh-CN"/>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740369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330</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77629E1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+330</w:t>
            </w:r>
          </w:p>
        </w:tc>
      </w:tr>
      <w:tr w14:paraId="51F9D2C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33C7D1A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B5259A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磁选金属</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68A86B21">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47199F7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290A2FA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40B34C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49ACFD0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E6334DE">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098B2A0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r>
      <w:tr w14:paraId="428AB2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5E7B7CA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F781E65">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布袋</w:t>
            </w:r>
            <w:r>
              <w:rPr>
                <w:rFonts w:hint="default" w:ascii="Times New Roman" w:hAnsi="Times New Roman" w:cs="Times New Roman"/>
                <w:color w:val="000000" w:themeColor="text1"/>
                <w:sz w:val="21"/>
                <w:szCs w:val="21"/>
                <w:highlight w:val="none"/>
                <w14:textFill>
                  <w14:solidFill>
                    <w14:schemeClr w14:val="tx1"/>
                  </w14:solidFill>
                </w14:textFill>
              </w:rPr>
              <w:t>除尘灰</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6037C3A3">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4400DC9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0E9D33C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A72C65F">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219.94</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234F3AC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47DC0D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219.94</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10B2FD9A">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+219.94</w:t>
            </w:r>
          </w:p>
        </w:tc>
      </w:tr>
      <w:tr w14:paraId="4249A0C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5FE721C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A6DE270">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无组织收集粉料</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61792EFA">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01216B8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5F3A6D3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B731D7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3.416</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1A72A8B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5A11747">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3.416</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32B9DFC5">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+3.416</w:t>
            </w:r>
          </w:p>
        </w:tc>
      </w:tr>
      <w:tr w14:paraId="2B9F987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00AB9E4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88052F5">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废布袋</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782B3ADD">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16AED83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3661269C">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D5881B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4B78E36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8CAD4E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08FD983A">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+0.05</w:t>
            </w:r>
          </w:p>
        </w:tc>
      </w:tr>
      <w:tr w14:paraId="20B26E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38E45D1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noWrap w:val="0"/>
            <w:vAlign w:val="center"/>
          </w:tcPr>
          <w:p w14:paraId="7B71B5E4">
            <w:pPr>
              <w:keepNext w:val="0"/>
              <w:keepLines w:val="0"/>
              <w:pageBreakBefore w:val="0"/>
              <w:shd w:val="clear" w:color="auto" w:fill="auto"/>
              <w:kinsoku/>
              <w:wordWrap/>
              <w:overflowPunct/>
              <w:topLinePunct w:val="0"/>
              <w:autoSpaceDE/>
              <w:autoSpaceDN/>
              <w:bidi w:val="0"/>
              <w:adjustRightInd w:val="0"/>
              <w:spacing w:line="240" w:lineRule="auto"/>
              <w:ind w:firstLine="0" w:firstLineChars="0"/>
              <w:jc w:val="center"/>
              <w:rPr>
                <w:rFonts w:hint="eastAsia" w:eastAsia="宋体"/>
                <w:snapToGrid w:val="0"/>
                <w:color w:val="000000" w:themeColor="text1"/>
                <w:kern w:val="0"/>
                <w:sz w:val="21"/>
                <w:szCs w:val="21"/>
                <w:highlight w:val="none"/>
                <w:lang w:val="en-US" w:eastAsia="zh-CN"/>
                <w14:textFill>
                  <w14:solidFill>
                    <w14:schemeClr w14:val="tx1"/>
                  </w14:solidFill>
                </w14:textFill>
              </w:rPr>
            </w:pPr>
            <w:r>
              <w:rPr>
                <w:rFonts w:hint="eastAsia"/>
                <w:snapToGrid w:val="0"/>
                <w:color w:val="000000" w:themeColor="text1"/>
                <w:kern w:val="0"/>
                <w:sz w:val="21"/>
                <w:szCs w:val="21"/>
                <w:highlight w:val="none"/>
                <w:lang w:val="en-US" w:eastAsia="zh-CN"/>
                <w14:textFill>
                  <w14:solidFill>
                    <w14:schemeClr w14:val="tx1"/>
                  </w14:solidFill>
                </w14:textFill>
              </w:rPr>
              <w:t>污泥</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1F890F13">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noWrap w:val="0"/>
            <w:vAlign w:val="center"/>
          </w:tcPr>
          <w:p w14:paraId="382F670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noWrap w:val="0"/>
            <w:vAlign w:val="center"/>
          </w:tcPr>
          <w:p w14:paraId="205AC30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noWrap w:val="0"/>
            <w:vAlign w:val="center"/>
          </w:tcPr>
          <w:p w14:paraId="11DFC3E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1</w:t>
            </w:r>
          </w:p>
        </w:tc>
        <w:tc>
          <w:tcPr>
            <w:tcW w:w="1763" w:type="dxa"/>
            <w:tcBorders>
              <w:top w:val="single" w:color="000000" w:sz="4" w:space="0"/>
              <w:left w:val="single" w:color="000000" w:sz="4" w:space="0"/>
              <w:bottom w:val="single" w:color="000000" w:sz="4" w:space="0"/>
              <w:right w:val="single" w:color="000000" w:sz="4" w:space="0"/>
            </w:tcBorders>
            <w:noWrap w:val="0"/>
            <w:vAlign w:val="center"/>
          </w:tcPr>
          <w:p w14:paraId="0C64F19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A23FC0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default"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1</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18B07F7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i w:val="0"/>
                <w:iCs w:val="0"/>
                <w:color w:val="000000" w:themeColor="text1"/>
                <w:kern w:val="0"/>
                <w:sz w:val="21"/>
                <w:szCs w:val="21"/>
                <w:highlight w:val="none"/>
                <w:u w:val="none"/>
                <w:lang w:val="en-US" w:eastAsia="zh-CN" w:bidi="ar"/>
                <w14:textFill>
                  <w14:solidFill>
                    <w14:schemeClr w14:val="tx1"/>
                  </w14:solidFill>
                </w14:textFill>
              </w:rPr>
            </w:pPr>
            <w:r>
              <w:rPr>
                <w:rFonts w:hint="eastAsia" w:cs="Times New Roman"/>
                <w:i w:val="0"/>
                <w:iCs w:val="0"/>
                <w:color w:val="000000" w:themeColor="text1"/>
                <w:kern w:val="0"/>
                <w:sz w:val="21"/>
                <w:szCs w:val="21"/>
                <w:highlight w:val="none"/>
                <w:u w:val="none"/>
                <w:lang w:val="en-US" w:eastAsia="zh-CN" w:bidi="ar"/>
                <w14:textFill>
                  <w14:solidFill>
                    <w14:schemeClr w14:val="tx1"/>
                  </w14:solidFill>
                </w14:textFill>
              </w:rPr>
              <w:t>+1</w:t>
            </w:r>
          </w:p>
        </w:tc>
      </w:tr>
      <w:tr w14:paraId="27C720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19BBA4E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28DBC03">
            <w:pPr>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中频炉除尘灰</w:t>
            </w:r>
          </w:p>
        </w:tc>
        <w:tc>
          <w:tcPr>
            <w:tcW w:w="164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9046E0B">
            <w:pPr>
              <w:keepNext w:val="0"/>
              <w:keepLines w:val="0"/>
              <w:pageBreakBefore w:val="0"/>
              <w:shd w:val="clear" w:color="auto" w:fill="auto"/>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6243206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7C15703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30A80EF">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4.709</w:t>
            </w:r>
          </w:p>
        </w:tc>
        <w:tc>
          <w:tcPr>
            <w:tcW w:w="176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00807C4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700C051">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4.709</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4EFD558C">
            <w:pPr>
              <w:pStyle w:val="136"/>
              <w:keepNext w:val="0"/>
              <w:keepLines w:val="0"/>
              <w:pageBreakBefore w:val="0"/>
              <w:kinsoku/>
              <w:wordWrap/>
              <w:overflowPunct/>
              <w:topLinePunct w:val="0"/>
              <w:autoSpaceDE/>
              <w:autoSpaceDN/>
              <w:bidi w:val="0"/>
              <w:spacing w:line="240" w:lineRule="auto"/>
              <w:ind w:firstLine="0" w:firstLineChars="0"/>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+4.709</w:t>
            </w:r>
          </w:p>
        </w:tc>
      </w:tr>
      <w:tr w14:paraId="1B9DA2E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tcBorders>
              <w:right w:val="single" w:color="000000" w:sz="4" w:space="0"/>
            </w:tcBorders>
            <w:noWrap w:val="0"/>
            <w:vAlign w:val="center"/>
          </w:tcPr>
          <w:p w14:paraId="0788768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5CBBDD7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中频炉废耐火材料</w:t>
            </w:r>
          </w:p>
        </w:tc>
        <w:tc>
          <w:tcPr>
            <w:tcW w:w="164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6131140">
            <w:pPr>
              <w:keepNext w:val="0"/>
              <w:keepLines w:val="0"/>
              <w:pageBreakBefore w:val="0"/>
              <w:shd w:val="clear" w:color="auto" w:fill="auto"/>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278"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4012080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70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16E9CD9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559"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8D3BEBB">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1763"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2175DBF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21" w:type="dxa"/>
            <w:tcBorders>
              <w:top w:val="single" w:color="000000" w:sz="4" w:space="0"/>
              <w:left w:val="single" w:color="000000" w:sz="4" w:space="0"/>
              <w:bottom w:val="single" w:color="000000" w:sz="4" w:space="0"/>
              <w:right w:val="single" w:color="000000" w:sz="4" w:space="0"/>
            </w:tcBorders>
            <w:shd w:val="clear" w:color="auto" w:fill="auto"/>
            <w:noWrap w:val="0"/>
            <w:vAlign w:val="center"/>
          </w:tcPr>
          <w:p w14:paraId="3201909B">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c>
          <w:tcPr>
            <w:tcW w:w="1232" w:type="dxa"/>
            <w:tcBorders>
              <w:top w:val="single" w:color="000000" w:sz="4" w:space="0"/>
              <w:left w:val="single" w:color="000000" w:sz="4" w:space="0"/>
              <w:bottom w:val="single" w:color="000000" w:sz="4" w:space="0"/>
            </w:tcBorders>
            <w:shd w:val="clear" w:color="auto" w:fill="auto"/>
            <w:noWrap w:val="0"/>
            <w:vAlign w:val="center"/>
          </w:tcPr>
          <w:p w14:paraId="25C59082">
            <w:pPr>
              <w:pStyle w:val="136"/>
              <w:keepNext w:val="0"/>
              <w:keepLines w:val="0"/>
              <w:pageBreakBefore w:val="0"/>
              <w:kinsoku/>
              <w:wordWrap/>
              <w:overflowPunct/>
              <w:topLinePunct w:val="0"/>
              <w:autoSpaceDE/>
              <w:autoSpaceDN/>
              <w:bidi w:val="0"/>
              <w:spacing w:line="240" w:lineRule="auto"/>
              <w:ind w:firstLine="0" w:firstLineChars="0"/>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+1.5</w:t>
            </w:r>
          </w:p>
        </w:tc>
      </w:tr>
      <w:tr w14:paraId="2C4B0231">
        <w:tblPrEx>
          <w:tblCellMar>
            <w:top w:w="0" w:type="dxa"/>
            <w:left w:w="0" w:type="dxa"/>
            <w:bottom w:w="0" w:type="dxa"/>
            <w:right w:w="0" w:type="dxa"/>
          </w:tblCellMar>
        </w:tblPrEx>
        <w:trPr>
          <w:trHeight w:val="33" w:hRule="atLeast"/>
          <w:jc w:val="center"/>
        </w:trPr>
        <w:tc>
          <w:tcPr>
            <w:tcW w:w="1287" w:type="dxa"/>
            <w:vMerge w:val="restart"/>
            <w:noWrap w:val="0"/>
            <w:vAlign w:val="center"/>
          </w:tcPr>
          <w:p w14:paraId="18E53BB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r>
              <w:rPr>
                <w:color w:val="000000" w:themeColor="text1"/>
                <w:sz w:val="21"/>
                <w:szCs w:val="21"/>
                <w:highlight w:val="none"/>
                <w14:textFill>
                  <w14:solidFill>
                    <w14:schemeClr w14:val="tx1"/>
                  </w14:solidFill>
                </w14:textFill>
              </w:rPr>
              <w:t>危险废物</w:t>
            </w:r>
          </w:p>
        </w:tc>
        <w:tc>
          <w:tcPr>
            <w:tcW w:w="1472" w:type="dxa"/>
            <w:shd w:val="clear" w:color="auto" w:fill="auto"/>
            <w:noWrap w:val="0"/>
            <w:vAlign w:val="center"/>
          </w:tcPr>
          <w:p w14:paraId="6CFECD85">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沾染废乳化液刨花屑</w:t>
            </w:r>
          </w:p>
        </w:tc>
        <w:tc>
          <w:tcPr>
            <w:tcW w:w="1649" w:type="dxa"/>
            <w:shd w:val="clear" w:color="auto" w:fill="auto"/>
            <w:noWrap w:val="0"/>
            <w:vAlign w:val="center"/>
          </w:tcPr>
          <w:p w14:paraId="15AF90C1">
            <w:pPr>
              <w:keepNext w:val="0"/>
              <w:keepLines w:val="0"/>
              <w:pageBreakBefore w:val="0"/>
              <w:shd w:val="clear" w:color="auto" w:fill="auto"/>
              <w:kinsoku/>
              <w:wordWrap/>
              <w:overflowPunct/>
              <w:topLinePunct w:val="0"/>
              <w:autoSpaceDE/>
              <w:autoSpaceDN/>
              <w:bidi w:val="0"/>
              <w:spacing w:line="240" w:lineRule="auto"/>
              <w:ind w:firstLine="0" w:firstLineChars="0"/>
              <w:jc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278" w:type="dxa"/>
            <w:shd w:val="clear" w:color="auto" w:fill="auto"/>
            <w:noWrap w:val="0"/>
            <w:vAlign w:val="center"/>
          </w:tcPr>
          <w:p w14:paraId="6210D4E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703" w:type="dxa"/>
            <w:shd w:val="clear" w:color="auto" w:fill="auto"/>
            <w:noWrap w:val="0"/>
            <w:vAlign w:val="center"/>
          </w:tcPr>
          <w:p w14:paraId="208B3FE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559" w:type="dxa"/>
            <w:shd w:val="clear" w:color="auto" w:fill="auto"/>
            <w:noWrap w:val="0"/>
            <w:vAlign w:val="center"/>
          </w:tcPr>
          <w:p w14:paraId="545A4202">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w:t>
            </w:r>
          </w:p>
        </w:tc>
        <w:tc>
          <w:tcPr>
            <w:tcW w:w="1763" w:type="dxa"/>
            <w:shd w:val="clear" w:color="auto" w:fill="auto"/>
            <w:noWrap w:val="0"/>
            <w:vAlign w:val="center"/>
          </w:tcPr>
          <w:p w14:paraId="3E3D1C4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rFonts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p>
        </w:tc>
        <w:tc>
          <w:tcPr>
            <w:tcW w:w="1821" w:type="dxa"/>
            <w:shd w:val="clear" w:color="auto" w:fill="auto"/>
            <w:noWrap w:val="0"/>
            <w:vAlign w:val="center"/>
          </w:tcPr>
          <w:p w14:paraId="1BAA27C7">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w:t>
            </w:r>
          </w:p>
        </w:tc>
        <w:tc>
          <w:tcPr>
            <w:tcW w:w="1232" w:type="dxa"/>
            <w:shd w:val="clear" w:color="auto" w:fill="auto"/>
            <w:noWrap w:val="0"/>
            <w:vAlign w:val="center"/>
          </w:tcPr>
          <w:p w14:paraId="329C77D7">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2</w:t>
            </w:r>
          </w:p>
        </w:tc>
      </w:tr>
      <w:tr w14:paraId="33C77FF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0636497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7A30D7B2">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cs="Times New Roman"/>
                <w:color w:val="000000" w:themeColor="text1"/>
                <w:sz w:val="21"/>
                <w:szCs w:val="21"/>
                <w:highlight w:val="none"/>
                <w:lang w:val="en-US" w:eastAsia="zh-CN"/>
                <w14:textFill>
                  <w14:solidFill>
                    <w14:schemeClr w14:val="tx1"/>
                  </w14:solidFill>
                </w14:textFill>
              </w:rPr>
              <w:t>废乳化液</w:t>
            </w:r>
          </w:p>
        </w:tc>
        <w:tc>
          <w:tcPr>
            <w:tcW w:w="1649" w:type="dxa"/>
            <w:noWrap w:val="0"/>
            <w:vAlign w:val="center"/>
          </w:tcPr>
          <w:p w14:paraId="39A2D68F">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309EF80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53F4088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64DD9133">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w:t>
            </w:r>
          </w:p>
        </w:tc>
        <w:tc>
          <w:tcPr>
            <w:tcW w:w="1763" w:type="dxa"/>
            <w:noWrap w:val="0"/>
            <w:vAlign w:val="center"/>
          </w:tcPr>
          <w:p w14:paraId="3ED685D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24C7D64C">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w:t>
            </w:r>
          </w:p>
        </w:tc>
        <w:tc>
          <w:tcPr>
            <w:tcW w:w="1232" w:type="dxa"/>
            <w:shd w:val="clear" w:color="auto" w:fill="auto"/>
            <w:noWrap w:val="0"/>
            <w:vAlign w:val="center"/>
          </w:tcPr>
          <w:p w14:paraId="711A5333">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2</w:t>
            </w:r>
          </w:p>
        </w:tc>
      </w:tr>
      <w:tr w14:paraId="001E629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6B13248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7340C9E3">
            <w:pPr>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lang w:eastAsia="zh-CN"/>
                <w14:textFill>
                  <w14:solidFill>
                    <w14:schemeClr w14:val="tx1"/>
                  </w14:solidFill>
                </w14:textFill>
              </w:rPr>
              <w:t>脱模剂空桶</w:t>
            </w:r>
          </w:p>
        </w:tc>
        <w:tc>
          <w:tcPr>
            <w:tcW w:w="1649" w:type="dxa"/>
            <w:noWrap w:val="0"/>
            <w:vAlign w:val="center"/>
          </w:tcPr>
          <w:p w14:paraId="6DCD335C">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7053D56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3014A38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4DDEA10D">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0.04</w:t>
            </w:r>
          </w:p>
        </w:tc>
        <w:tc>
          <w:tcPr>
            <w:tcW w:w="1763" w:type="dxa"/>
            <w:noWrap w:val="0"/>
            <w:vAlign w:val="center"/>
          </w:tcPr>
          <w:p w14:paraId="17A80F4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681CE137">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0.04</w:t>
            </w:r>
          </w:p>
        </w:tc>
        <w:tc>
          <w:tcPr>
            <w:tcW w:w="1232" w:type="dxa"/>
            <w:shd w:val="clear" w:color="auto" w:fill="auto"/>
            <w:noWrap w:val="0"/>
            <w:vAlign w:val="center"/>
          </w:tcPr>
          <w:p w14:paraId="0FDFE6B5">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0.04</w:t>
            </w:r>
          </w:p>
        </w:tc>
      </w:tr>
      <w:tr w14:paraId="72C30A6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6BE9276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279BE586">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漆料空桶</w:t>
            </w:r>
          </w:p>
        </w:tc>
        <w:tc>
          <w:tcPr>
            <w:tcW w:w="1649" w:type="dxa"/>
            <w:noWrap w:val="0"/>
            <w:vAlign w:val="center"/>
          </w:tcPr>
          <w:p w14:paraId="479A8498">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6D6BE2B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08583ECB">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14928F8E">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c>
          <w:tcPr>
            <w:tcW w:w="1763" w:type="dxa"/>
            <w:noWrap w:val="0"/>
            <w:vAlign w:val="center"/>
          </w:tcPr>
          <w:p w14:paraId="3665799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151487E7">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c>
          <w:tcPr>
            <w:tcW w:w="1232" w:type="dxa"/>
            <w:shd w:val="clear" w:color="auto" w:fill="auto"/>
            <w:noWrap w:val="0"/>
            <w:vAlign w:val="center"/>
          </w:tcPr>
          <w:p w14:paraId="210CA520">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kern w:val="0"/>
                <w:sz w:val="21"/>
                <w:szCs w:val="21"/>
                <w:highlight w:val="none"/>
                <w:lang w:val="en-US" w:eastAsia="zh-CN" w:bidi="ar-SA"/>
                <w14:textFill>
                  <w14:solidFill>
                    <w14:schemeClr w14:val="tx1"/>
                  </w14:solidFill>
                </w14:textFill>
              </w:rPr>
              <w:t>+0.3913</w:t>
            </w:r>
          </w:p>
        </w:tc>
      </w:tr>
      <w:tr w14:paraId="3D391A1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0353CBE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6FF05E1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漆渣</w:t>
            </w:r>
          </w:p>
        </w:tc>
        <w:tc>
          <w:tcPr>
            <w:tcW w:w="1649" w:type="dxa"/>
            <w:noWrap w:val="0"/>
            <w:vAlign w:val="center"/>
          </w:tcPr>
          <w:p w14:paraId="78758AFC">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235E5AE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31BD2AE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079875F4">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5.78</w:t>
            </w:r>
            <w:r>
              <w:rPr>
                <w:rFonts w:hint="eastAsia" w:cs="Times New Roman"/>
                <w:color w:val="000000" w:themeColor="text1"/>
                <w:sz w:val="21"/>
                <w:szCs w:val="21"/>
                <w:highlight w:val="none"/>
                <w:lang w:val="en-US" w:eastAsia="zh-CN"/>
                <w14:textFill>
                  <w14:solidFill>
                    <w14:schemeClr w14:val="tx1"/>
                  </w14:solidFill>
                </w14:textFill>
              </w:rPr>
              <w:t>9</w:t>
            </w:r>
          </w:p>
        </w:tc>
        <w:tc>
          <w:tcPr>
            <w:tcW w:w="1763" w:type="dxa"/>
            <w:noWrap w:val="0"/>
            <w:vAlign w:val="center"/>
          </w:tcPr>
          <w:p w14:paraId="6EBB6507">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1F699195">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5.78</w:t>
            </w:r>
            <w:r>
              <w:rPr>
                <w:rFonts w:hint="eastAsia" w:cs="Times New Roman"/>
                <w:color w:val="000000" w:themeColor="text1"/>
                <w:sz w:val="21"/>
                <w:szCs w:val="21"/>
                <w:highlight w:val="none"/>
                <w:lang w:val="en-US" w:eastAsia="zh-CN"/>
                <w14:textFill>
                  <w14:solidFill>
                    <w14:schemeClr w14:val="tx1"/>
                  </w14:solidFill>
                </w14:textFill>
              </w:rPr>
              <w:t>9</w:t>
            </w:r>
          </w:p>
        </w:tc>
        <w:tc>
          <w:tcPr>
            <w:tcW w:w="1232" w:type="dxa"/>
            <w:shd w:val="clear" w:color="auto" w:fill="auto"/>
            <w:noWrap w:val="0"/>
            <w:vAlign w:val="center"/>
          </w:tcPr>
          <w:p w14:paraId="1B8C88CA">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5.78</w:t>
            </w:r>
            <w:r>
              <w:rPr>
                <w:rFonts w:hint="eastAsia" w:cs="Times New Roman"/>
                <w:color w:val="000000" w:themeColor="text1"/>
                <w:sz w:val="21"/>
                <w:szCs w:val="21"/>
                <w:highlight w:val="none"/>
                <w:lang w:val="en-US" w:eastAsia="zh-CN"/>
                <w14:textFill>
                  <w14:solidFill>
                    <w14:schemeClr w14:val="tx1"/>
                  </w14:solidFill>
                </w14:textFill>
              </w:rPr>
              <w:t>9</w:t>
            </w:r>
          </w:p>
        </w:tc>
      </w:tr>
      <w:tr w14:paraId="1A66EEA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10B6D32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1C96C8C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水帘柜废水</w:t>
            </w:r>
          </w:p>
        </w:tc>
        <w:tc>
          <w:tcPr>
            <w:tcW w:w="1649" w:type="dxa"/>
            <w:noWrap w:val="0"/>
            <w:vAlign w:val="center"/>
          </w:tcPr>
          <w:p w14:paraId="5939E5FE">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632848E8">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1F422DE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43F5712E">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2.96</w:t>
            </w:r>
          </w:p>
        </w:tc>
        <w:tc>
          <w:tcPr>
            <w:tcW w:w="1763" w:type="dxa"/>
            <w:noWrap w:val="0"/>
            <w:vAlign w:val="center"/>
          </w:tcPr>
          <w:p w14:paraId="311CA37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5F65276A">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2.96</w:t>
            </w:r>
          </w:p>
        </w:tc>
        <w:tc>
          <w:tcPr>
            <w:tcW w:w="1232" w:type="dxa"/>
            <w:shd w:val="clear" w:color="auto" w:fill="auto"/>
            <w:noWrap w:val="0"/>
            <w:vAlign w:val="center"/>
          </w:tcPr>
          <w:p w14:paraId="7669C6D6">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2.96</w:t>
            </w:r>
          </w:p>
        </w:tc>
      </w:tr>
      <w:tr w14:paraId="7B57D3A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1351A18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413EA4A9">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废活性炭</w:t>
            </w:r>
          </w:p>
        </w:tc>
        <w:tc>
          <w:tcPr>
            <w:tcW w:w="1649" w:type="dxa"/>
            <w:noWrap w:val="0"/>
            <w:vAlign w:val="center"/>
          </w:tcPr>
          <w:p w14:paraId="6EBD815C">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238288C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33890656">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752348B7">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15.</w:t>
            </w:r>
            <w:r>
              <w:rPr>
                <w:rFonts w:hint="eastAsia" w:cs="Times New Roman"/>
                <w:color w:val="000000" w:themeColor="text1"/>
                <w:sz w:val="21"/>
                <w:szCs w:val="21"/>
                <w:highlight w:val="none"/>
                <w:lang w:val="en-US" w:eastAsia="zh-CN"/>
                <w14:textFill>
                  <w14:solidFill>
                    <w14:schemeClr w14:val="tx1"/>
                  </w14:solidFill>
                </w14:textFill>
              </w:rPr>
              <w:t>418</w:t>
            </w:r>
          </w:p>
        </w:tc>
        <w:tc>
          <w:tcPr>
            <w:tcW w:w="1763" w:type="dxa"/>
            <w:noWrap w:val="0"/>
            <w:vAlign w:val="center"/>
          </w:tcPr>
          <w:p w14:paraId="380CC322">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22328E45">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15.</w:t>
            </w:r>
            <w:r>
              <w:rPr>
                <w:rFonts w:hint="eastAsia" w:cs="Times New Roman"/>
                <w:color w:val="000000" w:themeColor="text1"/>
                <w:sz w:val="21"/>
                <w:szCs w:val="21"/>
                <w:highlight w:val="none"/>
                <w:lang w:val="en-US" w:eastAsia="zh-CN"/>
                <w14:textFill>
                  <w14:solidFill>
                    <w14:schemeClr w14:val="tx1"/>
                  </w14:solidFill>
                </w14:textFill>
              </w:rPr>
              <w:t>418</w:t>
            </w:r>
          </w:p>
        </w:tc>
        <w:tc>
          <w:tcPr>
            <w:tcW w:w="1232" w:type="dxa"/>
            <w:shd w:val="clear" w:color="auto" w:fill="auto"/>
            <w:noWrap w:val="0"/>
            <w:vAlign w:val="center"/>
          </w:tcPr>
          <w:p w14:paraId="61EB1FE4">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15.</w:t>
            </w:r>
            <w:r>
              <w:rPr>
                <w:rFonts w:hint="eastAsia" w:cs="Times New Roman"/>
                <w:color w:val="000000" w:themeColor="text1"/>
                <w:sz w:val="21"/>
                <w:szCs w:val="21"/>
                <w:highlight w:val="none"/>
                <w:lang w:val="en-US" w:eastAsia="zh-CN"/>
                <w14:textFill>
                  <w14:solidFill>
                    <w14:schemeClr w14:val="tx1"/>
                  </w14:solidFill>
                </w14:textFill>
              </w:rPr>
              <w:t>418</w:t>
            </w:r>
          </w:p>
        </w:tc>
      </w:tr>
      <w:tr w14:paraId="2DE8CF1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0C93989D">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4C29F3ED">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废过滤棉</w:t>
            </w:r>
          </w:p>
        </w:tc>
        <w:tc>
          <w:tcPr>
            <w:tcW w:w="1649" w:type="dxa"/>
            <w:noWrap w:val="0"/>
            <w:vAlign w:val="center"/>
          </w:tcPr>
          <w:p w14:paraId="5931ABB5">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7593653A">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00385E83">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25DF89E1">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763" w:type="dxa"/>
            <w:noWrap w:val="0"/>
            <w:vAlign w:val="center"/>
          </w:tcPr>
          <w:p w14:paraId="221311F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5CF05190">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232" w:type="dxa"/>
            <w:shd w:val="clear" w:color="auto" w:fill="auto"/>
            <w:noWrap w:val="0"/>
            <w:vAlign w:val="center"/>
          </w:tcPr>
          <w:p w14:paraId="64D368F7">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0.05</w:t>
            </w:r>
          </w:p>
        </w:tc>
      </w:tr>
      <w:tr w14:paraId="627E23C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2E4D693E">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5D163E12">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w:t>
            </w:r>
          </w:p>
        </w:tc>
        <w:tc>
          <w:tcPr>
            <w:tcW w:w="1649" w:type="dxa"/>
            <w:noWrap w:val="0"/>
            <w:vAlign w:val="center"/>
          </w:tcPr>
          <w:p w14:paraId="7435BE1A">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6B8ED6A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5310C73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036440FC">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763" w:type="dxa"/>
            <w:noWrap w:val="0"/>
            <w:vAlign w:val="center"/>
          </w:tcPr>
          <w:p w14:paraId="186E6959">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0909BBA3">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232" w:type="dxa"/>
            <w:shd w:val="clear" w:color="auto" w:fill="auto"/>
            <w:noWrap w:val="0"/>
            <w:vAlign w:val="center"/>
          </w:tcPr>
          <w:p w14:paraId="115C6A1F">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0.05</w:t>
            </w:r>
          </w:p>
        </w:tc>
      </w:tr>
      <w:tr w14:paraId="34AD5E7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68B5DED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30A4D4D3">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废机油桶</w:t>
            </w:r>
          </w:p>
        </w:tc>
        <w:tc>
          <w:tcPr>
            <w:tcW w:w="1649" w:type="dxa"/>
            <w:noWrap w:val="0"/>
            <w:vAlign w:val="center"/>
          </w:tcPr>
          <w:p w14:paraId="1A407C54">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6391C3C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2F0941D0">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7C0FDC18">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763" w:type="dxa"/>
            <w:noWrap w:val="0"/>
            <w:vAlign w:val="center"/>
          </w:tcPr>
          <w:p w14:paraId="6C17E79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0BC09947">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0.05</w:t>
            </w:r>
          </w:p>
        </w:tc>
        <w:tc>
          <w:tcPr>
            <w:tcW w:w="1232" w:type="dxa"/>
            <w:shd w:val="clear" w:color="auto" w:fill="auto"/>
            <w:noWrap w:val="0"/>
            <w:vAlign w:val="center"/>
          </w:tcPr>
          <w:p w14:paraId="3A59BCF5">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0.05</w:t>
            </w:r>
          </w:p>
        </w:tc>
      </w:tr>
      <w:tr w14:paraId="0AFBC8B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 w:hRule="atLeast"/>
          <w:jc w:val="center"/>
        </w:trPr>
        <w:tc>
          <w:tcPr>
            <w:tcW w:w="1287" w:type="dxa"/>
            <w:vMerge w:val="continue"/>
            <w:noWrap w:val="0"/>
            <w:vAlign w:val="center"/>
          </w:tcPr>
          <w:p w14:paraId="1D422AA1">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472" w:type="dxa"/>
            <w:shd w:val="clear" w:color="auto" w:fill="auto"/>
            <w:noWrap w:val="0"/>
            <w:vAlign w:val="center"/>
          </w:tcPr>
          <w:p w14:paraId="4A7942EC">
            <w:pPr>
              <w:pStyle w:val="136"/>
              <w:keepNext w:val="0"/>
              <w:keepLines w:val="0"/>
              <w:pageBreakBefore w:val="0"/>
              <w:kinsoku/>
              <w:wordWrap/>
              <w:overflowPunct/>
              <w:topLinePunct w:val="0"/>
              <w:autoSpaceDE/>
              <w:autoSpaceDN/>
              <w:bidi w:val="0"/>
              <w:spacing w:line="240" w:lineRule="auto"/>
              <w:ind w:firstLine="0" w:firstLineChars="0"/>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sz w:val="21"/>
                <w:szCs w:val="21"/>
                <w:highlight w:val="none"/>
                <w14:textFill>
                  <w14:solidFill>
                    <w14:schemeClr w14:val="tx1"/>
                  </w14:solidFill>
                </w14:textFill>
              </w:rPr>
              <w:t>废劳保用品</w:t>
            </w:r>
          </w:p>
        </w:tc>
        <w:tc>
          <w:tcPr>
            <w:tcW w:w="1649" w:type="dxa"/>
            <w:noWrap w:val="0"/>
            <w:vAlign w:val="center"/>
          </w:tcPr>
          <w:p w14:paraId="203BF7CC">
            <w:pPr>
              <w:keepNext w:val="0"/>
              <w:keepLines w:val="0"/>
              <w:pageBreakBefore w:val="0"/>
              <w:shd w:val="clear" w:color="auto" w:fill="auto"/>
              <w:kinsoku/>
              <w:wordWrap/>
              <w:overflowPunct/>
              <w:topLinePunct w:val="0"/>
              <w:autoSpaceDE/>
              <w:autoSpaceDN/>
              <w:bidi w:val="0"/>
              <w:spacing w:line="240" w:lineRule="auto"/>
              <w:ind w:firstLine="0" w:firstLineChars="0"/>
              <w:jc w:val="center"/>
              <w:rPr>
                <w:color w:val="000000" w:themeColor="text1"/>
                <w:sz w:val="21"/>
                <w:szCs w:val="21"/>
                <w:highlight w:val="none"/>
                <w14:textFill>
                  <w14:solidFill>
                    <w14:schemeClr w14:val="tx1"/>
                  </w14:solidFill>
                </w14:textFill>
              </w:rPr>
            </w:pPr>
          </w:p>
        </w:tc>
        <w:tc>
          <w:tcPr>
            <w:tcW w:w="1278" w:type="dxa"/>
            <w:noWrap w:val="0"/>
            <w:vAlign w:val="center"/>
          </w:tcPr>
          <w:p w14:paraId="081A6D95">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703" w:type="dxa"/>
            <w:noWrap w:val="0"/>
            <w:vAlign w:val="center"/>
          </w:tcPr>
          <w:p w14:paraId="2F896BDF">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559" w:type="dxa"/>
            <w:shd w:val="clear" w:color="auto" w:fill="auto"/>
            <w:noWrap w:val="0"/>
            <w:vAlign w:val="center"/>
          </w:tcPr>
          <w:p w14:paraId="13277DB2">
            <w:pPr>
              <w:pStyle w:val="136"/>
              <w:keepNext w:val="0"/>
              <w:keepLines w:val="0"/>
              <w:pageBreakBefore w:val="0"/>
              <w:kinsoku/>
              <w:wordWrap/>
              <w:overflowPunct/>
              <w:topLinePunct w:val="0"/>
              <w:autoSpaceDE/>
              <w:autoSpaceDN/>
              <w:bidi w:val="0"/>
              <w:spacing w:line="240" w:lineRule="auto"/>
              <w:ind w:firstLine="0" w:firstLineChars="0"/>
              <w:jc w:val="center"/>
              <w:rPr>
                <w:rFonts w:hint="default" w:cs="Times New Roman"/>
                <w:color w:val="000000" w:themeColor="text1"/>
                <w:sz w:val="21"/>
                <w:szCs w:val="21"/>
                <w:highlight w:val="none"/>
                <w:lang w:val="en-US" w:eastAsia="zh-CN"/>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0.01</w:t>
            </w:r>
          </w:p>
        </w:tc>
        <w:tc>
          <w:tcPr>
            <w:tcW w:w="1763" w:type="dxa"/>
            <w:noWrap w:val="0"/>
            <w:vAlign w:val="center"/>
          </w:tcPr>
          <w:p w14:paraId="767711F4">
            <w:pPr>
              <w:keepNext w:val="0"/>
              <w:keepLines w:val="0"/>
              <w:pageBreakBefore w:val="0"/>
              <w:widowControl/>
              <w:shd w:val="clear" w:color="auto" w:fill="auto"/>
              <w:kinsoku/>
              <w:wordWrap/>
              <w:overflowPunct/>
              <w:topLinePunct w:val="0"/>
              <w:autoSpaceDE/>
              <w:autoSpaceDN/>
              <w:bidi w:val="0"/>
              <w:spacing w:line="240" w:lineRule="auto"/>
              <w:ind w:firstLine="0" w:firstLineChars="0"/>
              <w:jc w:val="center"/>
              <w:textAlignment w:val="center"/>
              <w:rPr>
                <w:color w:val="000000" w:themeColor="text1"/>
                <w:sz w:val="21"/>
                <w:szCs w:val="21"/>
                <w:highlight w:val="none"/>
                <w14:textFill>
                  <w14:solidFill>
                    <w14:schemeClr w14:val="tx1"/>
                  </w14:solidFill>
                </w14:textFill>
              </w:rPr>
            </w:pPr>
          </w:p>
        </w:tc>
        <w:tc>
          <w:tcPr>
            <w:tcW w:w="1821" w:type="dxa"/>
            <w:shd w:val="clear" w:color="auto" w:fill="auto"/>
            <w:noWrap w:val="0"/>
            <w:vAlign w:val="center"/>
          </w:tcPr>
          <w:p w14:paraId="5BD143F5">
            <w:pPr>
              <w:pStyle w:val="136"/>
              <w:keepNext w:val="0"/>
              <w:keepLines w:val="0"/>
              <w:pageBreakBefore w:val="0"/>
              <w:kinsoku/>
              <w:wordWrap/>
              <w:overflowPunct/>
              <w:topLinePunct w:val="0"/>
              <w:autoSpaceDE/>
              <w:autoSpaceDN/>
              <w:bidi w:val="0"/>
              <w:spacing w:line="240" w:lineRule="auto"/>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cs="Times New Roman"/>
                <w:color w:val="000000" w:themeColor="text1"/>
                <w:sz w:val="21"/>
                <w:szCs w:val="21"/>
                <w:highlight w:val="none"/>
                <w:lang w:val="en-US" w:eastAsia="zh-CN"/>
                <w14:textFill>
                  <w14:solidFill>
                    <w14:schemeClr w14:val="tx1"/>
                  </w14:solidFill>
                </w14:textFill>
              </w:rPr>
              <w:t>0.01</w:t>
            </w:r>
          </w:p>
        </w:tc>
        <w:tc>
          <w:tcPr>
            <w:tcW w:w="1232" w:type="dxa"/>
            <w:shd w:val="clear" w:color="auto" w:fill="auto"/>
            <w:noWrap w:val="0"/>
            <w:vAlign w:val="center"/>
          </w:tcPr>
          <w:p w14:paraId="749B734C">
            <w:pPr>
              <w:pStyle w:val="136"/>
              <w:keepNext w:val="0"/>
              <w:keepLines w:val="0"/>
              <w:pageBreakBefore w:val="0"/>
              <w:kinsoku/>
              <w:wordWrap/>
              <w:overflowPunct/>
              <w:topLinePunct w:val="0"/>
              <w:autoSpaceDE/>
              <w:autoSpaceDN/>
              <w:bidi w:val="0"/>
              <w:spacing w:line="240" w:lineRule="auto"/>
              <w:ind w:firstLine="0" w:firstLineChars="0"/>
              <w:jc w:val="center"/>
              <w:rPr>
                <w:rFonts w:hint="eastAsia"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r>
              <w:rPr>
                <w:rFonts w:hint="default" w:cs="Times New Roman"/>
                <w:color w:val="000000" w:themeColor="text1"/>
                <w:sz w:val="21"/>
                <w:szCs w:val="21"/>
                <w:highlight w:val="none"/>
                <w:lang w:val="en-US" w:eastAsia="zh-CN"/>
                <w14:textFill>
                  <w14:solidFill>
                    <w14:schemeClr w14:val="tx1"/>
                  </w14:solidFill>
                </w14:textFill>
              </w:rPr>
              <w:t>0.01</w:t>
            </w:r>
          </w:p>
        </w:tc>
      </w:tr>
    </w:tbl>
    <w:p w14:paraId="5C8BCF53">
      <w:pPr>
        <w:shd w:val="clear" w:color="auto" w:fill="auto"/>
        <w:spacing w:before="78" w:line="240" w:lineRule="auto"/>
        <w:ind w:left="113"/>
        <w:jc w:val="both"/>
        <w:rPr>
          <w:color w:val="000000" w:themeColor="text1"/>
          <w:highlight w:val="none"/>
          <w14:textFill>
            <w14:solidFill>
              <w14:schemeClr w14:val="tx1"/>
            </w14:solidFill>
          </w14:textFill>
        </w:rPr>
      </w:pPr>
      <w:r>
        <w:rPr>
          <w:rFonts w:cs="宋体"/>
          <w:color w:val="000000" w:themeColor="text1"/>
          <w:sz w:val="21"/>
          <w:szCs w:val="21"/>
          <w:highlight w:val="none"/>
          <w:lang w:val="zh-CN" w:bidi="zh-CN"/>
          <w14:textFill>
            <w14:solidFill>
              <w14:schemeClr w14:val="tx1"/>
            </w14:solidFill>
          </w14:textFill>
        </w:rPr>
        <w:t>注</w:t>
      </w:r>
      <w:r>
        <w:rPr>
          <w:rFonts w:cs="宋体"/>
          <w:color w:val="000000" w:themeColor="text1"/>
          <w:sz w:val="21"/>
          <w:szCs w:val="21"/>
          <w:highlight w:val="none"/>
          <w:lang w:bidi="zh-CN"/>
          <w14:textFill>
            <w14:solidFill>
              <w14:schemeClr w14:val="tx1"/>
            </w14:solidFill>
          </w14:textFill>
        </w:rPr>
        <w:t>：⑥</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①</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③</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④</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⑤；⑦</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⑥</w:t>
      </w:r>
      <w:r>
        <w:rPr>
          <w:rFonts w:eastAsia="Times New Roman" w:cs="宋体"/>
          <w:color w:val="000000" w:themeColor="text1"/>
          <w:sz w:val="21"/>
          <w:szCs w:val="21"/>
          <w:highlight w:val="none"/>
          <w:lang w:bidi="zh-CN"/>
          <w14:textFill>
            <w14:solidFill>
              <w14:schemeClr w14:val="tx1"/>
            </w14:solidFill>
          </w14:textFill>
        </w:rPr>
        <w:t>-</w:t>
      </w:r>
      <w:r>
        <w:rPr>
          <w:rFonts w:cs="宋体"/>
          <w:color w:val="000000" w:themeColor="text1"/>
          <w:sz w:val="21"/>
          <w:szCs w:val="21"/>
          <w:highlight w:val="none"/>
          <w:lang w:bidi="zh-CN"/>
          <w14:textFill>
            <w14:solidFill>
              <w14:schemeClr w14:val="tx1"/>
            </w14:solidFill>
          </w14:textFill>
        </w:rPr>
        <w:t>①</w:t>
      </w:r>
    </w:p>
    <w:sectPr>
      <w:pgSz w:w="16838" w:h="11906" w:orient="landscape"/>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新宋体-18030">
    <w:altName w:val="宋体"/>
    <w:panose1 w:val="00000000000000000000"/>
    <w:charset w:val="00"/>
    <w:family w:val="auto"/>
    <w:pitch w:val="default"/>
    <w:sig w:usb0="00000000" w:usb1="00000000" w:usb2="00000000" w:usb3="00000000" w:csb0="00040001" w:csb1="00000000"/>
  </w:font>
  <w:font w:name="新宋体">
    <w:panose1 w:val="02010609030101010101"/>
    <w:charset w:val="86"/>
    <w:family w:val="modern"/>
    <w:pitch w:val="default"/>
    <w:sig w:usb0="000002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TimesNewRomanPSMT">
    <w:altName w:val="Times New Roman"/>
    <w:panose1 w:val="00000000000000000000"/>
    <w:charset w:val="00"/>
    <w:family w:val="roman"/>
    <w:pitch w:val="default"/>
    <w:sig w:usb0="00000000" w:usb1="00000000" w:usb2="00000000" w:usb3="00000000" w:csb0="00040001" w:csb1="00000000"/>
  </w:font>
  <w:font w:name="MingLiU">
    <w:altName w:val="PMingLiU-ExtB"/>
    <w:panose1 w:val="02020509000000000000"/>
    <w:charset w:val="88"/>
    <w:family w:val="modern"/>
    <w:pitch w:val="default"/>
    <w:sig w:usb0="00000000" w:usb1="00000000" w:usb2="00000016" w:usb3="00000000" w:csb0="00100001"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268CCC">
    <w:pPr>
      <w:tabs>
        <w:tab w:val="center" w:pos="4153"/>
        <w:tab w:val="right" w:pos="8306"/>
      </w:tabs>
      <w:ind w:left="0" w:leftChars="0" w:firstLine="0" w:firstLineChars="0"/>
      <w:jc w:val="cente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568C3A9">
                          <w:pPr>
                            <w:pStyle w:val="21"/>
                            <w:ind w:left="0" w:leftChars="0" w:firstLine="0" w:firstLine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wps:txbx>
                    <wps:bodyPr vert="horz" wrap="none" lIns="0" tIns="0" rIns="0" bIns="0" anchor="t" anchorCtr="0" upright="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ApKECj3gEAAL8DAAAOAAAAAAAA&#10;AAEAIAAAAB4BAABkcnMvZTJvRG9jLnhtbFBLBQYAAAAABgAGAFkBAABuBQAAAAA=&#10;">
              <v:fill on="f" focussize="0,0"/>
              <v:stroke on="f"/>
              <v:imagedata o:title=""/>
              <o:lock v:ext="edit" aspectratio="f"/>
              <v:textbox inset="0mm,0mm,0mm,0mm" style="mso-fit-shape-to-text:t;">
                <w:txbxContent>
                  <w:p w14:paraId="5568C3A9">
                    <w:pPr>
                      <w:pStyle w:val="21"/>
                      <w:ind w:left="0" w:leftChars="0" w:firstLine="0" w:firstLine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1</w:t>
                    </w:r>
                    <w:r>
                      <w:rPr>
                        <w:sz w:val="21"/>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88A6D">
    <w:pPr>
      <w:tabs>
        <w:tab w:val="center" w:pos="4153"/>
        <w:tab w:val="right" w:pos="8306"/>
      </w:tabs>
      <w:ind w:left="0" w:leftChars="0" w:firstLine="0" w:firstLineChars="0"/>
      <w:jc w:val="cente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E027C69">
                          <w:pPr>
                            <w:pStyle w:val="21"/>
                            <w:ind w:left="0" w:leftChars="0" w:firstLine="0" w:firstLine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III</w:t>
                          </w:r>
                          <w:r>
                            <w:rPr>
                              <w:sz w:val="21"/>
                              <w:szCs w:val="32"/>
                            </w:rPr>
                            <w:fldChar w:fldCharType="end"/>
                          </w:r>
                        </w:p>
                      </w:txbxContent>
                    </wps:txbx>
                    <wps:bodyPr vert="horz" wrap="none" lIns="0" tIns="0" rIns="0" bIns="0" anchor="t" anchorCtr="0" upright="0">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CMDeeY3gEAAL8DAAAOAAAAAAAA&#10;AAEAIAAAAB4BAABkcnMvZTJvRG9jLnhtbFBLBQYAAAAABgAGAFkBAABuBQAAAAA=&#10;">
              <v:fill on="f" focussize="0,0"/>
              <v:stroke on="f"/>
              <v:imagedata o:title=""/>
              <o:lock v:ext="edit" aspectratio="f"/>
              <v:textbox inset="0mm,0mm,0mm,0mm" style="mso-fit-shape-to-text:t;">
                <w:txbxContent>
                  <w:p w14:paraId="1E027C69">
                    <w:pPr>
                      <w:pStyle w:val="21"/>
                      <w:ind w:left="0" w:leftChars="0" w:firstLine="0" w:firstLineChars="0"/>
                      <w:rPr>
                        <w:sz w:val="21"/>
                        <w:szCs w:val="32"/>
                      </w:rPr>
                    </w:pPr>
                    <w:r>
                      <w:rPr>
                        <w:sz w:val="21"/>
                        <w:szCs w:val="32"/>
                      </w:rPr>
                      <w:fldChar w:fldCharType="begin"/>
                    </w:r>
                    <w:r>
                      <w:rPr>
                        <w:sz w:val="21"/>
                        <w:szCs w:val="32"/>
                      </w:rPr>
                      <w:instrText xml:space="preserve"> PAGE  \* MERGEFORMAT </w:instrText>
                    </w:r>
                    <w:r>
                      <w:rPr>
                        <w:sz w:val="21"/>
                        <w:szCs w:val="32"/>
                      </w:rPr>
                      <w:fldChar w:fldCharType="separate"/>
                    </w:r>
                    <w:r>
                      <w:rPr>
                        <w:sz w:val="21"/>
                        <w:szCs w:val="32"/>
                      </w:rPr>
                      <w:t>III</w:t>
                    </w:r>
                    <w:r>
                      <w:rPr>
                        <w:sz w:val="21"/>
                        <w:szCs w:val="32"/>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4EFC6">
    <w:pPr>
      <w:pStyle w:val="2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C032D7"/>
    <w:multiLevelType w:val="multilevel"/>
    <w:tmpl w:val="80C032D7"/>
    <w:lvl w:ilvl="0" w:tentative="0">
      <w:start w:val="1"/>
      <w:numFmt w:val="decimal"/>
      <w:pStyle w:val="90"/>
      <w:lvlText w:val="表1-%1"/>
      <w:lvlJc w:val="center"/>
      <w:pPr>
        <w:ind w:left="420" w:hanging="132"/>
      </w:pPr>
      <w:rPr>
        <w:rFonts w:hint="default" w:ascii="Times New Roman" w:hAnsi="Times New Roman" w:eastAsia="宋体" w:cs="宋体"/>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
    <w:nsid w:val="858316E0"/>
    <w:multiLevelType w:val="multilevel"/>
    <w:tmpl w:val="858316E0"/>
    <w:lvl w:ilvl="0" w:tentative="0">
      <w:start w:val="1"/>
      <w:numFmt w:val="decimal"/>
      <w:pStyle w:val="86"/>
      <w:lvlText w:val="表%1"/>
      <w:lvlJc w:val="center"/>
      <w:pPr>
        <w:ind w:left="420" w:hanging="132"/>
      </w:pPr>
      <w:rPr>
        <w:rFonts w:hint="default" w:ascii="Times New Roman" w:hAnsi="Times New Roman" w:eastAsia="宋体" w:cs="宋体"/>
        <w:b/>
        <w:bCs/>
        <w:sz w:val="21"/>
        <w:szCs w:val="21"/>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8974AD3D"/>
    <w:multiLevelType w:val="singleLevel"/>
    <w:tmpl w:val="8974AD3D"/>
    <w:lvl w:ilvl="0" w:tentative="0">
      <w:start w:val="1"/>
      <w:numFmt w:val="bullet"/>
      <w:pStyle w:val="18"/>
      <w:lvlText w:val=""/>
      <w:lvlJc w:val="left"/>
      <w:pPr>
        <w:tabs>
          <w:tab w:val="left" w:pos="2040"/>
        </w:tabs>
        <w:ind w:left="2040" w:hanging="360"/>
      </w:pPr>
      <w:rPr>
        <w:rFonts w:hint="default" w:ascii="Wingdings" w:hAnsi="Wingdings"/>
      </w:rPr>
    </w:lvl>
  </w:abstractNum>
  <w:abstractNum w:abstractNumId="3">
    <w:nsid w:val="C3C47125"/>
    <w:multiLevelType w:val="multilevel"/>
    <w:tmpl w:val="C3C47125"/>
    <w:lvl w:ilvl="0" w:tentative="0">
      <w:start w:val="1"/>
      <w:numFmt w:val="chineseCounting"/>
      <w:suff w:val="space"/>
      <w:lvlText w:val="%1、"/>
      <w:lvlJc w:val="left"/>
      <w:pPr>
        <w:tabs>
          <w:tab w:val="left" w:pos="6945"/>
        </w:tabs>
        <w:ind w:left="6945" w:firstLine="0"/>
      </w:pPr>
      <w:rPr>
        <w:rFonts w:hint="eastAsia" w:ascii="Times New Roman" w:hAnsi="Times New Roman" w:eastAsia="宋体" w:cs="宋体"/>
        <w:b/>
        <w:bCs w:val="0"/>
        <w:i w:val="0"/>
        <w:iCs w:val="0"/>
        <w:caps w:val="0"/>
        <w:smallCaps w:val="0"/>
        <w:strike w:val="0"/>
        <w:dstrike w:val="0"/>
        <w:vanish w:val="0"/>
        <w:spacing w:val="0"/>
        <w:position w:val="0"/>
        <w:u w:val="none"/>
        <w:vertAlign w:val="baseline"/>
      </w:rPr>
    </w:lvl>
    <w:lvl w:ilvl="1" w:tentative="0">
      <w:start w:val="1"/>
      <w:numFmt w:val="decimal"/>
      <w:isLgl/>
      <w:suff w:val="space"/>
      <w:lvlText w:val="%1.%2"/>
      <w:lvlJc w:val="left"/>
      <w:pPr>
        <w:tabs>
          <w:tab w:val="left" w:pos="420"/>
        </w:tabs>
        <w:ind w:left="567" w:hanging="567"/>
      </w:pPr>
      <w:rPr>
        <w:rFonts w:hint="eastAsia" w:ascii="宋体" w:hAnsi="宋体" w:eastAsia="宋体" w:cs="宋体"/>
        <w:i w:val="0"/>
        <w:iCs w:val="0"/>
        <w:caps w:val="0"/>
        <w:smallCaps w:val="0"/>
        <w:strike w:val="0"/>
        <w:dstrike w:val="0"/>
        <w:vanish w:val="0"/>
        <w:color w:val="000000"/>
        <w:spacing w:val="0"/>
        <w:position w:val="0"/>
        <w:u w:val="none"/>
        <w:vertAlign w:val="baseline"/>
      </w:rPr>
    </w:lvl>
    <w:lvl w:ilvl="2" w:tentative="0">
      <w:start w:val="1"/>
      <w:numFmt w:val="decimal"/>
      <w:isLgl/>
      <w:suff w:val="space"/>
      <w:lvlText w:val="%1.%2.%3"/>
      <w:lvlJc w:val="left"/>
      <w:pPr>
        <w:ind w:left="567" w:hanging="567"/>
      </w:pPr>
      <w:rPr>
        <w:rFonts w:hint="eastAsia" w:ascii="宋体" w:hAnsi="宋体" w:eastAsia="宋体" w:cs="宋体"/>
      </w:rPr>
    </w:lvl>
    <w:lvl w:ilvl="3" w:tentative="0">
      <w:start w:val="1"/>
      <w:numFmt w:val="decimal"/>
      <w:isLgl/>
      <w:suff w:val="space"/>
      <w:lvlText w:val="%1.%2.%3.%4"/>
      <w:lvlJc w:val="left"/>
      <w:pPr>
        <w:ind w:left="567" w:hanging="567"/>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4" w:tentative="0">
      <w:start w:val="1"/>
      <w:numFmt w:val="decimal"/>
      <w:isLgl/>
      <w:suff w:val="space"/>
      <w:lvlText w:val="%1.%2.%3.%4.%5"/>
      <w:lvlJc w:val="left"/>
      <w:pPr>
        <w:ind w:left="1134" w:hanging="567"/>
      </w:pPr>
      <w:rPr>
        <w:rFonts w:hint="eastAsia" w:ascii="宋体" w:hAnsi="宋体" w:eastAsia="宋体" w:cs="宋体"/>
      </w:rPr>
    </w:lvl>
    <w:lvl w:ilvl="5" w:tentative="0">
      <w:start w:val="1"/>
      <w:numFmt w:val="decimal"/>
      <w:lvlRestart w:val="1"/>
      <w:pStyle w:val="87"/>
      <w:isLgl/>
      <w:suff w:val="space"/>
      <w:lvlText w:val="表%1-%6"/>
      <w:lvlJc w:val="center"/>
      <w:pPr>
        <w:tabs>
          <w:tab w:val="left" w:pos="0"/>
        </w:tabs>
        <w:ind w:left="0" w:firstLine="0"/>
      </w:pPr>
      <w:rPr>
        <w:rFonts w:hint="default" w:ascii="宋体" w:hAnsi="宋体" w:eastAsia="宋体" w:cs="宋体"/>
        <w:b/>
        <w:bCs w:val="0"/>
        <w:i w:val="0"/>
        <w:iCs w:val="0"/>
        <w:caps w:val="0"/>
        <w:smallCaps w:val="0"/>
        <w:strike w:val="0"/>
        <w:dstrike w:val="0"/>
        <w:vanish w:val="0"/>
        <w:color w:val="000000"/>
        <w:spacing w:val="0"/>
        <w:position w:val="0"/>
        <w:sz w:val="21"/>
        <w:szCs w:val="21"/>
        <w:u w:val="none"/>
        <w:vertAlign w:val="baseline"/>
      </w:rPr>
    </w:lvl>
    <w:lvl w:ilvl="6" w:tentative="0">
      <w:start w:val="1"/>
      <w:numFmt w:val="decimal"/>
      <w:lvlRestart w:val="1"/>
      <w:isLgl/>
      <w:suff w:val="space"/>
      <w:lvlText w:val="图%1.%2-%7"/>
      <w:lvlJc w:val="center"/>
      <w:pPr>
        <w:ind w:left="0" w:firstLine="0"/>
      </w:pPr>
      <w:rPr>
        <w:rFonts w:hint="eastAsia" w:ascii="宋体" w:hAnsi="宋体" w:eastAsia="宋体" w:cs="宋体"/>
        <w:b/>
        <w:bCs w:val="0"/>
        <w:i w:val="0"/>
        <w:iCs w:val="0"/>
        <w:caps w:val="0"/>
        <w:smallCaps w:val="0"/>
        <w:strike w:val="0"/>
        <w:dstrike w:val="0"/>
        <w:vanish w:val="0"/>
        <w:color w:val="000000"/>
        <w:spacing w:val="0"/>
        <w:position w:val="0"/>
        <w:u w:val="none"/>
        <w:vertAlign w:val="baseline"/>
      </w:rPr>
    </w:lvl>
    <w:lvl w:ilvl="7" w:tentative="0">
      <w:start w:val="1"/>
      <w:numFmt w:val="none"/>
      <w:lvlRestart w:val="2"/>
      <w:isLgl/>
      <w:suff w:val="nothing"/>
      <w:lvlText w:val=""/>
      <w:lvlJc w:val="left"/>
      <w:pPr>
        <w:ind w:left="283" w:firstLine="0"/>
      </w:pPr>
      <w:rPr>
        <w:rFonts w:hint="eastAsia" w:cs="仿宋_GB2312"/>
        <w:b w:val="0"/>
        <w:bCs w:val="0"/>
        <w:i w:val="0"/>
        <w:iCs w:val="0"/>
        <w:caps w:val="0"/>
        <w:smallCaps w:val="0"/>
        <w:strike w:val="0"/>
        <w:dstrike w:val="0"/>
        <w:vanish w:val="0"/>
        <w:color w:val="000000"/>
        <w:spacing w:val="0"/>
        <w:position w:val="0"/>
        <w:u w:val="none"/>
        <w:vertAlign w:val="baseline"/>
      </w:rPr>
    </w:lvl>
    <w:lvl w:ilvl="8" w:tentative="0">
      <w:start w:val="1"/>
      <w:numFmt w:val="none"/>
      <w:isLgl/>
      <w:lvlText w:val=""/>
      <w:lvlJc w:val="left"/>
      <w:pPr>
        <w:ind w:left="1559" w:hanging="1559"/>
      </w:pPr>
      <w:rPr>
        <w:rFonts w:hint="eastAsia"/>
      </w:rPr>
    </w:lvl>
  </w:abstractNum>
  <w:abstractNum w:abstractNumId="4">
    <w:nsid w:val="C75A3448"/>
    <w:multiLevelType w:val="singleLevel"/>
    <w:tmpl w:val="C75A3448"/>
    <w:lvl w:ilvl="0" w:tentative="0">
      <w:start w:val="1"/>
      <w:numFmt w:val="chineseCounting"/>
      <w:suff w:val="nothing"/>
      <w:lvlText w:val="%1、"/>
      <w:lvlJc w:val="left"/>
      <w:rPr>
        <w:rFonts w:hint="eastAsia"/>
      </w:rPr>
    </w:lvl>
  </w:abstractNum>
  <w:abstractNum w:abstractNumId="5">
    <w:nsid w:val="09920304"/>
    <w:multiLevelType w:val="multilevel"/>
    <w:tmpl w:val="09920304"/>
    <w:lvl w:ilvl="0" w:tentative="0">
      <w:start w:val="1"/>
      <w:numFmt w:val="decimal"/>
      <w:pStyle w:val="64"/>
      <w:lvlText w:val="图%1"/>
      <w:lvlJc w:val="center"/>
      <w:pPr>
        <w:ind w:left="420" w:hanging="132"/>
      </w:pPr>
      <w:rPr>
        <w:rFonts w:hint="default" w:ascii="Times New Roman" w:hAnsi="Times New Roman" w:eastAsia="宋体" w:cs="宋体"/>
        <w:b/>
        <w:bCs/>
        <w:sz w:val="21"/>
        <w:szCs w:val="21"/>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6">
    <w:nsid w:val="0EBE159C"/>
    <w:multiLevelType w:val="singleLevel"/>
    <w:tmpl w:val="0EBE159C"/>
    <w:lvl w:ilvl="0" w:tentative="0">
      <w:start w:val="1"/>
      <w:numFmt w:val="chineseCounting"/>
      <w:suff w:val="nothing"/>
      <w:lvlText w:val="%1、"/>
      <w:lvlJc w:val="left"/>
      <w:rPr>
        <w:rFonts w:hint="eastAsia"/>
      </w:rPr>
    </w:lvl>
  </w:abstractNum>
  <w:abstractNum w:abstractNumId="7">
    <w:nsid w:val="485531A2"/>
    <w:multiLevelType w:val="multilevel"/>
    <w:tmpl w:val="485531A2"/>
    <w:lvl w:ilvl="0" w:tentative="0">
      <w:start w:val="1"/>
      <w:numFmt w:val="decimal"/>
      <w:suff w:val="space"/>
      <w:lvlText w:val="%1 "/>
      <w:lvlJc w:val="left"/>
      <w:pPr>
        <w:ind w:left="567" w:hanging="567"/>
      </w:pPr>
      <w:rPr>
        <w:rFonts w:hint="eastAsia"/>
        <w:color w:val="auto"/>
      </w:rPr>
    </w:lvl>
    <w:lvl w:ilvl="1" w:tentative="0">
      <w:start w:val="1"/>
      <w:numFmt w:val="decimal"/>
      <w:isLgl/>
      <w:suff w:val="space"/>
      <w:lvlText w:val="%1.%2."/>
      <w:lvlJc w:val="left"/>
      <w:pPr>
        <w:ind w:left="567" w:hanging="567"/>
      </w:pPr>
      <w:rPr>
        <w:rFonts w:hint="eastAsia" w:cs="Times New Roman"/>
        <w:i w:val="0"/>
        <w:iCs w:val="0"/>
        <w:caps w:val="0"/>
        <w:smallCaps w:val="0"/>
        <w:strike w:val="0"/>
        <w:dstrike w:val="0"/>
        <w:vanish w:val="0"/>
        <w:spacing w:val="0"/>
        <w:position w:val="0"/>
        <w:u w:val="none"/>
        <w:vertAlign w:val="baseline"/>
      </w:rPr>
    </w:lvl>
    <w:lvl w:ilvl="2" w:tentative="0">
      <w:start w:val="1"/>
      <w:numFmt w:val="decimal"/>
      <w:isLgl/>
      <w:suff w:val="space"/>
      <w:lvlText w:val="%1.%2.%3."/>
      <w:lvlJc w:val="left"/>
      <w:pPr>
        <w:ind w:left="567" w:hanging="567"/>
      </w:pPr>
      <w:rPr>
        <w:rFonts w:hint="eastAsia"/>
      </w:rPr>
    </w:lvl>
    <w:lvl w:ilvl="3" w:tentative="0">
      <w:start w:val="1"/>
      <w:numFmt w:val="decimal"/>
      <w:isLgl/>
      <w:suff w:val="space"/>
      <w:lvlText w:val="%1.%2.%3.%4."/>
      <w:lvlJc w:val="left"/>
      <w:pPr>
        <w:ind w:left="567" w:hanging="567"/>
      </w:pPr>
      <w:rPr>
        <w:rFonts w:hint="default" w:cs="Times New Roman"/>
        <w:b/>
        <w:bCs w:val="0"/>
        <w:i w:val="0"/>
        <w:iCs w:val="0"/>
        <w:caps w:val="0"/>
        <w:smallCaps w:val="0"/>
        <w:strike w:val="0"/>
        <w:dstrike w:val="0"/>
        <w:vanish w:val="0"/>
        <w:color w:val="000000"/>
        <w:spacing w:val="0"/>
        <w:position w:val="0"/>
        <w:u w:val="none"/>
        <w:vertAlign w:val="baseline"/>
      </w:rPr>
    </w:lvl>
    <w:lvl w:ilvl="4" w:tentative="0">
      <w:start w:val="1"/>
      <w:numFmt w:val="decimal"/>
      <w:isLgl/>
      <w:lvlText w:val="%1.%2.%3.%4.%5."/>
      <w:lvlJc w:val="left"/>
      <w:pPr>
        <w:ind w:left="567" w:hanging="567"/>
      </w:pPr>
      <w:rPr>
        <w:rFonts w:hint="eastAsia"/>
      </w:rPr>
    </w:lvl>
    <w:lvl w:ilvl="5" w:tentative="0">
      <w:start w:val="1"/>
      <w:numFmt w:val="decimal"/>
      <w:lvlRestart w:val="2"/>
      <w:pStyle w:val="81"/>
      <w:isLgl/>
      <w:suff w:val="space"/>
      <w:lvlText w:val="表%1.%2-%6"/>
      <w:lvlJc w:val="center"/>
      <w:pPr>
        <w:ind w:left="0" w:firstLine="0"/>
      </w:pPr>
      <w:rPr>
        <w:rFonts w:hint="default" w:ascii="Times New Roman" w:hAnsi="Times New Roman" w:cs="Times New Roman"/>
        <w:b/>
        <w:bCs w:val="0"/>
        <w:i w:val="0"/>
        <w:iCs w:val="0"/>
        <w:caps w:val="0"/>
        <w:smallCaps w:val="0"/>
        <w:strike w:val="0"/>
        <w:dstrike w:val="0"/>
        <w:vanish w:val="0"/>
        <w:color w:val="000000"/>
        <w:spacing w:val="0"/>
        <w:position w:val="0"/>
        <w:u w:val="none"/>
        <w:vertAlign w:val="baseline"/>
      </w:rPr>
    </w:lvl>
    <w:lvl w:ilvl="6" w:tentative="0">
      <w:start w:val="1"/>
      <w:numFmt w:val="decimal"/>
      <w:lvlRestart w:val="2"/>
      <w:isLgl/>
      <w:suff w:val="space"/>
      <w:lvlText w:val="图%1.%2-%7"/>
      <w:lvlJc w:val="center"/>
      <w:pPr>
        <w:ind w:left="0" w:firstLine="0"/>
      </w:pPr>
      <w:rPr>
        <w:rFonts w:hint="default" w:ascii="Times New Roman" w:hAnsi="Times New Roman" w:cs="Times New Roman"/>
        <w:b/>
        <w:bCs w:val="0"/>
        <w:i w:val="0"/>
        <w:iCs w:val="0"/>
        <w:caps w:val="0"/>
        <w:smallCaps w:val="0"/>
        <w:strike w:val="0"/>
        <w:dstrike w:val="0"/>
        <w:vanish w:val="0"/>
        <w:color w:val="000000"/>
        <w:spacing w:val="0"/>
        <w:position w:val="0"/>
        <w:u w:val="none"/>
        <w:vertAlign w:val="baseline"/>
      </w:rPr>
    </w:lvl>
    <w:lvl w:ilvl="7" w:tentative="0">
      <w:start w:val="1"/>
      <w:numFmt w:val="none"/>
      <w:lvlRestart w:val="2"/>
      <w:isLgl/>
      <w:suff w:val="nothing"/>
      <w:lvlText w:val=""/>
      <w:lvlJc w:val="left"/>
      <w:pPr>
        <w:ind w:left="283" w:firstLine="0"/>
      </w:pPr>
      <w:rPr>
        <w:rFonts w:hint="eastAsia" w:cs="Times New Roman"/>
        <w:b w:val="0"/>
        <w:bCs w:val="0"/>
        <w:i w:val="0"/>
        <w:iCs w:val="0"/>
        <w:caps w:val="0"/>
        <w:smallCaps w:val="0"/>
        <w:strike w:val="0"/>
        <w:dstrike w:val="0"/>
        <w:vanish w:val="0"/>
        <w:spacing w:val="0"/>
        <w:position w:val="0"/>
        <w:u w:val="none"/>
        <w:vertAlign w:val="baseline"/>
      </w:rPr>
    </w:lvl>
    <w:lvl w:ilvl="8" w:tentative="0">
      <w:start w:val="1"/>
      <w:numFmt w:val="none"/>
      <w:isLgl/>
      <w:lvlText w:val=""/>
      <w:lvlJc w:val="left"/>
      <w:pPr>
        <w:ind w:left="1559" w:hanging="1559"/>
      </w:pPr>
      <w:rPr>
        <w:rFonts w:hint="eastAsia"/>
      </w:rPr>
    </w:lvl>
  </w:abstractNum>
  <w:abstractNum w:abstractNumId="8">
    <w:nsid w:val="6963C962"/>
    <w:multiLevelType w:val="multilevel"/>
    <w:tmpl w:val="6963C962"/>
    <w:lvl w:ilvl="0" w:tentative="0">
      <w:start w:val="1"/>
      <w:numFmt w:val="decimal"/>
      <w:pStyle w:val="74"/>
      <w:lvlText w:val="表3-%1"/>
      <w:lvlJc w:val="center"/>
      <w:pPr>
        <w:ind w:left="420" w:hanging="132"/>
      </w:pPr>
      <w:rPr>
        <w:rFonts w:hint="default" w:ascii="Times New Roman" w:hAnsi="Times New Roman" w:eastAsia="宋体" w:cs="宋体"/>
        <w:b/>
        <w:sz w:val="24"/>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9">
    <w:nsid w:val="6C7EDA9B"/>
    <w:multiLevelType w:val="multilevel"/>
    <w:tmpl w:val="6C7EDA9B"/>
    <w:lvl w:ilvl="0" w:tentative="0">
      <w:start w:val="1"/>
      <w:numFmt w:val="decimal"/>
      <w:pStyle w:val="72"/>
      <w:lvlText w:val="表%1"/>
      <w:lvlJc w:val="center"/>
      <w:pPr>
        <w:ind w:left="420" w:hanging="132"/>
      </w:pPr>
      <w:rPr>
        <w:rFonts w:hint="default" w:ascii="Times New Roman" w:hAnsi="Times New Roman" w:eastAsia="宋体" w:cs="宋体"/>
        <w:b/>
        <w:bCs/>
        <w:sz w:val="21"/>
        <w:szCs w:val="21"/>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num w:numId="1">
    <w:abstractNumId w:val="2"/>
  </w:num>
  <w:num w:numId="2">
    <w:abstractNumId w:val="5"/>
  </w:num>
  <w:num w:numId="3">
    <w:abstractNumId w:val="9"/>
  </w:num>
  <w:num w:numId="4">
    <w:abstractNumId w:val="8"/>
  </w:num>
  <w:num w:numId="5">
    <w:abstractNumId w:val="7"/>
  </w:num>
  <w:num w:numId="6">
    <w:abstractNumId w:val="1"/>
  </w:num>
  <w:num w:numId="7">
    <w:abstractNumId w:val="3"/>
  </w:num>
  <w:num w:numId="8">
    <w:abstractNumId w:val="0"/>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JkNjQ3MzAwMzQ1Y2E2ZjY3M2UwY2M0ZTFkMTRhYTkifQ=="/>
    <w:docVar w:name="KSO_WPS_MARK_KEY" w:val="b1eb83e8-b60f-4aaf-b3f9-bce26004c76e"/>
  </w:docVars>
  <w:rsids>
    <w:rsidRoot w:val="00172A27"/>
    <w:rsid w:val="000118A6"/>
    <w:rsid w:val="00064CA3"/>
    <w:rsid w:val="000D4089"/>
    <w:rsid w:val="00137BA1"/>
    <w:rsid w:val="0018360C"/>
    <w:rsid w:val="001A7E46"/>
    <w:rsid w:val="001D3706"/>
    <w:rsid w:val="001F0A21"/>
    <w:rsid w:val="0020384F"/>
    <w:rsid w:val="00251B01"/>
    <w:rsid w:val="003C09C9"/>
    <w:rsid w:val="003F417C"/>
    <w:rsid w:val="00401846"/>
    <w:rsid w:val="0043727A"/>
    <w:rsid w:val="004C4EFC"/>
    <w:rsid w:val="004C6AA0"/>
    <w:rsid w:val="004D4AEB"/>
    <w:rsid w:val="00515BA6"/>
    <w:rsid w:val="005D2335"/>
    <w:rsid w:val="005F6120"/>
    <w:rsid w:val="00661709"/>
    <w:rsid w:val="0067023F"/>
    <w:rsid w:val="007071BE"/>
    <w:rsid w:val="00753C1F"/>
    <w:rsid w:val="007C47D3"/>
    <w:rsid w:val="00820A06"/>
    <w:rsid w:val="008B52D1"/>
    <w:rsid w:val="00900A30"/>
    <w:rsid w:val="009224FE"/>
    <w:rsid w:val="009770C3"/>
    <w:rsid w:val="00997D30"/>
    <w:rsid w:val="00A06263"/>
    <w:rsid w:val="00A85CE2"/>
    <w:rsid w:val="00B06E28"/>
    <w:rsid w:val="00B533AD"/>
    <w:rsid w:val="00B868CC"/>
    <w:rsid w:val="00C85F20"/>
    <w:rsid w:val="00C947F7"/>
    <w:rsid w:val="00D02002"/>
    <w:rsid w:val="00DB400F"/>
    <w:rsid w:val="00DC12D5"/>
    <w:rsid w:val="00DE1CE1"/>
    <w:rsid w:val="00DF0EB5"/>
    <w:rsid w:val="00E60A9C"/>
    <w:rsid w:val="00E677AF"/>
    <w:rsid w:val="00EB502F"/>
    <w:rsid w:val="00EF0827"/>
    <w:rsid w:val="00EF2F1B"/>
    <w:rsid w:val="00F0764F"/>
    <w:rsid w:val="00F2202B"/>
    <w:rsid w:val="00F8438B"/>
    <w:rsid w:val="00FB1AFC"/>
    <w:rsid w:val="00FB5357"/>
    <w:rsid w:val="00FE1F09"/>
    <w:rsid w:val="011A680C"/>
    <w:rsid w:val="01256C33"/>
    <w:rsid w:val="0131560C"/>
    <w:rsid w:val="013C06BC"/>
    <w:rsid w:val="014B46BF"/>
    <w:rsid w:val="014D4677"/>
    <w:rsid w:val="015A3576"/>
    <w:rsid w:val="015F21D1"/>
    <w:rsid w:val="01717D69"/>
    <w:rsid w:val="01756E27"/>
    <w:rsid w:val="017E2A82"/>
    <w:rsid w:val="017F76D0"/>
    <w:rsid w:val="01A235B6"/>
    <w:rsid w:val="01AB2DB0"/>
    <w:rsid w:val="01AE342F"/>
    <w:rsid w:val="01B3097E"/>
    <w:rsid w:val="01B9317C"/>
    <w:rsid w:val="01BA4F52"/>
    <w:rsid w:val="01C20306"/>
    <w:rsid w:val="01C41088"/>
    <w:rsid w:val="01C67D7D"/>
    <w:rsid w:val="01C7267B"/>
    <w:rsid w:val="01E427FA"/>
    <w:rsid w:val="01ED4E9A"/>
    <w:rsid w:val="02276CBE"/>
    <w:rsid w:val="02315D47"/>
    <w:rsid w:val="024C0E43"/>
    <w:rsid w:val="02661E94"/>
    <w:rsid w:val="027B310A"/>
    <w:rsid w:val="02866093"/>
    <w:rsid w:val="02960170"/>
    <w:rsid w:val="02964F5A"/>
    <w:rsid w:val="029B4859"/>
    <w:rsid w:val="02A36C44"/>
    <w:rsid w:val="02AB4938"/>
    <w:rsid w:val="02AD7AC3"/>
    <w:rsid w:val="02DF71B8"/>
    <w:rsid w:val="02F53218"/>
    <w:rsid w:val="02FA7EA5"/>
    <w:rsid w:val="030B1E49"/>
    <w:rsid w:val="03165663"/>
    <w:rsid w:val="031E276F"/>
    <w:rsid w:val="032959B1"/>
    <w:rsid w:val="032F672A"/>
    <w:rsid w:val="033250C0"/>
    <w:rsid w:val="033B50CF"/>
    <w:rsid w:val="035C32C4"/>
    <w:rsid w:val="036A1744"/>
    <w:rsid w:val="036B0A54"/>
    <w:rsid w:val="037E4E6C"/>
    <w:rsid w:val="03887BE8"/>
    <w:rsid w:val="038A7E04"/>
    <w:rsid w:val="03A42D30"/>
    <w:rsid w:val="03A55F1E"/>
    <w:rsid w:val="03E71264"/>
    <w:rsid w:val="03F0631D"/>
    <w:rsid w:val="042042C5"/>
    <w:rsid w:val="04243DB5"/>
    <w:rsid w:val="04273CD2"/>
    <w:rsid w:val="043536D4"/>
    <w:rsid w:val="043F299D"/>
    <w:rsid w:val="045551E8"/>
    <w:rsid w:val="045A1DC6"/>
    <w:rsid w:val="046D398F"/>
    <w:rsid w:val="047343F5"/>
    <w:rsid w:val="047363D2"/>
    <w:rsid w:val="04860355"/>
    <w:rsid w:val="04970D5F"/>
    <w:rsid w:val="049B0B31"/>
    <w:rsid w:val="04B8274F"/>
    <w:rsid w:val="04BC1065"/>
    <w:rsid w:val="04CB3A39"/>
    <w:rsid w:val="051D0035"/>
    <w:rsid w:val="05453FE3"/>
    <w:rsid w:val="0546652F"/>
    <w:rsid w:val="05616943"/>
    <w:rsid w:val="0562551F"/>
    <w:rsid w:val="05A70991"/>
    <w:rsid w:val="05C72C4A"/>
    <w:rsid w:val="05CA69BD"/>
    <w:rsid w:val="05CD5D86"/>
    <w:rsid w:val="05D7500D"/>
    <w:rsid w:val="05D7595E"/>
    <w:rsid w:val="05E337FC"/>
    <w:rsid w:val="05E7509A"/>
    <w:rsid w:val="05EC0902"/>
    <w:rsid w:val="061614DB"/>
    <w:rsid w:val="06192C60"/>
    <w:rsid w:val="061E22CB"/>
    <w:rsid w:val="062E0F1B"/>
    <w:rsid w:val="063E0A32"/>
    <w:rsid w:val="06444ABD"/>
    <w:rsid w:val="06471FDD"/>
    <w:rsid w:val="064E7CD1"/>
    <w:rsid w:val="06513F93"/>
    <w:rsid w:val="065C20B9"/>
    <w:rsid w:val="065F7A31"/>
    <w:rsid w:val="068F0A07"/>
    <w:rsid w:val="069A22A2"/>
    <w:rsid w:val="06CE0008"/>
    <w:rsid w:val="06D577DE"/>
    <w:rsid w:val="06DA4CEB"/>
    <w:rsid w:val="06DF0F24"/>
    <w:rsid w:val="06E16B46"/>
    <w:rsid w:val="06F51A39"/>
    <w:rsid w:val="07126147"/>
    <w:rsid w:val="07230354"/>
    <w:rsid w:val="07283C4A"/>
    <w:rsid w:val="07460A06"/>
    <w:rsid w:val="074A5802"/>
    <w:rsid w:val="074D6779"/>
    <w:rsid w:val="07506C6F"/>
    <w:rsid w:val="076F17EB"/>
    <w:rsid w:val="07783A82"/>
    <w:rsid w:val="07787AED"/>
    <w:rsid w:val="07840B01"/>
    <w:rsid w:val="07841A1B"/>
    <w:rsid w:val="07AB2640"/>
    <w:rsid w:val="07B04C5A"/>
    <w:rsid w:val="07CB77F3"/>
    <w:rsid w:val="07CD4764"/>
    <w:rsid w:val="07D060C7"/>
    <w:rsid w:val="07DD75F3"/>
    <w:rsid w:val="08114FE4"/>
    <w:rsid w:val="08123F24"/>
    <w:rsid w:val="08227605"/>
    <w:rsid w:val="082552E4"/>
    <w:rsid w:val="082A5712"/>
    <w:rsid w:val="08344858"/>
    <w:rsid w:val="08365E65"/>
    <w:rsid w:val="08420DD9"/>
    <w:rsid w:val="085E2540"/>
    <w:rsid w:val="086E55FF"/>
    <w:rsid w:val="086F75C9"/>
    <w:rsid w:val="08784A94"/>
    <w:rsid w:val="0878647D"/>
    <w:rsid w:val="088506C3"/>
    <w:rsid w:val="08AE7427"/>
    <w:rsid w:val="08B05B3A"/>
    <w:rsid w:val="08B33959"/>
    <w:rsid w:val="08B37960"/>
    <w:rsid w:val="08BD6586"/>
    <w:rsid w:val="08C17437"/>
    <w:rsid w:val="08D13DE0"/>
    <w:rsid w:val="08EA48C0"/>
    <w:rsid w:val="09267C87"/>
    <w:rsid w:val="09325CA4"/>
    <w:rsid w:val="09365145"/>
    <w:rsid w:val="09442803"/>
    <w:rsid w:val="094619EC"/>
    <w:rsid w:val="095567BF"/>
    <w:rsid w:val="09570E2B"/>
    <w:rsid w:val="09575220"/>
    <w:rsid w:val="096A39AC"/>
    <w:rsid w:val="097E3E0C"/>
    <w:rsid w:val="097F44B6"/>
    <w:rsid w:val="0992356F"/>
    <w:rsid w:val="09A46507"/>
    <w:rsid w:val="09AB4631"/>
    <w:rsid w:val="09AE497E"/>
    <w:rsid w:val="09C97D90"/>
    <w:rsid w:val="09E62277"/>
    <w:rsid w:val="09F36C2D"/>
    <w:rsid w:val="09F53ABC"/>
    <w:rsid w:val="09FE6E56"/>
    <w:rsid w:val="0A0007F1"/>
    <w:rsid w:val="0A1274D2"/>
    <w:rsid w:val="0A1D079D"/>
    <w:rsid w:val="0A2E27DF"/>
    <w:rsid w:val="0A3B0642"/>
    <w:rsid w:val="0A56558B"/>
    <w:rsid w:val="0A6C64F3"/>
    <w:rsid w:val="0A6F0388"/>
    <w:rsid w:val="0A6F5D0D"/>
    <w:rsid w:val="0A99224C"/>
    <w:rsid w:val="0AA73886"/>
    <w:rsid w:val="0AB27590"/>
    <w:rsid w:val="0AB32C5A"/>
    <w:rsid w:val="0AB81B30"/>
    <w:rsid w:val="0AC751CA"/>
    <w:rsid w:val="0ACE342D"/>
    <w:rsid w:val="0AE4604C"/>
    <w:rsid w:val="0B04224A"/>
    <w:rsid w:val="0B781E9C"/>
    <w:rsid w:val="0B8F2874"/>
    <w:rsid w:val="0B9E444D"/>
    <w:rsid w:val="0BA05DD1"/>
    <w:rsid w:val="0BD716D7"/>
    <w:rsid w:val="0BD7697A"/>
    <w:rsid w:val="0BE9382F"/>
    <w:rsid w:val="0C0F682D"/>
    <w:rsid w:val="0C112E71"/>
    <w:rsid w:val="0C141763"/>
    <w:rsid w:val="0C143924"/>
    <w:rsid w:val="0C152235"/>
    <w:rsid w:val="0C3756C6"/>
    <w:rsid w:val="0C452AA7"/>
    <w:rsid w:val="0C5C7E64"/>
    <w:rsid w:val="0C5F4208"/>
    <w:rsid w:val="0C675EA6"/>
    <w:rsid w:val="0C694752"/>
    <w:rsid w:val="0C7156BE"/>
    <w:rsid w:val="0C766F8B"/>
    <w:rsid w:val="0C7E602C"/>
    <w:rsid w:val="0C7F35ED"/>
    <w:rsid w:val="0C8312A6"/>
    <w:rsid w:val="0C8A7261"/>
    <w:rsid w:val="0C8D399C"/>
    <w:rsid w:val="0CA912FB"/>
    <w:rsid w:val="0CBE467B"/>
    <w:rsid w:val="0CC51EAD"/>
    <w:rsid w:val="0CF2583E"/>
    <w:rsid w:val="0D037883"/>
    <w:rsid w:val="0D0805F1"/>
    <w:rsid w:val="0D0B5B12"/>
    <w:rsid w:val="0D0C53E6"/>
    <w:rsid w:val="0D143130"/>
    <w:rsid w:val="0D190F84"/>
    <w:rsid w:val="0D1D10F7"/>
    <w:rsid w:val="0D22364B"/>
    <w:rsid w:val="0D3558AF"/>
    <w:rsid w:val="0D6E490A"/>
    <w:rsid w:val="0D7336B7"/>
    <w:rsid w:val="0D8502B6"/>
    <w:rsid w:val="0D8D29CB"/>
    <w:rsid w:val="0D9442A7"/>
    <w:rsid w:val="0DA67DDF"/>
    <w:rsid w:val="0DBC0BBA"/>
    <w:rsid w:val="0DBE1A50"/>
    <w:rsid w:val="0DBE38B4"/>
    <w:rsid w:val="0DC12675"/>
    <w:rsid w:val="0DC45CC1"/>
    <w:rsid w:val="0DCD1019"/>
    <w:rsid w:val="0DD305C7"/>
    <w:rsid w:val="0DD340D1"/>
    <w:rsid w:val="0DE35F99"/>
    <w:rsid w:val="0DE620DB"/>
    <w:rsid w:val="0E061C61"/>
    <w:rsid w:val="0E082052"/>
    <w:rsid w:val="0E0C7F2C"/>
    <w:rsid w:val="0E0E1F7D"/>
    <w:rsid w:val="0E363392"/>
    <w:rsid w:val="0E4137B5"/>
    <w:rsid w:val="0E440C82"/>
    <w:rsid w:val="0E567261"/>
    <w:rsid w:val="0E6356EB"/>
    <w:rsid w:val="0E660A9F"/>
    <w:rsid w:val="0E666732"/>
    <w:rsid w:val="0E6A4ABA"/>
    <w:rsid w:val="0E79435F"/>
    <w:rsid w:val="0E7C1E2C"/>
    <w:rsid w:val="0E803311"/>
    <w:rsid w:val="0E9D4F75"/>
    <w:rsid w:val="0EB126E9"/>
    <w:rsid w:val="0EBC6E34"/>
    <w:rsid w:val="0EC07A7C"/>
    <w:rsid w:val="0EC27480"/>
    <w:rsid w:val="0EC51CF1"/>
    <w:rsid w:val="0EEA79A9"/>
    <w:rsid w:val="0EFA4090"/>
    <w:rsid w:val="0F1469F5"/>
    <w:rsid w:val="0F1B7B63"/>
    <w:rsid w:val="0F4C2412"/>
    <w:rsid w:val="0F5D6F88"/>
    <w:rsid w:val="0F694B90"/>
    <w:rsid w:val="0F6D69BB"/>
    <w:rsid w:val="0F6E4A1A"/>
    <w:rsid w:val="0F784FB5"/>
    <w:rsid w:val="0F851480"/>
    <w:rsid w:val="0F950015"/>
    <w:rsid w:val="0FAE08F8"/>
    <w:rsid w:val="0FCF7905"/>
    <w:rsid w:val="0FD25600"/>
    <w:rsid w:val="0FDC70F3"/>
    <w:rsid w:val="0FE64614"/>
    <w:rsid w:val="0FE9698F"/>
    <w:rsid w:val="0FF04BD8"/>
    <w:rsid w:val="100F5919"/>
    <w:rsid w:val="101102D7"/>
    <w:rsid w:val="10172A20"/>
    <w:rsid w:val="101D5F1A"/>
    <w:rsid w:val="10200DDD"/>
    <w:rsid w:val="102667D7"/>
    <w:rsid w:val="10321608"/>
    <w:rsid w:val="1035209C"/>
    <w:rsid w:val="103A04BC"/>
    <w:rsid w:val="1050325E"/>
    <w:rsid w:val="105C6685"/>
    <w:rsid w:val="106346D6"/>
    <w:rsid w:val="10645539"/>
    <w:rsid w:val="106E7F73"/>
    <w:rsid w:val="107A6B0B"/>
    <w:rsid w:val="10831690"/>
    <w:rsid w:val="10855BDB"/>
    <w:rsid w:val="10864733"/>
    <w:rsid w:val="108D4D01"/>
    <w:rsid w:val="10954C22"/>
    <w:rsid w:val="1097590F"/>
    <w:rsid w:val="10A36062"/>
    <w:rsid w:val="10A83678"/>
    <w:rsid w:val="10DE5C72"/>
    <w:rsid w:val="10EA1E88"/>
    <w:rsid w:val="10EB501B"/>
    <w:rsid w:val="10F727EC"/>
    <w:rsid w:val="10FB6D49"/>
    <w:rsid w:val="10FE06CA"/>
    <w:rsid w:val="110A19B6"/>
    <w:rsid w:val="110A6221"/>
    <w:rsid w:val="110C00AB"/>
    <w:rsid w:val="1114617F"/>
    <w:rsid w:val="111A38EF"/>
    <w:rsid w:val="111B242A"/>
    <w:rsid w:val="111C620F"/>
    <w:rsid w:val="111D5E14"/>
    <w:rsid w:val="112D2373"/>
    <w:rsid w:val="113068E1"/>
    <w:rsid w:val="11417774"/>
    <w:rsid w:val="11835FE2"/>
    <w:rsid w:val="11877E6D"/>
    <w:rsid w:val="118E07F1"/>
    <w:rsid w:val="11925DDD"/>
    <w:rsid w:val="119433D5"/>
    <w:rsid w:val="11A04EB3"/>
    <w:rsid w:val="11A21CB5"/>
    <w:rsid w:val="11BF37BC"/>
    <w:rsid w:val="11C30B4B"/>
    <w:rsid w:val="11E22BBA"/>
    <w:rsid w:val="11E3642A"/>
    <w:rsid w:val="120945EA"/>
    <w:rsid w:val="124C3DA0"/>
    <w:rsid w:val="125515DD"/>
    <w:rsid w:val="128B3251"/>
    <w:rsid w:val="128F5C7F"/>
    <w:rsid w:val="129053A1"/>
    <w:rsid w:val="129643C8"/>
    <w:rsid w:val="12977E48"/>
    <w:rsid w:val="129C55A4"/>
    <w:rsid w:val="129D52E8"/>
    <w:rsid w:val="12A3059B"/>
    <w:rsid w:val="12A54313"/>
    <w:rsid w:val="12B02AA2"/>
    <w:rsid w:val="12B7536F"/>
    <w:rsid w:val="12C329EB"/>
    <w:rsid w:val="12D26571"/>
    <w:rsid w:val="12D81C3D"/>
    <w:rsid w:val="12DE7825"/>
    <w:rsid w:val="12E21413"/>
    <w:rsid w:val="12EC2D08"/>
    <w:rsid w:val="1319260B"/>
    <w:rsid w:val="132D5FE0"/>
    <w:rsid w:val="13352F7F"/>
    <w:rsid w:val="133B4C77"/>
    <w:rsid w:val="13525B1D"/>
    <w:rsid w:val="135D2E40"/>
    <w:rsid w:val="13622204"/>
    <w:rsid w:val="1363337F"/>
    <w:rsid w:val="136A730B"/>
    <w:rsid w:val="137809EC"/>
    <w:rsid w:val="137D2B9A"/>
    <w:rsid w:val="13824F56"/>
    <w:rsid w:val="138A05E0"/>
    <w:rsid w:val="13942D14"/>
    <w:rsid w:val="13973A79"/>
    <w:rsid w:val="13985C26"/>
    <w:rsid w:val="13BB6935"/>
    <w:rsid w:val="13E9022F"/>
    <w:rsid w:val="13F37EB6"/>
    <w:rsid w:val="13F42360"/>
    <w:rsid w:val="13FA1EE4"/>
    <w:rsid w:val="13FB7F63"/>
    <w:rsid w:val="143516C6"/>
    <w:rsid w:val="14477EEC"/>
    <w:rsid w:val="14496485"/>
    <w:rsid w:val="145B2AC7"/>
    <w:rsid w:val="145D6362"/>
    <w:rsid w:val="146A4AC8"/>
    <w:rsid w:val="146E386F"/>
    <w:rsid w:val="147C268D"/>
    <w:rsid w:val="148047A6"/>
    <w:rsid w:val="14946BEC"/>
    <w:rsid w:val="14992192"/>
    <w:rsid w:val="14A83BE9"/>
    <w:rsid w:val="14AF0DAB"/>
    <w:rsid w:val="14B560CE"/>
    <w:rsid w:val="14BB6070"/>
    <w:rsid w:val="14C12140"/>
    <w:rsid w:val="14C33493"/>
    <w:rsid w:val="14E11408"/>
    <w:rsid w:val="14E76E65"/>
    <w:rsid w:val="14EA39F5"/>
    <w:rsid w:val="1503147E"/>
    <w:rsid w:val="150C01AB"/>
    <w:rsid w:val="15211C4B"/>
    <w:rsid w:val="1537146E"/>
    <w:rsid w:val="1538155C"/>
    <w:rsid w:val="153F3FE7"/>
    <w:rsid w:val="154077D6"/>
    <w:rsid w:val="154D2A40"/>
    <w:rsid w:val="1556788E"/>
    <w:rsid w:val="156009C5"/>
    <w:rsid w:val="15771598"/>
    <w:rsid w:val="157C00A6"/>
    <w:rsid w:val="15954D98"/>
    <w:rsid w:val="15BF5C92"/>
    <w:rsid w:val="15CA2AA5"/>
    <w:rsid w:val="15DF1FAD"/>
    <w:rsid w:val="15E86E72"/>
    <w:rsid w:val="15EF674F"/>
    <w:rsid w:val="15F132BE"/>
    <w:rsid w:val="15FC4091"/>
    <w:rsid w:val="163D489D"/>
    <w:rsid w:val="163F5950"/>
    <w:rsid w:val="16497FE9"/>
    <w:rsid w:val="16542C0C"/>
    <w:rsid w:val="166718DF"/>
    <w:rsid w:val="166A079B"/>
    <w:rsid w:val="166B7621"/>
    <w:rsid w:val="166E1AB4"/>
    <w:rsid w:val="1673508E"/>
    <w:rsid w:val="16753FFC"/>
    <w:rsid w:val="16820A10"/>
    <w:rsid w:val="169134BC"/>
    <w:rsid w:val="16971E9F"/>
    <w:rsid w:val="16994CA2"/>
    <w:rsid w:val="169A671A"/>
    <w:rsid w:val="169E6AE5"/>
    <w:rsid w:val="16A44B2E"/>
    <w:rsid w:val="16AD73C2"/>
    <w:rsid w:val="16B72F0E"/>
    <w:rsid w:val="16BF42C5"/>
    <w:rsid w:val="16C26027"/>
    <w:rsid w:val="16C7730B"/>
    <w:rsid w:val="16D73E12"/>
    <w:rsid w:val="16EB42BE"/>
    <w:rsid w:val="16EE3119"/>
    <w:rsid w:val="170A16F6"/>
    <w:rsid w:val="17116295"/>
    <w:rsid w:val="17136837"/>
    <w:rsid w:val="17226E2D"/>
    <w:rsid w:val="1739327C"/>
    <w:rsid w:val="17407692"/>
    <w:rsid w:val="174646EC"/>
    <w:rsid w:val="17492427"/>
    <w:rsid w:val="17530466"/>
    <w:rsid w:val="175B1444"/>
    <w:rsid w:val="175F42E3"/>
    <w:rsid w:val="176F6C9D"/>
    <w:rsid w:val="177662DD"/>
    <w:rsid w:val="17797B1C"/>
    <w:rsid w:val="177A169B"/>
    <w:rsid w:val="17A32DEB"/>
    <w:rsid w:val="17A37C62"/>
    <w:rsid w:val="17B15508"/>
    <w:rsid w:val="17B15CE8"/>
    <w:rsid w:val="17C32AE8"/>
    <w:rsid w:val="17D04017"/>
    <w:rsid w:val="17DD62FD"/>
    <w:rsid w:val="17E7340C"/>
    <w:rsid w:val="17EE6A66"/>
    <w:rsid w:val="1801524A"/>
    <w:rsid w:val="180B6B9A"/>
    <w:rsid w:val="180C6BE2"/>
    <w:rsid w:val="18196AAE"/>
    <w:rsid w:val="181C1E32"/>
    <w:rsid w:val="18245CDA"/>
    <w:rsid w:val="18251A52"/>
    <w:rsid w:val="182B0AFE"/>
    <w:rsid w:val="18497FCA"/>
    <w:rsid w:val="184E2ECC"/>
    <w:rsid w:val="184E50B4"/>
    <w:rsid w:val="18550589"/>
    <w:rsid w:val="18591261"/>
    <w:rsid w:val="18754A34"/>
    <w:rsid w:val="18920311"/>
    <w:rsid w:val="1899326F"/>
    <w:rsid w:val="189A4EDB"/>
    <w:rsid w:val="18BD2B58"/>
    <w:rsid w:val="18C82B09"/>
    <w:rsid w:val="18D70F9E"/>
    <w:rsid w:val="18D72F15"/>
    <w:rsid w:val="18DA36FB"/>
    <w:rsid w:val="18F57676"/>
    <w:rsid w:val="191E097B"/>
    <w:rsid w:val="19241EBC"/>
    <w:rsid w:val="193957B5"/>
    <w:rsid w:val="19476166"/>
    <w:rsid w:val="19612E88"/>
    <w:rsid w:val="19650BF8"/>
    <w:rsid w:val="1968609A"/>
    <w:rsid w:val="19742889"/>
    <w:rsid w:val="199035E3"/>
    <w:rsid w:val="199450E1"/>
    <w:rsid w:val="199873C3"/>
    <w:rsid w:val="19AA220F"/>
    <w:rsid w:val="19C661A1"/>
    <w:rsid w:val="19CF6119"/>
    <w:rsid w:val="19DC372A"/>
    <w:rsid w:val="19E407F2"/>
    <w:rsid w:val="19E5593D"/>
    <w:rsid w:val="19FD4A34"/>
    <w:rsid w:val="1A084E01"/>
    <w:rsid w:val="1A0F35AE"/>
    <w:rsid w:val="1A196899"/>
    <w:rsid w:val="1A237DD3"/>
    <w:rsid w:val="1A2D3989"/>
    <w:rsid w:val="1A331091"/>
    <w:rsid w:val="1A3D118B"/>
    <w:rsid w:val="1A657CB6"/>
    <w:rsid w:val="1A6665E6"/>
    <w:rsid w:val="1A742769"/>
    <w:rsid w:val="1A7E21F6"/>
    <w:rsid w:val="1A8E38DF"/>
    <w:rsid w:val="1A9133CF"/>
    <w:rsid w:val="1A9D7FC6"/>
    <w:rsid w:val="1AA07D5C"/>
    <w:rsid w:val="1AA16816"/>
    <w:rsid w:val="1AA749A0"/>
    <w:rsid w:val="1AAF02C6"/>
    <w:rsid w:val="1AC8270C"/>
    <w:rsid w:val="1AC82723"/>
    <w:rsid w:val="1AE6196C"/>
    <w:rsid w:val="1AFE48C4"/>
    <w:rsid w:val="1B087B35"/>
    <w:rsid w:val="1B1F4E7E"/>
    <w:rsid w:val="1B422A23"/>
    <w:rsid w:val="1B574618"/>
    <w:rsid w:val="1B666609"/>
    <w:rsid w:val="1B6E16CC"/>
    <w:rsid w:val="1B7156DA"/>
    <w:rsid w:val="1B962334"/>
    <w:rsid w:val="1BA0414E"/>
    <w:rsid w:val="1BB750B7"/>
    <w:rsid w:val="1BB92689"/>
    <w:rsid w:val="1BC16794"/>
    <w:rsid w:val="1BEA0FE8"/>
    <w:rsid w:val="1BFB31F6"/>
    <w:rsid w:val="1C0025BA"/>
    <w:rsid w:val="1C093B64"/>
    <w:rsid w:val="1C0C0E0C"/>
    <w:rsid w:val="1C191A02"/>
    <w:rsid w:val="1C1B3898"/>
    <w:rsid w:val="1C233BC9"/>
    <w:rsid w:val="1C28575C"/>
    <w:rsid w:val="1C3E30E2"/>
    <w:rsid w:val="1C4705D6"/>
    <w:rsid w:val="1C56141B"/>
    <w:rsid w:val="1C5B1EE6"/>
    <w:rsid w:val="1C69015F"/>
    <w:rsid w:val="1C777E28"/>
    <w:rsid w:val="1C7A552F"/>
    <w:rsid w:val="1CB428C0"/>
    <w:rsid w:val="1CC63804"/>
    <w:rsid w:val="1CD04DEB"/>
    <w:rsid w:val="1CD45A12"/>
    <w:rsid w:val="1CD73C7B"/>
    <w:rsid w:val="1CE41EDC"/>
    <w:rsid w:val="1CF71C0F"/>
    <w:rsid w:val="1CF7485F"/>
    <w:rsid w:val="1CF8042A"/>
    <w:rsid w:val="1D0A4412"/>
    <w:rsid w:val="1D0D782F"/>
    <w:rsid w:val="1D17405F"/>
    <w:rsid w:val="1D190AC4"/>
    <w:rsid w:val="1D2E3157"/>
    <w:rsid w:val="1D383FD6"/>
    <w:rsid w:val="1D537924"/>
    <w:rsid w:val="1D557F70"/>
    <w:rsid w:val="1D5726AE"/>
    <w:rsid w:val="1D5C09E4"/>
    <w:rsid w:val="1D5E3A3C"/>
    <w:rsid w:val="1D65301C"/>
    <w:rsid w:val="1D871E68"/>
    <w:rsid w:val="1D885FA4"/>
    <w:rsid w:val="1D9A61C2"/>
    <w:rsid w:val="1D9F372A"/>
    <w:rsid w:val="1DA63635"/>
    <w:rsid w:val="1DA852EC"/>
    <w:rsid w:val="1DAA48D7"/>
    <w:rsid w:val="1DAB00F4"/>
    <w:rsid w:val="1DAD6772"/>
    <w:rsid w:val="1DB13524"/>
    <w:rsid w:val="1DB96EC4"/>
    <w:rsid w:val="1DBE6F48"/>
    <w:rsid w:val="1DD07E35"/>
    <w:rsid w:val="1DD2195C"/>
    <w:rsid w:val="1DD36DC0"/>
    <w:rsid w:val="1DE70A54"/>
    <w:rsid w:val="1DEF7EC1"/>
    <w:rsid w:val="1DF31A83"/>
    <w:rsid w:val="1DFF2E17"/>
    <w:rsid w:val="1DFF6552"/>
    <w:rsid w:val="1E000948"/>
    <w:rsid w:val="1E0900F7"/>
    <w:rsid w:val="1E315886"/>
    <w:rsid w:val="1E4A69F0"/>
    <w:rsid w:val="1E4E1D03"/>
    <w:rsid w:val="1E595F0D"/>
    <w:rsid w:val="1E597620"/>
    <w:rsid w:val="1E6A2CB3"/>
    <w:rsid w:val="1EAD72EF"/>
    <w:rsid w:val="1EB61656"/>
    <w:rsid w:val="1ED82C2E"/>
    <w:rsid w:val="1EF74148"/>
    <w:rsid w:val="1F047BF5"/>
    <w:rsid w:val="1F0625DD"/>
    <w:rsid w:val="1F282BD1"/>
    <w:rsid w:val="1F503858"/>
    <w:rsid w:val="1F6966C8"/>
    <w:rsid w:val="1F88420C"/>
    <w:rsid w:val="1F8E50BF"/>
    <w:rsid w:val="1F983E79"/>
    <w:rsid w:val="1FB060A5"/>
    <w:rsid w:val="1FB75349"/>
    <w:rsid w:val="1FE02E2E"/>
    <w:rsid w:val="1FE45310"/>
    <w:rsid w:val="1FF8671E"/>
    <w:rsid w:val="2004318B"/>
    <w:rsid w:val="2004394C"/>
    <w:rsid w:val="2007060B"/>
    <w:rsid w:val="200F2DCC"/>
    <w:rsid w:val="201660EB"/>
    <w:rsid w:val="201B3122"/>
    <w:rsid w:val="202D1DEC"/>
    <w:rsid w:val="202E2DD7"/>
    <w:rsid w:val="20347B8F"/>
    <w:rsid w:val="20424F77"/>
    <w:rsid w:val="204F3B10"/>
    <w:rsid w:val="2050750C"/>
    <w:rsid w:val="2057177A"/>
    <w:rsid w:val="205737C2"/>
    <w:rsid w:val="205E3D53"/>
    <w:rsid w:val="206A6B9C"/>
    <w:rsid w:val="209518D3"/>
    <w:rsid w:val="20A025BE"/>
    <w:rsid w:val="20C479DE"/>
    <w:rsid w:val="20C61512"/>
    <w:rsid w:val="20C80BD8"/>
    <w:rsid w:val="20CD5D42"/>
    <w:rsid w:val="20D83B05"/>
    <w:rsid w:val="20F902D7"/>
    <w:rsid w:val="210E3DCA"/>
    <w:rsid w:val="211A2370"/>
    <w:rsid w:val="211A663A"/>
    <w:rsid w:val="2124254D"/>
    <w:rsid w:val="21313216"/>
    <w:rsid w:val="214D44F3"/>
    <w:rsid w:val="21582E98"/>
    <w:rsid w:val="21656A76"/>
    <w:rsid w:val="216A5F37"/>
    <w:rsid w:val="216D491C"/>
    <w:rsid w:val="217A6BD0"/>
    <w:rsid w:val="21965A9B"/>
    <w:rsid w:val="21A57FFD"/>
    <w:rsid w:val="21A6582E"/>
    <w:rsid w:val="21BC65CC"/>
    <w:rsid w:val="21C103C6"/>
    <w:rsid w:val="21C1459A"/>
    <w:rsid w:val="21E07116"/>
    <w:rsid w:val="21EA09CA"/>
    <w:rsid w:val="21EF7359"/>
    <w:rsid w:val="21F1779F"/>
    <w:rsid w:val="221072CF"/>
    <w:rsid w:val="221A3496"/>
    <w:rsid w:val="2243296E"/>
    <w:rsid w:val="22537F1C"/>
    <w:rsid w:val="22730B9D"/>
    <w:rsid w:val="22776E22"/>
    <w:rsid w:val="227E248B"/>
    <w:rsid w:val="228127CE"/>
    <w:rsid w:val="22855839"/>
    <w:rsid w:val="228F2446"/>
    <w:rsid w:val="22A867B2"/>
    <w:rsid w:val="22AD2D70"/>
    <w:rsid w:val="22AE0FC2"/>
    <w:rsid w:val="22B3482A"/>
    <w:rsid w:val="22B660C8"/>
    <w:rsid w:val="22C55A01"/>
    <w:rsid w:val="22C64F8A"/>
    <w:rsid w:val="22C70C2F"/>
    <w:rsid w:val="22C7754F"/>
    <w:rsid w:val="22CF3CC3"/>
    <w:rsid w:val="22D11890"/>
    <w:rsid w:val="22D95913"/>
    <w:rsid w:val="22DD2EC9"/>
    <w:rsid w:val="22DE117B"/>
    <w:rsid w:val="22E20C6B"/>
    <w:rsid w:val="22EA6680"/>
    <w:rsid w:val="22F959D7"/>
    <w:rsid w:val="22F97D63"/>
    <w:rsid w:val="230D26EE"/>
    <w:rsid w:val="232A6A14"/>
    <w:rsid w:val="232C67F1"/>
    <w:rsid w:val="234E00AF"/>
    <w:rsid w:val="23610734"/>
    <w:rsid w:val="236365EC"/>
    <w:rsid w:val="23661AFE"/>
    <w:rsid w:val="23754132"/>
    <w:rsid w:val="23797D36"/>
    <w:rsid w:val="238166D6"/>
    <w:rsid w:val="238268C2"/>
    <w:rsid w:val="23935FE5"/>
    <w:rsid w:val="239A1BA6"/>
    <w:rsid w:val="23A4643B"/>
    <w:rsid w:val="23AC57B9"/>
    <w:rsid w:val="23DB64CB"/>
    <w:rsid w:val="23DF33FD"/>
    <w:rsid w:val="23E10F23"/>
    <w:rsid w:val="23F64FEF"/>
    <w:rsid w:val="23FF43E5"/>
    <w:rsid w:val="24141A44"/>
    <w:rsid w:val="242F2F0E"/>
    <w:rsid w:val="24343749"/>
    <w:rsid w:val="243513DA"/>
    <w:rsid w:val="244859BF"/>
    <w:rsid w:val="244B6DFA"/>
    <w:rsid w:val="244D480A"/>
    <w:rsid w:val="244D65FF"/>
    <w:rsid w:val="24692191"/>
    <w:rsid w:val="247C6E9E"/>
    <w:rsid w:val="247F00B7"/>
    <w:rsid w:val="248B41C7"/>
    <w:rsid w:val="249D7540"/>
    <w:rsid w:val="24A501A2"/>
    <w:rsid w:val="24B14D99"/>
    <w:rsid w:val="24B93C4E"/>
    <w:rsid w:val="24C9278C"/>
    <w:rsid w:val="24CA1F28"/>
    <w:rsid w:val="24CD70E7"/>
    <w:rsid w:val="24E27DE5"/>
    <w:rsid w:val="24F627AC"/>
    <w:rsid w:val="25216535"/>
    <w:rsid w:val="252512E3"/>
    <w:rsid w:val="254A499B"/>
    <w:rsid w:val="25580B74"/>
    <w:rsid w:val="25754D98"/>
    <w:rsid w:val="25757B75"/>
    <w:rsid w:val="25810FFD"/>
    <w:rsid w:val="25877C72"/>
    <w:rsid w:val="259161F5"/>
    <w:rsid w:val="2593722E"/>
    <w:rsid w:val="259E29BE"/>
    <w:rsid w:val="25AF6479"/>
    <w:rsid w:val="25C96F1B"/>
    <w:rsid w:val="25D14CFE"/>
    <w:rsid w:val="25ED1E01"/>
    <w:rsid w:val="25FC2044"/>
    <w:rsid w:val="261455E0"/>
    <w:rsid w:val="261B6380"/>
    <w:rsid w:val="2624159B"/>
    <w:rsid w:val="26325DED"/>
    <w:rsid w:val="26346AE3"/>
    <w:rsid w:val="264141A3"/>
    <w:rsid w:val="26590E1A"/>
    <w:rsid w:val="266A1BBC"/>
    <w:rsid w:val="267F5470"/>
    <w:rsid w:val="26964247"/>
    <w:rsid w:val="269B176C"/>
    <w:rsid w:val="269F0C21"/>
    <w:rsid w:val="26B40B71"/>
    <w:rsid w:val="270075A9"/>
    <w:rsid w:val="270717CE"/>
    <w:rsid w:val="27105350"/>
    <w:rsid w:val="27185F61"/>
    <w:rsid w:val="272730F1"/>
    <w:rsid w:val="274D3E6B"/>
    <w:rsid w:val="275B723E"/>
    <w:rsid w:val="276A2973"/>
    <w:rsid w:val="278E4F1E"/>
    <w:rsid w:val="27907C7F"/>
    <w:rsid w:val="27A16AC1"/>
    <w:rsid w:val="27B70A09"/>
    <w:rsid w:val="27C74DF7"/>
    <w:rsid w:val="27D240D0"/>
    <w:rsid w:val="27D8263D"/>
    <w:rsid w:val="27DB1C09"/>
    <w:rsid w:val="27DF5779"/>
    <w:rsid w:val="27E14ECF"/>
    <w:rsid w:val="27F07987"/>
    <w:rsid w:val="2801319C"/>
    <w:rsid w:val="28186EDD"/>
    <w:rsid w:val="281F64BE"/>
    <w:rsid w:val="282011E6"/>
    <w:rsid w:val="28387C61"/>
    <w:rsid w:val="284A19C9"/>
    <w:rsid w:val="285E35F6"/>
    <w:rsid w:val="28681C13"/>
    <w:rsid w:val="286C0340"/>
    <w:rsid w:val="287265EE"/>
    <w:rsid w:val="287C6351"/>
    <w:rsid w:val="287E71EA"/>
    <w:rsid w:val="28810477"/>
    <w:rsid w:val="288B6C6A"/>
    <w:rsid w:val="289331BF"/>
    <w:rsid w:val="289C0943"/>
    <w:rsid w:val="28A87747"/>
    <w:rsid w:val="28B42B3E"/>
    <w:rsid w:val="28B65D31"/>
    <w:rsid w:val="28CF1C92"/>
    <w:rsid w:val="28E3573D"/>
    <w:rsid w:val="28EA49FD"/>
    <w:rsid w:val="291B4ED7"/>
    <w:rsid w:val="2922287F"/>
    <w:rsid w:val="292E068B"/>
    <w:rsid w:val="2953641F"/>
    <w:rsid w:val="295403E9"/>
    <w:rsid w:val="295C73DD"/>
    <w:rsid w:val="295D1355"/>
    <w:rsid w:val="29615916"/>
    <w:rsid w:val="297168A5"/>
    <w:rsid w:val="298A5BB9"/>
    <w:rsid w:val="29916F47"/>
    <w:rsid w:val="29A924E3"/>
    <w:rsid w:val="29BB4F88"/>
    <w:rsid w:val="29C55D04"/>
    <w:rsid w:val="29C63095"/>
    <w:rsid w:val="29CE7C12"/>
    <w:rsid w:val="29EE225C"/>
    <w:rsid w:val="29FA7E03"/>
    <w:rsid w:val="2A1C0F07"/>
    <w:rsid w:val="2A1C3B9F"/>
    <w:rsid w:val="2A1F4553"/>
    <w:rsid w:val="2A201310"/>
    <w:rsid w:val="2A2D0126"/>
    <w:rsid w:val="2A4346E5"/>
    <w:rsid w:val="2A4D10C0"/>
    <w:rsid w:val="2A8113B9"/>
    <w:rsid w:val="2AA077A9"/>
    <w:rsid w:val="2AA42CAA"/>
    <w:rsid w:val="2AB23075"/>
    <w:rsid w:val="2AB84F80"/>
    <w:rsid w:val="2AB9190D"/>
    <w:rsid w:val="2ABE4D42"/>
    <w:rsid w:val="2AC53F08"/>
    <w:rsid w:val="2AC612F1"/>
    <w:rsid w:val="2AC944BF"/>
    <w:rsid w:val="2B1A043F"/>
    <w:rsid w:val="2B1C0A93"/>
    <w:rsid w:val="2B1E5E08"/>
    <w:rsid w:val="2B400C25"/>
    <w:rsid w:val="2B4D50F0"/>
    <w:rsid w:val="2B563FA5"/>
    <w:rsid w:val="2B5A4127"/>
    <w:rsid w:val="2B656116"/>
    <w:rsid w:val="2B6669BA"/>
    <w:rsid w:val="2B8C79C6"/>
    <w:rsid w:val="2BA21F23"/>
    <w:rsid w:val="2BA74800"/>
    <w:rsid w:val="2BAF2944"/>
    <w:rsid w:val="2BD001FB"/>
    <w:rsid w:val="2BD049C5"/>
    <w:rsid w:val="2BD17451"/>
    <w:rsid w:val="2BD54C31"/>
    <w:rsid w:val="2BF1120B"/>
    <w:rsid w:val="2BF24A66"/>
    <w:rsid w:val="2BF66653"/>
    <w:rsid w:val="2BF832AE"/>
    <w:rsid w:val="2C047D74"/>
    <w:rsid w:val="2C091360"/>
    <w:rsid w:val="2C1967D7"/>
    <w:rsid w:val="2C281399"/>
    <w:rsid w:val="2C3E2A2D"/>
    <w:rsid w:val="2C4C2577"/>
    <w:rsid w:val="2C4F3FF2"/>
    <w:rsid w:val="2C536736"/>
    <w:rsid w:val="2C6C12A6"/>
    <w:rsid w:val="2C8E59C0"/>
    <w:rsid w:val="2C937E06"/>
    <w:rsid w:val="2C9E7BC7"/>
    <w:rsid w:val="2CA0609B"/>
    <w:rsid w:val="2CB82FAD"/>
    <w:rsid w:val="2CC3566A"/>
    <w:rsid w:val="2CE51A84"/>
    <w:rsid w:val="2CF9730B"/>
    <w:rsid w:val="2D073391"/>
    <w:rsid w:val="2D0E7A18"/>
    <w:rsid w:val="2D102669"/>
    <w:rsid w:val="2D167FD0"/>
    <w:rsid w:val="2D287BC3"/>
    <w:rsid w:val="2D3447B9"/>
    <w:rsid w:val="2D426903"/>
    <w:rsid w:val="2D4644D2"/>
    <w:rsid w:val="2D591BF6"/>
    <w:rsid w:val="2D593047"/>
    <w:rsid w:val="2D65648A"/>
    <w:rsid w:val="2D695C31"/>
    <w:rsid w:val="2D6A07AF"/>
    <w:rsid w:val="2D866090"/>
    <w:rsid w:val="2D8C4F67"/>
    <w:rsid w:val="2D940DB4"/>
    <w:rsid w:val="2D962D7E"/>
    <w:rsid w:val="2D973FBB"/>
    <w:rsid w:val="2DB61E93"/>
    <w:rsid w:val="2DBD655D"/>
    <w:rsid w:val="2DC172A5"/>
    <w:rsid w:val="2DD20949"/>
    <w:rsid w:val="2DD26D03"/>
    <w:rsid w:val="2DDD3E0B"/>
    <w:rsid w:val="2DE03FF9"/>
    <w:rsid w:val="2DE3589F"/>
    <w:rsid w:val="2DEF06E0"/>
    <w:rsid w:val="2DF55671"/>
    <w:rsid w:val="2DF60BF7"/>
    <w:rsid w:val="2E062962"/>
    <w:rsid w:val="2E0C1292"/>
    <w:rsid w:val="2E1C2578"/>
    <w:rsid w:val="2E1E15B2"/>
    <w:rsid w:val="2E3C7D3A"/>
    <w:rsid w:val="2E41718E"/>
    <w:rsid w:val="2E433C1E"/>
    <w:rsid w:val="2E6609A2"/>
    <w:rsid w:val="2E67296D"/>
    <w:rsid w:val="2E9753EC"/>
    <w:rsid w:val="2E9E479D"/>
    <w:rsid w:val="2EC41B6D"/>
    <w:rsid w:val="2ED40002"/>
    <w:rsid w:val="2ED90264"/>
    <w:rsid w:val="2EDF2503"/>
    <w:rsid w:val="2EE07091"/>
    <w:rsid w:val="2EE63891"/>
    <w:rsid w:val="2F092014"/>
    <w:rsid w:val="2F0B42DF"/>
    <w:rsid w:val="2F0D52C2"/>
    <w:rsid w:val="2F1E127D"/>
    <w:rsid w:val="2F300FB0"/>
    <w:rsid w:val="2F3F0E84"/>
    <w:rsid w:val="2F5D4263"/>
    <w:rsid w:val="2F642565"/>
    <w:rsid w:val="2F6A0E6D"/>
    <w:rsid w:val="2F6A44C2"/>
    <w:rsid w:val="2F766F4B"/>
    <w:rsid w:val="2F9A2D01"/>
    <w:rsid w:val="2FA414E6"/>
    <w:rsid w:val="2FAF45CB"/>
    <w:rsid w:val="2FB43990"/>
    <w:rsid w:val="2FBE78D3"/>
    <w:rsid w:val="2FC130E0"/>
    <w:rsid w:val="2FC15714"/>
    <w:rsid w:val="2FC62098"/>
    <w:rsid w:val="2FE222AB"/>
    <w:rsid w:val="30054E03"/>
    <w:rsid w:val="300C4792"/>
    <w:rsid w:val="301002BD"/>
    <w:rsid w:val="301923F5"/>
    <w:rsid w:val="301B756B"/>
    <w:rsid w:val="301D1FE6"/>
    <w:rsid w:val="302526F6"/>
    <w:rsid w:val="303201F2"/>
    <w:rsid w:val="303A5255"/>
    <w:rsid w:val="30517430"/>
    <w:rsid w:val="30540043"/>
    <w:rsid w:val="306113A4"/>
    <w:rsid w:val="306E648F"/>
    <w:rsid w:val="307C2430"/>
    <w:rsid w:val="30977539"/>
    <w:rsid w:val="30A6152A"/>
    <w:rsid w:val="30A77050"/>
    <w:rsid w:val="30AF197E"/>
    <w:rsid w:val="30D05BE1"/>
    <w:rsid w:val="30DA11D4"/>
    <w:rsid w:val="30EF1041"/>
    <w:rsid w:val="30F30B8C"/>
    <w:rsid w:val="30FA697C"/>
    <w:rsid w:val="3107434B"/>
    <w:rsid w:val="310F3573"/>
    <w:rsid w:val="311C7A3E"/>
    <w:rsid w:val="312714A6"/>
    <w:rsid w:val="31351759"/>
    <w:rsid w:val="313E6BEE"/>
    <w:rsid w:val="314350F7"/>
    <w:rsid w:val="31560EEA"/>
    <w:rsid w:val="31572824"/>
    <w:rsid w:val="315A04BF"/>
    <w:rsid w:val="3166406D"/>
    <w:rsid w:val="317433D6"/>
    <w:rsid w:val="317E4255"/>
    <w:rsid w:val="317E70A7"/>
    <w:rsid w:val="318907B2"/>
    <w:rsid w:val="318C38A6"/>
    <w:rsid w:val="318D3E35"/>
    <w:rsid w:val="31A31F0E"/>
    <w:rsid w:val="31AD5B7D"/>
    <w:rsid w:val="31B47F6E"/>
    <w:rsid w:val="31B9528D"/>
    <w:rsid w:val="31C335D3"/>
    <w:rsid w:val="31CF12C1"/>
    <w:rsid w:val="31D26081"/>
    <w:rsid w:val="31E34019"/>
    <w:rsid w:val="31ED3F77"/>
    <w:rsid w:val="322E7A29"/>
    <w:rsid w:val="323B6806"/>
    <w:rsid w:val="323D7C6C"/>
    <w:rsid w:val="325A20DF"/>
    <w:rsid w:val="3267118D"/>
    <w:rsid w:val="326E1E3D"/>
    <w:rsid w:val="3284506D"/>
    <w:rsid w:val="32AB72CC"/>
    <w:rsid w:val="32B617CD"/>
    <w:rsid w:val="32BD0460"/>
    <w:rsid w:val="32C21AA9"/>
    <w:rsid w:val="32C322E5"/>
    <w:rsid w:val="32C7573C"/>
    <w:rsid w:val="32D1086B"/>
    <w:rsid w:val="32FA59F2"/>
    <w:rsid w:val="32FE173A"/>
    <w:rsid w:val="331B05A0"/>
    <w:rsid w:val="333F73B1"/>
    <w:rsid w:val="3359362A"/>
    <w:rsid w:val="335C4122"/>
    <w:rsid w:val="33802506"/>
    <w:rsid w:val="33953AD8"/>
    <w:rsid w:val="33957634"/>
    <w:rsid w:val="339A7CE1"/>
    <w:rsid w:val="33A40E73"/>
    <w:rsid w:val="33A42E80"/>
    <w:rsid w:val="33AE157C"/>
    <w:rsid w:val="33BF2903"/>
    <w:rsid w:val="33C57F19"/>
    <w:rsid w:val="33D13580"/>
    <w:rsid w:val="33F46A50"/>
    <w:rsid w:val="340824FC"/>
    <w:rsid w:val="341669C7"/>
    <w:rsid w:val="34177A3C"/>
    <w:rsid w:val="34183974"/>
    <w:rsid w:val="341E3587"/>
    <w:rsid w:val="341E7629"/>
    <w:rsid w:val="34381B90"/>
    <w:rsid w:val="34427A54"/>
    <w:rsid w:val="3449671C"/>
    <w:rsid w:val="344D4D22"/>
    <w:rsid w:val="345871BF"/>
    <w:rsid w:val="34640913"/>
    <w:rsid w:val="34650059"/>
    <w:rsid w:val="347F27BE"/>
    <w:rsid w:val="34892388"/>
    <w:rsid w:val="349A0662"/>
    <w:rsid w:val="34B32468"/>
    <w:rsid w:val="34BE0602"/>
    <w:rsid w:val="34C21C47"/>
    <w:rsid w:val="34C533FD"/>
    <w:rsid w:val="34D61DE9"/>
    <w:rsid w:val="34D643A8"/>
    <w:rsid w:val="34EC7757"/>
    <w:rsid w:val="34F34959"/>
    <w:rsid w:val="34F67886"/>
    <w:rsid w:val="34FB2971"/>
    <w:rsid w:val="350309D6"/>
    <w:rsid w:val="352877E3"/>
    <w:rsid w:val="353A75A4"/>
    <w:rsid w:val="354632DC"/>
    <w:rsid w:val="35483789"/>
    <w:rsid w:val="354910AE"/>
    <w:rsid w:val="354B6B44"/>
    <w:rsid w:val="355846DE"/>
    <w:rsid w:val="35646AFF"/>
    <w:rsid w:val="35763E83"/>
    <w:rsid w:val="3578720D"/>
    <w:rsid w:val="357E2C60"/>
    <w:rsid w:val="35906305"/>
    <w:rsid w:val="35952F6B"/>
    <w:rsid w:val="35A330E4"/>
    <w:rsid w:val="35A80C31"/>
    <w:rsid w:val="35A9255C"/>
    <w:rsid w:val="35B83714"/>
    <w:rsid w:val="35CF239B"/>
    <w:rsid w:val="35DF5382"/>
    <w:rsid w:val="35E15F5E"/>
    <w:rsid w:val="35E6686D"/>
    <w:rsid w:val="35E83619"/>
    <w:rsid w:val="3605091F"/>
    <w:rsid w:val="360D5BA8"/>
    <w:rsid w:val="360F36CE"/>
    <w:rsid w:val="36146F36"/>
    <w:rsid w:val="362829E1"/>
    <w:rsid w:val="363436FF"/>
    <w:rsid w:val="364A6F3B"/>
    <w:rsid w:val="36556CB0"/>
    <w:rsid w:val="36581353"/>
    <w:rsid w:val="3660344E"/>
    <w:rsid w:val="366E1707"/>
    <w:rsid w:val="36A26B39"/>
    <w:rsid w:val="36A52943"/>
    <w:rsid w:val="36B424C7"/>
    <w:rsid w:val="36B83D65"/>
    <w:rsid w:val="36C96221"/>
    <w:rsid w:val="36D87CBE"/>
    <w:rsid w:val="36E0506A"/>
    <w:rsid w:val="36EC3A0F"/>
    <w:rsid w:val="3700570C"/>
    <w:rsid w:val="37235FC6"/>
    <w:rsid w:val="37425EAE"/>
    <w:rsid w:val="374E10F4"/>
    <w:rsid w:val="3755004C"/>
    <w:rsid w:val="376E3B9D"/>
    <w:rsid w:val="37747825"/>
    <w:rsid w:val="378503DE"/>
    <w:rsid w:val="37893954"/>
    <w:rsid w:val="378F51B7"/>
    <w:rsid w:val="37AC319E"/>
    <w:rsid w:val="37B14506"/>
    <w:rsid w:val="37E46593"/>
    <w:rsid w:val="37F23E6B"/>
    <w:rsid w:val="37FC5ED4"/>
    <w:rsid w:val="37FE0959"/>
    <w:rsid w:val="37FF60A0"/>
    <w:rsid w:val="38081233"/>
    <w:rsid w:val="38090EB6"/>
    <w:rsid w:val="380F7F46"/>
    <w:rsid w:val="381313DA"/>
    <w:rsid w:val="38140ABB"/>
    <w:rsid w:val="382F62A9"/>
    <w:rsid w:val="385D4D28"/>
    <w:rsid w:val="38635F53"/>
    <w:rsid w:val="38653AFE"/>
    <w:rsid w:val="386A5D25"/>
    <w:rsid w:val="386D55E0"/>
    <w:rsid w:val="387939C8"/>
    <w:rsid w:val="387D5F09"/>
    <w:rsid w:val="38A37A35"/>
    <w:rsid w:val="38A722E3"/>
    <w:rsid w:val="38B03EC2"/>
    <w:rsid w:val="38B4055C"/>
    <w:rsid w:val="38BD438D"/>
    <w:rsid w:val="38FB40D9"/>
    <w:rsid w:val="390A5380"/>
    <w:rsid w:val="39135668"/>
    <w:rsid w:val="39171D29"/>
    <w:rsid w:val="391D25A6"/>
    <w:rsid w:val="39253208"/>
    <w:rsid w:val="39271DD4"/>
    <w:rsid w:val="396B1563"/>
    <w:rsid w:val="396E4BAF"/>
    <w:rsid w:val="39761CB6"/>
    <w:rsid w:val="397B72CC"/>
    <w:rsid w:val="39974106"/>
    <w:rsid w:val="39A84565"/>
    <w:rsid w:val="39AB7BB1"/>
    <w:rsid w:val="39C26368"/>
    <w:rsid w:val="39C573FA"/>
    <w:rsid w:val="39D46EC1"/>
    <w:rsid w:val="39ED79E8"/>
    <w:rsid w:val="39F07CBA"/>
    <w:rsid w:val="3A15788F"/>
    <w:rsid w:val="3A1951E4"/>
    <w:rsid w:val="3A1B7983"/>
    <w:rsid w:val="3A232453"/>
    <w:rsid w:val="3A265910"/>
    <w:rsid w:val="3A410516"/>
    <w:rsid w:val="3A5F274A"/>
    <w:rsid w:val="3A63048C"/>
    <w:rsid w:val="3A6E02EF"/>
    <w:rsid w:val="3A944AE9"/>
    <w:rsid w:val="3ABC3569"/>
    <w:rsid w:val="3AC85553"/>
    <w:rsid w:val="3ACA22B9"/>
    <w:rsid w:val="3ACF5B21"/>
    <w:rsid w:val="3AD03AC0"/>
    <w:rsid w:val="3AD13648"/>
    <w:rsid w:val="3ADA62C4"/>
    <w:rsid w:val="3AE4354C"/>
    <w:rsid w:val="3AE9729C"/>
    <w:rsid w:val="3AFA48C6"/>
    <w:rsid w:val="3B073F58"/>
    <w:rsid w:val="3B1D7F98"/>
    <w:rsid w:val="3B251BE5"/>
    <w:rsid w:val="3B304812"/>
    <w:rsid w:val="3B3836C7"/>
    <w:rsid w:val="3B3D7AFF"/>
    <w:rsid w:val="3B47390A"/>
    <w:rsid w:val="3B550AF3"/>
    <w:rsid w:val="3B575748"/>
    <w:rsid w:val="3B6220F2"/>
    <w:rsid w:val="3B693880"/>
    <w:rsid w:val="3B69752E"/>
    <w:rsid w:val="3B6E533A"/>
    <w:rsid w:val="3B8E2B7D"/>
    <w:rsid w:val="3B9A0687"/>
    <w:rsid w:val="3B9B4278"/>
    <w:rsid w:val="3BA80D86"/>
    <w:rsid w:val="3BAB02EA"/>
    <w:rsid w:val="3BAE1BDB"/>
    <w:rsid w:val="3BBA273E"/>
    <w:rsid w:val="3BBB3293"/>
    <w:rsid w:val="3BBB7FB5"/>
    <w:rsid w:val="3BBC42F8"/>
    <w:rsid w:val="3BC9725A"/>
    <w:rsid w:val="3BCD5724"/>
    <w:rsid w:val="3BD43AE3"/>
    <w:rsid w:val="3BE03C04"/>
    <w:rsid w:val="3BE455FD"/>
    <w:rsid w:val="3BE54D89"/>
    <w:rsid w:val="3BF15228"/>
    <w:rsid w:val="3BFF5F92"/>
    <w:rsid w:val="3C031029"/>
    <w:rsid w:val="3C061B78"/>
    <w:rsid w:val="3C387859"/>
    <w:rsid w:val="3C3C2D43"/>
    <w:rsid w:val="3C3F2833"/>
    <w:rsid w:val="3C3F3E2E"/>
    <w:rsid w:val="3C45170C"/>
    <w:rsid w:val="3C5A4785"/>
    <w:rsid w:val="3C70164F"/>
    <w:rsid w:val="3C7D45CA"/>
    <w:rsid w:val="3C8624D2"/>
    <w:rsid w:val="3C917532"/>
    <w:rsid w:val="3C973615"/>
    <w:rsid w:val="3CA60B04"/>
    <w:rsid w:val="3CAD1E92"/>
    <w:rsid w:val="3CAF42BA"/>
    <w:rsid w:val="3CB036B4"/>
    <w:rsid w:val="3CB77DA4"/>
    <w:rsid w:val="3CC026A5"/>
    <w:rsid w:val="3CCF1E09"/>
    <w:rsid w:val="3CD63197"/>
    <w:rsid w:val="3CD92C87"/>
    <w:rsid w:val="3CE07B72"/>
    <w:rsid w:val="3CE3483A"/>
    <w:rsid w:val="3CE4322C"/>
    <w:rsid w:val="3CE533DA"/>
    <w:rsid w:val="3CED4BAF"/>
    <w:rsid w:val="3D2932BD"/>
    <w:rsid w:val="3D4537C4"/>
    <w:rsid w:val="3D5E2FF6"/>
    <w:rsid w:val="3D7F1816"/>
    <w:rsid w:val="3DB01C3A"/>
    <w:rsid w:val="3DD9009B"/>
    <w:rsid w:val="3DD91C44"/>
    <w:rsid w:val="3DEC0798"/>
    <w:rsid w:val="3DEE759F"/>
    <w:rsid w:val="3E0B7BE3"/>
    <w:rsid w:val="3E216694"/>
    <w:rsid w:val="3E23065E"/>
    <w:rsid w:val="3E2863FD"/>
    <w:rsid w:val="3E320C44"/>
    <w:rsid w:val="3E385A19"/>
    <w:rsid w:val="3E4773F5"/>
    <w:rsid w:val="3E491EE2"/>
    <w:rsid w:val="3E4B3711"/>
    <w:rsid w:val="3E54472B"/>
    <w:rsid w:val="3E546A69"/>
    <w:rsid w:val="3E69583D"/>
    <w:rsid w:val="3E75253C"/>
    <w:rsid w:val="3E860BED"/>
    <w:rsid w:val="3EB70DA6"/>
    <w:rsid w:val="3EBA2645"/>
    <w:rsid w:val="3EBF6336"/>
    <w:rsid w:val="3EC56AB2"/>
    <w:rsid w:val="3EC763B5"/>
    <w:rsid w:val="3EC925A5"/>
    <w:rsid w:val="3ECC1773"/>
    <w:rsid w:val="3ECD0001"/>
    <w:rsid w:val="3ED77ADC"/>
    <w:rsid w:val="3EEA6BC7"/>
    <w:rsid w:val="3EF10CD9"/>
    <w:rsid w:val="3EF21DDE"/>
    <w:rsid w:val="3EF259E9"/>
    <w:rsid w:val="3EF50341"/>
    <w:rsid w:val="3F16531C"/>
    <w:rsid w:val="3F1C6230"/>
    <w:rsid w:val="3F1E7077"/>
    <w:rsid w:val="3F2A0DE0"/>
    <w:rsid w:val="3F3A4C63"/>
    <w:rsid w:val="3F3F3DAD"/>
    <w:rsid w:val="3F4321E2"/>
    <w:rsid w:val="3F786788"/>
    <w:rsid w:val="3F8A5846"/>
    <w:rsid w:val="3F982986"/>
    <w:rsid w:val="3FA96866"/>
    <w:rsid w:val="3FBB33DD"/>
    <w:rsid w:val="3FC97983"/>
    <w:rsid w:val="3FCE5252"/>
    <w:rsid w:val="3FD85478"/>
    <w:rsid w:val="3FDB6346"/>
    <w:rsid w:val="3FF81676"/>
    <w:rsid w:val="3FFA719D"/>
    <w:rsid w:val="401C5145"/>
    <w:rsid w:val="40263DA9"/>
    <w:rsid w:val="403703F1"/>
    <w:rsid w:val="404C4EAC"/>
    <w:rsid w:val="40582115"/>
    <w:rsid w:val="40773DBB"/>
    <w:rsid w:val="40784565"/>
    <w:rsid w:val="407D1B7C"/>
    <w:rsid w:val="40910575"/>
    <w:rsid w:val="40A17AE1"/>
    <w:rsid w:val="40A608FC"/>
    <w:rsid w:val="40AB0497"/>
    <w:rsid w:val="40BB5AD0"/>
    <w:rsid w:val="40CB6D8B"/>
    <w:rsid w:val="40CD0688"/>
    <w:rsid w:val="40E85750"/>
    <w:rsid w:val="40E90FBF"/>
    <w:rsid w:val="40EF47F8"/>
    <w:rsid w:val="40F462E2"/>
    <w:rsid w:val="40FB7670"/>
    <w:rsid w:val="40FD6853"/>
    <w:rsid w:val="4100099C"/>
    <w:rsid w:val="41036791"/>
    <w:rsid w:val="41365805"/>
    <w:rsid w:val="413C7580"/>
    <w:rsid w:val="41407A72"/>
    <w:rsid w:val="415648A7"/>
    <w:rsid w:val="41797B0D"/>
    <w:rsid w:val="41952BC8"/>
    <w:rsid w:val="41994793"/>
    <w:rsid w:val="41A37011"/>
    <w:rsid w:val="41A5138A"/>
    <w:rsid w:val="41A60D97"/>
    <w:rsid w:val="41B65345"/>
    <w:rsid w:val="41C25ACB"/>
    <w:rsid w:val="41C75F73"/>
    <w:rsid w:val="41DF489C"/>
    <w:rsid w:val="41E602F5"/>
    <w:rsid w:val="41EC3F92"/>
    <w:rsid w:val="41EE67F4"/>
    <w:rsid w:val="41EF0857"/>
    <w:rsid w:val="420267DC"/>
    <w:rsid w:val="420608FB"/>
    <w:rsid w:val="42091919"/>
    <w:rsid w:val="420D3EDF"/>
    <w:rsid w:val="421D1AF3"/>
    <w:rsid w:val="42246753"/>
    <w:rsid w:val="424010B3"/>
    <w:rsid w:val="4254373B"/>
    <w:rsid w:val="42562684"/>
    <w:rsid w:val="425B7C9B"/>
    <w:rsid w:val="42607F5E"/>
    <w:rsid w:val="426162D1"/>
    <w:rsid w:val="42712E60"/>
    <w:rsid w:val="427B00CF"/>
    <w:rsid w:val="4281767F"/>
    <w:rsid w:val="428547F9"/>
    <w:rsid w:val="428F7D86"/>
    <w:rsid w:val="42924636"/>
    <w:rsid w:val="42A6360C"/>
    <w:rsid w:val="42AB1388"/>
    <w:rsid w:val="42AD7BCC"/>
    <w:rsid w:val="42AF4EDA"/>
    <w:rsid w:val="42B20202"/>
    <w:rsid w:val="42B6714C"/>
    <w:rsid w:val="42B850ED"/>
    <w:rsid w:val="42B87898"/>
    <w:rsid w:val="42D77C69"/>
    <w:rsid w:val="42E245CC"/>
    <w:rsid w:val="42E859D2"/>
    <w:rsid w:val="42EC2B3C"/>
    <w:rsid w:val="42EF5532"/>
    <w:rsid w:val="42F36125"/>
    <w:rsid w:val="430E2600"/>
    <w:rsid w:val="431540B7"/>
    <w:rsid w:val="432033BE"/>
    <w:rsid w:val="43582ED4"/>
    <w:rsid w:val="4359067E"/>
    <w:rsid w:val="435F73AE"/>
    <w:rsid w:val="436D5ED7"/>
    <w:rsid w:val="43792ACE"/>
    <w:rsid w:val="438071AC"/>
    <w:rsid w:val="43863005"/>
    <w:rsid w:val="43943464"/>
    <w:rsid w:val="439538FE"/>
    <w:rsid w:val="439B47F3"/>
    <w:rsid w:val="439E42E3"/>
    <w:rsid w:val="43A0005B"/>
    <w:rsid w:val="43A773CB"/>
    <w:rsid w:val="43AA0EDA"/>
    <w:rsid w:val="43AE4585"/>
    <w:rsid w:val="43BD2DC0"/>
    <w:rsid w:val="43BE0C47"/>
    <w:rsid w:val="43CF26EE"/>
    <w:rsid w:val="43D35EEF"/>
    <w:rsid w:val="43E73EDC"/>
    <w:rsid w:val="43F16B09"/>
    <w:rsid w:val="43F90C6E"/>
    <w:rsid w:val="43FB1735"/>
    <w:rsid w:val="440C2FD9"/>
    <w:rsid w:val="4413082D"/>
    <w:rsid w:val="441427F7"/>
    <w:rsid w:val="441D2768"/>
    <w:rsid w:val="442224A4"/>
    <w:rsid w:val="442466A5"/>
    <w:rsid w:val="443E2D08"/>
    <w:rsid w:val="443E46DD"/>
    <w:rsid w:val="445C6678"/>
    <w:rsid w:val="445F7F77"/>
    <w:rsid w:val="447A6AFE"/>
    <w:rsid w:val="447F2969"/>
    <w:rsid w:val="448B0D0B"/>
    <w:rsid w:val="449F79F1"/>
    <w:rsid w:val="44A43B7B"/>
    <w:rsid w:val="44A9326C"/>
    <w:rsid w:val="44AD0C81"/>
    <w:rsid w:val="44B71B00"/>
    <w:rsid w:val="44C72973"/>
    <w:rsid w:val="44CB1108"/>
    <w:rsid w:val="44D12843"/>
    <w:rsid w:val="44D22552"/>
    <w:rsid w:val="44E54DF7"/>
    <w:rsid w:val="44EC5B43"/>
    <w:rsid w:val="45022AD5"/>
    <w:rsid w:val="45093BA8"/>
    <w:rsid w:val="452B6BA2"/>
    <w:rsid w:val="456C495C"/>
    <w:rsid w:val="45790B64"/>
    <w:rsid w:val="45796DB6"/>
    <w:rsid w:val="457F201D"/>
    <w:rsid w:val="45817C8C"/>
    <w:rsid w:val="4589425A"/>
    <w:rsid w:val="45964746"/>
    <w:rsid w:val="459E4A6E"/>
    <w:rsid w:val="45A97729"/>
    <w:rsid w:val="45B24076"/>
    <w:rsid w:val="45D711AD"/>
    <w:rsid w:val="45DE34B4"/>
    <w:rsid w:val="45EF534A"/>
    <w:rsid w:val="45F43BFF"/>
    <w:rsid w:val="45F60406"/>
    <w:rsid w:val="45F87E2E"/>
    <w:rsid w:val="460074D7"/>
    <w:rsid w:val="461B5CBF"/>
    <w:rsid w:val="461E4209"/>
    <w:rsid w:val="46222C07"/>
    <w:rsid w:val="46330353"/>
    <w:rsid w:val="46352521"/>
    <w:rsid w:val="463B1919"/>
    <w:rsid w:val="463E5679"/>
    <w:rsid w:val="464078D3"/>
    <w:rsid w:val="46544B92"/>
    <w:rsid w:val="46582E6F"/>
    <w:rsid w:val="467426E6"/>
    <w:rsid w:val="46804174"/>
    <w:rsid w:val="468A6DA0"/>
    <w:rsid w:val="469115D4"/>
    <w:rsid w:val="469953FF"/>
    <w:rsid w:val="46A01D5B"/>
    <w:rsid w:val="46A72C7D"/>
    <w:rsid w:val="46AE7346"/>
    <w:rsid w:val="46CC73B9"/>
    <w:rsid w:val="46D54038"/>
    <w:rsid w:val="46D65D4B"/>
    <w:rsid w:val="46D76F97"/>
    <w:rsid w:val="46DE3F66"/>
    <w:rsid w:val="46F02A3B"/>
    <w:rsid w:val="47525B10"/>
    <w:rsid w:val="47631957"/>
    <w:rsid w:val="47637D1D"/>
    <w:rsid w:val="47653A95"/>
    <w:rsid w:val="47662FEE"/>
    <w:rsid w:val="477C3D1C"/>
    <w:rsid w:val="47863A0C"/>
    <w:rsid w:val="478D71ED"/>
    <w:rsid w:val="47950BB1"/>
    <w:rsid w:val="479928B9"/>
    <w:rsid w:val="47C84024"/>
    <w:rsid w:val="47E533FD"/>
    <w:rsid w:val="47E63780"/>
    <w:rsid w:val="47ED5839"/>
    <w:rsid w:val="48141018"/>
    <w:rsid w:val="4828054F"/>
    <w:rsid w:val="486F4F67"/>
    <w:rsid w:val="48724658"/>
    <w:rsid w:val="4885290E"/>
    <w:rsid w:val="48932226"/>
    <w:rsid w:val="48934475"/>
    <w:rsid w:val="48A64365"/>
    <w:rsid w:val="48BE30EF"/>
    <w:rsid w:val="48D2515B"/>
    <w:rsid w:val="48D72771"/>
    <w:rsid w:val="48DB1B35"/>
    <w:rsid w:val="48E22EC4"/>
    <w:rsid w:val="48E418CD"/>
    <w:rsid w:val="48EB1D78"/>
    <w:rsid w:val="48FA1700"/>
    <w:rsid w:val="491D6C6D"/>
    <w:rsid w:val="49332C41"/>
    <w:rsid w:val="49423962"/>
    <w:rsid w:val="49425710"/>
    <w:rsid w:val="494B6CBB"/>
    <w:rsid w:val="49521DF7"/>
    <w:rsid w:val="495913D8"/>
    <w:rsid w:val="49752D84"/>
    <w:rsid w:val="49793828"/>
    <w:rsid w:val="497955D6"/>
    <w:rsid w:val="497D4BF9"/>
    <w:rsid w:val="49855FD9"/>
    <w:rsid w:val="498F1326"/>
    <w:rsid w:val="499F0DB5"/>
    <w:rsid w:val="49B22896"/>
    <w:rsid w:val="49D03A26"/>
    <w:rsid w:val="49FB5F2C"/>
    <w:rsid w:val="4A0B5561"/>
    <w:rsid w:val="4A13512F"/>
    <w:rsid w:val="4A1C4A46"/>
    <w:rsid w:val="4A317F49"/>
    <w:rsid w:val="4A413C1A"/>
    <w:rsid w:val="4A4F43BC"/>
    <w:rsid w:val="4A6718D3"/>
    <w:rsid w:val="4A695D47"/>
    <w:rsid w:val="4A772E17"/>
    <w:rsid w:val="4A7D2450"/>
    <w:rsid w:val="4A7D5B8D"/>
    <w:rsid w:val="4A8E3303"/>
    <w:rsid w:val="4A8F2BAF"/>
    <w:rsid w:val="4AA04DE4"/>
    <w:rsid w:val="4AA2290B"/>
    <w:rsid w:val="4AE90040"/>
    <w:rsid w:val="4AF12273"/>
    <w:rsid w:val="4AF62C56"/>
    <w:rsid w:val="4AFA2747"/>
    <w:rsid w:val="4B0D72EC"/>
    <w:rsid w:val="4B125CE2"/>
    <w:rsid w:val="4B2A2435"/>
    <w:rsid w:val="4B2B0B52"/>
    <w:rsid w:val="4B377B13"/>
    <w:rsid w:val="4B584A36"/>
    <w:rsid w:val="4B597965"/>
    <w:rsid w:val="4B7342A7"/>
    <w:rsid w:val="4BAD10F3"/>
    <w:rsid w:val="4BB429A7"/>
    <w:rsid w:val="4BD23F44"/>
    <w:rsid w:val="4BDB3A41"/>
    <w:rsid w:val="4BDD314B"/>
    <w:rsid w:val="4BE30875"/>
    <w:rsid w:val="4BE87BA1"/>
    <w:rsid w:val="4BEB02E1"/>
    <w:rsid w:val="4BFE6267"/>
    <w:rsid w:val="4C2613CF"/>
    <w:rsid w:val="4C2757BD"/>
    <w:rsid w:val="4C3103EA"/>
    <w:rsid w:val="4C40062D"/>
    <w:rsid w:val="4C402BF7"/>
    <w:rsid w:val="4C61601B"/>
    <w:rsid w:val="4C665829"/>
    <w:rsid w:val="4C942885"/>
    <w:rsid w:val="4C970372"/>
    <w:rsid w:val="4CA94A1E"/>
    <w:rsid w:val="4CC13E1F"/>
    <w:rsid w:val="4CC179BC"/>
    <w:rsid w:val="4CCA7D59"/>
    <w:rsid w:val="4CCE2CFE"/>
    <w:rsid w:val="4CE51601"/>
    <w:rsid w:val="4D0553D3"/>
    <w:rsid w:val="4D07114B"/>
    <w:rsid w:val="4D0F2A47"/>
    <w:rsid w:val="4D153868"/>
    <w:rsid w:val="4D3758D7"/>
    <w:rsid w:val="4D5059F4"/>
    <w:rsid w:val="4D5B3DD6"/>
    <w:rsid w:val="4D651922"/>
    <w:rsid w:val="4D6D5743"/>
    <w:rsid w:val="4D784E5B"/>
    <w:rsid w:val="4D787104"/>
    <w:rsid w:val="4D814A59"/>
    <w:rsid w:val="4D8C1650"/>
    <w:rsid w:val="4D986247"/>
    <w:rsid w:val="4D9C7D35"/>
    <w:rsid w:val="4DA92202"/>
    <w:rsid w:val="4DB52055"/>
    <w:rsid w:val="4DBA440F"/>
    <w:rsid w:val="4DBE7619"/>
    <w:rsid w:val="4DD0778F"/>
    <w:rsid w:val="4DDF3E76"/>
    <w:rsid w:val="4E0B4C6B"/>
    <w:rsid w:val="4E3B6192"/>
    <w:rsid w:val="4E4D7031"/>
    <w:rsid w:val="4E5C7274"/>
    <w:rsid w:val="4E8011B5"/>
    <w:rsid w:val="4E9038BC"/>
    <w:rsid w:val="4EA8070C"/>
    <w:rsid w:val="4EC45545"/>
    <w:rsid w:val="4ECD1F20"/>
    <w:rsid w:val="4ED57074"/>
    <w:rsid w:val="4EE720AF"/>
    <w:rsid w:val="4EEE25C2"/>
    <w:rsid w:val="4EF35A00"/>
    <w:rsid w:val="4EFA5955"/>
    <w:rsid w:val="4F0156DC"/>
    <w:rsid w:val="4F155DA1"/>
    <w:rsid w:val="4F1D56CC"/>
    <w:rsid w:val="4F1D6A04"/>
    <w:rsid w:val="4F2A2ECF"/>
    <w:rsid w:val="4F327543"/>
    <w:rsid w:val="4F34504A"/>
    <w:rsid w:val="4F560168"/>
    <w:rsid w:val="4F5A37B4"/>
    <w:rsid w:val="4F6939F7"/>
    <w:rsid w:val="4F6A213D"/>
    <w:rsid w:val="4F7554E1"/>
    <w:rsid w:val="4F7A5C04"/>
    <w:rsid w:val="4F7C7BCE"/>
    <w:rsid w:val="4F841701"/>
    <w:rsid w:val="4F974A08"/>
    <w:rsid w:val="4F9D3182"/>
    <w:rsid w:val="4FA714C6"/>
    <w:rsid w:val="4FAE58AE"/>
    <w:rsid w:val="4FB31116"/>
    <w:rsid w:val="4FB57FB8"/>
    <w:rsid w:val="4FCE0022"/>
    <w:rsid w:val="4FD712A8"/>
    <w:rsid w:val="4FDA48F5"/>
    <w:rsid w:val="4FE614EB"/>
    <w:rsid w:val="4FEC3D1C"/>
    <w:rsid w:val="4FED4FCB"/>
    <w:rsid w:val="50017590"/>
    <w:rsid w:val="50065AF2"/>
    <w:rsid w:val="500A3E81"/>
    <w:rsid w:val="501716A5"/>
    <w:rsid w:val="501A6759"/>
    <w:rsid w:val="501E4690"/>
    <w:rsid w:val="50221337"/>
    <w:rsid w:val="50281B04"/>
    <w:rsid w:val="5032028D"/>
    <w:rsid w:val="50373AAF"/>
    <w:rsid w:val="5038339A"/>
    <w:rsid w:val="503E30D6"/>
    <w:rsid w:val="50435ECC"/>
    <w:rsid w:val="504827EE"/>
    <w:rsid w:val="504A6090"/>
    <w:rsid w:val="504F279E"/>
    <w:rsid w:val="50524BE4"/>
    <w:rsid w:val="505E3973"/>
    <w:rsid w:val="5075461D"/>
    <w:rsid w:val="507B45FB"/>
    <w:rsid w:val="50854860"/>
    <w:rsid w:val="50875D46"/>
    <w:rsid w:val="50930528"/>
    <w:rsid w:val="50A3113A"/>
    <w:rsid w:val="50AA4A36"/>
    <w:rsid w:val="50B213CE"/>
    <w:rsid w:val="50C5385B"/>
    <w:rsid w:val="50C874A7"/>
    <w:rsid w:val="50F25C6E"/>
    <w:rsid w:val="50F7178E"/>
    <w:rsid w:val="50F94B0A"/>
    <w:rsid w:val="50FA067A"/>
    <w:rsid w:val="50FB450C"/>
    <w:rsid w:val="510A120A"/>
    <w:rsid w:val="513C3327"/>
    <w:rsid w:val="51556929"/>
    <w:rsid w:val="51581A4D"/>
    <w:rsid w:val="51584C2E"/>
    <w:rsid w:val="51BA6816"/>
    <w:rsid w:val="51E0186B"/>
    <w:rsid w:val="51E9259B"/>
    <w:rsid w:val="51F779E0"/>
    <w:rsid w:val="52081BED"/>
    <w:rsid w:val="52147F1A"/>
    <w:rsid w:val="52151C6B"/>
    <w:rsid w:val="52217480"/>
    <w:rsid w:val="523208A0"/>
    <w:rsid w:val="523427CD"/>
    <w:rsid w:val="5237602E"/>
    <w:rsid w:val="5244074B"/>
    <w:rsid w:val="52597C2C"/>
    <w:rsid w:val="525A1239"/>
    <w:rsid w:val="526A7F2E"/>
    <w:rsid w:val="526F44F1"/>
    <w:rsid w:val="52727066"/>
    <w:rsid w:val="52774588"/>
    <w:rsid w:val="529325FA"/>
    <w:rsid w:val="52946FDD"/>
    <w:rsid w:val="52A11273"/>
    <w:rsid w:val="52B0193D"/>
    <w:rsid w:val="52C859AE"/>
    <w:rsid w:val="52D60249"/>
    <w:rsid w:val="52ED2B91"/>
    <w:rsid w:val="52EF07C8"/>
    <w:rsid w:val="52F53036"/>
    <w:rsid w:val="52F87A7C"/>
    <w:rsid w:val="53085054"/>
    <w:rsid w:val="53085E2B"/>
    <w:rsid w:val="53193986"/>
    <w:rsid w:val="531D5224"/>
    <w:rsid w:val="53343731"/>
    <w:rsid w:val="533A25C5"/>
    <w:rsid w:val="534034E3"/>
    <w:rsid w:val="534A2845"/>
    <w:rsid w:val="53543B8E"/>
    <w:rsid w:val="53783370"/>
    <w:rsid w:val="539317B6"/>
    <w:rsid w:val="53955A5C"/>
    <w:rsid w:val="53A77343"/>
    <w:rsid w:val="53B352D1"/>
    <w:rsid w:val="53B77678"/>
    <w:rsid w:val="53C30FA1"/>
    <w:rsid w:val="53C94501"/>
    <w:rsid w:val="53DC242E"/>
    <w:rsid w:val="53E2021C"/>
    <w:rsid w:val="53E421E6"/>
    <w:rsid w:val="53E75832"/>
    <w:rsid w:val="53E80518"/>
    <w:rsid w:val="53EA0E12"/>
    <w:rsid w:val="53FF2DB5"/>
    <w:rsid w:val="540033EB"/>
    <w:rsid w:val="54023858"/>
    <w:rsid w:val="54080A79"/>
    <w:rsid w:val="54093709"/>
    <w:rsid w:val="5415414D"/>
    <w:rsid w:val="541F5506"/>
    <w:rsid w:val="542333E7"/>
    <w:rsid w:val="54306C56"/>
    <w:rsid w:val="54420CBA"/>
    <w:rsid w:val="545A6004"/>
    <w:rsid w:val="546676EF"/>
    <w:rsid w:val="54754BEC"/>
    <w:rsid w:val="54824C97"/>
    <w:rsid w:val="54A02118"/>
    <w:rsid w:val="54A1664C"/>
    <w:rsid w:val="54A9774A"/>
    <w:rsid w:val="54B73456"/>
    <w:rsid w:val="54B90C5A"/>
    <w:rsid w:val="54BE47E5"/>
    <w:rsid w:val="54BF3E40"/>
    <w:rsid w:val="54C65448"/>
    <w:rsid w:val="54CF1736"/>
    <w:rsid w:val="54CF51E4"/>
    <w:rsid w:val="54E22245"/>
    <w:rsid w:val="54E57FC4"/>
    <w:rsid w:val="54F91B4A"/>
    <w:rsid w:val="55271E19"/>
    <w:rsid w:val="55300667"/>
    <w:rsid w:val="55361FEA"/>
    <w:rsid w:val="555E38D2"/>
    <w:rsid w:val="55621614"/>
    <w:rsid w:val="55633742"/>
    <w:rsid w:val="556B0455"/>
    <w:rsid w:val="557822F5"/>
    <w:rsid w:val="557C794A"/>
    <w:rsid w:val="559F2F10"/>
    <w:rsid w:val="55A03EEB"/>
    <w:rsid w:val="55C027DF"/>
    <w:rsid w:val="55C0633B"/>
    <w:rsid w:val="55C41B94"/>
    <w:rsid w:val="55D45BFA"/>
    <w:rsid w:val="55E0078B"/>
    <w:rsid w:val="55E02F80"/>
    <w:rsid w:val="55E12602"/>
    <w:rsid w:val="55EB5A20"/>
    <w:rsid w:val="55EE4705"/>
    <w:rsid w:val="55F04E72"/>
    <w:rsid w:val="55F52488"/>
    <w:rsid w:val="56065F92"/>
    <w:rsid w:val="56150435"/>
    <w:rsid w:val="56156687"/>
    <w:rsid w:val="56327239"/>
    <w:rsid w:val="56496330"/>
    <w:rsid w:val="564D1ECE"/>
    <w:rsid w:val="564F364A"/>
    <w:rsid w:val="56575280"/>
    <w:rsid w:val="565C068B"/>
    <w:rsid w:val="56692879"/>
    <w:rsid w:val="566D50E7"/>
    <w:rsid w:val="566E6FD7"/>
    <w:rsid w:val="567C04B4"/>
    <w:rsid w:val="567C3D09"/>
    <w:rsid w:val="567F7FA4"/>
    <w:rsid w:val="56890E23"/>
    <w:rsid w:val="56A30394"/>
    <w:rsid w:val="56AD2D63"/>
    <w:rsid w:val="56AD2FF2"/>
    <w:rsid w:val="56B7773E"/>
    <w:rsid w:val="56BC4D54"/>
    <w:rsid w:val="56C037CD"/>
    <w:rsid w:val="56E16A9F"/>
    <w:rsid w:val="56E60023"/>
    <w:rsid w:val="56E86954"/>
    <w:rsid w:val="56F31F09"/>
    <w:rsid w:val="571132F2"/>
    <w:rsid w:val="572118AF"/>
    <w:rsid w:val="57256D9D"/>
    <w:rsid w:val="572D5358"/>
    <w:rsid w:val="57544490"/>
    <w:rsid w:val="576A6355"/>
    <w:rsid w:val="577473DD"/>
    <w:rsid w:val="57831D16"/>
    <w:rsid w:val="578735B4"/>
    <w:rsid w:val="578C2978"/>
    <w:rsid w:val="579D4B86"/>
    <w:rsid w:val="57A71560"/>
    <w:rsid w:val="57AA7715"/>
    <w:rsid w:val="57AE6D93"/>
    <w:rsid w:val="57C54F7B"/>
    <w:rsid w:val="57C80BDD"/>
    <w:rsid w:val="57CF0AB7"/>
    <w:rsid w:val="57D0024D"/>
    <w:rsid w:val="57D518FF"/>
    <w:rsid w:val="57E31356"/>
    <w:rsid w:val="58095D77"/>
    <w:rsid w:val="581029BC"/>
    <w:rsid w:val="5815786C"/>
    <w:rsid w:val="58210B65"/>
    <w:rsid w:val="582E2D69"/>
    <w:rsid w:val="58382B00"/>
    <w:rsid w:val="583D61FB"/>
    <w:rsid w:val="584E703E"/>
    <w:rsid w:val="58592CC5"/>
    <w:rsid w:val="586A716D"/>
    <w:rsid w:val="58767E97"/>
    <w:rsid w:val="587753D7"/>
    <w:rsid w:val="588537E5"/>
    <w:rsid w:val="588673C8"/>
    <w:rsid w:val="588876BA"/>
    <w:rsid w:val="589715D5"/>
    <w:rsid w:val="589727AA"/>
    <w:rsid w:val="589917F1"/>
    <w:rsid w:val="589B5C98"/>
    <w:rsid w:val="589D7AB7"/>
    <w:rsid w:val="58C46142"/>
    <w:rsid w:val="58CE4170"/>
    <w:rsid w:val="58CE54EB"/>
    <w:rsid w:val="58D108FA"/>
    <w:rsid w:val="59133D07"/>
    <w:rsid w:val="59156F0C"/>
    <w:rsid w:val="59345076"/>
    <w:rsid w:val="593605ED"/>
    <w:rsid w:val="593D4BC8"/>
    <w:rsid w:val="594A6647"/>
    <w:rsid w:val="5952374E"/>
    <w:rsid w:val="595B4CF8"/>
    <w:rsid w:val="59614660"/>
    <w:rsid w:val="59684D1F"/>
    <w:rsid w:val="597C07CB"/>
    <w:rsid w:val="597E5526"/>
    <w:rsid w:val="599B59FD"/>
    <w:rsid w:val="59AA358A"/>
    <w:rsid w:val="59AC5554"/>
    <w:rsid w:val="59B2243E"/>
    <w:rsid w:val="59B64B9F"/>
    <w:rsid w:val="59D5488E"/>
    <w:rsid w:val="59EA1BD8"/>
    <w:rsid w:val="5A0F45A9"/>
    <w:rsid w:val="5A1D5B0A"/>
    <w:rsid w:val="5A385205"/>
    <w:rsid w:val="5A3966BC"/>
    <w:rsid w:val="5A3B0686"/>
    <w:rsid w:val="5A3B68D8"/>
    <w:rsid w:val="5A4763F8"/>
    <w:rsid w:val="5A523F47"/>
    <w:rsid w:val="5A5B4A5C"/>
    <w:rsid w:val="5A5E54C5"/>
    <w:rsid w:val="5A5F753A"/>
    <w:rsid w:val="5A6A0990"/>
    <w:rsid w:val="5A7033BC"/>
    <w:rsid w:val="5A742782"/>
    <w:rsid w:val="5A81078E"/>
    <w:rsid w:val="5A8644FD"/>
    <w:rsid w:val="5A8B33BB"/>
    <w:rsid w:val="5A9164F8"/>
    <w:rsid w:val="5A97304E"/>
    <w:rsid w:val="5A992425"/>
    <w:rsid w:val="5A993C31"/>
    <w:rsid w:val="5AA1278A"/>
    <w:rsid w:val="5AB945B4"/>
    <w:rsid w:val="5ACC7F63"/>
    <w:rsid w:val="5AD02DB8"/>
    <w:rsid w:val="5ADF54B5"/>
    <w:rsid w:val="5AE006A3"/>
    <w:rsid w:val="5AF55514"/>
    <w:rsid w:val="5AF5559E"/>
    <w:rsid w:val="5B005C58"/>
    <w:rsid w:val="5B112B8C"/>
    <w:rsid w:val="5B130721"/>
    <w:rsid w:val="5B130ECC"/>
    <w:rsid w:val="5B172EA1"/>
    <w:rsid w:val="5B332927"/>
    <w:rsid w:val="5B37709F"/>
    <w:rsid w:val="5B465534"/>
    <w:rsid w:val="5B4F43E9"/>
    <w:rsid w:val="5B51098F"/>
    <w:rsid w:val="5B7D1BF2"/>
    <w:rsid w:val="5B86131D"/>
    <w:rsid w:val="5B9242D5"/>
    <w:rsid w:val="5B982B76"/>
    <w:rsid w:val="5B9B762E"/>
    <w:rsid w:val="5BA53771"/>
    <w:rsid w:val="5BB12D6F"/>
    <w:rsid w:val="5BB20959"/>
    <w:rsid w:val="5BB3324B"/>
    <w:rsid w:val="5BC73EC9"/>
    <w:rsid w:val="5BE2525D"/>
    <w:rsid w:val="5BE25FE0"/>
    <w:rsid w:val="5BE76C56"/>
    <w:rsid w:val="5BF71706"/>
    <w:rsid w:val="5C0275DE"/>
    <w:rsid w:val="5C0F08F7"/>
    <w:rsid w:val="5C151F44"/>
    <w:rsid w:val="5C25339C"/>
    <w:rsid w:val="5C311D40"/>
    <w:rsid w:val="5C3422F3"/>
    <w:rsid w:val="5C381321"/>
    <w:rsid w:val="5C38161B"/>
    <w:rsid w:val="5C3F445D"/>
    <w:rsid w:val="5C425823"/>
    <w:rsid w:val="5C4A4BB0"/>
    <w:rsid w:val="5C567FB1"/>
    <w:rsid w:val="5C5B0B6B"/>
    <w:rsid w:val="5C732359"/>
    <w:rsid w:val="5C7C3948"/>
    <w:rsid w:val="5C7E485A"/>
    <w:rsid w:val="5C8434AD"/>
    <w:rsid w:val="5C885D49"/>
    <w:rsid w:val="5C9F773E"/>
    <w:rsid w:val="5CA403D8"/>
    <w:rsid w:val="5CA50038"/>
    <w:rsid w:val="5CA9559B"/>
    <w:rsid w:val="5CB0164B"/>
    <w:rsid w:val="5CC32A61"/>
    <w:rsid w:val="5CE56D08"/>
    <w:rsid w:val="5CFB42F6"/>
    <w:rsid w:val="5D0452BC"/>
    <w:rsid w:val="5D072AA1"/>
    <w:rsid w:val="5D2E6280"/>
    <w:rsid w:val="5D2F6DBC"/>
    <w:rsid w:val="5D493EC2"/>
    <w:rsid w:val="5D4E550A"/>
    <w:rsid w:val="5D5201C0"/>
    <w:rsid w:val="5D540349"/>
    <w:rsid w:val="5D687C74"/>
    <w:rsid w:val="5D727EE9"/>
    <w:rsid w:val="5D8D2FA6"/>
    <w:rsid w:val="5D9927F0"/>
    <w:rsid w:val="5DA81914"/>
    <w:rsid w:val="5DB60DF8"/>
    <w:rsid w:val="5DCF41F8"/>
    <w:rsid w:val="5DE51034"/>
    <w:rsid w:val="5DEA03F9"/>
    <w:rsid w:val="5DF43025"/>
    <w:rsid w:val="5E1C432A"/>
    <w:rsid w:val="5E1F1330"/>
    <w:rsid w:val="5E245632"/>
    <w:rsid w:val="5E2751A9"/>
    <w:rsid w:val="5E364E77"/>
    <w:rsid w:val="5E5341F0"/>
    <w:rsid w:val="5E5C6736"/>
    <w:rsid w:val="5E652175"/>
    <w:rsid w:val="5E6E48EE"/>
    <w:rsid w:val="5E852832"/>
    <w:rsid w:val="5E8A59E3"/>
    <w:rsid w:val="5E99558B"/>
    <w:rsid w:val="5EB10064"/>
    <w:rsid w:val="5EB173CA"/>
    <w:rsid w:val="5EB822A5"/>
    <w:rsid w:val="5EBA6211"/>
    <w:rsid w:val="5EBC1E39"/>
    <w:rsid w:val="5EC549C2"/>
    <w:rsid w:val="5ED024D1"/>
    <w:rsid w:val="5ED55D38"/>
    <w:rsid w:val="5EEA5826"/>
    <w:rsid w:val="5EFE7D98"/>
    <w:rsid w:val="5F200FF7"/>
    <w:rsid w:val="5F256F8C"/>
    <w:rsid w:val="5F351B48"/>
    <w:rsid w:val="5F35584E"/>
    <w:rsid w:val="5F4865FA"/>
    <w:rsid w:val="5F49114F"/>
    <w:rsid w:val="5F73152E"/>
    <w:rsid w:val="5F7563E8"/>
    <w:rsid w:val="5F7F2C10"/>
    <w:rsid w:val="5F934621"/>
    <w:rsid w:val="5F993E84"/>
    <w:rsid w:val="5F9B531C"/>
    <w:rsid w:val="5FA82000"/>
    <w:rsid w:val="5FDF4153"/>
    <w:rsid w:val="600A2FD4"/>
    <w:rsid w:val="600E0DE6"/>
    <w:rsid w:val="601A422B"/>
    <w:rsid w:val="601B5879"/>
    <w:rsid w:val="6042276E"/>
    <w:rsid w:val="6055139F"/>
    <w:rsid w:val="605D7D1D"/>
    <w:rsid w:val="60600767"/>
    <w:rsid w:val="608C1C3B"/>
    <w:rsid w:val="608C39E9"/>
    <w:rsid w:val="608F7035"/>
    <w:rsid w:val="609938A2"/>
    <w:rsid w:val="60AC5973"/>
    <w:rsid w:val="60B82434"/>
    <w:rsid w:val="60BB2D0B"/>
    <w:rsid w:val="60C73902"/>
    <w:rsid w:val="60FE2350"/>
    <w:rsid w:val="61001CE1"/>
    <w:rsid w:val="610E6807"/>
    <w:rsid w:val="61123835"/>
    <w:rsid w:val="611F5809"/>
    <w:rsid w:val="61212397"/>
    <w:rsid w:val="61212C82"/>
    <w:rsid w:val="61273712"/>
    <w:rsid w:val="612754C0"/>
    <w:rsid w:val="6129748A"/>
    <w:rsid w:val="612F57A4"/>
    <w:rsid w:val="61327869"/>
    <w:rsid w:val="613E7694"/>
    <w:rsid w:val="614153EF"/>
    <w:rsid w:val="614239B0"/>
    <w:rsid w:val="61477910"/>
    <w:rsid w:val="61484966"/>
    <w:rsid w:val="614D3B53"/>
    <w:rsid w:val="61542C58"/>
    <w:rsid w:val="6159292A"/>
    <w:rsid w:val="615A549E"/>
    <w:rsid w:val="617C0458"/>
    <w:rsid w:val="61880B4E"/>
    <w:rsid w:val="61897F29"/>
    <w:rsid w:val="618E72F9"/>
    <w:rsid w:val="61960072"/>
    <w:rsid w:val="61971C06"/>
    <w:rsid w:val="61A86601"/>
    <w:rsid w:val="61C5761B"/>
    <w:rsid w:val="61CB5DA3"/>
    <w:rsid w:val="61CB6793"/>
    <w:rsid w:val="61CE1DDF"/>
    <w:rsid w:val="620076BA"/>
    <w:rsid w:val="622163B3"/>
    <w:rsid w:val="62233ED9"/>
    <w:rsid w:val="622B7232"/>
    <w:rsid w:val="623261A6"/>
    <w:rsid w:val="62504D67"/>
    <w:rsid w:val="628111AB"/>
    <w:rsid w:val="6292105F"/>
    <w:rsid w:val="62970423"/>
    <w:rsid w:val="629A4E57"/>
    <w:rsid w:val="62A001E2"/>
    <w:rsid w:val="62AF66A8"/>
    <w:rsid w:val="62B425E2"/>
    <w:rsid w:val="62BC5860"/>
    <w:rsid w:val="62CB4344"/>
    <w:rsid w:val="62DA299F"/>
    <w:rsid w:val="62E775FD"/>
    <w:rsid w:val="630E5978"/>
    <w:rsid w:val="63100901"/>
    <w:rsid w:val="63186930"/>
    <w:rsid w:val="631C2552"/>
    <w:rsid w:val="63247F09"/>
    <w:rsid w:val="63317239"/>
    <w:rsid w:val="63381C06"/>
    <w:rsid w:val="633A307D"/>
    <w:rsid w:val="633D5090"/>
    <w:rsid w:val="63456F32"/>
    <w:rsid w:val="635307EE"/>
    <w:rsid w:val="6356208C"/>
    <w:rsid w:val="636C365E"/>
    <w:rsid w:val="63997535"/>
    <w:rsid w:val="639E0102"/>
    <w:rsid w:val="63A92B04"/>
    <w:rsid w:val="63DA1DD1"/>
    <w:rsid w:val="63E47CB4"/>
    <w:rsid w:val="63F41FD1"/>
    <w:rsid w:val="640D6BEF"/>
    <w:rsid w:val="64264155"/>
    <w:rsid w:val="642B176B"/>
    <w:rsid w:val="643238B5"/>
    <w:rsid w:val="64336224"/>
    <w:rsid w:val="644E4C00"/>
    <w:rsid w:val="645C380D"/>
    <w:rsid w:val="6477050C"/>
    <w:rsid w:val="649B244D"/>
    <w:rsid w:val="64A84B6A"/>
    <w:rsid w:val="64AE1328"/>
    <w:rsid w:val="64C03C61"/>
    <w:rsid w:val="64D22CE6"/>
    <w:rsid w:val="64D67929"/>
    <w:rsid w:val="64D75D04"/>
    <w:rsid w:val="64E24F28"/>
    <w:rsid w:val="64E518EF"/>
    <w:rsid w:val="64ED1F46"/>
    <w:rsid w:val="64F12F62"/>
    <w:rsid w:val="65051891"/>
    <w:rsid w:val="650B3AE3"/>
    <w:rsid w:val="652506C7"/>
    <w:rsid w:val="653A7EB8"/>
    <w:rsid w:val="65686A2F"/>
    <w:rsid w:val="658F46DE"/>
    <w:rsid w:val="65AC0FC6"/>
    <w:rsid w:val="65B243BC"/>
    <w:rsid w:val="65C020F6"/>
    <w:rsid w:val="65C14135"/>
    <w:rsid w:val="65C43C25"/>
    <w:rsid w:val="65D04378"/>
    <w:rsid w:val="65D10FD6"/>
    <w:rsid w:val="65E23A67"/>
    <w:rsid w:val="65E60D01"/>
    <w:rsid w:val="6603474E"/>
    <w:rsid w:val="660576BF"/>
    <w:rsid w:val="660A4E1D"/>
    <w:rsid w:val="66101084"/>
    <w:rsid w:val="66196B7D"/>
    <w:rsid w:val="66210E22"/>
    <w:rsid w:val="66236D43"/>
    <w:rsid w:val="66512558"/>
    <w:rsid w:val="66522FDF"/>
    <w:rsid w:val="666351EC"/>
    <w:rsid w:val="666D50D9"/>
    <w:rsid w:val="66846E4D"/>
    <w:rsid w:val="66855163"/>
    <w:rsid w:val="66A01F9C"/>
    <w:rsid w:val="66AA3E90"/>
    <w:rsid w:val="66AD6467"/>
    <w:rsid w:val="66E53E53"/>
    <w:rsid w:val="66E85245"/>
    <w:rsid w:val="66FA58C5"/>
    <w:rsid w:val="670544F5"/>
    <w:rsid w:val="6710696F"/>
    <w:rsid w:val="6711227C"/>
    <w:rsid w:val="67114C48"/>
    <w:rsid w:val="671D35ED"/>
    <w:rsid w:val="672415A1"/>
    <w:rsid w:val="67323605"/>
    <w:rsid w:val="67451811"/>
    <w:rsid w:val="674D7D2D"/>
    <w:rsid w:val="67511056"/>
    <w:rsid w:val="675406D3"/>
    <w:rsid w:val="677A4236"/>
    <w:rsid w:val="6784366C"/>
    <w:rsid w:val="67A243E1"/>
    <w:rsid w:val="67AC5DC9"/>
    <w:rsid w:val="67CB0BB4"/>
    <w:rsid w:val="67CE6F5C"/>
    <w:rsid w:val="67EB2484"/>
    <w:rsid w:val="67ED08C1"/>
    <w:rsid w:val="67F80097"/>
    <w:rsid w:val="680679A1"/>
    <w:rsid w:val="680D33C7"/>
    <w:rsid w:val="680D669A"/>
    <w:rsid w:val="681A7A75"/>
    <w:rsid w:val="68243EF4"/>
    <w:rsid w:val="6833299C"/>
    <w:rsid w:val="687D1CB4"/>
    <w:rsid w:val="687D20A5"/>
    <w:rsid w:val="687D7824"/>
    <w:rsid w:val="68841335"/>
    <w:rsid w:val="68945B31"/>
    <w:rsid w:val="68C63810"/>
    <w:rsid w:val="68D45F2D"/>
    <w:rsid w:val="68EF4B15"/>
    <w:rsid w:val="690600B1"/>
    <w:rsid w:val="69165E1C"/>
    <w:rsid w:val="691F6B73"/>
    <w:rsid w:val="69204C33"/>
    <w:rsid w:val="692740F9"/>
    <w:rsid w:val="692F7608"/>
    <w:rsid w:val="695332B5"/>
    <w:rsid w:val="69561038"/>
    <w:rsid w:val="696324F7"/>
    <w:rsid w:val="69643D3F"/>
    <w:rsid w:val="69657F03"/>
    <w:rsid w:val="69686A36"/>
    <w:rsid w:val="69707C16"/>
    <w:rsid w:val="6976035B"/>
    <w:rsid w:val="697E40EB"/>
    <w:rsid w:val="69845BA5"/>
    <w:rsid w:val="69AD4EE0"/>
    <w:rsid w:val="69CB37D4"/>
    <w:rsid w:val="69EC72A7"/>
    <w:rsid w:val="69F50851"/>
    <w:rsid w:val="6A226F89"/>
    <w:rsid w:val="6A334ED5"/>
    <w:rsid w:val="6A3672EB"/>
    <w:rsid w:val="6A3C72AF"/>
    <w:rsid w:val="6A5A06B4"/>
    <w:rsid w:val="6A5A6906"/>
    <w:rsid w:val="6A687275"/>
    <w:rsid w:val="6A8E1FE5"/>
    <w:rsid w:val="6A93228E"/>
    <w:rsid w:val="6A943783"/>
    <w:rsid w:val="6AA56BBD"/>
    <w:rsid w:val="6AAB05D3"/>
    <w:rsid w:val="6ABA1F2C"/>
    <w:rsid w:val="6AF11C0B"/>
    <w:rsid w:val="6AF47095"/>
    <w:rsid w:val="6B096312"/>
    <w:rsid w:val="6B170353"/>
    <w:rsid w:val="6B1B7332"/>
    <w:rsid w:val="6B2066D8"/>
    <w:rsid w:val="6B2111D2"/>
    <w:rsid w:val="6B3739CD"/>
    <w:rsid w:val="6B475596"/>
    <w:rsid w:val="6B4C17C5"/>
    <w:rsid w:val="6B52329D"/>
    <w:rsid w:val="6B5347CA"/>
    <w:rsid w:val="6B560E7C"/>
    <w:rsid w:val="6B5B5152"/>
    <w:rsid w:val="6B5F2FB4"/>
    <w:rsid w:val="6B835FAA"/>
    <w:rsid w:val="6B8F747E"/>
    <w:rsid w:val="6BAA3047"/>
    <w:rsid w:val="6BC12AD2"/>
    <w:rsid w:val="6BD84789"/>
    <w:rsid w:val="6BD907F4"/>
    <w:rsid w:val="6BE55A40"/>
    <w:rsid w:val="6BF40694"/>
    <w:rsid w:val="6C035832"/>
    <w:rsid w:val="6C071D51"/>
    <w:rsid w:val="6C2A7DFD"/>
    <w:rsid w:val="6C6D0A5E"/>
    <w:rsid w:val="6C83098C"/>
    <w:rsid w:val="6C9C4FB4"/>
    <w:rsid w:val="6CA9147F"/>
    <w:rsid w:val="6CAD5413"/>
    <w:rsid w:val="6CB115E8"/>
    <w:rsid w:val="6CB30550"/>
    <w:rsid w:val="6CB9545D"/>
    <w:rsid w:val="6CC73939"/>
    <w:rsid w:val="6CD54695"/>
    <w:rsid w:val="6CD70D52"/>
    <w:rsid w:val="6CDF2011"/>
    <w:rsid w:val="6CDF7F55"/>
    <w:rsid w:val="6CEA21C3"/>
    <w:rsid w:val="6D033285"/>
    <w:rsid w:val="6D052FC5"/>
    <w:rsid w:val="6D196605"/>
    <w:rsid w:val="6D2A6A64"/>
    <w:rsid w:val="6D673814"/>
    <w:rsid w:val="6D677D53"/>
    <w:rsid w:val="6D7101EF"/>
    <w:rsid w:val="6D855C03"/>
    <w:rsid w:val="6D896A6D"/>
    <w:rsid w:val="6D923894"/>
    <w:rsid w:val="6D9305D1"/>
    <w:rsid w:val="6D9B34BE"/>
    <w:rsid w:val="6DA93F4C"/>
    <w:rsid w:val="6DAF0996"/>
    <w:rsid w:val="6DB97DE8"/>
    <w:rsid w:val="6DBF4645"/>
    <w:rsid w:val="6DCE2805"/>
    <w:rsid w:val="6DCE2E15"/>
    <w:rsid w:val="6DE5196F"/>
    <w:rsid w:val="6DF75047"/>
    <w:rsid w:val="6E0342ED"/>
    <w:rsid w:val="6E1121F7"/>
    <w:rsid w:val="6E1C4535"/>
    <w:rsid w:val="6E26410F"/>
    <w:rsid w:val="6E3A0F28"/>
    <w:rsid w:val="6E3B6A4F"/>
    <w:rsid w:val="6E4F1074"/>
    <w:rsid w:val="6E521A8B"/>
    <w:rsid w:val="6E542D47"/>
    <w:rsid w:val="6E596649"/>
    <w:rsid w:val="6E5F5B86"/>
    <w:rsid w:val="6E641B01"/>
    <w:rsid w:val="6E790420"/>
    <w:rsid w:val="6E7B38D1"/>
    <w:rsid w:val="6E7C2A63"/>
    <w:rsid w:val="6E82526D"/>
    <w:rsid w:val="6E8A1346"/>
    <w:rsid w:val="6E9817AB"/>
    <w:rsid w:val="6E9906A1"/>
    <w:rsid w:val="6ECB7DD2"/>
    <w:rsid w:val="6ECF685A"/>
    <w:rsid w:val="6EE669BA"/>
    <w:rsid w:val="6EEB1010"/>
    <w:rsid w:val="6EFE2AB0"/>
    <w:rsid w:val="6EFF1C90"/>
    <w:rsid w:val="6F0532E4"/>
    <w:rsid w:val="6F0E7CBF"/>
    <w:rsid w:val="6F153052"/>
    <w:rsid w:val="6F310897"/>
    <w:rsid w:val="6F3516F0"/>
    <w:rsid w:val="6F3C7380"/>
    <w:rsid w:val="6F476549"/>
    <w:rsid w:val="6F561ED5"/>
    <w:rsid w:val="6F5D040A"/>
    <w:rsid w:val="6F650CE9"/>
    <w:rsid w:val="6F6974FE"/>
    <w:rsid w:val="6F6E666F"/>
    <w:rsid w:val="6F881053"/>
    <w:rsid w:val="6F936D70"/>
    <w:rsid w:val="6FA56875"/>
    <w:rsid w:val="6FA628D4"/>
    <w:rsid w:val="6FBE16E5"/>
    <w:rsid w:val="6FC3718A"/>
    <w:rsid w:val="6FC53D14"/>
    <w:rsid w:val="6FC97119"/>
    <w:rsid w:val="6FDC56DA"/>
    <w:rsid w:val="6FDD5985"/>
    <w:rsid w:val="6FE623E5"/>
    <w:rsid w:val="6FFF58F5"/>
    <w:rsid w:val="70046BA3"/>
    <w:rsid w:val="70074C3C"/>
    <w:rsid w:val="702C0561"/>
    <w:rsid w:val="702F610B"/>
    <w:rsid w:val="703E663D"/>
    <w:rsid w:val="704D2D93"/>
    <w:rsid w:val="70565C4B"/>
    <w:rsid w:val="70597E98"/>
    <w:rsid w:val="705D1AF0"/>
    <w:rsid w:val="70675718"/>
    <w:rsid w:val="706775F5"/>
    <w:rsid w:val="70730336"/>
    <w:rsid w:val="7079595D"/>
    <w:rsid w:val="707D6EAA"/>
    <w:rsid w:val="70871AD7"/>
    <w:rsid w:val="708B5A6B"/>
    <w:rsid w:val="70943D3A"/>
    <w:rsid w:val="70984A94"/>
    <w:rsid w:val="709A6127"/>
    <w:rsid w:val="70AB3B99"/>
    <w:rsid w:val="70AD6E5F"/>
    <w:rsid w:val="70B56B94"/>
    <w:rsid w:val="70C8281B"/>
    <w:rsid w:val="70D6480D"/>
    <w:rsid w:val="70FE1ED0"/>
    <w:rsid w:val="70FF3A81"/>
    <w:rsid w:val="710361E8"/>
    <w:rsid w:val="710B1C62"/>
    <w:rsid w:val="712D6B22"/>
    <w:rsid w:val="713C0123"/>
    <w:rsid w:val="71594229"/>
    <w:rsid w:val="716C313B"/>
    <w:rsid w:val="71744751"/>
    <w:rsid w:val="71834994"/>
    <w:rsid w:val="718A0C7D"/>
    <w:rsid w:val="71A776FA"/>
    <w:rsid w:val="71AA3CCF"/>
    <w:rsid w:val="71AD1A11"/>
    <w:rsid w:val="71CA79EE"/>
    <w:rsid w:val="71D4218F"/>
    <w:rsid w:val="71F31B1A"/>
    <w:rsid w:val="71F44E1B"/>
    <w:rsid w:val="71F712C5"/>
    <w:rsid w:val="71FB47DA"/>
    <w:rsid w:val="71FC622D"/>
    <w:rsid w:val="72200725"/>
    <w:rsid w:val="722E2B52"/>
    <w:rsid w:val="72392B3A"/>
    <w:rsid w:val="724E20C9"/>
    <w:rsid w:val="724F1E40"/>
    <w:rsid w:val="72506E64"/>
    <w:rsid w:val="72534367"/>
    <w:rsid w:val="728269FA"/>
    <w:rsid w:val="72A11576"/>
    <w:rsid w:val="72B62B48"/>
    <w:rsid w:val="72CB44A3"/>
    <w:rsid w:val="72D37256"/>
    <w:rsid w:val="72DA6836"/>
    <w:rsid w:val="72F40B8A"/>
    <w:rsid w:val="734802E3"/>
    <w:rsid w:val="735A0643"/>
    <w:rsid w:val="73676CFC"/>
    <w:rsid w:val="736810BE"/>
    <w:rsid w:val="737D1043"/>
    <w:rsid w:val="73805709"/>
    <w:rsid w:val="7383089D"/>
    <w:rsid w:val="73871311"/>
    <w:rsid w:val="73896D1C"/>
    <w:rsid w:val="73A2733D"/>
    <w:rsid w:val="73A330CC"/>
    <w:rsid w:val="73C47060"/>
    <w:rsid w:val="73CC7420"/>
    <w:rsid w:val="73CE5B32"/>
    <w:rsid w:val="73D12753"/>
    <w:rsid w:val="73F51035"/>
    <w:rsid w:val="73F76F74"/>
    <w:rsid w:val="7400407A"/>
    <w:rsid w:val="74035919"/>
    <w:rsid w:val="740873D3"/>
    <w:rsid w:val="7435241F"/>
    <w:rsid w:val="743856CB"/>
    <w:rsid w:val="745148D6"/>
    <w:rsid w:val="745D4C81"/>
    <w:rsid w:val="74681C20"/>
    <w:rsid w:val="74793E2D"/>
    <w:rsid w:val="74852ECC"/>
    <w:rsid w:val="74913DDA"/>
    <w:rsid w:val="749E5641"/>
    <w:rsid w:val="74B3158C"/>
    <w:rsid w:val="74B431ED"/>
    <w:rsid w:val="74BB2715"/>
    <w:rsid w:val="74BC2BBA"/>
    <w:rsid w:val="74C20DB3"/>
    <w:rsid w:val="74C94DB4"/>
    <w:rsid w:val="74CB4853"/>
    <w:rsid w:val="74DA0D6F"/>
    <w:rsid w:val="74DD260E"/>
    <w:rsid w:val="74DF5AC1"/>
    <w:rsid w:val="74E17D0A"/>
    <w:rsid w:val="74F02341"/>
    <w:rsid w:val="74F362ED"/>
    <w:rsid w:val="75005F3E"/>
    <w:rsid w:val="750E27C7"/>
    <w:rsid w:val="752B19CF"/>
    <w:rsid w:val="753661A0"/>
    <w:rsid w:val="75367054"/>
    <w:rsid w:val="75440B90"/>
    <w:rsid w:val="75487539"/>
    <w:rsid w:val="75614083"/>
    <w:rsid w:val="75840CDB"/>
    <w:rsid w:val="758B0100"/>
    <w:rsid w:val="759063C7"/>
    <w:rsid w:val="75AC7F1C"/>
    <w:rsid w:val="75B10B57"/>
    <w:rsid w:val="75B52B5D"/>
    <w:rsid w:val="75B650A4"/>
    <w:rsid w:val="75B85629"/>
    <w:rsid w:val="75C15A8B"/>
    <w:rsid w:val="75DF4BF8"/>
    <w:rsid w:val="75E00CD3"/>
    <w:rsid w:val="75F124BA"/>
    <w:rsid w:val="75FC4D15"/>
    <w:rsid w:val="76143E0D"/>
    <w:rsid w:val="7615375C"/>
    <w:rsid w:val="76181064"/>
    <w:rsid w:val="761F06A0"/>
    <w:rsid w:val="763B6DFE"/>
    <w:rsid w:val="764D3566"/>
    <w:rsid w:val="76500BBD"/>
    <w:rsid w:val="765C3C08"/>
    <w:rsid w:val="76621A1D"/>
    <w:rsid w:val="7665657A"/>
    <w:rsid w:val="768371E5"/>
    <w:rsid w:val="768F5B89"/>
    <w:rsid w:val="76970586"/>
    <w:rsid w:val="76A17440"/>
    <w:rsid w:val="76AC2E78"/>
    <w:rsid w:val="76AE0369"/>
    <w:rsid w:val="76C770D1"/>
    <w:rsid w:val="76E77774"/>
    <w:rsid w:val="76E80E08"/>
    <w:rsid w:val="76E97048"/>
    <w:rsid w:val="76F40DC6"/>
    <w:rsid w:val="770C14AD"/>
    <w:rsid w:val="770E6AAE"/>
    <w:rsid w:val="772616E6"/>
    <w:rsid w:val="77267949"/>
    <w:rsid w:val="77270BC0"/>
    <w:rsid w:val="772E1C57"/>
    <w:rsid w:val="772F41F0"/>
    <w:rsid w:val="7730111A"/>
    <w:rsid w:val="773012AE"/>
    <w:rsid w:val="773F135E"/>
    <w:rsid w:val="776073D2"/>
    <w:rsid w:val="776A3FFF"/>
    <w:rsid w:val="776B5CAF"/>
    <w:rsid w:val="777A2396"/>
    <w:rsid w:val="777A7E82"/>
    <w:rsid w:val="778116D7"/>
    <w:rsid w:val="77884AB3"/>
    <w:rsid w:val="77965323"/>
    <w:rsid w:val="779D6249"/>
    <w:rsid w:val="77B7489D"/>
    <w:rsid w:val="77C12E5F"/>
    <w:rsid w:val="77C90EA3"/>
    <w:rsid w:val="77DB2812"/>
    <w:rsid w:val="77E571CE"/>
    <w:rsid w:val="77F15D69"/>
    <w:rsid w:val="77F959B0"/>
    <w:rsid w:val="780600CD"/>
    <w:rsid w:val="780F20F6"/>
    <w:rsid w:val="78383A7A"/>
    <w:rsid w:val="78387924"/>
    <w:rsid w:val="78535B94"/>
    <w:rsid w:val="78563407"/>
    <w:rsid w:val="786022E2"/>
    <w:rsid w:val="78713799"/>
    <w:rsid w:val="78731C2D"/>
    <w:rsid w:val="787B4617"/>
    <w:rsid w:val="78857244"/>
    <w:rsid w:val="78986F77"/>
    <w:rsid w:val="789A4C11"/>
    <w:rsid w:val="789E20B4"/>
    <w:rsid w:val="78AD0549"/>
    <w:rsid w:val="78AE630B"/>
    <w:rsid w:val="78BB4A14"/>
    <w:rsid w:val="78BF0DE1"/>
    <w:rsid w:val="78C121E8"/>
    <w:rsid w:val="78ED23AE"/>
    <w:rsid w:val="78F7727A"/>
    <w:rsid w:val="790A567E"/>
    <w:rsid w:val="79202AC9"/>
    <w:rsid w:val="792E1F66"/>
    <w:rsid w:val="79464C25"/>
    <w:rsid w:val="794B1A7D"/>
    <w:rsid w:val="79653725"/>
    <w:rsid w:val="797A24EA"/>
    <w:rsid w:val="798017B9"/>
    <w:rsid w:val="798752BC"/>
    <w:rsid w:val="7993115E"/>
    <w:rsid w:val="79BC6C95"/>
    <w:rsid w:val="79CE0A31"/>
    <w:rsid w:val="79CE133C"/>
    <w:rsid w:val="79DB23A0"/>
    <w:rsid w:val="79E07239"/>
    <w:rsid w:val="79F9565F"/>
    <w:rsid w:val="7A081EDB"/>
    <w:rsid w:val="7A086852"/>
    <w:rsid w:val="7A1817D2"/>
    <w:rsid w:val="7A2126CF"/>
    <w:rsid w:val="7A5009DB"/>
    <w:rsid w:val="7A5031BA"/>
    <w:rsid w:val="7A56784C"/>
    <w:rsid w:val="7A6B4B71"/>
    <w:rsid w:val="7A7632E8"/>
    <w:rsid w:val="7A763B8C"/>
    <w:rsid w:val="7A7D43B5"/>
    <w:rsid w:val="7A864FAB"/>
    <w:rsid w:val="7AB05926"/>
    <w:rsid w:val="7AC46293"/>
    <w:rsid w:val="7ACA0151"/>
    <w:rsid w:val="7ACA49F7"/>
    <w:rsid w:val="7AD1375B"/>
    <w:rsid w:val="7AD85D51"/>
    <w:rsid w:val="7AD95625"/>
    <w:rsid w:val="7ADB139D"/>
    <w:rsid w:val="7ADB7CAD"/>
    <w:rsid w:val="7ADC27A3"/>
    <w:rsid w:val="7ADD3CE5"/>
    <w:rsid w:val="7AFF45BF"/>
    <w:rsid w:val="7B0326A2"/>
    <w:rsid w:val="7B0F44FC"/>
    <w:rsid w:val="7B1E5BF5"/>
    <w:rsid w:val="7B22521E"/>
    <w:rsid w:val="7B2965AD"/>
    <w:rsid w:val="7B594EDD"/>
    <w:rsid w:val="7B5A4576"/>
    <w:rsid w:val="7B5F362C"/>
    <w:rsid w:val="7B650B68"/>
    <w:rsid w:val="7B830109"/>
    <w:rsid w:val="7B8C2698"/>
    <w:rsid w:val="7B8E6410"/>
    <w:rsid w:val="7BA7127F"/>
    <w:rsid w:val="7BB94FD6"/>
    <w:rsid w:val="7BBF0CBF"/>
    <w:rsid w:val="7BCC6F38"/>
    <w:rsid w:val="7BF22B43"/>
    <w:rsid w:val="7BFB0F2E"/>
    <w:rsid w:val="7BFF10BB"/>
    <w:rsid w:val="7C1D76DF"/>
    <w:rsid w:val="7C1F52BA"/>
    <w:rsid w:val="7C2323BB"/>
    <w:rsid w:val="7C30277A"/>
    <w:rsid w:val="7C367487"/>
    <w:rsid w:val="7C4E5209"/>
    <w:rsid w:val="7C710120"/>
    <w:rsid w:val="7C730CD3"/>
    <w:rsid w:val="7C741AA9"/>
    <w:rsid w:val="7C81067A"/>
    <w:rsid w:val="7C824625"/>
    <w:rsid w:val="7C851A7B"/>
    <w:rsid w:val="7C887303"/>
    <w:rsid w:val="7C8E7338"/>
    <w:rsid w:val="7C9A33B9"/>
    <w:rsid w:val="7C9C234A"/>
    <w:rsid w:val="7CA0289E"/>
    <w:rsid w:val="7CA73C2D"/>
    <w:rsid w:val="7CBA1883"/>
    <w:rsid w:val="7CBE2A52"/>
    <w:rsid w:val="7CC017BB"/>
    <w:rsid w:val="7CC06294"/>
    <w:rsid w:val="7CEF1130"/>
    <w:rsid w:val="7CF66C05"/>
    <w:rsid w:val="7D034BDB"/>
    <w:rsid w:val="7D066E0B"/>
    <w:rsid w:val="7D0D15B6"/>
    <w:rsid w:val="7D1C39A5"/>
    <w:rsid w:val="7D2863F0"/>
    <w:rsid w:val="7D2E0395"/>
    <w:rsid w:val="7D324825"/>
    <w:rsid w:val="7D332A62"/>
    <w:rsid w:val="7D363315"/>
    <w:rsid w:val="7D3E6802"/>
    <w:rsid w:val="7D492D50"/>
    <w:rsid w:val="7D4C20DE"/>
    <w:rsid w:val="7D53162A"/>
    <w:rsid w:val="7D567401"/>
    <w:rsid w:val="7D652264"/>
    <w:rsid w:val="7D845C65"/>
    <w:rsid w:val="7DA649FB"/>
    <w:rsid w:val="7DC30948"/>
    <w:rsid w:val="7DC76560"/>
    <w:rsid w:val="7DDD4162"/>
    <w:rsid w:val="7DF64E2A"/>
    <w:rsid w:val="7DF92684"/>
    <w:rsid w:val="7E094473"/>
    <w:rsid w:val="7E0E13CA"/>
    <w:rsid w:val="7E1111DB"/>
    <w:rsid w:val="7E193040"/>
    <w:rsid w:val="7E220112"/>
    <w:rsid w:val="7E301A00"/>
    <w:rsid w:val="7E364C80"/>
    <w:rsid w:val="7E467EAD"/>
    <w:rsid w:val="7E7801DA"/>
    <w:rsid w:val="7E795155"/>
    <w:rsid w:val="7E8458A8"/>
    <w:rsid w:val="7E954A31"/>
    <w:rsid w:val="7EB55306"/>
    <w:rsid w:val="7EBE068F"/>
    <w:rsid w:val="7EC01857"/>
    <w:rsid w:val="7ECD4547"/>
    <w:rsid w:val="7EE2038E"/>
    <w:rsid w:val="7EE8052D"/>
    <w:rsid w:val="7F037115"/>
    <w:rsid w:val="7F1B26B0"/>
    <w:rsid w:val="7F211349"/>
    <w:rsid w:val="7F244E98"/>
    <w:rsid w:val="7F453289"/>
    <w:rsid w:val="7F490153"/>
    <w:rsid w:val="7F604567"/>
    <w:rsid w:val="7F634984"/>
    <w:rsid w:val="7F6F749A"/>
    <w:rsid w:val="7F853FCE"/>
    <w:rsid w:val="7F8813C8"/>
    <w:rsid w:val="7F9B692B"/>
    <w:rsid w:val="7FBB179D"/>
    <w:rsid w:val="7FC37EC9"/>
    <w:rsid w:val="7FCC7507"/>
    <w:rsid w:val="7FD36563"/>
    <w:rsid w:val="7FE24F7C"/>
    <w:rsid w:val="7FF32CE5"/>
    <w:rsid w:val="7FFA22C6"/>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qFormat="1" w:uiPriority="39"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qFormat="1"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qFormat="1" w:unhideWhenUsed="0" w:uiPriority="99"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qFormat="1"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420" w:firstLineChars="200"/>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99"/>
    <w:pPr>
      <w:keepNext/>
      <w:overflowPunct w:val="0"/>
      <w:snapToGrid w:val="0"/>
      <w:spacing w:line="240" w:lineRule="auto"/>
      <w:ind w:left="0" w:firstLine="0" w:firstLineChars="0"/>
      <w:jc w:val="center"/>
      <w:outlineLvl w:val="0"/>
    </w:pPr>
    <w:rPr>
      <w:rFonts w:eastAsia="黑体"/>
      <w:bCs/>
      <w:color w:val="000000"/>
      <w:kern w:val="44"/>
      <w:sz w:val="30"/>
      <w:szCs w:val="30"/>
    </w:rPr>
  </w:style>
  <w:style w:type="paragraph" w:styleId="3">
    <w:name w:val="heading 2"/>
    <w:basedOn w:val="1"/>
    <w:next w:val="1"/>
    <w:qFormat/>
    <w:uiPriority w:val="9"/>
    <w:pPr>
      <w:spacing w:line="440" w:lineRule="exact"/>
      <w:jc w:val="both"/>
      <w:outlineLvl w:val="1"/>
    </w:pPr>
    <w:rPr>
      <w:rFonts w:ascii="Times New Roman" w:hAnsi="Times New Roman" w:eastAsia="宋体" w:cs="Times New Roman"/>
      <w:b/>
      <w:bCs/>
      <w:sz w:val="24"/>
      <w:szCs w:val="32"/>
      <w:lang w:val="en-US" w:eastAsia="zh-CN" w:bidi="ar-SA"/>
    </w:rPr>
  </w:style>
  <w:style w:type="paragraph" w:styleId="4">
    <w:name w:val="heading 3"/>
    <w:basedOn w:val="1"/>
    <w:next w:val="1"/>
    <w:link w:val="43"/>
    <w:qFormat/>
    <w:uiPriority w:val="9"/>
    <w:pPr>
      <w:keepNext/>
      <w:keepLines/>
      <w:spacing w:before="260" w:after="260" w:line="416" w:lineRule="auto"/>
      <w:outlineLvl w:val="2"/>
    </w:pPr>
    <w:rPr>
      <w:b/>
      <w:bCs/>
      <w:sz w:val="32"/>
      <w:szCs w:val="32"/>
    </w:rPr>
  </w:style>
  <w:style w:type="paragraph" w:styleId="5">
    <w:name w:val="heading 4"/>
    <w:basedOn w:val="1"/>
    <w:next w:val="1"/>
    <w:qFormat/>
    <w:uiPriority w:val="9"/>
    <w:pPr>
      <w:keepNext/>
      <w:keepLines/>
      <w:spacing w:before="280" w:after="290" w:line="376" w:lineRule="auto"/>
      <w:outlineLvl w:val="3"/>
    </w:pPr>
    <w:rPr>
      <w:rFonts w:ascii="Cambria" w:hAnsi="Cambria" w:eastAsia="宋体" w:cs="Times New Roman"/>
      <w:b/>
      <w:bCs/>
      <w:sz w:val="28"/>
      <w:szCs w:val="28"/>
    </w:rPr>
  </w:style>
  <w:style w:type="paragraph" w:styleId="6">
    <w:name w:val="heading 5"/>
    <w:basedOn w:val="1"/>
    <w:next w:val="1"/>
    <w:qFormat/>
    <w:uiPriority w:val="9"/>
    <w:pPr>
      <w:keepNext/>
      <w:keepLines/>
      <w:spacing w:before="280" w:after="290" w:line="376" w:lineRule="auto"/>
      <w:outlineLvl w:val="4"/>
    </w:pPr>
    <w:rPr>
      <w:b/>
      <w:bCs/>
      <w:sz w:val="28"/>
      <w:szCs w:val="28"/>
    </w:rPr>
  </w:style>
  <w:style w:type="character" w:default="1" w:styleId="34">
    <w:name w:val="Default Paragraph Font"/>
    <w:qFormat/>
    <w:uiPriority w:val="0"/>
    <w:rPr>
      <w:rFonts w:ascii="Times New Roman" w:hAnsi="Times New Roman" w:eastAsia="宋体"/>
      <w:sz w:val="24"/>
      <w:szCs w:val="24"/>
    </w:rPr>
  </w:style>
  <w:style w:type="table" w:default="1" w:styleId="32">
    <w:name w:val="Normal Table"/>
    <w:semiHidden/>
    <w:qFormat/>
    <w:uiPriority w:val="0"/>
    <w:tblPr>
      <w:tblCellMar>
        <w:top w:w="0" w:type="dxa"/>
        <w:left w:w="108" w:type="dxa"/>
        <w:bottom w:w="0" w:type="dxa"/>
        <w:right w:w="108" w:type="dxa"/>
      </w:tblCellMar>
    </w:tblPr>
  </w:style>
  <w:style w:type="paragraph" w:styleId="7">
    <w:name w:val="List 3"/>
    <w:basedOn w:val="1"/>
    <w:next w:val="1"/>
    <w:qFormat/>
    <w:uiPriority w:val="99"/>
    <w:pPr>
      <w:autoSpaceDE w:val="0"/>
      <w:autoSpaceDN w:val="0"/>
      <w:adjustRightInd w:val="0"/>
      <w:spacing w:line="288" w:lineRule="auto"/>
      <w:ind w:left="1260" w:hanging="420"/>
      <w:jc w:val="left"/>
      <w:textAlignment w:val="baseline"/>
    </w:pPr>
    <w:rPr>
      <w:kern w:val="0"/>
    </w:rPr>
  </w:style>
  <w:style w:type="paragraph" w:styleId="8">
    <w:name w:val="toc 7"/>
    <w:basedOn w:val="1"/>
    <w:next w:val="1"/>
    <w:unhideWhenUsed/>
    <w:qFormat/>
    <w:uiPriority w:val="39"/>
    <w:pPr>
      <w:spacing w:line="240" w:lineRule="auto"/>
      <w:ind w:left="0" w:firstLine="0" w:firstLineChars="0"/>
      <w:jc w:val="center"/>
    </w:pPr>
    <w:rPr>
      <w:szCs w:val="21"/>
    </w:rPr>
  </w:style>
  <w:style w:type="paragraph" w:styleId="9">
    <w:name w:val="Note Heading"/>
    <w:basedOn w:val="1"/>
    <w:next w:val="1"/>
    <w:qFormat/>
    <w:uiPriority w:val="0"/>
    <w:pPr>
      <w:spacing w:beforeLines="0" w:afterLines="0" w:line="240" w:lineRule="auto"/>
      <w:ind w:firstLine="0" w:firstLineChars="0"/>
      <w:jc w:val="center"/>
    </w:pPr>
    <w:rPr>
      <w:b/>
      <w:kern w:val="0"/>
      <w:sz w:val="21"/>
      <w:szCs w:val="21"/>
    </w:rPr>
  </w:style>
  <w:style w:type="paragraph" w:styleId="10">
    <w:name w:val="Normal Indent"/>
    <w:basedOn w:val="1"/>
    <w:next w:val="1"/>
    <w:qFormat/>
    <w:uiPriority w:val="0"/>
    <w:pPr>
      <w:ind w:firstLine="420" w:firstLineChars="200"/>
    </w:pPr>
  </w:style>
  <w:style w:type="paragraph" w:styleId="11">
    <w:name w:val="caption"/>
    <w:basedOn w:val="1"/>
    <w:next w:val="1"/>
    <w:qFormat/>
    <w:uiPriority w:val="0"/>
    <w:pPr>
      <w:adjustRightInd w:val="0"/>
      <w:snapToGrid w:val="0"/>
      <w:spacing w:line="360" w:lineRule="auto"/>
      <w:jc w:val="left"/>
    </w:pPr>
    <w:rPr>
      <w:rFonts w:eastAsia="黑体"/>
      <w:sz w:val="24"/>
      <w:szCs w:val="20"/>
    </w:rPr>
  </w:style>
  <w:style w:type="paragraph" w:styleId="12">
    <w:name w:val="annotation text"/>
    <w:basedOn w:val="1"/>
    <w:link w:val="44"/>
    <w:qFormat/>
    <w:uiPriority w:val="0"/>
    <w:pPr>
      <w:jc w:val="left"/>
    </w:pPr>
  </w:style>
  <w:style w:type="paragraph" w:styleId="13">
    <w:name w:val="Body Text"/>
    <w:basedOn w:val="1"/>
    <w:next w:val="14"/>
    <w:qFormat/>
    <w:uiPriority w:val="1"/>
    <w:pPr>
      <w:spacing w:line="360" w:lineRule="auto"/>
      <w:ind w:firstLine="480" w:firstLineChars="200"/>
      <w:jc w:val="both"/>
    </w:pPr>
    <w:rPr>
      <w:szCs w:val="21"/>
    </w:rPr>
  </w:style>
  <w:style w:type="paragraph" w:customStyle="1" w:styleId="14">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新宋体-18030" w:hAnsi="新宋体-18030" w:eastAsia="新宋体-18030" w:cs="新宋体-18030"/>
      <w:kern w:val="0"/>
    </w:rPr>
  </w:style>
  <w:style w:type="paragraph" w:styleId="15">
    <w:name w:val="Body Text Indent"/>
    <w:basedOn w:val="1"/>
    <w:next w:val="16"/>
    <w:qFormat/>
    <w:uiPriority w:val="0"/>
    <w:pPr>
      <w:spacing w:after="120"/>
      <w:ind w:left="420" w:leftChars="200"/>
    </w:pPr>
    <w:rPr>
      <w:kern w:val="0"/>
      <w:sz w:val="24"/>
      <w:szCs w:val="20"/>
    </w:rPr>
  </w:style>
  <w:style w:type="paragraph" w:styleId="16">
    <w:name w:val="Body Text First Indent 2"/>
    <w:basedOn w:val="15"/>
    <w:next w:val="1"/>
    <w:unhideWhenUsed/>
    <w:qFormat/>
    <w:uiPriority w:val="99"/>
    <w:pPr>
      <w:spacing w:before="100" w:beforeAutospacing="1"/>
      <w:ind w:firstLine="420" w:firstLineChars="200"/>
    </w:pPr>
  </w:style>
  <w:style w:type="paragraph" w:styleId="17">
    <w:name w:val="Plain Text"/>
    <w:basedOn w:val="1"/>
    <w:next w:val="1"/>
    <w:qFormat/>
    <w:uiPriority w:val="0"/>
    <w:rPr>
      <w:rFonts w:ascii="宋体" w:hAnsi="Courier New"/>
      <w:szCs w:val="20"/>
    </w:rPr>
  </w:style>
  <w:style w:type="paragraph" w:styleId="18">
    <w:name w:val="List Bullet 5"/>
    <w:basedOn w:val="1"/>
    <w:qFormat/>
    <w:uiPriority w:val="0"/>
    <w:pPr>
      <w:numPr>
        <w:ilvl w:val="0"/>
        <w:numId w:val="1"/>
      </w:numPr>
    </w:pPr>
  </w:style>
  <w:style w:type="paragraph" w:styleId="19">
    <w:name w:val="Body Text Indent 2"/>
    <w:basedOn w:val="1"/>
    <w:next w:val="1"/>
    <w:qFormat/>
    <w:uiPriority w:val="0"/>
    <w:pPr>
      <w:spacing w:line="360" w:lineRule="exact"/>
      <w:ind w:firstLine="438" w:firstLineChars="200"/>
    </w:pPr>
    <w:rPr>
      <w:rFonts w:ascii="宋体" w:hAnsi="宋体"/>
      <w:bCs/>
      <w:color w:val="000000"/>
      <w:sz w:val="24"/>
    </w:rPr>
  </w:style>
  <w:style w:type="paragraph" w:styleId="20">
    <w:name w:val="Balloon Text"/>
    <w:basedOn w:val="1"/>
    <w:link w:val="45"/>
    <w:qFormat/>
    <w:uiPriority w:val="0"/>
    <w:pPr>
      <w:spacing w:line="240" w:lineRule="auto"/>
    </w:pPr>
    <w:rPr>
      <w:sz w:val="18"/>
      <w:szCs w:val="18"/>
    </w:rPr>
  </w:style>
  <w:style w:type="paragraph" w:styleId="21">
    <w:name w:val="footer"/>
    <w:basedOn w:val="1"/>
    <w:next w:val="22"/>
    <w:qFormat/>
    <w:uiPriority w:val="0"/>
    <w:pPr>
      <w:tabs>
        <w:tab w:val="center" w:pos="4153"/>
        <w:tab w:val="right" w:pos="8306"/>
      </w:tabs>
      <w:snapToGrid w:val="0"/>
      <w:jc w:val="left"/>
    </w:pPr>
    <w:rPr>
      <w:sz w:val="18"/>
    </w:rPr>
  </w:style>
  <w:style w:type="paragraph" w:styleId="22">
    <w:name w:val="Normal (Web)"/>
    <w:basedOn w:val="1"/>
    <w:next w:val="23"/>
    <w:qFormat/>
    <w:uiPriority w:val="0"/>
    <w:pPr>
      <w:spacing w:before="100" w:beforeAutospacing="1" w:after="100" w:afterAutospacing="1"/>
      <w:ind w:left="0" w:right="0"/>
      <w:jc w:val="left"/>
    </w:pPr>
    <w:rPr>
      <w:kern w:val="0"/>
      <w:sz w:val="24"/>
      <w:lang w:val="en-US" w:eastAsia="zh-CN" w:bidi="ar"/>
    </w:rPr>
  </w:style>
  <w:style w:type="paragraph" w:customStyle="1" w:styleId="23">
    <w:name w:val="toc 84"/>
    <w:next w:val="1"/>
    <w:qFormat/>
    <w:uiPriority w:val="0"/>
    <w:pPr>
      <w:wordWrap w:val="0"/>
      <w:ind w:left="2975"/>
      <w:jc w:val="both"/>
    </w:pPr>
    <w:rPr>
      <w:rFonts w:ascii="Calibri" w:hAnsi="Calibri" w:eastAsia="宋体" w:cs="Times New Roman"/>
      <w:sz w:val="21"/>
      <w:szCs w:val="22"/>
      <w:lang w:val="en-US" w:eastAsia="zh-CN" w:bidi="ar-SA"/>
    </w:rPr>
  </w:style>
  <w:style w:type="paragraph" w:styleId="24">
    <w:name w:val="envelope return"/>
    <w:basedOn w:val="1"/>
    <w:qFormat/>
    <w:uiPriority w:val="0"/>
    <w:pPr>
      <w:widowControl/>
      <w:adjustRightInd/>
      <w:spacing w:beforeLines="50" w:afterLines="50"/>
      <w:ind w:firstLine="200"/>
      <w:jc w:val="both"/>
    </w:pPr>
    <w:rPr>
      <w:rFonts w:ascii="Arial" w:hAnsi="Arial" w:cs="Arial"/>
      <w:szCs w:val="24"/>
    </w:rPr>
  </w:style>
  <w:style w:type="paragraph" w:styleId="25">
    <w:name w:val="header"/>
    <w:basedOn w:val="1"/>
    <w:next w:val="26"/>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26">
    <w:name w:val="样式5"/>
    <w:basedOn w:val="10"/>
    <w:qFormat/>
    <w:uiPriority w:val="0"/>
    <w:pPr>
      <w:snapToGrid w:val="0"/>
      <w:spacing w:line="360" w:lineRule="auto"/>
      <w:ind w:firstLine="510"/>
    </w:pPr>
    <w:rPr>
      <w:sz w:val="24"/>
    </w:rPr>
  </w:style>
  <w:style w:type="paragraph" w:styleId="27">
    <w:name w:val="toc 1"/>
    <w:basedOn w:val="1"/>
    <w:next w:val="1"/>
    <w:qFormat/>
    <w:uiPriority w:val="0"/>
  </w:style>
  <w:style w:type="paragraph" w:styleId="28">
    <w:name w:val="List"/>
    <w:basedOn w:val="1"/>
    <w:next w:val="1"/>
    <w:qFormat/>
    <w:uiPriority w:val="0"/>
    <w:pPr>
      <w:spacing w:line="320" w:lineRule="exact"/>
      <w:jc w:val="center"/>
    </w:pPr>
    <w:rPr>
      <w:sz w:val="22"/>
    </w:rPr>
  </w:style>
  <w:style w:type="paragraph" w:styleId="29">
    <w:name w:val="table of figures"/>
    <w:basedOn w:val="1"/>
    <w:next w:val="1"/>
    <w:qFormat/>
    <w:uiPriority w:val="0"/>
    <w:pPr>
      <w:ind w:left="200" w:leftChars="200" w:hanging="200" w:hangingChars="200"/>
    </w:pPr>
    <w:rPr>
      <w:szCs w:val="21"/>
    </w:rPr>
  </w:style>
  <w:style w:type="paragraph" w:styleId="30">
    <w:name w:val="annotation subject"/>
    <w:basedOn w:val="12"/>
    <w:next w:val="12"/>
    <w:link w:val="46"/>
    <w:qFormat/>
    <w:uiPriority w:val="0"/>
    <w:rPr>
      <w:b/>
      <w:bCs/>
    </w:rPr>
  </w:style>
  <w:style w:type="paragraph" w:styleId="31">
    <w:name w:val="Body Text First Indent"/>
    <w:basedOn w:val="13"/>
    <w:next w:val="1"/>
    <w:qFormat/>
    <w:uiPriority w:val="0"/>
    <w:pPr>
      <w:adjustRightInd/>
      <w:spacing w:line="240" w:lineRule="auto"/>
      <w:ind w:firstLine="420" w:firstLineChars="100"/>
      <w:textAlignment w:val="auto"/>
    </w:pPr>
    <w:rPr>
      <w:kern w:val="2"/>
      <w:szCs w:val="24"/>
    </w:r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Emphasis"/>
    <w:qFormat/>
    <w:uiPriority w:val="0"/>
    <w:rPr>
      <w:i/>
    </w:rPr>
  </w:style>
  <w:style w:type="character" w:styleId="37">
    <w:name w:val="Hyperlink"/>
    <w:qFormat/>
    <w:uiPriority w:val="0"/>
    <w:rPr>
      <w:color w:val="0000FF"/>
      <w:u w:val="single"/>
    </w:rPr>
  </w:style>
  <w:style w:type="character" w:styleId="38">
    <w:name w:val="annotation reference"/>
    <w:semiHidden/>
    <w:qFormat/>
    <w:uiPriority w:val="0"/>
    <w:rPr>
      <w:sz w:val="21"/>
    </w:rPr>
  </w:style>
  <w:style w:type="paragraph" w:customStyle="1" w:styleId="39">
    <w:name w:val="Default"/>
    <w:basedOn w:val="40"/>
    <w:next w:val="41"/>
    <w:unhideWhenUsed/>
    <w:qFormat/>
    <w:uiPriority w:val="99"/>
    <w:pPr>
      <w:widowControl w:val="0"/>
      <w:autoSpaceDE w:val="0"/>
      <w:autoSpaceDN w:val="0"/>
      <w:adjustRightInd w:val="0"/>
    </w:pPr>
    <w:rPr>
      <w:rFonts w:hint="eastAsia" w:ascii="黑体" w:hAnsi="黑体" w:eastAsia="黑体" w:cs="Times New Roman"/>
      <w:color w:val="000000"/>
      <w:sz w:val="24"/>
      <w:szCs w:val="22"/>
      <w:lang w:val="en-US" w:eastAsia="zh-CN" w:bidi="ar-SA"/>
    </w:rPr>
  </w:style>
  <w:style w:type="paragraph" w:customStyle="1" w:styleId="40">
    <w:name w:val="纯文本1"/>
    <w:basedOn w:val="1"/>
    <w:next w:val="1"/>
    <w:qFormat/>
    <w:uiPriority w:val="0"/>
    <w:pPr>
      <w:adjustRightInd w:val="0"/>
    </w:pPr>
    <w:rPr>
      <w:rFonts w:ascii="宋体" w:hAnsi="Courier New"/>
    </w:rPr>
  </w:style>
  <w:style w:type="paragraph" w:customStyle="1" w:styleId="41">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42">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character" w:customStyle="1" w:styleId="43">
    <w:name w:val="标题 3 Char"/>
    <w:link w:val="4"/>
    <w:qFormat/>
    <w:uiPriority w:val="9"/>
    <w:rPr>
      <w:b/>
      <w:bCs/>
      <w:sz w:val="32"/>
      <w:szCs w:val="32"/>
    </w:rPr>
  </w:style>
  <w:style w:type="character" w:customStyle="1" w:styleId="44">
    <w:name w:val="批注文字 Char"/>
    <w:link w:val="12"/>
    <w:qFormat/>
    <w:uiPriority w:val="0"/>
    <w:rPr>
      <w:rFonts w:ascii="Times New Roman" w:hAnsi="Times New Roman" w:eastAsia="宋体"/>
      <w:kern w:val="2"/>
      <w:sz w:val="24"/>
      <w:szCs w:val="24"/>
    </w:rPr>
  </w:style>
  <w:style w:type="character" w:customStyle="1" w:styleId="45">
    <w:name w:val="批注框文本 Char"/>
    <w:link w:val="20"/>
    <w:qFormat/>
    <w:uiPriority w:val="0"/>
    <w:rPr>
      <w:rFonts w:ascii="Times New Roman" w:hAnsi="Times New Roman" w:eastAsia="宋体"/>
      <w:kern w:val="2"/>
      <w:sz w:val="18"/>
      <w:szCs w:val="18"/>
    </w:rPr>
  </w:style>
  <w:style w:type="character" w:customStyle="1" w:styleId="46">
    <w:name w:val="批注主题 Char"/>
    <w:link w:val="30"/>
    <w:qFormat/>
    <w:uiPriority w:val="0"/>
    <w:rPr>
      <w:rFonts w:ascii="Times New Roman" w:hAnsi="Times New Roman" w:eastAsia="宋体"/>
      <w:b/>
      <w:bCs/>
      <w:kern w:val="2"/>
      <w:sz w:val="24"/>
      <w:szCs w:val="24"/>
    </w:rPr>
  </w:style>
  <w:style w:type="paragraph" w:customStyle="1" w:styleId="47">
    <w:name w:val="A正文"/>
    <w:basedOn w:val="1"/>
    <w:qFormat/>
    <w:uiPriority w:val="0"/>
    <w:pPr>
      <w:spacing w:line="360" w:lineRule="auto"/>
      <w:ind w:firstLine="480" w:firstLineChars="200"/>
      <w:textAlignment w:val="center"/>
    </w:pPr>
    <w:rPr>
      <w:rFonts w:ascii="Times New Roman" w:hAnsi="Times New Roman" w:eastAsia="宋体" w:cs="宋体"/>
      <w:color w:val="000000"/>
      <w:sz w:val="24"/>
      <w:lang w:val="zh-CN"/>
    </w:rPr>
  </w:style>
  <w:style w:type="paragraph" w:customStyle="1" w:styleId="48">
    <w:name w:val="正本"/>
    <w:basedOn w:val="1"/>
    <w:qFormat/>
    <w:uiPriority w:val="0"/>
    <w:pPr>
      <w:adjustRightInd w:val="0"/>
      <w:snapToGrid w:val="0"/>
      <w:spacing w:line="360" w:lineRule="auto"/>
      <w:ind w:firstLine="200" w:firstLineChars="200"/>
    </w:pPr>
    <w:rPr>
      <w:rFonts w:ascii="宋体" w:eastAsia="宋体"/>
      <w:kern w:val="2"/>
      <w:sz w:val="24"/>
      <w:szCs w:val="24"/>
      <w:lang w:val="en-US" w:eastAsia="zh-CN" w:bidi="ar-SA"/>
    </w:rPr>
  </w:style>
  <w:style w:type="paragraph" w:customStyle="1" w:styleId="49">
    <w:name w:val="样式 正文文本缩进 + 行距: 1.5 倍行距"/>
    <w:basedOn w:val="15"/>
    <w:qFormat/>
    <w:uiPriority w:val="0"/>
    <w:pPr>
      <w:snapToGrid/>
      <w:spacing w:before="0" w:after="120" w:line="360" w:lineRule="auto"/>
      <w:ind w:left="90" w:leftChars="32" w:firstLine="560" w:firstLineChars="200"/>
    </w:pPr>
    <w:rPr>
      <w:rFonts w:ascii="Times New Roman" w:eastAsia="宋体" w:cs="宋体"/>
    </w:rPr>
  </w:style>
  <w:style w:type="paragraph" w:customStyle="1" w:styleId="50">
    <w:name w:val="Default1"/>
    <w:basedOn w:val="51"/>
    <w:next w:val="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51">
    <w:name w:val="常用正文样式"/>
    <w:qFormat/>
    <w:uiPriority w:val="0"/>
    <w:pPr>
      <w:widowControl w:val="0"/>
      <w:spacing w:line="360" w:lineRule="auto"/>
      <w:ind w:firstLine="454"/>
      <w:jc w:val="both"/>
    </w:pPr>
    <w:rPr>
      <w:rFonts w:ascii="宋体" w:hAnsi="新宋体" w:eastAsia="仿宋_GB2312" w:cs="宋体"/>
      <w:kern w:val="2"/>
      <w:sz w:val="24"/>
      <w:szCs w:val="24"/>
      <w:lang w:val="en-US" w:eastAsia="zh-CN" w:bidi="ar-SA"/>
    </w:rPr>
  </w:style>
  <w:style w:type="paragraph" w:customStyle="1" w:styleId="52">
    <w:name w:val="表格文字"/>
    <w:next w:val="1"/>
    <w:qFormat/>
    <w:uiPriority w:val="0"/>
    <w:pPr>
      <w:spacing w:line="300" w:lineRule="exact"/>
      <w:jc w:val="center"/>
    </w:pPr>
    <w:rPr>
      <w:rFonts w:ascii="Times New Roman" w:hAnsi="Times New Roman" w:eastAsia="仿宋_GB2312" w:cs="Times New Roman"/>
      <w:sz w:val="28"/>
      <w:lang w:val="en-US" w:eastAsia="zh-CN" w:bidi="ar-SA"/>
    </w:rPr>
  </w:style>
  <w:style w:type="paragraph" w:customStyle="1" w:styleId="53">
    <w:name w:val="Normal_14_0"/>
    <w:qFormat/>
    <w:uiPriority w:val="0"/>
    <w:pPr>
      <w:spacing w:before="120" w:after="240"/>
      <w:jc w:val="both"/>
    </w:pPr>
    <w:rPr>
      <w:rFonts w:ascii="Times New Roman" w:hAnsi="Times New Roman" w:eastAsia="Calibri" w:cs="Times New Roman"/>
      <w:sz w:val="22"/>
      <w:szCs w:val="22"/>
      <w:lang w:val="ru-RU" w:eastAsia="en-US" w:bidi="ar-SA"/>
    </w:rPr>
  </w:style>
  <w:style w:type="character" w:customStyle="1" w:styleId="54">
    <w:name w:val="fontstyle31"/>
    <w:qFormat/>
    <w:uiPriority w:val="0"/>
    <w:rPr>
      <w:rFonts w:ascii="TimesNewRomanPSMT" w:hAnsi="TimesNewRomanPSMT" w:eastAsia="TimesNewRomanPSMT" w:cs="TimesNewRomanPSMT"/>
      <w:color w:val="000000"/>
      <w:sz w:val="24"/>
      <w:szCs w:val="24"/>
    </w:rPr>
  </w:style>
  <w:style w:type="character" w:customStyle="1" w:styleId="55">
    <w:name w:val="11正文 Char"/>
    <w:link w:val="56"/>
    <w:qFormat/>
    <w:uiPriority w:val="0"/>
    <w:rPr>
      <w:rFonts w:hint="eastAsia" w:eastAsia="宋体"/>
      <w:sz w:val="24"/>
    </w:rPr>
  </w:style>
  <w:style w:type="paragraph" w:customStyle="1" w:styleId="56">
    <w:name w:val="11正文"/>
    <w:basedOn w:val="1"/>
    <w:link w:val="55"/>
    <w:qFormat/>
    <w:uiPriority w:val="0"/>
    <w:pPr>
      <w:wordWrap w:val="0"/>
      <w:spacing w:line="360" w:lineRule="auto"/>
      <w:jc w:val="both"/>
    </w:pPr>
    <w:rPr>
      <w:rFonts w:hint="eastAsia"/>
    </w:rPr>
  </w:style>
  <w:style w:type="character" w:customStyle="1" w:styleId="57">
    <w:name w:val="1左顶正文 Char"/>
    <w:link w:val="58"/>
    <w:qFormat/>
    <w:uiPriority w:val="0"/>
    <w:rPr>
      <w:rFonts w:ascii="Times New Roman" w:hAnsi="Times New Roman" w:eastAsia="宋体"/>
      <w:b/>
      <w:sz w:val="24"/>
    </w:rPr>
  </w:style>
  <w:style w:type="paragraph" w:customStyle="1" w:styleId="58">
    <w:name w:val="1左顶正文"/>
    <w:basedOn w:val="1"/>
    <w:link w:val="57"/>
    <w:qFormat/>
    <w:uiPriority w:val="0"/>
    <w:pPr>
      <w:spacing w:line="360" w:lineRule="auto"/>
      <w:ind w:firstLine="0" w:firstLineChars="0"/>
    </w:pPr>
    <w:rPr>
      <w:b/>
    </w:rPr>
  </w:style>
  <w:style w:type="character" w:customStyle="1" w:styleId="59">
    <w:name w:val="font41"/>
    <w:basedOn w:val="34"/>
    <w:qFormat/>
    <w:uiPriority w:val="0"/>
    <w:rPr>
      <w:rFonts w:hint="default" w:ascii="Times New Roman" w:hAnsi="Times New Roman" w:cs="Times New Roman"/>
      <w:color w:val="FF0000"/>
      <w:sz w:val="21"/>
      <w:szCs w:val="21"/>
      <w:u w:val="none"/>
    </w:rPr>
  </w:style>
  <w:style w:type="character" w:customStyle="1" w:styleId="60">
    <w:name w:val="11表格 Char"/>
    <w:link w:val="61"/>
    <w:qFormat/>
    <w:uiPriority w:val="0"/>
    <w:rPr>
      <w:rFonts w:ascii="Times New Roman" w:hAnsi="Times New Roman" w:eastAsia="宋体"/>
      <w:sz w:val="21"/>
      <w:szCs w:val="21"/>
    </w:rPr>
  </w:style>
  <w:style w:type="paragraph" w:customStyle="1" w:styleId="61">
    <w:name w:val="11表格"/>
    <w:basedOn w:val="1"/>
    <w:link w:val="60"/>
    <w:qFormat/>
    <w:uiPriority w:val="0"/>
    <w:pPr>
      <w:pBdr>
        <w:top w:val="none" w:color="auto" w:sz="0" w:space="1"/>
        <w:left w:val="none" w:color="auto" w:sz="0" w:space="4"/>
        <w:bottom w:val="none" w:color="auto" w:sz="0" w:space="1"/>
        <w:right w:val="none" w:color="auto" w:sz="0" w:space="4"/>
      </w:pBdr>
      <w:spacing w:line="240" w:lineRule="auto"/>
      <w:ind w:firstLine="0" w:firstLineChars="0"/>
      <w:jc w:val="center"/>
    </w:pPr>
    <w:rPr>
      <w:rFonts w:ascii="Times New Roman" w:hAnsi="Times New Roman" w:eastAsia="宋体"/>
      <w:sz w:val="21"/>
      <w:szCs w:val="21"/>
    </w:rPr>
  </w:style>
  <w:style w:type="character" w:customStyle="1" w:styleId="62">
    <w:name w:val="font31"/>
    <w:qFormat/>
    <w:uiPriority w:val="0"/>
    <w:rPr>
      <w:rFonts w:hint="default" w:ascii="Times New Roman" w:hAnsi="Times New Roman" w:cs="Times New Roman"/>
      <w:color w:val="000000"/>
      <w:sz w:val="21"/>
      <w:szCs w:val="21"/>
      <w:u w:val="none"/>
    </w:rPr>
  </w:style>
  <w:style w:type="character" w:customStyle="1" w:styleId="63">
    <w:name w:val="1图 Char"/>
    <w:link w:val="64"/>
    <w:qFormat/>
    <w:uiPriority w:val="0"/>
    <w:rPr>
      <w:rFonts w:hint="eastAsia"/>
      <w:b/>
      <w:bCs/>
      <w:sz w:val="21"/>
      <w:szCs w:val="21"/>
    </w:rPr>
  </w:style>
  <w:style w:type="paragraph" w:customStyle="1" w:styleId="64">
    <w:name w:val="1图"/>
    <w:basedOn w:val="1"/>
    <w:link w:val="63"/>
    <w:qFormat/>
    <w:uiPriority w:val="0"/>
    <w:pPr>
      <w:numPr>
        <w:ilvl w:val="0"/>
        <w:numId w:val="2"/>
      </w:numPr>
      <w:pBdr>
        <w:top w:val="none" w:color="auto" w:sz="0" w:space="1"/>
        <w:left w:val="none" w:color="auto" w:sz="0" w:space="4"/>
        <w:bottom w:val="none" w:color="auto" w:sz="0" w:space="1"/>
        <w:right w:val="none" w:color="auto" w:sz="0" w:space="4"/>
      </w:pBdr>
      <w:spacing w:line="240" w:lineRule="auto"/>
      <w:ind w:firstLine="0" w:firstLineChars="0"/>
      <w:jc w:val="center"/>
    </w:pPr>
    <w:rPr>
      <w:rFonts w:hint="eastAsia"/>
      <w:b/>
      <w:bCs/>
      <w:sz w:val="21"/>
      <w:szCs w:val="21"/>
    </w:rPr>
  </w:style>
  <w:style w:type="character" w:customStyle="1" w:styleId="65">
    <w:name w:val="font11"/>
    <w:basedOn w:val="34"/>
    <w:qFormat/>
    <w:uiPriority w:val="0"/>
    <w:rPr>
      <w:rFonts w:hint="eastAsia" w:ascii="宋体" w:hAnsi="宋体" w:eastAsia="宋体" w:cs="宋体"/>
      <w:color w:val="000000"/>
      <w:sz w:val="21"/>
      <w:szCs w:val="21"/>
      <w:u w:val="none"/>
    </w:rPr>
  </w:style>
  <w:style w:type="character" w:customStyle="1" w:styleId="66">
    <w:name w:val="font21"/>
    <w:basedOn w:val="34"/>
    <w:qFormat/>
    <w:uiPriority w:val="0"/>
    <w:rPr>
      <w:rFonts w:hint="default" w:ascii="Times New Roman" w:hAnsi="Times New Roman" w:cs="Times New Roman"/>
      <w:color w:val="000000"/>
      <w:sz w:val="21"/>
      <w:szCs w:val="21"/>
      <w:u w:val="none"/>
    </w:rPr>
  </w:style>
  <w:style w:type="paragraph" w:customStyle="1" w:styleId="67">
    <w:name w:val="正文样式"/>
    <w:basedOn w:val="1"/>
    <w:qFormat/>
    <w:uiPriority w:val="0"/>
    <w:pPr>
      <w:spacing w:line="360" w:lineRule="auto"/>
      <w:ind w:right="170" w:firstLine="480" w:firstLineChars="200"/>
    </w:pPr>
    <w:rPr>
      <w:rFonts w:hAnsi="宋体"/>
      <w:sz w:val="24"/>
    </w:rPr>
  </w:style>
  <w:style w:type="paragraph" w:customStyle="1" w:styleId="68">
    <w:name w:val="RH-1正文"/>
    <w:unhideWhenUsed/>
    <w:qFormat/>
    <w:uiPriority w:val="99"/>
    <w:pPr>
      <w:spacing w:line="480" w:lineRule="exact"/>
      <w:ind w:firstLine="200" w:firstLineChars="200"/>
      <w:jc w:val="both"/>
    </w:pPr>
    <w:rPr>
      <w:rFonts w:hint="eastAsia" w:ascii="Times New Roman" w:hAnsi="Times New Roman" w:eastAsia="宋体" w:cs="Times New Roman"/>
      <w:color w:val="000000"/>
      <w:kern w:val="2"/>
      <w:sz w:val="24"/>
      <w:lang w:val="en-US" w:eastAsia="zh-CN" w:bidi="ar-SA"/>
    </w:rPr>
  </w:style>
  <w:style w:type="paragraph" w:customStyle="1" w:styleId="69">
    <w:name w:val="表中标题"/>
    <w:basedOn w:val="1"/>
    <w:qFormat/>
    <w:uiPriority w:val="0"/>
    <w:pPr>
      <w:spacing w:line="240" w:lineRule="auto"/>
      <w:ind w:firstLine="0" w:firstLineChars="0"/>
      <w:jc w:val="center"/>
    </w:pPr>
    <w:rPr>
      <w:rFonts w:hint="eastAsia" w:cs="Times New Roman"/>
      <w:b/>
      <w:sz w:val="21"/>
      <w:szCs w:val="28"/>
    </w:rPr>
  </w:style>
  <w:style w:type="paragraph" w:customStyle="1" w:styleId="70">
    <w:name w:val="p0"/>
    <w:basedOn w:val="1"/>
    <w:qFormat/>
    <w:uiPriority w:val="0"/>
    <w:pPr>
      <w:widowControl/>
    </w:pPr>
    <w:rPr>
      <w:rFonts w:ascii="Times New Roman" w:hAnsi="Times New Roman" w:eastAsia="宋体" w:cs="Times New Roman"/>
      <w:szCs w:val="20"/>
    </w:rPr>
  </w:style>
  <w:style w:type="paragraph" w:customStyle="1" w:styleId="71">
    <w:name w:val="1大表格"/>
    <w:basedOn w:val="1"/>
    <w:qFormat/>
    <w:uiPriority w:val="0"/>
    <w:pPr>
      <w:pBdr>
        <w:top w:val="none" w:color="auto" w:sz="0" w:space="1"/>
        <w:left w:val="none" w:color="auto" w:sz="0" w:space="4"/>
        <w:bottom w:val="none" w:color="auto" w:sz="0" w:space="1"/>
        <w:right w:val="none" w:color="auto" w:sz="0" w:space="4"/>
      </w:pBdr>
      <w:spacing w:line="360" w:lineRule="auto"/>
      <w:ind w:firstLine="0" w:firstLineChars="0"/>
      <w:jc w:val="center"/>
    </w:pPr>
    <w:rPr>
      <w:rFonts w:hint="eastAsia" w:ascii="Times New Roman" w:hAnsi="Times New Roman" w:eastAsia="宋体"/>
    </w:rPr>
  </w:style>
  <w:style w:type="paragraph" w:customStyle="1" w:styleId="72">
    <w:name w:val="11表头"/>
    <w:basedOn w:val="1"/>
    <w:qFormat/>
    <w:uiPriority w:val="0"/>
    <w:pPr>
      <w:numPr>
        <w:ilvl w:val="0"/>
        <w:numId w:val="3"/>
      </w:numPr>
      <w:spacing w:line="240" w:lineRule="auto"/>
      <w:ind w:firstLine="0" w:firstLineChars="0"/>
      <w:jc w:val="center"/>
    </w:pPr>
    <w:rPr>
      <w:b/>
      <w:sz w:val="21"/>
    </w:rPr>
  </w:style>
  <w:style w:type="paragraph" w:customStyle="1" w:styleId="73">
    <w:name w:val="正本文字"/>
    <w:basedOn w:val="1"/>
    <w:qFormat/>
    <w:uiPriority w:val="0"/>
    <w:pPr>
      <w:adjustRightInd w:val="0"/>
      <w:snapToGrid w:val="0"/>
      <w:spacing w:line="360" w:lineRule="auto"/>
      <w:ind w:firstLine="480" w:firstLineChars="200"/>
      <w:jc w:val="left"/>
    </w:pPr>
    <w:rPr>
      <w:rFonts w:ascii="Times New Roman" w:hAnsi="Times New Roman" w:eastAsia="宋体" w:cs="Times New Roman"/>
      <w:kern w:val="18"/>
      <w:sz w:val="24"/>
      <w:szCs w:val="20"/>
    </w:rPr>
  </w:style>
  <w:style w:type="paragraph" w:customStyle="1" w:styleId="74">
    <w:name w:val="表头3"/>
    <w:basedOn w:val="1"/>
    <w:qFormat/>
    <w:uiPriority w:val="0"/>
    <w:pPr>
      <w:numPr>
        <w:ilvl w:val="0"/>
        <w:numId w:val="4"/>
      </w:numPr>
      <w:ind w:hanging="130"/>
    </w:pPr>
    <w:rPr>
      <w:rFonts w:hint="eastAsia" w:ascii="Times New Roman" w:hAnsi="Times New Roman"/>
      <w:b/>
      <w:color w:val="auto"/>
      <w:kern w:val="2"/>
      <w:szCs w:val="24"/>
      <w:lang w:val="en-US" w:bidi="ar-SA"/>
    </w:rPr>
  </w:style>
  <w:style w:type="paragraph" w:customStyle="1" w:styleId="75">
    <w:name w:val="正文文本 22"/>
    <w:basedOn w:val="1"/>
    <w:qFormat/>
    <w:uiPriority w:val="0"/>
    <w:pPr>
      <w:spacing w:line="240" w:lineRule="auto"/>
      <w:jc w:val="center"/>
    </w:pPr>
    <w:rPr>
      <w:kern w:val="2"/>
      <w:sz w:val="24"/>
    </w:rPr>
  </w:style>
  <w:style w:type="paragraph" w:customStyle="1" w:styleId="76">
    <w:name w:val="1大表头"/>
    <w:basedOn w:val="1"/>
    <w:qFormat/>
    <w:uiPriority w:val="0"/>
    <w:pPr>
      <w:spacing w:line="240" w:lineRule="auto"/>
      <w:ind w:firstLine="0" w:firstLineChars="0"/>
      <w:jc w:val="center"/>
    </w:pPr>
    <w:rPr>
      <w:rFonts w:eastAsia="黑体"/>
      <w:sz w:val="30"/>
      <w:szCs w:val="32"/>
    </w:rPr>
  </w:style>
  <w:style w:type="paragraph" w:customStyle="1" w:styleId="77">
    <w:name w:val="表格内容"/>
    <w:basedOn w:val="78"/>
    <w:next w:val="1"/>
    <w:qFormat/>
    <w:uiPriority w:val="0"/>
    <w:pPr>
      <w:autoSpaceDE/>
      <w:autoSpaceDN/>
      <w:spacing w:line="240" w:lineRule="auto"/>
      <w:ind w:firstLine="0" w:firstLineChars="0"/>
      <w:jc w:val="center"/>
    </w:pPr>
    <w:rPr>
      <w:sz w:val="21"/>
      <w:szCs w:val="21"/>
    </w:rPr>
  </w:style>
  <w:style w:type="paragraph" w:customStyle="1" w:styleId="78">
    <w:name w:val="表格标题"/>
    <w:next w:val="77"/>
    <w:qFormat/>
    <w:uiPriority w:val="99"/>
    <w:pPr>
      <w:spacing w:before="60" w:after="60"/>
      <w:jc w:val="center"/>
    </w:pPr>
    <w:rPr>
      <w:rFonts w:ascii="Times New Roman" w:hAnsi="Times New Roman" w:eastAsia="宋体" w:cs="Times New Roman"/>
      <w:b/>
      <w:kern w:val="2"/>
      <w:sz w:val="24"/>
      <w:szCs w:val="24"/>
      <w:lang w:val="en-US" w:eastAsia="zh-CN" w:bidi="ar-SA"/>
    </w:rPr>
  </w:style>
  <w:style w:type="paragraph" w:customStyle="1" w:styleId="79">
    <w:name w:val="D表内1磅"/>
    <w:basedOn w:val="80"/>
    <w:qFormat/>
    <w:uiPriority w:val="0"/>
    <w:pPr>
      <w:adjustRightInd/>
      <w:spacing w:before="20" w:after="20" w:line="240" w:lineRule="auto"/>
      <w:jc w:val="center"/>
      <w:textAlignment w:val="auto"/>
    </w:pPr>
    <w:rPr>
      <w:kern w:val="2"/>
      <w:szCs w:val="21"/>
    </w:rPr>
  </w:style>
  <w:style w:type="paragraph" w:customStyle="1" w:styleId="80">
    <w:name w:val="D表内0磅"/>
    <w:basedOn w:val="1"/>
    <w:qFormat/>
    <w:uiPriority w:val="0"/>
    <w:pPr>
      <w:adjustRightInd/>
      <w:jc w:val="center"/>
      <w:textAlignment w:val="auto"/>
    </w:pPr>
    <w:rPr>
      <w:rFonts w:ascii="仿宋_GB2312"/>
      <w:spacing w:val="4"/>
      <w:kern w:val="2"/>
      <w:szCs w:val="21"/>
    </w:rPr>
  </w:style>
  <w:style w:type="paragraph" w:styleId="81">
    <w:name w:val="No Spacing"/>
    <w:qFormat/>
    <w:uiPriority w:val="1"/>
    <w:pPr>
      <w:numPr>
        <w:ilvl w:val="5"/>
        <w:numId w:val="5"/>
      </w:numPr>
      <w:jc w:val="center"/>
    </w:pPr>
    <w:rPr>
      <w:rFonts w:ascii="Times New Roman" w:hAnsi="Times New Roman" w:eastAsia="宋体" w:cs="Times New Roman"/>
      <w:b/>
      <w:sz w:val="24"/>
      <w:szCs w:val="22"/>
      <w:lang w:val="en-US" w:eastAsia="zh-CN" w:bidi="ar-SA"/>
    </w:rPr>
  </w:style>
  <w:style w:type="paragraph" w:customStyle="1" w:styleId="82">
    <w:name w:val="1表格"/>
    <w:basedOn w:val="1"/>
    <w:qFormat/>
    <w:uiPriority w:val="0"/>
    <w:pPr>
      <w:pBdr>
        <w:top w:val="none" w:color="auto" w:sz="0" w:space="1"/>
        <w:left w:val="none" w:color="auto" w:sz="0" w:space="4"/>
        <w:bottom w:val="none" w:color="auto" w:sz="0" w:space="1"/>
        <w:right w:val="none" w:color="auto" w:sz="0" w:space="4"/>
      </w:pBdr>
      <w:spacing w:line="240" w:lineRule="auto"/>
      <w:ind w:firstLine="0" w:firstLineChars="0"/>
      <w:jc w:val="center"/>
    </w:pPr>
    <w:rPr>
      <w:rFonts w:ascii="Times New Roman" w:hAnsi="Times New Roman" w:eastAsia="宋体" w:cs="Times New Roman"/>
      <w:sz w:val="21"/>
      <w:szCs w:val="21"/>
    </w:rPr>
  </w:style>
  <w:style w:type="paragraph" w:customStyle="1" w:styleId="83">
    <w:name w:val="文本"/>
    <w:basedOn w:val="1"/>
    <w:qFormat/>
    <w:uiPriority w:val="0"/>
    <w:pPr>
      <w:spacing w:line="360" w:lineRule="auto"/>
      <w:ind w:firstLine="480" w:firstLineChars="200"/>
    </w:pPr>
    <w:rPr>
      <w:sz w:val="24"/>
      <w:szCs w:val="24"/>
    </w:rPr>
  </w:style>
  <w:style w:type="paragraph" w:customStyle="1" w:styleId="84">
    <w:name w:val="A表内"/>
    <w:basedOn w:val="1"/>
    <w:qFormat/>
    <w:uiPriority w:val="0"/>
    <w:pPr>
      <w:spacing w:line="0" w:lineRule="atLeast"/>
      <w:jc w:val="center"/>
    </w:pPr>
    <w:rPr>
      <w:rFonts w:cs="宋体"/>
      <w:szCs w:val="20"/>
    </w:rPr>
  </w:style>
  <w:style w:type="paragraph" w:customStyle="1" w:styleId="85">
    <w:name w:val="11小五"/>
    <w:basedOn w:val="1"/>
    <w:qFormat/>
    <w:uiPriority w:val="0"/>
    <w:pPr>
      <w:pBdr>
        <w:top w:val="none" w:color="auto" w:sz="0" w:space="1"/>
        <w:left w:val="none" w:color="auto" w:sz="0" w:space="4"/>
        <w:bottom w:val="none" w:color="auto" w:sz="0" w:space="1"/>
        <w:right w:val="none" w:color="auto" w:sz="0" w:space="4"/>
      </w:pBdr>
      <w:spacing w:line="240" w:lineRule="auto"/>
      <w:ind w:firstLine="0" w:firstLineChars="0"/>
      <w:jc w:val="center"/>
    </w:pPr>
    <w:rPr>
      <w:rFonts w:hint="eastAsia" w:ascii="Times New Roman" w:hAnsi="Times New Roman" w:eastAsia="宋体" w:cs="Times New Roman"/>
      <w:sz w:val="18"/>
      <w:szCs w:val="18"/>
    </w:rPr>
  </w:style>
  <w:style w:type="paragraph" w:customStyle="1" w:styleId="86">
    <w:name w:val="表头"/>
    <w:basedOn w:val="87"/>
    <w:qFormat/>
    <w:uiPriority w:val="0"/>
    <w:pPr>
      <w:numPr>
        <w:ilvl w:val="0"/>
        <w:numId w:val="6"/>
      </w:numPr>
      <w:tabs>
        <w:tab w:val="left" w:pos="0"/>
      </w:tabs>
      <w:spacing w:line="240" w:lineRule="auto"/>
      <w:ind w:firstLine="0" w:firstLineChars="0"/>
      <w:jc w:val="center"/>
    </w:pPr>
    <w:rPr>
      <w:rFonts w:ascii="Times New Roman" w:hAnsi="Times New Roman" w:eastAsia="宋体"/>
      <w:sz w:val="21"/>
    </w:rPr>
  </w:style>
  <w:style w:type="paragraph" w:customStyle="1" w:styleId="87">
    <w:name w:val="表格自动编号"/>
    <w:basedOn w:val="1"/>
    <w:qFormat/>
    <w:uiPriority w:val="0"/>
    <w:pPr>
      <w:numPr>
        <w:ilvl w:val="5"/>
        <w:numId w:val="7"/>
      </w:numPr>
      <w:jc w:val="center"/>
    </w:pPr>
    <w:rPr>
      <w:rFonts w:ascii="Times New Roman" w:hAnsi="Times New Roman" w:eastAsia="宋体"/>
      <w:b/>
      <w:sz w:val="24"/>
    </w:rPr>
  </w:style>
  <w:style w:type="paragraph" w:customStyle="1" w:styleId="88">
    <w:name w:val="表格五号1"/>
    <w:basedOn w:val="1"/>
    <w:qFormat/>
    <w:uiPriority w:val="0"/>
    <w:pPr>
      <w:spacing w:line="240" w:lineRule="auto"/>
      <w:ind w:firstLine="0"/>
      <w:jc w:val="center"/>
      <w:textAlignment w:val="center"/>
    </w:pPr>
    <w:rPr>
      <w:rFonts w:ascii="Times New Roman" w:hAnsi="Times New Roman" w:eastAsia="宋体"/>
      <w:spacing w:val="6"/>
      <w:sz w:val="21"/>
      <w:szCs w:val="21"/>
    </w:rPr>
  </w:style>
  <w:style w:type="paragraph" w:customStyle="1" w:styleId="89">
    <w:name w:val="A 正文"/>
    <w:basedOn w:val="1"/>
    <w:next w:val="1"/>
    <w:qFormat/>
    <w:uiPriority w:val="0"/>
    <w:pPr>
      <w:spacing w:line="360" w:lineRule="auto"/>
      <w:ind w:firstLine="200" w:firstLineChars="200"/>
    </w:pPr>
    <w:rPr>
      <w:sz w:val="24"/>
    </w:rPr>
  </w:style>
  <w:style w:type="paragraph" w:customStyle="1" w:styleId="90">
    <w:name w:val="表头ck"/>
    <w:qFormat/>
    <w:uiPriority w:val="0"/>
    <w:pPr>
      <w:widowControl w:val="0"/>
      <w:numPr>
        <w:ilvl w:val="0"/>
        <w:numId w:val="8"/>
      </w:numPr>
      <w:ind w:hanging="130"/>
      <w:jc w:val="center"/>
    </w:pPr>
    <w:rPr>
      <w:rFonts w:ascii="Times New Roman" w:hAnsi="Times New Roman" w:eastAsia="宋体" w:cs="宋体"/>
      <w:b/>
      <w:color w:val="000000"/>
      <w:sz w:val="24"/>
      <w:szCs w:val="24"/>
      <w:lang w:val="en-US" w:eastAsia="zh-CN" w:bidi="ar-SA"/>
    </w:rPr>
  </w:style>
  <w:style w:type="paragraph" w:customStyle="1" w:styleId="91">
    <w:name w:val="表格内正文"/>
    <w:next w:val="89"/>
    <w:qFormat/>
    <w:uiPriority w:val="0"/>
    <w:pPr>
      <w:spacing w:line="360" w:lineRule="auto"/>
      <w:ind w:firstLine="493"/>
    </w:pPr>
    <w:rPr>
      <w:rFonts w:ascii="宋体" w:hAnsi="宋体" w:eastAsia="宋体" w:cs="Times New Roman"/>
      <w:spacing w:val="4"/>
      <w:kern w:val="18"/>
      <w:sz w:val="24"/>
      <w:szCs w:val="22"/>
      <w:lang w:val="en-US" w:eastAsia="zh-CN" w:bidi="ar-SA"/>
    </w:rPr>
  </w:style>
  <w:style w:type="paragraph" w:customStyle="1" w:styleId="92">
    <w:name w:val="五号表格"/>
    <w:basedOn w:val="1"/>
    <w:qFormat/>
    <w:uiPriority w:val="0"/>
    <w:pPr>
      <w:jc w:val="center"/>
    </w:pPr>
    <w:rPr>
      <w:kern w:val="0"/>
      <w:szCs w:val="20"/>
    </w:rPr>
  </w:style>
  <w:style w:type="paragraph" w:customStyle="1" w:styleId="93">
    <w:name w:val="1左顶表格"/>
    <w:basedOn w:val="1"/>
    <w:qFormat/>
    <w:uiPriority w:val="0"/>
    <w:pPr>
      <w:spacing w:line="240" w:lineRule="auto"/>
      <w:ind w:firstLine="0" w:firstLineChars="0"/>
    </w:pPr>
    <w:rPr>
      <w:rFonts w:ascii="Times New Roman" w:hAnsi="Times New Roman" w:eastAsia="宋体"/>
      <w:sz w:val="21"/>
      <w:szCs w:val="21"/>
    </w:rPr>
  </w:style>
  <w:style w:type="paragraph" w:customStyle="1" w:styleId="94">
    <w:name w:val="表格"/>
    <w:basedOn w:val="1"/>
    <w:next w:val="1"/>
    <w:qFormat/>
    <w:uiPriority w:val="0"/>
    <w:pPr>
      <w:pBdr>
        <w:top w:val="none" w:color="auto" w:sz="0" w:space="1"/>
        <w:left w:val="none" w:color="auto" w:sz="0" w:space="4"/>
        <w:bottom w:val="none" w:color="auto" w:sz="0" w:space="1"/>
        <w:right w:val="none" w:color="auto" w:sz="0" w:space="4"/>
      </w:pBdr>
      <w:spacing w:line="240" w:lineRule="auto"/>
      <w:ind w:firstLine="0" w:firstLineChars="0"/>
      <w:jc w:val="center"/>
    </w:pPr>
    <w:rPr>
      <w:rFonts w:ascii="Times New Roman" w:hAnsi="Times New Roman" w:eastAsia="宋体" w:cs="Times New Roman"/>
      <w:sz w:val="21"/>
      <w:szCs w:val="21"/>
    </w:rPr>
  </w:style>
  <w:style w:type="paragraph" w:customStyle="1" w:styleId="95">
    <w:name w:val="1左顶大表格"/>
    <w:basedOn w:val="1"/>
    <w:qFormat/>
    <w:uiPriority w:val="0"/>
    <w:pPr>
      <w:spacing w:line="240" w:lineRule="auto"/>
      <w:ind w:firstLine="0" w:firstLineChars="0"/>
      <w:jc w:val="center"/>
    </w:pPr>
    <w:rPr>
      <w:rFonts w:ascii="Times New Roman" w:hAnsi="Times New Roman" w:eastAsia="宋体"/>
    </w:rPr>
  </w:style>
  <w:style w:type="paragraph" w:customStyle="1" w:styleId="96">
    <w:name w:val="Table Paragraph"/>
    <w:basedOn w:val="1"/>
    <w:qFormat/>
    <w:uiPriority w:val="1"/>
    <w:rPr>
      <w:rFonts w:ascii="宋体" w:hAnsi="宋体" w:eastAsia="宋体" w:cs="宋体"/>
      <w:lang w:val="zh-CN" w:eastAsia="zh-CN" w:bidi="zh-CN"/>
    </w:rPr>
  </w:style>
  <w:style w:type="table" w:customStyle="1" w:styleId="97">
    <w:name w:val="A表格样式"/>
    <w:basedOn w:val="32"/>
    <w:qFormat/>
    <w:uiPriority w:val="0"/>
    <w:pPr>
      <w:widowControl w:val="0"/>
      <w:jc w:val="center"/>
    </w:pPr>
    <w:tblPr>
      <w:tblBorders>
        <w:top w:val="single" w:color="000000" w:sz="12" w:space="0"/>
        <w:bottom w:val="single" w:color="000000" w:sz="12" w:space="0"/>
        <w:insideH w:val="single" w:color="auto" w:sz="4" w:space="0"/>
        <w:insideV w:val="single" w:color="auto" w:sz="4" w:space="0"/>
      </w:tblBorders>
      <w:tblCellMar>
        <w:left w:w="0" w:type="dxa"/>
        <w:right w:w="0" w:type="dxa"/>
      </w:tblCellMar>
    </w:tblPr>
    <w:tcPr>
      <w:vAlign w:val="center"/>
    </w:tcPr>
    <w:tblStylePr w:type="firstRow">
      <w:rPr>
        <w:rFonts w:ascii="Courier New" w:hAnsi="Courier New" w:eastAsia="Courier New"/>
        <w:b/>
        <w:sz w:val="21"/>
      </w:rPr>
    </w:tblStylePr>
  </w:style>
  <w:style w:type="table" w:customStyle="1" w:styleId="98">
    <w:name w:val="Table Normal"/>
    <w:unhideWhenUsed/>
    <w:qFormat/>
    <w:uiPriority w:val="0"/>
    <w:rPr>
      <w:lang w:val="en-US" w:eastAsia="zh-CN" w:bidi="ar-SA"/>
    </w:rPr>
    <w:tblPr>
      <w:tblCellMar>
        <w:top w:w="0" w:type="dxa"/>
        <w:left w:w="0" w:type="dxa"/>
        <w:bottom w:w="0" w:type="dxa"/>
        <w:right w:w="0" w:type="dxa"/>
      </w:tblCellMar>
    </w:tblPr>
  </w:style>
  <w:style w:type="paragraph" w:customStyle="1" w:styleId="99">
    <w:name w:val="222222222222222222222222222"/>
    <w:basedOn w:val="1"/>
    <w:qFormat/>
    <w:uiPriority w:val="0"/>
    <w:pPr>
      <w:spacing w:line="240" w:lineRule="auto"/>
      <w:ind w:firstLine="0" w:firstLineChars="0"/>
      <w:jc w:val="center"/>
    </w:pPr>
    <w:rPr>
      <w:rFonts w:ascii="Times New Roman" w:hAnsi="Times New Roman" w:eastAsia="宋体"/>
      <w:sz w:val="21"/>
      <w:szCs w:val="21"/>
    </w:rPr>
  </w:style>
  <w:style w:type="table" w:customStyle="1" w:styleId="100">
    <w:name w:val="D小表"/>
    <w:basedOn w:val="32"/>
    <w:qFormat/>
    <w:uiPriority w:val="0"/>
    <w:pPr>
      <w:jc w:val="center"/>
    </w:pPr>
    <w:rPr>
      <w:sz w:val="21"/>
    </w:rPr>
    <w:tblPr>
      <w:tblBorders>
        <w:top w:val="single" w:color="auto" w:sz="12" w:space="0"/>
        <w:bottom w:val="single" w:color="auto" w:sz="12" w:space="0"/>
        <w:insideH w:val="single" w:color="auto" w:sz="4" w:space="0"/>
        <w:insideV w:val="single" w:color="auto" w:sz="4" w:space="0"/>
      </w:tblBorders>
    </w:tblPr>
    <w:tcPr>
      <w:vAlign w:val="center"/>
    </w:tcPr>
  </w:style>
  <w:style w:type="paragraph" w:customStyle="1" w:styleId="101">
    <w:name w:val="【】正文"/>
    <w:basedOn w:val="102"/>
    <w:qFormat/>
    <w:uiPriority w:val="0"/>
    <w:pPr>
      <w:spacing w:line="240" w:lineRule="auto"/>
      <w:ind w:firstLine="0" w:firstLineChars="0"/>
      <w:jc w:val="left"/>
    </w:pPr>
    <w:rPr>
      <w:lang w:val="en-US"/>
    </w:rPr>
  </w:style>
  <w:style w:type="paragraph" w:customStyle="1" w:styleId="102">
    <w:name w:val="A0正文"/>
    <w:basedOn w:val="1"/>
    <w:qFormat/>
    <w:uiPriority w:val="0"/>
    <w:pPr>
      <w:spacing w:line="560" w:lineRule="exact"/>
      <w:ind w:firstLine="200" w:firstLineChars="200"/>
    </w:pPr>
    <w:rPr>
      <w:rFonts w:cs="宋体"/>
      <w:sz w:val="24"/>
      <w:szCs w:val="20"/>
      <w:lang w:val="zh-CN"/>
    </w:rPr>
  </w:style>
  <w:style w:type="paragraph" w:customStyle="1" w:styleId="103">
    <w:name w:val="010101"/>
    <w:basedOn w:val="1"/>
    <w:qFormat/>
    <w:uiPriority w:val="0"/>
    <w:pPr>
      <w:spacing w:before="50" w:beforeLines="50" w:line="360" w:lineRule="auto"/>
      <w:ind w:firstLine="720" w:firstLineChars="200"/>
    </w:pPr>
  </w:style>
  <w:style w:type="paragraph" w:customStyle="1" w:styleId="104">
    <w:name w:val="11111111111111111111111111"/>
    <w:basedOn w:val="73"/>
    <w:qFormat/>
    <w:uiPriority w:val="0"/>
    <w:pPr>
      <w:spacing w:before="50" w:beforeLines="50" w:line="240" w:lineRule="auto"/>
      <w:ind w:firstLine="0" w:firstLineChars="0"/>
      <w:jc w:val="center"/>
    </w:pPr>
    <w:rPr>
      <w:rFonts w:ascii="Times New Roman" w:hAnsi="Times New Roman"/>
      <w:b/>
    </w:rPr>
  </w:style>
  <w:style w:type="table" w:customStyle="1" w:styleId="105">
    <w:name w:val="样式2"/>
    <w:basedOn w:val="32"/>
    <w:qFormat/>
    <w:uiPriority w:val="99"/>
    <w:rPr>
      <w:rFonts w:ascii="Calibri" w:hAnsi="Calibri"/>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paragraph" w:customStyle="1" w:styleId="106">
    <w:name w:val="111111111111111111111111"/>
    <w:basedOn w:val="73"/>
    <w:qFormat/>
    <w:uiPriority w:val="0"/>
    <w:pPr>
      <w:spacing w:before="50" w:beforeLines="50" w:line="240" w:lineRule="auto"/>
      <w:ind w:firstLine="0" w:firstLineChars="0"/>
      <w:jc w:val="center"/>
    </w:pPr>
    <w:rPr>
      <w:rFonts w:ascii="Times New Roman" w:hAnsi="Times New Roman" w:eastAsia="宋体"/>
      <w:b/>
      <w:sz w:val="24"/>
    </w:rPr>
  </w:style>
  <w:style w:type="paragraph" w:styleId="107">
    <w:name w:val="List Paragraph"/>
    <w:basedOn w:val="1"/>
    <w:qFormat/>
    <w:uiPriority w:val="34"/>
    <w:pPr>
      <w:ind w:firstLine="420" w:firstLineChars="200"/>
    </w:pPr>
  </w:style>
  <w:style w:type="paragraph" w:customStyle="1" w:styleId="108">
    <w:name w:val="00000000000000000000000"/>
    <w:basedOn w:val="1"/>
    <w:qFormat/>
    <w:uiPriority w:val="0"/>
    <w:pPr>
      <w:spacing w:before="0" w:after="0" w:line="360" w:lineRule="auto"/>
      <w:ind w:firstLine="480" w:firstLineChars="200"/>
      <w:outlineLvl w:val="9"/>
    </w:pPr>
    <w:rPr>
      <w:rFonts w:ascii="Times New Roman" w:hAnsi="Times New Roman" w:eastAsia="宋体"/>
      <w:snapToGrid w:val="0"/>
      <w:sz w:val="24"/>
    </w:rPr>
  </w:style>
  <w:style w:type="paragraph" w:customStyle="1" w:styleId="109">
    <w:name w:val="li_正文"/>
    <w:basedOn w:val="1"/>
    <w:qFormat/>
    <w:uiPriority w:val="0"/>
    <w:pPr>
      <w:tabs>
        <w:tab w:val="left" w:pos="2340"/>
        <w:tab w:val="left" w:pos="4320"/>
      </w:tabs>
      <w:ind w:firstLine="530" w:firstLineChars="200"/>
      <w:jc w:val="left"/>
    </w:pPr>
    <w:rPr>
      <w:rFonts w:ascii="Calibri" w:hAnsi="Calibri"/>
      <w:sz w:val="28"/>
      <w:szCs w:val="28"/>
    </w:rPr>
  </w:style>
  <w:style w:type="paragraph" w:customStyle="1" w:styleId="110">
    <w:name w:val="W  正文"/>
    <w:basedOn w:val="1"/>
    <w:qFormat/>
    <w:uiPriority w:val="0"/>
    <w:pPr>
      <w:snapToGrid/>
      <w:spacing w:line="360" w:lineRule="auto"/>
      <w:ind w:firstLine="480" w:firstLineChars="200"/>
    </w:pPr>
    <w:rPr>
      <w:rFonts w:ascii="Times New Roman" w:hAnsi="Times New Roman" w:eastAsia="宋体" w:cs="Times New Roman"/>
      <w:sz w:val="24"/>
    </w:rPr>
  </w:style>
  <w:style w:type="paragraph" w:customStyle="1" w:styleId="111">
    <w:name w:val="正文1"/>
    <w:basedOn w:val="1"/>
    <w:qFormat/>
    <w:uiPriority w:val="0"/>
    <w:pPr>
      <w:spacing w:line="360" w:lineRule="auto"/>
      <w:ind w:firstLine="480" w:firstLineChars="200"/>
    </w:pPr>
    <w:rPr>
      <w:rFonts w:hAnsi="宋体"/>
      <w:sz w:val="24"/>
    </w:rPr>
  </w:style>
  <w:style w:type="paragraph" w:customStyle="1" w:styleId="112">
    <w:name w:val="表格名称"/>
    <w:basedOn w:val="1"/>
    <w:qFormat/>
    <w:uiPriority w:val="0"/>
    <w:pPr>
      <w:spacing w:before="50" w:beforeLines="50" w:line="240" w:lineRule="auto"/>
      <w:ind w:firstLine="0" w:firstLineChars="0"/>
      <w:jc w:val="center"/>
    </w:pPr>
    <w:rPr>
      <w:rFonts w:cs="Times New Roman"/>
      <w:b/>
      <w:bCs/>
      <w:sz w:val="21"/>
      <w:szCs w:val="21"/>
    </w:rPr>
  </w:style>
  <w:style w:type="paragraph" w:customStyle="1" w:styleId="113">
    <w:name w:val="表"/>
    <w:basedOn w:val="1"/>
    <w:qFormat/>
    <w:uiPriority w:val="0"/>
    <w:pPr>
      <w:snapToGrid w:val="0"/>
      <w:jc w:val="center"/>
    </w:pPr>
    <w:rPr>
      <w:spacing w:val="2"/>
      <w:szCs w:val="20"/>
    </w:rPr>
  </w:style>
  <w:style w:type="paragraph" w:customStyle="1" w:styleId="114">
    <w:name w:val="报告1"/>
    <w:basedOn w:val="1"/>
    <w:qFormat/>
    <w:uiPriority w:val="0"/>
    <w:pPr>
      <w:adjustRightInd w:val="0"/>
      <w:spacing w:line="360" w:lineRule="auto"/>
      <w:ind w:firstLine="505"/>
      <w:jc w:val="left"/>
      <w:textAlignment w:val="baseline"/>
    </w:pPr>
    <w:rPr>
      <w:kern w:val="0"/>
      <w:sz w:val="24"/>
    </w:rPr>
  </w:style>
  <w:style w:type="paragraph" w:customStyle="1" w:styleId="115">
    <w:name w:val="D图表小四"/>
    <w:basedOn w:val="1"/>
    <w:qFormat/>
    <w:uiPriority w:val="0"/>
    <w:pPr>
      <w:spacing w:before="120" w:after="120" w:line="240" w:lineRule="auto"/>
      <w:jc w:val="center"/>
    </w:pPr>
    <w:rPr>
      <w:rFonts w:ascii="Times New Roman" w:hAnsi="Times New Roman"/>
      <w:b/>
      <w:spacing w:val="4"/>
      <w:szCs w:val="24"/>
    </w:rPr>
  </w:style>
  <w:style w:type="paragraph" w:customStyle="1" w:styleId="116">
    <w:name w:val="正文文本5"/>
    <w:basedOn w:val="1"/>
    <w:qFormat/>
    <w:uiPriority w:val="0"/>
    <w:pPr>
      <w:shd w:val="clear" w:color="auto" w:fill="FFFFFF"/>
      <w:adjustRightInd/>
      <w:spacing w:after="960" w:line="0" w:lineRule="atLeast"/>
      <w:jc w:val="center"/>
      <w:textAlignment w:val="auto"/>
    </w:pPr>
    <w:rPr>
      <w:rFonts w:ascii="MingLiU" w:hAnsi="MingLiU" w:eastAsia="MingLiU"/>
      <w:sz w:val="19"/>
      <w:szCs w:val="19"/>
    </w:rPr>
  </w:style>
  <w:style w:type="character" w:customStyle="1" w:styleId="117">
    <w:name w:val="正文文本2"/>
    <w:qFormat/>
    <w:uiPriority w:val="0"/>
    <w:rPr>
      <w:rFonts w:ascii="MingLiU" w:hAnsi="MingLiU" w:eastAsia="MingLiU" w:cs="MingLiU"/>
      <w:color w:val="000000"/>
      <w:spacing w:val="0"/>
      <w:w w:val="100"/>
      <w:position w:val="0"/>
      <w:sz w:val="19"/>
      <w:szCs w:val="19"/>
      <w:shd w:val="clear" w:color="auto" w:fill="FFFFFF"/>
      <w:lang w:val="zh-TW"/>
    </w:rPr>
  </w:style>
  <w:style w:type="paragraph" w:customStyle="1" w:styleId="118">
    <w:name w:val="0000000000000000"/>
    <w:basedOn w:val="1"/>
    <w:qFormat/>
    <w:uiPriority w:val="0"/>
    <w:pPr>
      <w:spacing w:line="360" w:lineRule="auto"/>
      <w:ind w:firstLine="422" w:firstLineChars="200"/>
    </w:pPr>
    <w:rPr>
      <w:rFonts w:ascii="Times New Roman" w:hAnsi="Times New Roman"/>
      <w:sz w:val="24"/>
      <w:szCs w:val="24"/>
    </w:rPr>
  </w:style>
  <w:style w:type="paragraph" w:customStyle="1" w:styleId="119">
    <w:name w:val="05F凡式正文"/>
    <w:basedOn w:val="1"/>
    <w:qFormat/>
    <w:uiPriority w:val="0"/>
    <w:pPr>
      <w:spacing w:line="360" w:lineRule="auto"/>
      <w:ind w:firstLine="720" w:firstLineChars="200"/>
    </w:pPr>
    <w:rPr>
      <w:rFonts w:ascii="Calibri" w:hAnsi="Calibri"/>
      <w:kern w:val="0"/>
      <w:sz w:val="24"/>
      <w:szCs w:val="20"/>
    </w:rPr>
  </w:style>
  <w:style w:type="paragraph" w:customStyle="1" w:styleId="120">
    <w:name w:val="表格内容居中"/>
    <w:qFormat/>
    <w:uiPriority w:val="0"/>
    <w:pPr>
      <w:adjustRightInd w:val="0"/>
      <w:snapToGrid w:val="0"/>
      <w:jc w:val="center"/>
    </w:pPr>
    <w:rPr>
      <w:rFonts w:ascii="Times New Roman" w:hAnsi="Times New Roman" w:eastAsia="宋体" w:cs="Times New Roman"/>
      <w:snapToGrid w:val="0"/>
      <w:sz w:val="21"/>
      <w:szCs w:val="21"/>
      <w:lang w:val="en-US" w:eastAsia="zh-CN" w:bidi="ar-SA"/>
    </w:rPr>
  </w:style>
  <w:style w:type="paragraph" w:customStyle="1" w:styleId="121">
    <w:name w:val="222222222222222222222"/>
    <w:basedOn w:val="1"/>
    <w:qFormat/>
    <w:uiPriority w:val="0"/>
    <w:pPr>
      <w:spacing w:line="240" w:lineRule="auto"/>
      <w:ind w:firstLine="0" w:firstLineChars="0"/>
      <w:jc w:val="center"/>
    </w:pPr>
    <w:rPr>
      <w:rFonts w:ascii="Times New Roman" w:hAnsi="Times New Roman" w:eastAsia="宋体"/>
      <w:sz w:val="21"/>
      <w:szCs w:val="21"/>
    </w:rPr>
  </w:style>
  <w:style w:type="paragraph" w:customStyle="1" w:styleId="122">
    <w:name w:val="表头zhou"/>
    <w:basedOn w:val="123"/>
    <w:qFormat/>
    <w:uiPriority w:val="0"/>
    <w:pPr>
      <w:tabs>
        <w:tab w:val="left" w:leader="underscore" w:pos="0"/>
        <w:tab w:val="left" w:leader="dot" w:pos="420"/>
      </w:tabs>
    </w:pPr>
    <w:rPr>
      <w:rFonts w:cs="等线"/>
    </w:rPr>
  </w:style>
  <w:style w:type="paragraph" w:customStyle="1" w:styleId="123">
    <w:name w:val="表格自动编号-德正"/>
    <w:basedOn w:val="1"/>
    <w:qFormat/>
    <w:uiPriority w:val="0"/>
    <w:pPr>
      <w:numPr>
        <w:ilvl w:val="5"/>
        <w:numId w:val="7"/>
      </w:numPr>
      <w:jc w:val="center"/>
    </w:pPr>
    <w:rPr>
      <w:rFonts w:ascii="Times New Roman" w:hAnsi="Times New Roman" w:eastAsia="宋体"/>
      <w:b/>
      <w:szCs w:val="21"/>
    </w:rPr>
  </w:style>
  <w:style w:type="paragraph" w:customStyle="1" w:styleId="124">
    <w:name w:val="德正表格"/>
    <w:basedOn w:val="1"/>
    <w:qFormat/>
    <w:uiPriority w:val="0"/>
    <w:pPr>
      <w:adjustRightInd w:val="0"/>
      <w:snapToGrid w:val="0"/>
      <w:spacing w:line="240" w:lineRule="auto"/>
      <w:ind w:firstLine="0" w:firstLineChars="0"/>
      <w:jc w:val="center"/>
    </w:pPr>
    <w:rPr>
      <w:rFonts w:hint="default" w:ascii="Times New Roman" w:hAnsi="Times New Roman" w:eastAsia="宋体"/>
      <w:sz w:val="21"/>
    </w:rPr>
  </w:style>
  <w:style w:type="paragraph" w:customStyle="1" w:styleId="125">
    <w:name w:val="表格内容-德正"/>
    <w:qFormat/>
    <w:uiPriority w:val="99"/>
    <w:pPr>
      <w:autoSpaceDE w:val="0"/>
      <w:autoSpaceDN w:val="0"/>
      <w:adjustRightInd w:val="0"/>
      <w:jc w:val="center"/>
    </w:pPr>
    <w:rPr>
      <w:rFonts w:ascii="Times New Roman" w:hAnsi="Times New Roman" w:eastAsia="宋体" w:cs="Times New Roman"/>
      <w:color w:val="000000"/>
      <w:sz w:val="21"/>
      <w:szCs w:val="21"/>
      <w:lang w:val="en-US" w:eastAsia="zh-CN" w:bidi="ar-SA"/>
    </w:rPr>
  </w:style>
  <w:style w:type="paragraph" w:customStyle="1" w:styleId="126">
    <w:name w:val="1、正文-德正"/>
    <w:basedOn w:val="1"/>
    <w:qFormat/>
    <w:uiPriority w:val="0"/>
    <w:pPr>
      <w:spacing w:line="360" w:lineRule="auto"/>
      <w:ind w:firstLine="720" w:firstLineChars="200"/>
    </w:pPr>
    <w:rPr>
      <w:kern w:val="0"/>
      <w:sz w:val="24"/>
      <w:szCs w:val="20"/>
    </w:rPr>
  </w:style>
  <w:style w:type="paragraph" w:customStyle="1" w:styleId="127">
    <w:name w:val="样式 小四 行距: 1.5 倍行距"/>
    <w:basedOn w:val="1"/>
    <w:qFormat/>
    <w:uiPriority w:val="0"/>
    <w:pPr>
      <w:ind w:firstLine="480" w:firstLineChars="200"/>
    </w:pPr>
    <w:rPr>
      <w:rFonts w:cs="宋体"/>
    </w:rPr>
  </w:style>
  <w:style w:type="paragraph" w:customStyle="1" w:styleId="128">
    <w:name w:val="图"/>
    <w:basedOn w:val="77"/>
    <w:qFormat/>
    <w:uiPriority w:val="0"/>
    <w:rPr>
      <w:sz w:val="24"/>
    </w:rPr>
  </w:style>
  <w:style w:type="paragraph" w:customStyle="1" w:styleId="129">
    <w:name w:val="样式 自动设置"/>
    <w:basedOn w:val="1"/>
    <w:qFormat/>
    <w:uiPriority w:val="0"/>
    <w:pPr>
      <w:autoSpaceDE w:val="0"/>
      <w:autoSpaceDN w:val="0"/>
      <w:adjustRightInd w:val="0"/>
      <w:snapToGrid w:val="0"/>
      <w:spacing w:before="50" w:beforeLines="50" w:line="288" w:lineRule="auto"/>
      <w:ind w:firstLine="200" w:firstLineChars="200"/>
    </w:pPr>
    <w:rPr>
      <w:rFonts w:cs="宋体"/>
      <w:sz w:val="24"/>
    </w:rPr>
  </w:style>
  <w:style w:type="paragraph" w:customStyle="1" w:styleId="130">
    <w:name w:val="B正文"/>
    <w:basedOn w:val="1"/>
    <w:qFormat/>
    <w:uiPriority w:val="0"/>
    <w:pPr>
      <w:ind w:firstLine="200"/>
    </w:pPr>
    <w:rPr>
      <w:kern w:val="0"/>
    </w:rPr>
  </w:style>
  <w:style w:type="paragraph" w:customStyle="1" w:styleId="131">
    <w:name w:val="德正正文"/>
    <w:basedOn w:val="1"/>
    <w:next w:val="1"/>
    <w:qFormat/>
    <w:uiPriority w:val="0"/>
    <w:pPr>
      <w:adjustRightInd w:val="0"/>
      <w:snapToGrid w:val="0"/>
      <w:spacing w:line="360" w:lineRule="auto"/>
      <w:ind w:firstLine="200" w:firstLineChars="200"/>
    </w:pPr>
    <w:rPr>
      <w:rFonts w:ascii="Times New Roman" w:hAnsi="Times New Roman" w:eastAsia="宋体" w:cs="宋体"/>
      <w:sz w:val="24"/>
    </w:rPr>
  </w:style>
  <w:style w:type="paragraph" w:customStyle="1" w:styleId="132">
    <w:name w:val="06F图名表名"/>
    <w:basedOn w:val="133"/>
    <w:next w:val="133"/>
    <w:qFormat/>
    <w:uiPriority w:val="0"/>
    <w:rPr>
      <w:rFonts w:eastAsia="宋体"/>
      <w:b/>
    </w:rPr>
  </w:style>
  <w:style w:type="paragraph" w:customStyle="1" w:styleId="133">
    <w:name w:val="07F表格文字"/>
    <w:basedOn w:val="134"/>
    <w:next w:val="134"/>
    <w:qFormat/>
    <w:uiPriority w:val="0"/>
    <w:pPr>
      <w:jc w:val="center"/>
    </w:pPr>
    <w:rPr>
      <w:rFonts w:eastAsia="宋体"/>
    </w:rPr>
  </w:style>
  <w:style w:type="paragraph" w:customStyle="1" w:styleId="134">
    <w:name w:val="08F表格批注"/>
    <w:basedOn w:val="1"/>
    <w:next w:val="1"/>
    <w:qFormat/>
    <w:uiPriority w:val="0"/>
    <w:pPr>
      <w:jc w:val="left"/>
    </w:pPr>
    <w:rPr>
      <w:rFonts w:ascii="Times New Roman" w:hAnsi="Times New Roman" w:eastAsia="宋体"/>
      <w:szCs w:val="21"/>
    </w:rPr>
  </w:style>
  <w:style w:type="paragraph" w:customStyle="1" w:styleId="135">
    <w:name w:val="02F表格内置文字"/>
    <w:basedOn w:val="133"/>
    <w:next w:val="119"/>
    <w:qFormat/>
    <w:uiPriority w:val="0"/>
    <w:rPr>
      <w:sz w:val="24"/>
      <w:szCs w:val="24"/>
    </w:rPr>
  </w:style>
  <w:style w:type="paragraph" w:customStyle="1" w:styleId="136">
    <w:name w:val="表格五号"/>
    <w:basedOn w:val="17"/>
    <w:qFormat/>
    <w:uiPriority w:val="0"/>
    <w:pPr>
      <w:adjustRightInd w:val="0"/>
      <w:snapToGrid w:val="0"/>
      <w:spacing w:line="210" w:lineRule="atLeast"/>
      <w:jc w:val="center"/>
      <w:textAlignment w:val="baseline"/>
    </w:pPr>
    <w:rPr>
      <w:rFonts w:ascii="Times New Roman" w:hAnsi="Times New Roman"/>
      <w:kern w:val="0"/>
      <w:sz w:val="21"/>
    </w:rPr>
  </w:style>
  <w:style w:type="paragraph" w:customStyle="1" w:styleId="137">
    <w:name w:val="表题"/>
    <w:basedOn w:val="11"/>
    <w:qFormat/>
    <w:uiPriority w:val="0"/>
    <w:pPr>
      <w:spacing w:before="0" w:after="0"/>
      <w:jc w:val="center"/>
    </w:pPr>
    <w:rPr>
      <w:rFonts w:eastAsia="宋体" w:cs="Times New Roman"/>
      <w:b/>
      <w:sz w:val="22"/>
      <w:szCs w:val="22"/>
    </w:rPr>
  </w:style>
  <w:style w:type="paragraph" w:customStyle="1" w:styleId="138">
    <w:name w:val="(A正文"/>
    <w:basedOn w:val="1"/>
    <w:qFormat/>
    <w:uiPriority w:val="0"/>
    <w:pPr>
      <w:spacing w:line="360" w:lineRule="auto"/>
      <w:ind w:firstLine="480" w:firstLineChars="200"/>
      <w:textAlignment w:val="center"/>
    </w:pPr>
    <w:rPr>
      <w:rFonts w:ascii="Times New Roman" w:hAnsi="Times New Roman" w:eastAsia="宋体" w:cs="Times New Roman"/>
      <w:color w:val="000000"/>
      <w:lang w:val="zh-CN"/>
    </w:rPr>
  </w:style>
  <w:style w:type="paragraph" w:customStyle="1" w:styleId="139">
    <w:name w:val="其他正文"/>
    <w:qFormat/>
    <w:uiPriority w:val="0"/>
    <w:pPr>
      <w:widowControl w:val="0"/>
      <w:spacing w:line="440" w:lineRule="exact"/>
      <w:ind w:firstLine="200" w:firstLineChars="200"/>
      <w:jc w:val="both"/>
    </w:pPr>
    <w:rPr>
      <w:rFonts w:ascii="Arial" w:hAnsi="Arial" w:eastAsia="宋体" w:cs="Arial"/>
      <w:kern w:val="2"/>
      <w:sz w:val="24"/>
      <w:szCs w:val="24"/>
      <w:lang w:val="en-US" w:eastAsia="zh-CN" w:bidi="ar-SA"/>
    </w:rPr>
  </w:style>
  <w:style w:type="paragraph" w:customStyle="1" w:styleId="140">
    <w:name w:val="表格的字"/>
    <w:next w:val="1"/>
    <w:qFormat/>
    <w:uiPriority w:val="0"/>
    <w:pPr>
      <w:jc w:val="center"/>
    </w:pPr>
    <w:rPr>
      <w:rFonts w:ascii="Times New Roman" w:hAnsi="Times New Roman" w:eastAsia="宋体" w:cs="Times New Roman"/>
      <w:kern w:val="2"/>
      <w:sz w:val="21"/>
      <w:szCs w:val="21"/>
      <w:lang w:val="en-US" w:eastAsia="zh-CN" w:bidi="ar-SA"/>
    </w:rPr>
  </w:style>
  <w:style w:type="paragraph" w:customStyle="1" w:styleId="141">
    <w:name w:val="默认段落字体 Para Char Char Char Char"/>
    <w:basedOn w:val="1"/>
    <w:qFormat/>
    <w:uiPriority w:val="0"/>
    <w:rPr>
      <w:sz w:val="24"/>
    </w:rPr>
  </w:style>
  <w:style w:type="paragraph" w:customStyle="1" w:styleId="142">
    <w:name w:val="ZH正文"/>
    <w:basedOn w:val="1"/>
    <w:qFormat/>
    <w:uiPriority w:val="0"/>
    <w:pPr>
      <w:jc w:val="left"/>
    </w:pPr>
    <w:rPr>
      <w:szCs w:val="24"/>
    </w:rPr>
  </w:style>
  <w:style w:type="paragraph" w:customStyle="1" w:styleId="143">
    <w:name w:val="D图表内容"/>
    <w:basedOn w:val="1"/>
    <w:next w:val="1"/>
    <w:qFormat/>
    <w:uiPriority w:val="0"/>
    <w:pPr>
      <w:widowControl/>
      <w:spacing w:line="240" w:lineRule="auto"/>
      <w:jc w:val="center"/>
    </w:pPr>
    <w:rPr>
      <w:rFonts w:cs="宋体"/>
      <w:sz w:val="21"/>
      <w:szCs w:val="18"/>
    </w:rPr>
  </w:style>
  <w:style w:type="paragraph" w:customStyle="1" w:styleId="144">
    <w:name w:val="D图表内容-五号"/>
    <w:basedOn w:val="1"/>
    <w:next w:val="145"/>
    <w:qFormat/>
    <w:uiPriority w:val="0"/>
    <w:pPr>
      <w:widowControl/>
      <w:spacing w:line="240" w:lineRule="atLeast"/>
      <w:ind w:firstLine="0" w:firstLineChars="0"/>
      <w:jc w:val="center"/>
    </w:pPr>
    <w:rPr>
      <w:rFonts w:cs="宋体"/>
      <w:sz w:val="21"/>
      <w:szCs w:val="18"/>
    </w:rPr>
  </w:style>
  <w:style w:type="paragraph" w:customStyle="1" w:styleId="145">
    <w:name w:val="图表内容"/>
    <w:basedOn w:val="28"/>
    <w:next w:val="1"/>
    <w:qFormat/>
    <w:uiPriority w:val="0"/>
    <w:pPr>
      <w:spacing w:line="240" w:lineRule="auto"/>
      <w:ind w:firstLine="0" w:firstLineChars="0"/>
      <w:jc w:val="left"/>
    </w:pPr>
    <w:rPr>
      <w:rFonts w:ascii="Calibri" w:hAnsi="Calibri"/>
      <w:sz w:val="21"/>
    </w:rPr>
  </w:style>
  <w:style w:type="paragraph" w:customStyle="1" w:styleId="146">
    <w:name w:val="正文右侧"/>
    <w:basedOn w:val="147"/>
    <w:qFormat/>
    <w:uiPriority w:val="0"/>
    <w:pPr>
      <w:spacing w:line="400" w:lineRule="exact"/>
      <w:ind w:firstLine="200" w:firstLineChars="200"/>
      <w:jc w:val="both"/>
    </w:pPr>
    <w:rPr>
      <w:kern w:val="0"/>
      <w:sz w:val="21"/>
    </w:rPr>
  </w:style>
  <w:style w:type="paragraph" w:customStyle="1" w:styleId="147">
    <w:name w:val="0-6表格内"/>
    <w:basedOn w:val="1"/>
    <w:qFormat/>
    <w:uiPriority w:val="0"/>
    <w:pPr>
      <w:adjustRightInd w:val="0"/>
      <w:jc w:val="center"/>
    </w:pPr>
    <w:rPr>
      <w:sz w:val="18"/>
      <w:szCs w:val="21"/>
    </w:rPr>
  </w:style>
  <w:style w:type="paragraph" w:customStyle="1" w:styleId="148">
    <w:name w:val="冠恒"/>
    <w:basedOn w:val="1"/>
    <w:qFormat/>
    <w:uiPriority w:val="0"/>
    <w:pPr>
      <w:spacing w:line="360" w:lineRule="auto"/>
      <w:ind w:firstLine="720" w:firstLineChars="200"/>
    </w:pPr>
    <w:rPr>
      <w:rFonts w:ascii="Times New Roman" w:hAnsi="Times New Roman" w:eastAsia="宋体"/>
      <w:sz w:val="24"/>
    </w:rPr>
  </w:style>
  <w:style w:type="paragraph" w:customStyle="1" w:styleId="149">
    <w:name w:val="常用样式（方正仿宋简）"/>
    <w:basedOn w:val="1"/>
    <w:next w:val="1"/>
    <w:qFormat/>
    <w:uiPriority w:val="99"/>
    <w:pPr>
      <w:spacing w:line="560" w:lineRule="exact"/>
      <w:ind w:firstLine="640" w:firstLineChars="200"/>
    </w:pPr>
    <w:rPr>
      <w:sz w:val="32"/>
      <w:szCs w:val="32"/>
    </w:rPr>
  </w:style>
  <w:style w:type="paragraph" w:customStyle="1" w:styleId="150">
    <w:name w:val="报告表正文"/>
    <w:basedOn w:val="1"/>
    <w:qFormat/>
    <w:uiPriority w:val="0"/>
    <w:pPr>
      <w:adjustRightInd w:val="0"/>
      <w:spacing w:line="312" w:lineRule="auto"/>
      <w:ind w:left="113" w:right="113" w:firstLine="482"/>
      <w:jc w:val="left"/>
      <w:textAlignment w:val="baseline"/>
    </w:pPr>
    <w:rPr>
      <w:kern w:val="0"/>
      <w:sz w:val="24"/>
      <w:szCs w:val="20"/>
    </w:rPr>
  </w:style>
  <w:style w:type="character" w:customStyle="1" w:styleId="151">
    <w:name w:val="NormalCharacter"/>
    <w:semiHidden/>
    <w:qFormat/>
    <w:uiPriority w:val="0"/>
    <w:rPr>
      <w:rFonts w:ascii="Tahoma" w:hAnsi="Tahoma"/>
      <w:sz w:val="22"/>
      <w:szCs w:val="22"/>
      <w:lang w:val="en-US" w:eastAsia="zh-CN" w:bidi="ar-SA"/>
    </w:rPr>
  </w:style>
  <w:style w:type="paragraph" w:customStyle="1" w:styleId="152">
    <w:name w:val="Other|1"/>
    <w:basedOn w:val="1"/>
    <w:qFormat/>
    <w:uiPriority w:val="0"/>
    <w:pPr>
      <w:spacing w:after="100"/>
    </w:pPr>
    <w:rPr>
      <w:rFonts w:ascii="宋体" w:hAnsi="宋体" w:cs="宋体"/>
      <w:sz w:val="26"/>
      <w:szCs w:val="26"/>
      <w:lang w:val="zh-TW" w:eastAsia="zh-TW" w:bidi="zh-TW"/>
    </w:rPr>
  </w:style>
  <w:style w:type="paragraph" w:customStyle="1" w:styleId="153">
    <w:name w:val="彩色列表 - 着色 11"/>
    <w:basedOn w:val="1"/>
    <w:qFormat/>
    <w:uiPriority w:val="34"/>
    <w:pPr>
      <w:widowControl w:val="0"/>
      <w:adjustRightInd/>
      <w:snapToGrid/>
      <w:spacing w:after="0"/>
      <w:ind w:firstLine="420" w:firstLineChars="200"/>
      <w:jc w:val="both"/>
    </w:pPr>
    <w:rPr>
      <w:rFonts w:ascii="Calibri" w:hAnsi="Calibri"/>
      <w:kern w:val="2"/>
      <w:sz w:val="21"/>
    </w:rPr>
  </w:style>
  <w:style w:type="paragraph" w:customStyle="1" w:styleId="154">
    <w:name w:val="样式"/>
    <w:qFormat/>
    <w:uiPriority w:val="0"/>
    <w:pPr>
      <w:widowControl w:val="0"/>
      <w:autoSpaceDE w:val="0"/>
      <w:autoSpaceDN w:val="0"/>
      <w:adjustRightInd w:val="0"/>
    </w:pPr>
    <w:rPr>
      <w:rFonts w:ascii="Calibri" w:hAnsi="Calibri" w:eastAsia="宋体" w:cs="Times New Roman"/>
      <w:sz w:val="24"/>
      <w:szCs w:val="24"/>
      <w:lang w:val="en-US" w:eastAsia="zh-CN" w:bidi="ar-SA"/>
    </w:rPr>
  </w:style>
  <w:style w:type="paragraph" w:customStyle="1" w:styleId="155">
    <w:name w:val="D正文"/>
    <w:basedOn w:val="156"/>
    <w:qFormat/>
    <w:uiPriority w:val="0"/>
    <w:pPr>
      <w:spacing w:line="396" w:lineRule="auto"/>
      <w:ind w:firstLine="200" w:firstLineChars="200"/>
    </w:pPr>
    <w:rPr>
      <w:rFonts w:ascii="Times New Roman" w:hAnsi="Times New Roman"/>
      <w:color w:val="auto"/>
      <w:sz w:val="20"/>
      <w:szCs w:val="20"/>
    </w:rPr>
  </w:style>
  <w:style w:type="paragraph" w:customStyle="1" w:styleId="156">
    <w:name w:val="正文对的"/>
    <w:basedOn w:val="15"/>
    <w:qFormat/>
    <w:uiPriority w:val="0"/>
    <w:pPr>
      <w:spacing w:line="400" w:lineRule="exact"/>
    </w:pPr>
    <w:rPr>
      <w:rFonts w:hAnsi="宋体"/>
    </w:rPr>
  </w:style>
  <w:style w:type="paragraph" w:customStyle="1" w:styleId="157">
    <w:name w:val="砖厂-表格标题"/>
    <w:qFormat/>
    <w:uiPriority w:val="0"/>
    <w:pPr>
      <w:jc w:val="center"/>
    </w:pPr>
    <w:rPr>
      <w:rFonts w:ascii="Times New Roman" w:hAnsi="Times New Roman" w:eastAsia="宋体" w:cs="Times New Roman"/>
      <w:b/>
      <w:sz w:val="24"/>
      <w:lang w:val="en-US" w:eastAsia="zh-CN" w:bidi="ar-SA"/>
    </w:rPr>
  </w:style>
  <w:style w:type="paragraph" w:customStyle="1" w:styleId="158">
    <w:name w:val="[正文格式]"/>
    <w:basedOn w:val="1"/>
    <w:qFormat/>
    <w:uiPriority w:val="0"/>
    <w:pPr>
      <w:spacing w:line="360" w:lineRule="auto"/>
      <w:ind w:firstLine="200" w:firstLineChars="200"/>
    </w:pPr>
    <w:rPr>
      <w:rFonts w:cs="宋体"/>
      <w:sz w:val="24"/>
    </w:rPr>
  </w:style>
  <w:style w:type="paragraph" w:customStyle="1" w:styleId="159">
    <w:name w:val="0表格内容"/>
    <w:basedOn w:val="160"/>
    <w:qFormat/>
    <w:uiPriority w:val="0"/>
    <w:pPr>
      <w:spacing w:line="240" w:lineRule="auto"/>
    </w:pPr>
  </w:style>
  <w:style w:type="paragraph" w:customStyle="1" w:styleId="160">
    <w:name w:val="B表内"/>
    <w:basedOn w:val="1"/>
    <w:qFormat/>
    <w:uiPriority w:val="0"/>
    <w:pPr>
      <w:spacing w:line="0" w:lineRule="atLeast"/>
      <w:jc w:val="center"/>
    </w:pPr>
    <w:rPr>
      <w:rFonts w:cs="宋体"/>
      <w:szCs w:val="20"/>
    </w:rPr>
  </w:style>
  <w:style w:type="paragraph" w:customStyle="1" w:styleId="161">
    <w:name w:val="aa表格内容"/>
    <w:basedOn w:val="1"/>
    <w:qFormat/>
    <w:uiPriority w:val="0"/>
    <w:pPr>
      <w:adjustRightInd w:val="0"/>
      <w:snapToGrid w:val="0"/>
      <w:spacing w:line="240" w:lineRule="auto"/>
      <w:ind w:firstLine="0" w:firstLineChars="0"/>
      <w:jc w:val="center"/>
    </w:pPr>
    <w:rPr>
      <w:sz w:val="21"/>
      <w:szCs w:val="21"/>
    </w:rPr>
  </w:style>
  <w:style w:type="table" w:customStyle="1" w:styleId="162">
    <w:name w:val="lily 表格1"/>
    <w:basedOn w:val="32"/>
    <w:qFormat/>
    <w:uiPriority w:val="0"/>
    <w:pPr>
      <w:widowControl w:val="0"/>
      <w:jc w:val="center"/>
    </w:pPr>
    <w:tblPr>
      <w:jc w:val="center"/>
      <w:tblBorders>
        <w:top w:val="single" w:color="auto" w:sz="18" w:space="0"/>
        <w:bottom w:val="single" w:color="auto" w:sz="18" w:space="0"/>
        <w:insideH w:val="single" w:color="auto" w:sz="4" w:space="0"/>
        <w:insideV w:val="single" w:color="auto" w:sz="4" w:space="0"/>
      </w:tblBorders>
    </w:tblPr>
    <w:trPr>
      <w:jc w:val="center"/>
    </w:trPr>
    <w:tcPr>
      <w:vAlign w:val="center"/>
    </w:tcPr>
  </w:style>
  <w:style w:type="paragraph" w:customStyle="1" w:styleId="163">
    <w:name w:val="aaa正文"/>
    <w:qFormat/>
    <w:uiPriority w:val="0"/>
    <w:pPr>
      <w:adjustRightInd w:val="0"/>
      <w:snapToGrid w:val="0"/>
      <w:spacing w:line="360" w:lineRule="auto"/>
      <w:ind w:firstLine="200" w:firstLineChars="200"/>
    </w:pPr>
    <w:rPr>
      <w:rFonts w:ascii="Times New Roman" w:hAnsi="Times New Roman" w:eastAsia="宋体" w:cs="Times New Roman"/>
      <w:kern w:val="2"/>
      <w:sz w:val="24"/>
      <w:szCs w:val="24"/>
      <w:lang w:val="en-US" w:eastAsia="zh-CN" w:bidi="ar-SA"/>
    </w:rPr>
  </w:style>
  <w:style w:type="table" w:customStyle="1" w:styleId="164">
    <w:name w:val="表格标准格式"/>
    <w:basedOn w:val="32"/>
    <w:qFormat/>
    <w:uiPriority w:val="99"/>
    <w:pPr>
      <w:jc w:val="center"/>
    </w:pPr>
    <w:rPr>
      <w:sz w:val="21"/>
      <w:szCs w:val="22"/>
    </w:rPr>
    <w:tblPr>
      <w:tblBorders>
        <w:top w:val="single" w:color="auto" w:sz="12" w:space="0"/>
        <w:bottom w:val="single" w:color="auto" w:sz="12" w:space="0"/>
        <w:insideH w:val="single" w:color="auto" w:sz="6" w:space="0"/>
        <w:insideV w:val="single" w:color="auto" w:sz="6" w:space="0"/>
      </w:tblBorders>
    </w:tblPr>
    <w:tcPr>
      <w:vAlign w:val="center"/>
    </w:tcPr>
  </w:style>
  <w:style w:type="paragraph" w:customStyle="1" w:styleId="165">
    <w:name w:val="ck的表格内容"/>
    <w:basedOn w:val="1"/>
    <w:qFormat/>
    <w:uiPriority w:val="0"/>
    <w:pPr>
      <w:overflowPunct w:val="0"/>
      <w:adjustRightInd w:val="0"/>
      <w:textAlignment w:val="baseline"/>
    </w:pPr>
    <w:rPr>
      <w:rFonts w:ascii="Times New Roman" w:hAnsi="Times New Roman" w:cs="Times New Roman"/>
      <w:sz w:val="24"/>
      <w:szCs w:val="20"/>
    </w:rPr>
  </w:style>
  <w:style w:type="paragraph" w:customStyle="1" w:styleId="166">
    <w:name w:val="正文123"/>
    <w:basedOn w:val="1"/>
    <w:next w:val="17"/>
    <w:qFormat/>
    <w:uiPriority w:val="0"/>
    <w:pPr>
      <w:snapToGrid/>
      <w:spacing w:line="360" w:lineRule="auto"/>
      <w:ind w:firstLine="480" w:firstLineChars="200"/>
    </w:pPr>
    <w:rPr>
      <w:rFonts w:ascii="Times New Roman" w:hAnsi="Times New Roman" w:eastAsia="宋体"/>
      <w:sz w:val="24"/>
    </w:rPr>
  </w:style>
  <w:style w:type="paragraph" w:customStyle="1" w:styleId="167">
    <w:name w:val="砖厂-表格文字"/>
    <w:qFormat/>
    <w:uiPriority w:val="0"/>
    <w:pPr>
      <w:jc w:val="center"/>
    </w:pPr>
    <w:rPr>
      <w:rFonts w:ascii="Times New Roman" w:hAnsi="Times New Roman" w:eastAsia="宋体" w:cs="Times New Roman"/>
      <w:sz w:val="21"/>
      <w:lang w:val="en-US" w:eastAsia="zh-CN" w:bidi="ar-SA"/>
    </w:rPr>
  </w:style>
  <w:style w:type="paragraph" w:customStyle="1" w:styleId="168">
    <w:name w:val="BG文字"/>
    <w:basedOn w:val="1"/>
    <w:qFormat/>
    <w:uiPriority w:val="0"/>
    <w:pPr>
      <w:spacing w:line="360" w:lineRule="atLeast"/>
      <w:ind w:firstLine="0" w:firstLineChars="0"/>
      <w:jc w:val="center"/>
    </w:pPr>
    <w:rPr>
      <w:sz w:val="21"/>
    </w:rPr>
  </w:style>
  <w:style w:type="paragraph" w:customStyle="1" w:styleId="169">
    <w:name w:val="BT字体"/>
    <w:basedOn w:val="1"/>
    <w:qFormat/>
    <w:uiPriority w:val="0"/>
    <w:pPr>
      <w:spacing w:line="0" w:lineRule="atLeast"/>
      <w:ind w:firstLine="0" w:firstLineChars="0"/>
      <w:jc w:val="center"/>
    </w:pPr>
    <w:rPr>
      <w:b/>
    </w:rPr>
  </w:style>
  <w:style w:type="character" w:customStyle="1" w:styleId="170">
    <w:name w:val="font71"/>
    <w:basedOn w:val="34"/>
    <w:qFormat/>
    <w:uiPriority w:val="0"/>
    <w:rPr>
      <w:rFonts w:hint="eastAsia" w:ascii="宋体" w:hAnsi="宋体" w:eastAsia="宋体" w:cs="宋体"/>
      <w:b/>
      <w:bCs/>
      <w:color w:val="000000"/>
      <w:sz w:val="21"/>
      <w:szCs w:val="21"/>
      <w:u w:val="none"/>
    </w:rPr>
  </w:style>
  <w:style w:type="character" w:customStyle="1" w:styleId="171">
    <w:name w:val="font81"/>
    <w:basedOn w:val="34"/>
    <w:qFormat/>
    <w:uiPriority w:val="0"/>
    <w:rPr>
      <w:rFonts w:hint="eastAsia" w:ascii="宋体" w:hAnsi="宋体" w:eastAsia="宋体" w:cs="宋体"/>
      <w:b/>
      <w:bCs/>
      <w:color w:val="FF0000"/>
      <w:sz w:val="21"/>
      <w:szCs w:val="21"/>
      <w:u w:val="none"/>
    </w:rPr>
  </w:style>
  <w:style w:type="character" w:customStyle="1" w:styleId="172">
    <w:name w:val="font91"/>
    <w:basedOn w:val="34"/>
    <w:qFormat/>
    <w:uiPriority w:val="0"/>
    <w:rPr>
      <w:rFonts w:hint="eastAsia" w:ascii="宋体" w:hAnsi="宋体" w:eastAsia="宋体" w:cs="宋体"/>
      <w:color w:val="000000"/>
      <w:sz w:val="21"/>
      <w:szCs w:val="21"/>
      <w:u w:val="none"/>
    </w:rPr>
  </w:style>
  <w:style w:type="character" w:customStyle="1" w:styleId="173">
    <w:name w:val="font101"/>
    <w:basedOn w:val="34"/>
    <w:qFormat/>
    <w:uiPriority w:val="0"/>
    <w:rPr>
      <w:rFonts w:hint="eastAsia" w:ascii="宋体" w:hAnsi="宋体" w:eastAsia="宋体" w:cs="宋体"/>
      <w:color w:val="000000"/>
      <w:sz w:val="20"/>
      <w:szCs w:val="20"/>
      <w:u w:val="none"/>
    </w:rPr>
  </w:style>
  <w:style w:type="paragraph" w:customStyle="1" w:styleId="174">
    <w:name w:val="样式 标题 1一级标题 + 段前: 0.5 行 段后: 0.5 行"/>
    <w:basedOn w:val="2"/>
    <w:autoRedefine/>
    <w:qFormat/>
    <w:uiPriority w:val="99"/>
    <w:pPr>
      <w:spacing w:line="320" w:lineRule="exact"/>
      <w:outlineLvl w:val="9"/>
    </w:pPr>
    <w:rPr>
      <w:spacing w:val="-6"/>
      <w:sz w:val="21"/>
      <w:szCs w:val="21"/>
    </w:rPr>
  </w:style>
  <w:style w:type="paragraph" w:customStyle="1" w:styleId="175">
    <w:name w:val="0表格标题"/>
    <w:basedOn w:val="1"/>
    <w:qFormat/>
    <w:uiPriority w:val="0"/>
    <w:pPr>
      <w:spacing w:before="156" w:beforeLines="50"/>
      <w:jc w:val="center"/>
    </w:pPr>
    <w:rPr>
      <w:b/>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numbering" Target="numbering.xml"/><Relationship Id="rId42" Type="http://schemas.openxmlformats.org/officeDocument/2006/relationships/customXml" Target="../customXml/item1.xml"/><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endnotes" Target="endnotes.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image" Target="media/image16.png"/><Relationship Id="rId3" Type="http://schemas.openxmlformats.org/officeDocument/2006/relationships/footnotes" Target="footnote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emf"/><Relationship Id="rId23" Type="http://schemas.openxmlformats.org/officeDocument/2006/relationships/oleObject" Target="embeddings/oleObject6.bin"/><Relationship Id="rId22" Type="http://schemas.openxmlformats.org/officeDocument/2006/relationships/image" Target="media/image9.emf"/><Relationship Id="rId21" Type="http://schemas.openxmlformats.org/officeDocument/2006/relationships/oleObject" Target="embeddings/oleObject5.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7.png"/><Relationship Id="rId17" Type="http://schemas.openxmlformats.org/officeDocument/2006/relationships/image" Target="media/image6.emf"/><Relationship Id="rId16" Type="http://schemas.openxmlformats.org/officeDocument/2006/relationships/oleObject" Target="embeddings/oleObject3.bin"/><Relationship Id="rId15" Type="http://schemas.openxmlformats.org/officeDocument/2006/relationships/image" Target="media/image5.emf"/><Relationship Id="rId14" Type="http://schemas.openxmlformats.org/officeDocument/2006/relationships/oleObject" Target="embeddings/oleObject2.bin"/><Relationship Id="rId13" Type="http://schemas.openxmlformats.org/officeDocument/2006/relationships/image" Target="media/image4.emf"/><Relationship Id="rId12" Type="http://schemas.openxmlformats.org/officeDocument/2006/relationships/oleObject" Target="embeddings/oleObject1.bin"/><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126</Pages>
  <Words>74508</Words>
  <Characters>87654</Characters>
  <Lines>420</Lines>
  <Paragraphs>118</Paragraphs>
  <TotalTime>1</TotalTime>
  <ScaleCrop>false</ScaleCrop>
  <LinksUpToDate>false</LinksUpToDate>
  <CharactersWithSpaces>87903</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2023-11-23T10:06:00Z</dcterms:created>
  <dc:creator>刘杰</dc:creator>
  <cp:lastModifiedBy>工作中 </cp:lastModifiedBy>
  <dcterms:modified xsi:type="dcterms:W3CDTF">2024-10-14T06:34:04Z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13393040F98342EFB3D400796559C4AE_13</vt:lpwstr>
  </property>
</Properties>
</file>