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8C237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3"/>
          <w:szCs w:val="43"/>
          <w:lang w:val="en-US" w:eastAsia="zh-CN" w:bidi="ar"/>
        </w:rPr>
      </w:pPr>
      <w:r>
        <w:rPr>
          <w:rFonts w:ascii="方正小标宋简体" w:hAnsi="方正小标宋简体" w:eastAsia="方正小标宋简体" w:cs="方正小标宋简体"/>
          <w:color w:val="000000"/>
          <w:kern w:val="0"/>
          <w:sz w:val="43"/>
          <w:szCs w:val="43"/>
          <w:lang w:val="en-US" w:eastAsia="zh-CN" w:bidi="ar"/>
        </w:rPr>
        <w:t>景德镇市持续推进城市更新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3"/>
          <w:szCs w:val="43"/>
          <w:lang w:val="en-US" w:eastAsia="zh-CN" w:bidi="ar"/>
        </w:rPr>
        <w:t>行动实施方案</w:t>
      </w:r>
    </w:p>
    <w:p w14:paraId="6F06390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eastAsia="仿宋_GB2312" w:cs="仿宋_GB2312"/>
          <w:color w:val="000000"/>
          <w:sz w:val="31"/>
          <w:szCs w:val="31"/>
          <w:lang w:val="en-US" w:eastAsia="zh-CN"/>
        </w:rPr>
      </w:pPr>
      <w:r>
        <w:rPr>
          <w:rFonts w:hint="eastAsia" w:ascii="仿宋_GB2312" w:eastAsia="仿宋_GB2312" w:cs="仿宋_GB2312"/>
          <w:color w:val="000000"/>
          <w:sz w:val="31"/>
          <w:szCs w:val="31"/>
          <w:lang w:val="en-US" w:eastAsia="zh-CN"/>
        </w:rPr>
        <w:t>（征求意见稿）</w:t>
      </w:r>
    </w:p>
    <w:p w14:paraId="5173403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3"/>
          <w:szCs w:val="43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3"/>
          <w:szCs w:val="43"/>
          <w:lang w:val="en-US" w:eastAsia="zh-CN" w:bidi="ar"/>
        </w:rPr>
        <w:t xml:space="preserve">  </w:t>
      </w:r>
    </w:p>
    <w:p w14:paraId="66FE9F3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jc w:val="left"/>
        <w:textAlignment w:val="auto"/>
      </w:pPr>
      <w:r>
        <w:rPr>
          <w:rFonts w:ascii="仿宋_GB2312" w:eastAsia="仿宋_GB2312" w:cs="仿宋_GB2312"/>
          <w:color w:val="000000"/>
          <w:sz w:val="31"/>
          <w:szCs w:val="31"/>
        </w:rPr>
        <w:t>为贯彻落实党中央、国务院和省委、省政府关于城市更新工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作的重大决策部署，高标准高质量统筹推进好房子、好小区、好社区、好城区建设，进一步建好景德镇国家陶瓷文化传承创新试验区，加快推进我市</w:t>
      </w:r>
      <w:r>
        <w:rPr>
          <w:rFonts w:hint="default" w:ascii="Times New Roman" w:hAnsi="Times New Roman" w:cs="Times New Roman"/>
          <w:color w:val="000000"/>
          <w:sz w:val="31"/>
          <w:szCs w:val="31"/>
        </w:rPr>
        <w:t>“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十五五</w:t>
      </w:r>
      <w:r>
        <w:rPr>
          <w:rFonts w:hint="default" w:ascii="Times New Roman" w:hAnsi="Times New Roman" w:cs="Times New Roman"/>
          <w:color w:val="000000"/>
          <w:sz w:val="31"/>
          <w:szCs w:val="31"/>
        </w:rPr>
        <w:t>”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时期城市更新工作，促进城市结构优化、功能完善、文脉赓续、品质提升</w:t>
      </w:r>
      <w:bookmarkStart w:id="0" w:name="_GoBack"/>
      <w:bookmarkEnd w:id="0"/>
      <w:r>
        <w:rPr>
          <w:rFonts w:hint="eastAsia" w:ascii="仿宋_GB2312" w:eastAsia="仿宋_GB2312" w:cs="仿宋_GB2312"/>
          <w:color w:val="000000"/>
          <w:sz w:val="31"/>
          <w:szCs w:val="31"/>
        </w:rPr>
        <w:t>，打造创新、宜居、美丽、韧性、文明、智慧现代化人民城市，特制定本实施方案。</w:t>
      </w:r>
    </w:p>
    <w:p w14:paraId="093E287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jc w:val="left"/>
        <w:textAlignment w:val="auto"/>
      </w:pPr>
      <w:r>
        <w:rPr>
          <w:rFonts w:ascii="黑体" w:hAnsi="宋体" w:eastAsia="黑体" w:cs="黑体"/>
          <w:color w:val="000000"/>
          <w:sz w:val="31"/>
          <w:szCs w:val="31"/>
        </w:rPr>
        <w:t>一、总体要求</w:t>
      </w:r>
    </w:p>
    <w:p w14:paraId="3A808BC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jc w:val="left"/>
        <w:textAlignment w:val="auto"/>
      </w:pPr>
      <w:r>
        <w:rPr>
          <w:rFonts w:hint="eastAsia" w:ascii="仿宋_GB2312" w:eastAsia="仿宋_GB2312" w:cs="仿宋_GB2312"/>
          <w:color w:val="000000"/>
          <w:sz w:val="31"/>
          <w:szCs w:val="31"/>
        </w:rPr>
        <w:t>以习近平新时代中国特色社会主义思想为指导，深入贯彻党的二十大和二十届二中、三中全会及中央城市工作会议精神，践行</w:t>
      </w:r>
      <w:r>
        <w:rPr>
          <w:rFonts w:hint="default" w:ascii="Times New Roman" w:hAnsi="Times New Roman" w:cs="Times New Roman"/>
          <w:color w:val="000000"/>
          <w:sz w:val="31"/>
          <w:szCs w:val="31"/>
        </w:rPr>
        <w:t>“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人民城市人民建，人民城市为人民</w:t>
      </w:r>
      <w:r>
        <w:rPr>
          <w:rFonts w:hint="default" w:ascii="Times New Roman" w:hAnsi="Times New Roman" w:cs="Times New Roman"/>
          <w:color w:val="000000"/>
          <w:sz w:val="31"/>
          <w:szCs w:val="31"/>
        </w:rPr>
        <w:t>”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重要理念，持续推进城市更新行动，聚焦城区结构优化、片区传统风貌特色、社区品质提升建设等重点任务，建成一批城市更新项目，提高城市功能品质和人民生活品质。至</w:t>
      </w:r>
      <w:r>
        <w:rPr>
          <w:rFonts w:hint="default" w:ascii="Times New Roman" w:hAnsi="Times New Roman" w:cs="Times New Roman"/>
          <w:color w:val="000000"/>
          <w:sz w:val="31"/>
          <w:szCs w:val="31"/>
        </w:rPr>
        <w:t>2030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年，城市更新政策机制、标准体系更加完善，城市发展定位更明确，空间布局更合理，治理服务更高效，老城保护再现千年古镇风貌特色，街区里弄重续瓷业文明脉络，社区人居环境得到明显改善，历史文化传承与现代生产生活相融共生。</w:t>
      </w:r>
    </w:p>
    <w:p w14:paraId="07EC03A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jc w:val="left"/>
        <w:textAlignment w:val="auto"/>
      </w:pPr>
      <w:r>
        <w:rPr>
          <w:rFonts w:hint="eastAsia" w:ascii="黑体" w:hAnsi="宋体" w:eastAsia="黑体" w:cs="黑体"/>
          <w:color w:val="000000"/>
          <w:sz w:val="31"/>
          <w:szCs w:val="31"/>
        </w:rPr>
        <w:t>二、主要任务</w:t>
      </w:r>
    </w:p>
    <w:p w14:paraId="56C31F2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jc w:val="left"/>
        <w:textAlignment w:val="auto"/>
      </w:pPr>
      <w:r>
        <w:rPr>
          <w:rFonts w:hint="eastAsia" w:ascii="仿宋_GB2312" w:eastAsia="仿宋_GB2312" w:cs="仿宋_GB2312"/>
          <w:color w:val="000000"/>
          <w:sz w:val="31"/>
          <w:szCs w:val="31"/>
        </w:rPr>
        <w:t>坚持问题导向，着力在补短板、调结构、提品质上下功夫，注重存量提质改造与增量结构调整并重、文化传承与创新发展并举、老城保护与新城建设并进，全面提升城市更新水平和城市发</w:t>
      </w:r>
      <w:r>
        <w:rPr>
          <w:rFonts w:ascii="仿宋_GB2312" w:eastAsia="仿宋_GB2312" w:cs="仿宋_GB2312"/>
          <w:color w:val="000000"/>
          <w:sz w:val="31"/>
          <w:szCs w:val="31"/>
        </w:rPr>
        <w:t>展质量。</w:t>
      </w:r>
    </w:p>
    <w:p w14:paraId="05F9EFC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jc w:val="left"/>
        <w:textAlignment w:val="auto"/>
      </w:pPr>
      <w:r>
        <w:rPr>
          <w:rFonts w:ascii="楷体_GB2312" w:eastAsia="楷体_GB2312" w:cs="楷体_GB2312"/>
          <w:color w:val="000000"/>
          <w:sz w:val="31"/>
          <w:szCs w:val="31"/>
        </w:rPr>
        <w:t>（一）城区结构更新优化建设</w:t>
      </w:r>
    </w:p>
    <w:p w14:paraId="1C9572E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jc w:val="left"/>
        <w:textAlignment w:val="auto"/>
      </w:pPr>
      <w:r>
        <w:rPr>
          <w:rFonts w:hint="eastAsia" w:ascii="仿宋_GB2312" w:eastAsia="仿宋_GB2312" w:cs="仿宋_GB2312"/>
          <w:color w:val="000000"/>
          <w:sz w:val="31"/>
          <w:szCs w:val="31"/>
        </w:rPr>
        <w:t>优化调整城市更新专项规划，重点围绕解决城市存在的交通、市政、防洪排涝等系统性问题，优化布局城市交通体系、防灾体系，完善市政基础设施体系，推动城市结构优化、功能完善。</w:t>
      </w:r>
    </w:p>
    <w:p w14:paraId="77B4838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jc w:val="left"/>
        <w:textAlignment w:val="auto"/>
      </w:pPr>
      <w:r>
        <w:rPr>
          <w:rFonts w:hint="default" w:ascii="Times New Roman" w:hAnsi="Times New Roman" w:cs="Times New Roman"/>
          <w:color w:val="000000"/>
          <w:sz w:val="31"/>
          <w:szCs w:val="31"/>
        </w:rPr>
        <w:t>1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．完善城市公共空间规划。将城市更新专项规划纳入国土空间规划</w:t>
      </w:r>
      <w:r>
        <w:rPr>
          <w:rFonts w:hint="default" w:ascii="Times New Roman" w:hAnsi="Times New Roman" w:cs="Times New Roman"/>
          <w:color w:val="000000"/>
          <w:sz w:val="31"/>
          <w:szCs w:val="31"/>
        </w:rPr>
        <w:t>“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一张图</w:t>
      </w:r>
      <w:r>
        <w:rPr>
          <w:rFonts w:hint="default" w:ascii="Times New Roman" w:hAnsi="Times New Roman" w:cs="Times New Roman"/>
          <w:color w:val="000000"/>
          <w:sz w:val="31"/>
          <w:szCs w:val="31"/>
        </w:rPr>
        <w:t>”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管理，市本级城镇开发边界内科学布局文化、教育、体育、医疗卫生和社会福利等五类公共服务设施用地，进一步健全城市、街区、社区公共服务体系，推进全民友好城市建设。</w:t>
      </w:r>
      <w:r>
        <w:rPr>
          <w:rFonts w:hint="default" w:ascii="楷体_GB2312" w:eastAsia="楷体_GB2312" w:cs="楷体_GB2312"/>
          <w:color w:val="000000"/>
          <w:sz w:val="31"/>
          <w:szCs w:val="31"/>
        </w:rPr>
        <w:t>〔牵头单位：自然资源规划局，责任单位：住建局、教体局、民政局、商务局、文旅局、卫健委、应急局、城管局、各县（市、区）政府，以下均需各县（市、区）政府落实，不再列出〕</w:t>
      </w:r>
    </w:p>
    <w:p w14:paraId="5982F8F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jc w:val="left"/>
        <w:textAlignment w:val="auto"/>
      </w:pPr>
      <w:r>
        <w:rPr>
          <w:rFonts w:hint="default" w:ascii="Times New Roman" w:hAnsi="Times New Roman" w:cs="Times New Roman"/>
          <w:color w:val="000000"/>
          <w:sz w:val="31"/>
          <w:szCs w:val="31"/>
        </w:rPr>
        <w:t>2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．推进绿色低碳城市建设。推动绿色建筑发展，明确绿色建筑工作要求，加强建筑节能管理，降低建筑能耗，提高建筑能源利用效率。统筹绿色空间、滨水空间、小微空间、慢行系统和边角地、插花地、夹心地等，保护和修复绿地、水域、湿地等公共生态空间。加强城市水、大气、固体废弃物、噪声、光污染防治。重点提升污水管网覆盖率，加强水生态修复。实施主次干道城市园林绿化精细化管护，聚焦城市各类小微边角和城郊结合部等区域，着力推进</w:t>
      </w:r>
      <w:r>
        <w:rPr>
          <w:rFonts w:hint="default" w:ascii="Times New Roman" w:hAnsi="Times New Roman" w:cs="Times New Roman"/>
          <w:color w:val="000000"/>
          <w:sz w:val="31"/>
          <w:szCs w:val="31"/>
        </w:rPr>
        <w:t>“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口袋公园</w:t>
      </w:r>
      <w:r>
        <w:rPr>
          <w:rFonts w:hint="default" w:ascii="Times New Roman" w:hAnsi="Times New Roman" w:cs="Times New Roman"/>
          <w:color w:val="000000"/>
          <w:sz w:val="31"/>
          <w:szCs w:val="31"/>
        </w:rPr>
        <w:t>”“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邮票绿地</w:t>
      </w:r>
      <w:r>
        <w:rPr>
          <w:rFonts w:hint="default" w:ascii="Times New Roman" w:hAnsi="Times New Roman" w:cs="Times New Roman"/>
          <w:color w:val="000000"/>
          <w:sz w:val="31"/>
          <w:szCs w:val="31"/>
        </w:rPr>
        <w:t>”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建设，打造高标准、高品质城市绿化景观效果。</w:t>
      </w:r>
      <w:r>
        <w:rPr>
          <w:rFonts w:hint="default" w:ascii="楷体_GB2312" w:eastAsia="楷体_GB2312" w:cs="楷体_GB2312"/>
          <w:color w:val="000000"/>
          <w:sz w:val="31"/>
          <w:szCs w:val="31"/>
        </w:rPr>
        <w:t>〔牵头单位：住建局，责任单位：城管局、自然资源规划局、生态环境局、水利局、林业局〕</w:t>
      </w:r>
    </w:p>
    <w:p w14:paraId="252B14D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jc w:val="left"/>
        <w:textAlignment w:val="auto"/>
      </w:pPr>
      <w:r>
        <w:rPr>
          <w:rFonts w:hint="default" w:ascii="Times New Roman" w:hAnsi="Times New Roman" w:cs="Times New Roman"/>
          <w:color w:val="000000"/>
          <w:sz w:val="31"/>
          <w:szCs w:val="31"/>
        </w:rPr>
        <w:t>3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．加强城市基础设施建设。完善城市道路及交通设施，提升道路通行能力。整合停车资源，增加城市公共停车场数量，解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决停车难问题。推进沿街立面、主要公共场所风貌治理，实施环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境卫生、商店招牌、街面设施</w:t>
      </w:r>
      <w:r>
        <w:rPr>
          <w:rFonts w:hint="default" w:ascii="Times New Roman" w:hAnsi="Times New Roman" w:cs="Times New Roman"/>
          <w:color w:val="000000"/>
          <w:sz w:val="31"/>
          <w:szCs w:val="31"/>
        </w:rPr>
        <w:t>“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三提升</w:t>
      </w:r>
      <w:r>
        <w:rPr>
          <w:rFonts w:hint="default" w:ascii="Times New Roman" w:hAnsi="Times New Roman" w:cs="Times New Roman"/>
          <w:color w:val="000000"/>
          <w:sz w:val="31"/>
          <w:szCs w:val="31"/>
        </w:rPr>
        <w:t>”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工程，开展</w:t>
      </w:r>
      <w:r>
        <w:rPr>
          <w:rFonts w:hint="default" w:ascii="Times New Roman" w:hAnsi="Times New Roman" w:cs="Times New Roman"/>
          <w:color w:val="000000"/>
          <w:sz w:val="31"/>
          <w:szCs w:val="31"/>
        </w:rPr>
        <w:t>“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线乱拉</w:t>
      </w:r>
      <w:r>
        <w:rPr>
          <w:rFonts w:hint="default" w:ascii="Times New Roman" w:hAnsi="Times New Roman" w:cs="Times New Roman"/>
          <w:color w:val="000000"/>
          <w:sz w:val="31"/>
          <w:szCs w:val="31"/>
        </w:rPr>
        <w:t>”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整治，打造整洁、有序的街区环境，全面提升城市形象。完善城市生命线安全工程，加快雨水、污水、垃圾处理设施和市政消火栓以及地下管网管廊建设改造，对市政管网进行数字化、智能化和绿色化改造，完善物流配送体系和城市道路网络，推进韧性城市建设。</w:t>
      </w:r>
      <w:r>
        <w:rPr>
          <w:rFonts w:ascii="楷体_GB2312" w:hAnsi="宋体" w:eastAsia="楷体_GB2312" w:cs="楷体_GB2312"/>
          <w:color w:val="000000"/>
          <w:kern w:val="0"/>
          <w:sz w:val="31"/>
          <w:szCs w:val="31"/>
          <w:lang w:val="en-US" w:eastAsia="zh-CN" w:bidi="ar"/>
        </w:rPr>
        <w:t>〔牵头单位：城管局，责任单位：住建局、发改委、工信局、公</w:t>
      </w:r>
      <w:r>
        <w:rPr>
          <w:rFonts w:hint="default" w:ascii="楷体_GB2312" w:eastAsia="楷体_GB2312" w:cs="楷体_GB2312"/>
          <w:color w:val="000000"/>
          <w:sz w:val="31"/>
          <w:szCs w:val="31"/>
        </w:rPr>
        <w:t>安局、财政局、自然资源规划局、生态环境局、交通局、水利局、商务局、文旅局、应急局、消防救援支队、通发办、陶文旅集团、国控集团、城投集团、电信公司、移动公司、联通公司〕</w:t>
      </w:r>
    </w:p>
    <w:p w14:paraId="0647DA4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jc w:val="left"/>
        <w:textAlignment w:val="auto"/>
      </w:pPr>
      <w:r>
        <w:rPr>
          <w:rFonts w:hint="default" w:ascii="楷体_GB2312" w:eastAsia="楷体_GB2312" w:cs="楷体_GB2312"/>
          <w:color w:val="000000"/>
          <w:sz w:val="31"/>
          <w:szCs w:val="31"/>
        </w:rPr>
        <w:t>（二）片区传统风貌特色建设</w:t>
      </w:r>
    </w:p>
    <w:p w14:paraId="6BBFF18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jc w:val="left"/>
        <w:textAlignment w:val="auto"/>
      </w:pPr>
      <w:r>
        <w:rPr>
          <w:rFonts w:hint="eastAsia" w:ascii="仿宋_GB2312" w:eastAsia="仿宋_GB2312" w:cs="仿宋_GB2312"/>
          <w:color w:val="000000"/>
          <w:sz w:val="31"/>
          <w:szCs w:val="31"/>
        </w:rPr>
        <w:t>策划城市更新片区方案，重点围绕解决城市风貌不佳、历史文化不显等问题，坚持文化遗产保护传承，引领城市更新，制定导则，系统摸排亟须提升的老街区、老厂区、城中村，明确片区管控要求，提出保留、改造、拆除的建设指引，打造具有景德镇标识性的、彰显手工瓷业遗存的特色片区风貌。研究创新土地、资金等城市更新配套政策，推动引进社会资本入驻。</w:t>
      </w:r>
    </w:p>
    <w:p w14:paraId="1CBF01E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jc w:val="left"/>
        <w:textAlignment w:val="auto"/>
      </w:pPr>
      <w:r>
        <w:rPr>
          <w:rFonts w:hint="default" w:ascii="Times New Roman" w:hAnsi="Times New Roman" w:cs="Times New Roman"/>
          <w:color w:val="000000"/>
          <w:sz w:val="31"/>
          <w:szCs w:val="31"/>
        </w:rPr>
        <w:t>4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．保护传承城市历史文化。建立健全</w:t>
      </w:r>
      <w:r>
        <w:rPr>
          <w:rFonts w:hint="default" w:ascii="Times New Roman" w:hAnsi="Times New Roman" w:cs="Times New Roman"/>
          <w:color w:val="000000"/>
          <w:sz w:val="31"/>
          <w:szCs w:val="31"/>
        </w:rPr>
        <w:t>“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先调查后建设</w:t>
      </w:r>
      <w:r>
        <w:rPr>
          <w:rFonts w:hint="default" w:ascii="Times New Roman" w:hAnsi="Times New Roman" w:cs="Times New Roman"/>
          <w:color w:val="000000"/>
          <w:sz w:val="31"/>
          <w:szCs w:val="31"/>
        </w:rPr>
        <w:t>”“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先考古后出让</w:t>
      </w:r>
      <w:r>
        <w:rPr>
          <w:rFonts w:hint="default" w:ascii="Times New Roman" w:hAnsi="Times New Roman" w:cs="Times New Roman"/>
          <w:color w:val="000000"/>
          <w:sz w:val="31"/>
          <w:szCs w:val="31"/>
        </w:rPr>
        <w:t>”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的保护前置机制，扎实开展城市文化遗产资源调查。落实</w:t>
      </w:r>
      <w:r>
        <w:rPr>
          <w:rFonts w:hint="default" w:ascii="Times New Roman" w:hAnsi="Times New Roman" w:cs="Times New Roman"/>
          <w:color w:val="000000"/>
          <w:sz w:val="31"/>
          <w:szCs w:val="31"/>
        </w:rPr>
        <w:t>“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老城不能再拆</w:t>
      </w:r>
      <w:r>
        <w:rPr>
          <w:rFonts w:hint="default" w:ascii="Times New Roman" w:hAnsi="Times New Roman" w:cs="Times New Roman"/>
          <w:color w:val="000000"/>
          <w:sz w:val="31"/>
          <w:szCs w:val="31"/>
        </w:rPr>
        <w:t>”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的要求，保护、利用、传承好历史文化遗产。采用微改造方式，利用历史文化名城、街区和历史地段的低效空间打造优质公共开放空间，补足配套基础设施和公共服务设施短板。活化利用历史建筑、工业遗产，在保持原有传统格局、外观风貌、典型构件的基础上，分类施策，通过加建、改建和添加设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施等方式，适应现代生产生活需要。</w:t>
      </w:r>
      <w:r>
        <w:rPr>
          <w:rFonts w:ascii="楷体_GB2312" w:hAnsi="宋体" w:eastAsia="楷体_GB2312" w:cs="楷体_GB2312"/>
          <w:color w:val="000000"/>
          <w:kern w:val="0"/>
          <w:sz w:val="31"/>
          <w:szCs w:val="31"/>
          <w:lang w:val="en-US" w:eastAsia="zh-CN" w:bidi="ar"/>
        </w:rPr>
        <w:t>〔牵头单位：文旅局，责任</w:t>
      </w:r>
      <w:r>
        <w:rPr>
          <w:rFonts w:hint="default" w:ascii="楷体_GB2312" w:eastAsia="楷体_GB2312" w:cs="楷体_GB2312"/>
          <w:color w:val="000000"/>
          <w:sz w:val="31"/>
          <w:szCs w:val="31"/>
        </w:rPr>
        <w:t>单位：住建局、发改委、工信局、财政局、自然资源规划局、陶文旅集团、国控集团、城投集团〕</w:t>
      </w:r>
    </w:p>
    <w:p w14:paraId="20303E5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jc w:val="left"/>
        <w:textAlignment w:val="auto"/>
      </w:pPr>
      <w:r>
        <w:rPr>
          <w:rFonts w:hint="default" w:ascii="Times New Roman" w:hAnsi="Times New Roman" w:cs="Times New Roman"/>
          <w:color w:val="000000"/>
          <w:sz w:val="31"/>
          <w:szCs w:val="31"/>
        </w:rPr>
        <w:t>5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．推进老旧街区、厂区更新改造。推动陶阳里、彭家弄、三闾庙等老旧街区改造，在保留原住民的基础上，补齐公共服务短板，提升居民生活品质，促进服务扩容、业态升级与功能复合</w:t>
      </w:r>
      <w:r>
        <w:rPr>
          <w:rFonts w:hint="default" w:ascii="Times New Roman" w:hAnsi="Times New Roman" w:cs="Times New Roman"/>
          <w:color w:val="000000"/>
          <w:sz w:val="31"/>
          <w:szCs w:val="31"/>
        </w:rPr>
        <w:t>,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推动街区活力提升。推动宇宙瓷厂、雕塑瓷厂等十大瓷厂更新改造项目建设，发展与片区功能定位相适应的产业业态，推动文化创意产业、商业服务业等多元业态发展，满足产业发展需求，形成全国有影响、有活力、有特色的可复制名录清单。</w:t>
      </w:r>
      <w:r>
        <w:rPr>
          <w:rFonts w:hint="default" w:ascii="楷体_GB2312" w:eastAsia="楷体_GB2312" w:cs="楷体_GB2312"/>
          <w:color w:val="000000"/>
          <w:sz w:val="31"/>
          <w:szCs w:val="31"/>
        </w:rPr>
        <w:t>〔牵头单位：住建局，责任单位：发改委、工信局、财政局、自然资源规划局、文旅局、国资委、陶文旅集团、国控集团、城投集团〕</w:t>
      </w:r>
    </w:p>
    <w:p w14:paraId="41F8D51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jc w:val="left"/>
        <w:textAlignment w:val="auto"/>
      </w:pPr>
      <w:r>
        <w:rPr>
          <w:rFonts w:hint="default" w:ascii="Times New Roman" w:hAnsi="Times New Roman" w:cs="Times New Roman"/>
          <w:color w:val="000000"/>
          <w:sz w:val="31"/>
          <w:szCs w:val="31"/>
        </w:rPr>
        <w:t>6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．实施城中村综合改造。稳步推进城中村改造，做好历史文化风貌保护前期工作，不搞大拆大建，建立项目清单，优先对群众需求迫切、城市安全和社会治理隐患多的城中村进行改造。按照</w:t>
      </w:r>
      <w:r>
        <w:rPr>
          <w:rFonts w:hint="default" w:ascii="Times New Roman" w:hAnsi="Times New Roman" w:cs="Times New Roman"/>
          <w:color w:val="000000"/>
          <w:sz w:val="31"/>
          <w:szCs w:val="31"/>
        </w:rPr>
        <w:t>“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一村一策</w:t>
      </w:r>
      <w:r>
        <w:rPr>
          <w:rFonts w:hint="default" w:ascii="Times New Roman" w:hAnsi="Times New Roman" w:cs="Times New Roman"/>
          <w:color w:val="000000"/>
          <w:sz w:val="31"/>
          <w:szCs w:val="31"/>
        </w:rPr>
        <w:t>”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，采取拆除新建、整治提升、拆整结合等方式实施改造。做好征求村民意见、产业搬迁、人员安置、历史文化保护等工作，提升城中村片区环境品质和整体风貌。</w:t>
      </w:r>
      <w:r>
        <w:t> </w:t>
      </w:r>
      <w:r>
        <w:rPr>
          <w:rFonts w:hint="default" w:ascii="楷体_GB2312" w:eastAsia="楷体_GB2312" w:cs="楷体_GB2312"/>
          <w:color w:val="000000"/>
          <w:sz w:val="31"/>
          <w:szCs w:val="31"/>
        </w:rPr>
        <w:t>〔牵头单位：住建局，责任单位：发改委、财政局、自然资源规划局、城管局、金融服务中心、陶文旅集团、国控集团、城投集团〕</w:t>
      </w:r>
    </w:p>
    <w:p w14:paraId="123D5E0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jc w:val="left"/>
        <w:textAlignment w:val="auto"/>
      </w:pPr>
      <w:r>
        <w:rPr>
          <w:rFonts w:hint="default" w:ascii="楷体_GB2312" w:eastAsia="楷体_GB2312" w:cs="楷体_GB2312"/>
          <w:color w:val="000000"/>
          <w:sz w:val="31"/>
          <w:szCs w:val="31"/>
        </w:rPr>
        <w:t>（三）社区生活品质提升建设</w:t>
      </w:r>
    </w:p>
    <w:p w14:paraId="57AA10D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jc w:val="left"/>
        <w:textAlignment w:val="auto"/>
      </w:pPr>
      <w:r>
        <w:rPr>
          <w:rFonts w:hint="eastAsia" w:ascii="仿宋_GB2312" w:eastAsia="仿宋_GB2312" w:cs="仿宋_GB2312"/>
          <w:color w:val="000000"/>
          <w:sz w:val="31"/>
          <w:szCs w:val="31"/>
        </w:rPr>
        <w:t>编制项目实施方案，重点围绕解决我市人民群众居住品质不佳等问题，以</w:t>
      </w:r>
      <w:r>
        <w:rPr>
          <w:rFonts w:hint="default" w:ascii="Times New Roman" w:hAnsi="Times New Roman" w:cs="Times New Roman"/>
          <w:color w:val="000000"/>
          <w:sz w:val="31"/>
          <w:szCs w:val="31"/>
        </w:rPr>
        <w:t>“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好社区</w:t>
      </w:r>
      <w:r>
        <w:rPr>
          <w:rFonts w:hint="default" w:ascii="Times New Roman" w:hAnsi="Times New Roman" w:cs="Times New Roman"/>
          <w:color w:val="000000"/>
          <w:sz w:val="31"/>
          <w:szCs w:val="31"/>
        </w:rPr>
        <w:t>”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建设为抓手，通过城市体检系统梳理老旧小区重点问题，提出年度更新清单，重点推动完整社区建设、老</w:t>
      </w:r>
      <w:r>
        <w:rPr>
          <w:rFonts w:ascii="仿宋_GB2312" w:eastAsia="仿宋_GB2312" w:cs="仿宋_GB2312"/>
          <w:color w:val="000000"/>
          <w:sz w:val="31"/>
          <w:szCs w:val="31"/>
        </w:rPr>
        <w:t>旧小区整治改造等工作。</w:t>
      </w:r>
    </w:p>
    <w:p w14:paraId="6C18C80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jc w:val="left"/>
        <w:textAlignment w:val="auto"/>
      </w:pPr>
      <w:r>
        <w:rPr>
          <w:rFonts w:hint="default" w:ascii="Times New Roman" w:hAnsi="Times New Roman" w:cs="Times New Roman"/>
          <w:color w:val="000000"/>
          <w:sz w:val="31"/>
          <w:szCs w:val="31"/>
        </w:rPr>
        <w:t>7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．推进既有建筑改造利用。推动城市危旧房改造，建立动态排查机制，及时采取封控管理措施，通过拆除新建、改建（扩建、翻建）、原址重建、抗震加固等方式，实施城市建成区范围内国有土地上</w:t>
      </w:r>
      <w:r>
        <w:rPr>
          <w:rFonts w:hint="default" w:ascii="Times New Roman" w:hAnsi="Times New Roman" w:cs="Times New Roman"/>
          <w:color w:val="000000"/>
          <w:sz w:val="31"/>
          <w:szCs w:val="31"/>
        </w:rPr>
        <w:t>C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级、</w:t>
      </w:r>
      <w:r>
        <w:rPr>
          <w:rFonts w:hint="default" w:ascii="Times New Roman" w:hAnsi="Times New Roman" w:cs="Times New Roman"/>
          <w:color w:val="000000"/>
          <w:sz w:val="31"/>
          <w:szCs w:val="31"/>
        </w:rPr>
        <w:t>D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级危房和国有企事业单位破产改制、</w:t>
      </w:r>
      <w:r>
        <w:rPr>
          <w:rFonts w:hint="default" w:ascii="Times New Roman" w:hAnsi="Times New Roman" w:cs="Times New Roman"/>
          <w:color w:val="000000"/>
          <w:sz w:val="31"/>
          <w:szCs w:val="31"/>
        </w:rPr>
        <w:t>“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三供一业</w:t>
      </w:r>
      <w:r>
        <w:rPr>
          <w:rFonts w:hint="default" w:ascii="Times New Roman" w:hAnsi="Times New Roman" w:cs="Times New Roman"/>
          <w:color w:val="000000"/>
          <w:sz w:val="31"/>
          <w:szCs w:val="31"/>
        </w:rPr>
        <w:t>”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等分离移交的非成套住房改造，积极探索居民自主更新、连片改造等模式。</w:t>
      </w:r>
      <w:r>
        <w:rPr>
          <w:rFonts w:ascii="楷体_GB2312" w:eastAsia="楷体_GB2312" w:cs="楷体_GB2312"/>
          <w:color w:val="000000"/>
          <w:sz w:val="31"/>
          <w:szCs w:val="31"/>
        </w:rPr>
        <w:t>〔牵头单位：住建局，责任单位：发改委、工</w:t>
      </w:r>
      <w:r>
        <w:rPr>
          <w:rFonts w:hint="default" w:ascii="楷体_GB2312" w:eastAsia="楷体_GB2312" w:cs="楷体_GB2312"/>
          <w:color w:val="000000"/>
          <w:sz w:val="31"/>
          <w:szCs w:val="31"/>
        </w:rPr>
        <w:t>信局、财政局、自然资源规划局、国资委〕</w:t>
      </w:r>
    </w:p>
    <w:p w14:paraId="0A7545B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jc w:val="left"/>
        <w:textAlignment w:val="auto"/>
      </w:pPr>
      <w:r>
        <w:rPr>
          <w:rFonts w:hint="default" w:ascii="Times New Roman" w:hAnsi="Times New Roman" w:cs="Times New Roman"/>
          <w:color w:val="000000"/>
          <w:sz w:val="31"/>
          <w:szCs w:val="31"/>
        </w:rPr>
        <w:t>8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．加强老旧小区整治改造。重点改造燃气、给排水、供电、通信等老化管线管道和消防车通道不足等问题，开展节能综合改造，完善小区及周边养老托育服务、消防、绿化、照明、停车及充电、体育健身、无障碍环境等设施，健全物业管理和物业服务费调整机制，推进相邻小区及周边地区联动改造，加强设施共建共享。</w:t>
      </w:r>
      <w:r>
        <w:rPr>
          <w:rFonts w:hint="default" w:ascii="楷体_GB2312" w:eastAsia="楷体_GB2312" w:cs="楷体_GB2312"/>
          <w:color w:val="000000"/>
          <w:sz w:val="31"/>
          <w:szCs w:val="31"/>
        </w:rPr>
        <w:t>〔牵头单位：住建局，责任单位：发改委、教体局、工信局、民政局、财政局、自然资源规划局、城管局、消防救援支队、通发办、供电公司、水务公司、华润燃气公司、电信公司、移动公司、联通公司〕</w:t>
      </w:r>
    </w:p>
    <w:p w14:paraId="51C991B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jc w:val="left"/>
        <w:textAlignment w:val="auto"/>
      </w:pPr>
      <w:r>
        <w:rPr>
          <w:rFonts w:hint="default" w:ascii="Times New Roman" w:hAnsi="Times New Roman" w:cs="Times New Roman"/>
          <w:color w:val="000000"/>
          <w:sz w:val="31"/>
          <w:szCs w:val="31"/>
        </w:rPr>
        <w:t>9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．开展完整社区建设。将完整社区建设作为</w:t>
      </w:r>
      <w:r>
        <w:rPr>
          <w:rFonts w:hint="default" w:ascii="Times New Roman" w:hAnsi="Times New Roman" w:cs="Times New Roman"/>
          <w:color w:val="000000"/>
          <w:sz w:val="31"/>
          <w:szCs w:val="31"/>
        </w:rPr>
        <w:t>“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好社区</w:t>
      </w:r>
      <w:r>
        <w:rPr>
          <w:rFonts w:hint="default" w:ascii="Times New Roman" w:hAnsi="Times New Roman" w:cs="Times New Roman"/>
          <w:color w:val="000000"/>
          <w:sz w:val="31"/>
          <w:szCs w:val="31"/>
        </w:rPr>
        <w:t>”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建设重要抓手，持续推进完整社区建设，排查设施配套、环境建设、服务治理等问题，补齐养老、托育、健身、停车、充电、菜市场等设施短板。推进社区适老化、适儿化改造，完善社区嵌入式服务设施。提高社区治理数字化、智能化水平，健全社区治理机制。以</w:t>
      </w:r>
      <w:r>
        <w:rPr>
          <w:rFonts w:hint="default" w:ascii="Times New Roman" w:hAnsi="Times New Roman" w:cs="Times New Roman"/>
          <w:color w:val="000000"/>
          <w:sz w:val="31"/>
          <w:szCs w:val="31"/>
        </w:rPr>
        <w:t>11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个入选省级</w:t>
      </w:r>
      <w:r>
        <w:rPr>
          <w:rFonts w:hint="default" w:ascii="Times New Roman" w:hAnsi="Times New Roman" w:cs="Times New Roman"/>
          <w:color w:val="000000"/>
          <w:sz w:val="31"/>
          <w:szCs w:val="31"/>
        </w:rPr>
        <w:t>“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好社区</w:t>
      </w:r>
      <w:r>
        <w:rPr>
          <w:rFonts w:hint="default" w:ascii="Times New Roman" w:hAnsi="Times New Roman" w:cs="Times New Roman"/>
          <w:color w:val="000000"/>
          <w:sz w:val="31"/>
          <w:szCs w:val="31"/>
        </w:rPr>
        <w:t>”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建设试点为先行，把社区内</w:t>
      </w:r>
      <w:r>
        <w:rPr>
          <w:rFonts w:hint="default" w:ascii="Times New Roman" w:hAnsi="Times New Roman" w:cs="Times New Roman"/>
          <w:color w:val="000000"/>
          <w:sz w:val="31"/>
          <w:szCs w:val="31"/>
        </w:rPr>
        <w:t>“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一老一小</w:t>
      </w:r>
      <w:r>
        <w:rPr>
          <w:rFonts w:hint="default" w:ascii="Times New Roman" w:hAnsi="Times New Roman" w:cs="Times New Roman"/>
          <w:color w:val="000000"/>
          <w:sz w:val="31"/>
          <w:szCs w:val="31"/>
        </w:rPr>
        <w:t>”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、健身场地、充电设施等收益设施与环境治理整合，吸引社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会资本运营项目，运营稳定后覆盖至中心城区 </w:t>
      </w: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88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个社区，全面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提升社区生活品质和治理水平。</w:t>
      </w:r>
      <w:r>
        <w:rPr>
          <w:rFonts w:ascii="楷体_GB2312" w:eastAsia="楷体_GB2312" w:cs="楷体_GB2312"/>
          <w:color w:val="000000"/>
          <w:sz w:val="31"/>
          <w:szCs w:val="31"/>
        </w:rPr>
        <w:t>〔牵头单位：住建局，责任单位：</w:t>
      </w:r>
      <w:r>
        <w:rPr>
          <w:rFonts w:hint="default" w:ascii="楷体_GB2312" w:eastAsia="楷体_GB2312" w:cs="楷体_GB2312"/>
          <w:color w:val="000000"/>
          <w:sz w:val="31"/>
          <w:szCs w:val="31"/>
        </w:rPr>
        <w:t>市委组织部、市委社会工作部、发改委、教体局、工信局、民政局、财政局、自然资源规划局、商务局、卫健委、应急局、市场监管局、林业局、城管局、政务局、通发办、金融服务中心、供电公司、水务公司、华润燃气公司、电信公司、移动公司、联通公司、陶文旅集团、国控集团〕</w:t>
      </w:r>
    </w:p>
    <w:p w14:paraId="596BA27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jc w:val="left"/>
        <w:textAlignment w:val="auto"/>
      </w:pPr>
      <w:r>
        <w:rPr>
          <w:rFonts w:hint="default" w:ascii="Times New Roman" w:hAnsi="Times New Roman" w:cs="Times New Roman"/>
          <w:color w:val="000000"/>
          <w:sz w:val="31"/>
          <w:szCs w:val="31"/>
        </w:rPr>
        <w:t>10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．推动新型小区试点建设。严格执行新颁布的《住宅项目规范》（</w:t>
      </w:r>
      <w:r>
        <w:rPr>
          <w:rFonts w:hint="default" w:ascii="Times New Roman" w:hAnsi="Times New Roman" w:cs="Times New Roman"/>
          <w:color w:val="000000"/>
          <w:sz w:val="31"/>
          <w:szCs w:val="31"/>
        </w:rPr>
        <w:t>GB55038-2025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），引领从策划、设计、建造、管理四位一体的社区全生命周期的全运营建设新理念，聚焦新技术、新样式、新材料、新工艺，构建共享化生活配套体系、生态化节能减排措施、智慧化管理服务系统，以全民幸福为根本，以创新开拓为目标，打造全新理念融合的全龄友好、生态宜居、可持续的未来住区试点样板。</w:t>
      </w:r>
      <w:r>
        <w:t> </w:t>
      </w:r>
      <w:r>
        <w:rPr>
          <w:rFonts w:hint="default" w:ascii="楷体_GB2312" w:eastAsia="楷体_GB2312" w:cs="楷体_GB2312"/>
          <w:color w:val="000000"/>
          <w:sz w:val="31"/>
          <w:szCs w:val="31"/>
        </w:rPr>
        <w:t>〔牵头单位：住建局，责任单位：发改委、民政局、自然资源规划局、陶文旅集团〕</w:t>
      </w:r>
    </w:p>
    <w:p w14:paraId="7C9E087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jc w:val="left"/>
        <w:textAlignment w:val="auto"/>
      </w:pPr>
      <w:r>
        <w:rPr>
          <w:rFonts w:ascii="黑体" w:hAnsi="宋体" w:eastAsia="黑体" w:cs="黑体"/>
          <w:color w:val="000000"/>
          <w:sz w:val="31"/>
          <w:szCs w:val="31"/>
        </w:rPr>
        <w:t>三、保障措施</w:t>
      </w:r>
    </w:p>
    <w:p w14:paraId="768B0BB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jc w:val="left"/>
        <w:textAlignment w:val="auto"/>
      </w:pPr>
      <w:r>
        <w:rPr>
          <w:rFonts w:hint="default" w:ascii="楷体_GB2312" w:eastAsia="楷体_GB2312" w:cs="楷体_GB2312"/>
          <w:color w:val="000000"/>
          <w:sz w:val="31"/>
          <w:szCs w:val="31"/>
        </w:rPr>
        <w:t>（一）加强组织领导。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建立市级城市更新工作机制，组建工作专班，负责城市更新重大政策研究、重要事项协商、重点项目推进等工作，组织开展工作指导和监督评估。各级各部门要密切配合，细化目标，明确重点，形成</w:t>
      </w:r>
      <w:r>
        <w:rPr>
          <w:rFonts w:hint="default" w:ascii="Times New Roman" w:hAnsi="Times New Roman" w:cs="Times New Roman"/>
          <w:color w:val="000000"/>
          <w:sz w:val="31"/>
          <w:szCs w:val="31"/>
        </w:rPr>
        <w:t>“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市级统筹、部门联动、分级落实</w:t>
      </w:r>
      <w:r>
        <w:rPr>
          <w:rFonts w:hint="default" w:ascii="Times New Roman" w:hAnsi="Times New Roman" w:cs="Times New Roman"/>
          <w:color w:val="000000"/>
          <w:sz w:val="31"/>
          <w:szCs w:val="31"/>
        </w:rPr>
        <w:t>”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的工作格局，合力推动城市更新行动各项任务落到实处、取得实效。</w:t>
      </w:r>
    </w:p>
    <w:p w14:paraId="41A1B80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highlight w:val="yellow"/>
        </w:rPr>
      </w:pPr>
      <w:r>
        <w:rPr>
          <w:rFonts w:hint="eastAsia" w:ascii="楷体_GB2312" w:eastAsia="楷体_GB2312" w:cs="楷体_GB2312"/>
          <w:color w:val="000000"/>
          <w:sz w:val="31"/>
          <w:szCs w:val="31"/>
          <w:lang w:val="en-US" w:eastAsia="zh-CN"/>
        </w:rPr>
        <w:t xml:space="preserve">  </w:t>
      </w:r>
      <w:r>
        <w:rPr>
          <w:rFonts w:hint="default" w:ascii="楷体_GB2312" w:eastAsia="楷体_GB2312" w:cs="楷体_GB2312"/>
          <w:color w:val="000000"/>
          <w:sz w:val="31"/>
          <w:szCs w:val="31"/>
        </w:rPr>
        <w:t>（二）明确部门职责。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住建部门作为城市更新工作的主管部门，负责研究制定城市更新政策，组织开展城市体检，优化调整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城市更新规划，统筹推进城市更新项目。发改部门负责城市更新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项目立项审批，将符合条件的城市更新项目纳入本级重点建设项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目库，创新城市更新多元化投资融资模式。自然资源部门负责开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展年度国土变更调查、城市国土空间监测和规划实施体检评估，为城市更新活动提供国土空间底图、底数，将城市更新专项规划纳入国土空间规划基础信息平台，加强国土空间规划实施和用途管制监督管理。财政部门负责做好政府财政承受能力评估，将所需工作经费纳入市本级财政预算，统筹用好相关资金，支持城市更新项目建设。其他部门按照职责分工，协同推进城市更新相关工作。</w:t>
      </w:r>
      <w:r>
        <w:rPr>
          <w:rFonts w:hint="eastAsia" w:ascii="仿宋_GB2312" w:eastAsia="仿宋_GB2312" w:cs="仿宋_GB2312"/>
          <w:color w:val="000000"/>
          <w:sz w:val="31"/>
          <w:szCs w:val="31"/>
          <w:highlight w:val="none"/>
        </w:rPr>
        <w:t>涉及</w:t>
      </w:r>
      <w:r>
        <w:rPr>
          <w:rFonts w:hint="eastAsia" w:ascii="仿宋_GB2312" w:eastAsia="仿宋_GB2312" w:cs="仿宋_GB2312"/>
          <w:color w:val="000000"/>
          <w:sz w:val="31"/>
          <w:szCs w:val="31"/>
          <w:highlight w:val="none"/>
          <w:lang w:val="en-US" w:eastAsia="zh-CN"/>
        </w:rPr>
        <w:t>相关</w:t>
      </w:r>
      <w:r>
        <w:rPr>
          <w:rFonts w:hint="eastAsia" w:ascii="仿宋_GB2312" w:eastAsia="仿宋_GB2312" w:cs="仿宋_GB2312"/>
          <w:color w:val="000000"/>
          <w:sz w:val="31"/>
          <w:szCs w:val="31"/>
          <w:highlight w:val="none"/>
        </w:rPr>
        <w:t>企业的责任单位职能仅包括行政协调、信息共享、技术支持和政策配合等非经济性职能，所有涉及项目建设、投资、运营等经济活动的参与主体均应通过公开招标、竞争性磋商等法定公平竞争方式依法确定，不以文件列明方式赋予任何特定企业排他性参与权或优先权。</w:t>
      </w:r>
    </w:p>
    <w:p w14:paraId="4314576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jc w:val="left"/>
        <w:textAlignment w:val="auto"/>
      </w:pPr>
      <w:r>
        <w:rPr>
          <w:rFonts w:ascii="楷体_GB2312" w:eastAsia="楷体_GB2312" w:cs="楷体_GB2312"/>
          <w:color w:val="000000"/>
          <w:sz w:val="31"/>
          <w:szCs w:val="31"/>
        </w:rPr>
        <w:t>（三）强化政策支撑。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完善城市更新政策体系，因地制宜进行探索创新，建立健全可持续的城市更新机制。重点围绕资金土地、规划建设、审批服务等方面，加强配合衔接，打好政策</w:t>
      </w:r>
      <w:r>
        <w:rPr>
          <w:rFonts w:hint="default" w:ascii="Times New Roman" w:hAnsi="Times New Roman" w:cs="Times New Roman"/>
          <w:color w:val="000000"/>
          <w:sz w:val="31"/>
          <w:szCs w:val="31"/>
        </w:rPr>
        <w:t>“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组合拳</w:t>
      </w:r>
      <w:r>
        <w:rPr>
          <w:rFonts w:hint="default" w:ascii="Times New Roman" w:hAnsi="Times New Roman" w:cs="Times New Roman"/>
          <w:color w:val="000000"/>
          <w:sz w:val="31"/>
          <w:szCs w:val="31"/>
        </w:rPr>
        <w:t>”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。将城市更新项目涉及的立项、规划、用地、建设等审批手续纳入</w:t>
      </w:r>
      <w:r>
        <w:rPr>
          <w:rFonts w:hint="default" w:ascii="Times New Roman" w:hAnsi="Times New Roman" w:cs="Times New Roman"/>
          <w:color w:val="000000"/>
          <w:sz w:val="31"/>
          <w:szCs w:val="31"/>
        </w:rPr>
        <w:t>“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绿色通道</w:t>
      </w:r>
      <w:r>
        <w:rPr>
          <w:rFonts w:hint="default" w:ascii="Times New Roman" w:hAnsi="Times New Roman" w:cs="Times New Roman"/>
          <w:color w:val="000000"/>
          <w:sz w:val="31"/>
          <w:szCs w:val="31"/>
        </w:rPr>
        <w:t>”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，优化审批流程，提升审批效率。积极争取上级资金以及城市更新重点领域中长期贷款、专项借款、专项债券等政策支持，创新政府和社会资本合作模式，吸引社会各方广泛参与。</w:t>
      </w:r>
    </w:p>
    <w:p w14:paraId="33812102">
      <w:pPr>
        <w:pStyle w:val="2"/>
        <w:keepNext w:val="0"/>
        <w:keepLines w:val="0"/>
        <w:widowControl/>
        <w:suppressLineNumbers w:val="0"/>
        <w:ind w:left="0" w:firstLine="640"/>
        <w:jc w:val="left"/>
      </w:pPr>
    </w:p>
    <w:p w14:paraId="77C8AE93">
      <w:pPr>
        <w:pStyle w:val="2"/>
        <w:keepNext w:val="0"/>
        <w:keepLines w:val="0"/>
        <w:widowControl/>
        <w:suppressLineNumbers w:val="0"/>
        <w:jc w:val="left"/>
      </w:pPr>
    </w:p>
    <w:p w14:paraId="49781CA2">
      <w:pPr>
        <w:pStyle w:val="2"/>
        <w:keepNext w:val="0"/>
        <w:keepLines w:val="0"/>
        <w:widowControl/>
        <w:suppressLineNumbers w:val="0"/>
        <w:ind w:left="0" w:firstLine="640"/>
        <w:jc w:val="left"/>
      </w:pPr>
    </w:p>
    <w:p w14:paraId="3FE9EB5A">
      <w:pPr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090D14"/>
    <w:rsid w:val="12DC585B"/>
    <w:rsid w:val="18E24C39"/>
    <w:rsid w:val="19BD63E6"/>
    <w:rsid w:val="220A457C"/>
    <w:rsid w:val="331453A5"/>
    <w:rsid w:val="35090D14"/>
    <w:rsid w:val="360A2438"/>
    <w:rsid w:val="3B26221A"/>
    <w:rsid w:val="477F61D9"/>
    <w:rsid w:val="48BB7312"/>
    <w:rsid w:val="4B4C086D"/>
    <w:rsid w:val="4C272DFE"/>
    <w:rsid w:val="59E22D24"/>
    <w:rsid w:val="5E5D0BCB"/>
    <w:rsid w:val="5F067039"/>
    <w:rsid w:val="6A1F6E67"/>
    <w:rsid w:val="70C745CA"/>
    <w:rsid w:val="71685DAD"/>
    <w:rsid w:val="72F21DD2"/>
    <w:rsid w:val="77016C3D"/>
    <w:rsid w:val="77CC46B5"/>
    <w:rsid w:val="7B8E7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4235</Words>
  <Characters>4254</Characters>
  <Lines>0</Lines>
  <Paragraphs>0</Paragraphs>
  <TotalTime>36</TotalTime>
  <ScaleCrop>false</ScaleCrop>
  <LinksUpToDate>false</LinksUpToDate>
  <CharactersWithSpaces>4261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2026-02-06T02:06:00Z</dcterms:created>
  <dc:creator>啊周</dc:creator>
  <cp:lastModifiedBy>啊周</cp:lastModifiedBy>
  <cp:lastPrinted>2026-07-29T01:23:00Z</cp:lastPrinted>
  <dcterms:modified xsi:type="dcterms:W3CDTF">2026-08-04T07:22:47Z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1F2C903B79B9459C895FDD914B5FC4B2_13</vt:lpwstr>
  </property>
  <property fmtid="{D5CDD505-2E9C-101B-9397-08002B2CF9AE}" pid="4" name="KSOTemplateDocerSaveRecord">
    <vt:lpwstr>eyJoZGlkIjoiYzA1NThlZTc4MDIxNjJmMDk2YWQ2MTIyMjQzNDMyNTAiLCJ1c2VySWQiOiI0NTI1OTc2ODUifQ==</vt:lpwstr>
  </property>
</Properties>
</file>