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81B3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kern w:val="0"/>
          <w:sz w:val="44"/>
          <w:szCs w:val="44"/>
          <w:u w:val="none"/>
          <w:lang w:val="en-US" w:eastAsia="zh-CN" w:bidi="ar"/>
        </w:rPr>
        <w:t>景德镇市长期护理保险护理服务机构定点管理实施细则（试行）</w:t>
      </w:r>
    </w:p>
    <w:p w14:paraId="32479D2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楷体_GB2312" w:hAnsi="楷体_GB2312" w:eastAsia="楷体_GB2312" w:cs="楷体_GB2312"/>
          <w:b w:val="0"/>
          <w:bCs w:val="0"/>
          <w:color w:val="auto"/>
          <w:sz w:val="32"/>
          <w:szCs w:val="32"/>
          <w:u w:val="none"/>
          <w:lang w:eastAsia="zh-CN"/>
        </w:rPr>
      </w:pPr>
      <w:r>
        <w:rPr>
          <w:rFonts w:hint="eastAsia" w:ascii="楷体_GB2312" w:hAnsi="楷体_GB2312" w:eastAsia="楷体_GB2312" w:cs="楷体_GB2312"/>
          <w:b w:val="0"/>
          <w:bCs w:val="0"/>
          <w:color w:val="auto"/>
          <w:sz w:val="32"/>
          <w:szCs w:val="32"/>
          <w:u w:val="none"/>
          <w:lang w:eastAsia="zh-CN"/>
        </w:rPr>
        <w:t>（</w:t>
      </w:r>
      <w:r>
        <w:rPr>
          <w:rFonts w:hint="eastAsia" w:ascii="楷体_GB2312" w:hAnsi="楷体_GB2312" w:eastAsia="楷体_GB2312" w:cs="楷体_GB2312"/>
          <w:b w:val="0"/>
          <w:bCs w:val="0"/>
          <w:color w:val="auto"/>
          <w:sz w:val="32"/>
          <w:szCs w:val="32"/>
          <w:u w:val="none"/>
          <w:lang w:val="en-US" w:eastAsia="zh-CN"/>
        </w:rPr>
        <w:t>征求意见稿</w:t>
      </w:r>
      <w:r>
        <w:rPr>
          <w:rFonts w:hint="eastAsia" w:ascii="楷体_GB2312" w:hAnsi="楷体_GB2312" w:eastAsia="楷体_GB2312" w:cs="楷体_GB2312"/>
          <w:b w:val="0"/>
          <w:bCs w:val="0"/>
          <w:color w:val="auto"/>
          <w:sz w:val="32"/>
          <w:szCs w:val="32"/>
          <w:u w:val="none"/>
          <w:lang w:eastAsia="zh-CN"/>
        </w:rPr>
        <w:t>）</w:t>
      </w:r>
    </w:p>
    <w:p w14:paraId="037093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第一章 总则</w:t>
      </w:r>
    </w:p>
    <w:p w14:paraId="2E37AF7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第一条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制定目的与依据。</w:t>
      </w:r>
      <w:r>
        <w:rPr>
          <w:rFonts w:hint="eastAsia" w:ascii="仿宋_GB2312" w:hAnsi="仿宋_GB2312" w:eastAsia="仿宋_GB2312" w:cs="仿宋_GB2312"/>
          <w:color w:val="auto"/>
          <w:kern w:val="0"/>
          <w:sz w:val="32"/>
          <w:szCs w:val="32"/>
          <w:u w:val="none"/>
          <w:lang w:val="en-US" w:eastAsia="zh-CN" w:bidi="ar"/>
        </w:rPr>
        <w:t>为加强长期护理保险护理服务机构（以下简称“长护服务机构”）定点管理，规范长期护理服务行为，提高长期护理保险基金使用效能，保障享受长期护理保险待遇的参保人员（以下简称“参保人员”）合法权益，根据《国家医疗保障局办公室关于印发〈长期护理保险护理服务机构定点管理办法（试行）〉的通知》（医保办发〔2024〕21号）有关规定，结合我市实际，制定本细则。</w:t>
      </w:r>
    </w:p>
    <w:p w14:paraId="65B0CF5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第二条 </w:t>
      </w:r>
      <w:r>
        <w:rPr>
          <w:rStyle w:val="9"/>
          <w:rFonts w:hint="eastAsia" w:ascii="仿宋_GB2312" w:hAnsi="仿宋_GB2312" w:eastAsia="仿宋_GB2312" w:cs="仿宋_GB2312"/>
          <w:b w:val="0"/>
          <w:bCs/>
          <w:color w:val="auto"/>
          <w:kern w:val="0"/>
          <w:sz w:val="32"/>
          <w:szCs w:val="32"/>
          <w:u w:val="none"/>
          <w:lang w:val="en-US" w:eastAsia="zh-CN" w:bidi="ar"/>
        </w:rPr>
        <w:t>管理原则与定义。</w:t>
      </w:r>
      <w:r>
        <w:rPr>
          <w:rFonts w:hint="eastAsia" w:ascii="仿宋_GB2312" w:hAnsi="仿宋_GB2312" w:eastAsia="仿宋_GB2312" w:cs="仿宋_GB2312"/>
          <w:color w:val="auto"/>
          <w:kern w:val="0"/>
          <w:sz w:val="32"/>
          <w:szCs w:val="32"/>
          <w:u w:val="none"/>
          <w:lang w:val="en-US" w:eastAsia="zh-CN" w:bidi="ar"/>
        </w:rPr>
        <w:t>长护服务机构定点管理坚持以人民健康为中心，遵循保障基本、公平公正、权责明晰、动态平衡的原则，引导定点长护服务机构规范长期护理服务行为，为参保人员提供适宜、专业的长期护理服务。</w:t>
      </w:r>
    </w:p>
    <w:p w14:paraId="33CB528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本细则所称定点长护服务机构，是指依法成立，经审核合格后与医疗保障经办机构签订长期护理保险服务协议（以下简称“长护协议”），为参保人员提供长期护理服务的养老机构、医疗机构或者业务范围包含养老服务、照护服务或者护理服务的其他服务机构。</w:t>
      </w:r>
    </w:p>
    <w:p w14:paraId="625230C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第三条 </w:t>
      </w:r>
      <w:r>
        <w:rPr>
          <w:rStyle w:val="9"/>
          <w:rFonts w:hint="eastAsia" w:ascii="仿宋_GB2312" w:hAnsi="仿宋_GB2312" w:eastAsia="仿宋_GB2312" w:cs="仿宋_GB2312"/>
          <w:b w:val="0"/>
          <w:bCs/>
          <w:color w:val="auto"/>
          <w:kern w:val="0"/>
          <w:sz w:val="32"/>
          <w:szCs w:val="32"/>
          <w:u w:val="none"/>
          <w:lang w:val="en-US" w:eastAsia="zh-CN" w:bidi="ar"/>
        </w:rPr>
        <w:t>部门职责分工。</w:t>
      </w:r>
      <w:r>
        <w:rPr>
          <w:rFonts w:hint="eastAsia" w:ascii="仿宋_GB2312" w:hAnsi="仿宋_GB2312" w:eastAsia="仿宋_GB2312" w:cs="仿宋_GB2312"/>
          <w:b w:val="0"/>
          <w:bCs/>
          <w:color w:val="auto"/>
          <w:kern w:val="0"/>
          <w:sz w:val="32"/>
          <w:szCs w:val="32"/>
          <w:u w:val="none"/>
          <w:lang w:val="en-US" w:eastAsia="zh-CN" w:bidi="ar"/>
        </w:rPr>
        <w:t xml:space="preserve"> </w:t>
      </w:r>
      <w:r>
        <w:rPr>
          <w:rFonts w:hint="eastAsia" w:ascii="仿宋_GB2312" w:hAnsi="仿宋_GB2312" w:eastAsia="仿宋_GB2312" w:cs="仿宋_GB2312"/>
          <w:color w:val="auto"/>
          <w:kern w:val="0"/>
          <w:sz w:val="32"/>
          <w:szCs w:val="32"/>
          <w:u w:val="none"/>
          <w:lang w:val="en-US" w:eastAsia="zh-CN" w:bidi="ar"/>
        </w:rPr>
        <w:t>市医疗保障行政部门负责制定定点长护服务机构管理实施细则和考核细则，统筹全市定点服务机构资源规划布局；市医疗保障经办机构</w:t>
      </w:r>
      <w:r>
        <w:rPr>
          <w:rFonts w:hint="eastAsia" w:ascii="仿宋_GB2312" w:hAnsi="仿宋_GB2312" w:eastAsia="仿宋_GB2312" w:cs="仿宋_GB2312"/>
          <w:color w:val="auto"/>
          <w:sz w:val="32"/>
          <w:szCs w:val="32"/>
          <w:u w:val="none"/>
        </w:rPr>
        <w:t>负责拟定全市统一长护服务协议范本</w:t>
      </w:r>
      <w:r>
        <w:rPr>
          <w:rFonts w:hint="eastAsia" w:ascii="仿宋_GB2312" w:hAnsi="仿宋_GB2312" w:eastAsia="仿宋_GB2312" w:cs="仿宋_GB2312"/>
          <w:color w:val="auto"/>
          <w:kern w:val="0"/>
          <w:sz w:val="32"/>
          <w:szCs w:val="32"/>
          <w:u w:val="none"/>
          <w:lang w:val="en-US" w:eastAsia="zh-CN" w:bidi="ar"/>
        </w:rPr>
        <w:t>，</w:t>
      </w:r>
      <w:r>
        <w:rPr>
          <w:rFonts w:hint="eastAsia" w:ascii="仿宋_GB2312" w:hAnsi="仿宋_GB2312" w:eastAsia="仿宋_GB2312" w:cs="仿宋_GB2312"/>
          <w:color w:val="auto"/>
          <w:sz w:val="32"/>
          <w:szCs w:val="32"/>
          <w:u w:val="none"/>
        </w:rPr>
        <w:t>统筹开展定点准入评估、绩效考核、费用清算与业务指导，督导各县（市、区）经办开展定点管理工作</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kern w:val="0"/>
          <w:sz w:val="32"/>
          <w:szCs w:val="32"/>
          <w:u w:val="none"/>
          <w:lang w:val="en-US" w:eastAsia="zh-CN" w:bidi="ar"/>
        </w:rPr>
        <w:t>县（市、区）医疗保障行政部门负责</w:t>
      </w:r>
      <w:r>
        <w:rPr>
          <w:rFonts w:hint="eastAsia" w:ascii="仿宋_GB2312" w:hAnsi="仿宋_GB2312" w:eastAsia="仿宋_GB2312" w:cs="仿宋_GB2312"/>
          <w:color w:val="auto"/>
          <w:sz w:val="32"/>
          <w:szCs w:val="32"/>
          <w:u w:val="none"/>
        </w:rPr>
        <w:t>辖区定点机构监督管理、违规查处、政策宣传</w:t>
      </w:r>
      <w:r>
        <w:rPr>
          <w:rFonts w:hint="eastAsia" w:ascii="仿宋_GB2312" w:hAnsi="仿宋_GB2312" w:eastAsia="仿宋_GB2312" w:cs="仿宋_GB2312"/>
          <w:color w:val="auto"/>
          <w:sz w:val="32"/>
          <w:szCs w:val="32"/>
          <w:u w:val="none"/>
          <w:lang w:val="en-US" w:eastAsia="zh-CN"/>
        </w:rPr>
        <w:t>等工作</w:t>
      </w:r>
      <w:r>
        <w:rPr>
          <w:rFonts w:hint="eastAsia" w:ascii="仿宋_GB2312" w:hAnsi="仿宋_GB2312" w:eastAsia="仿宋_GB2312" w:cs="仿宋_GB2312"/>
          <w:color w:val="auto"/>
          <w:kern w:val="0"/>
          <w:sz w:val="32"/>
          <w:szCs w:val="32"/>
          <w:u w:val="none"/>
          <w:lang w:val="en-US" w:eastAsia="zh-CN" w:bidi="ar"/>
        </w:rPr>
        <w:t>；县（市、区）医疗保障经办机构负责本辖区长护服务机构的申请受理、形式初审、协议签订、费用结算、信息变更、绩效考核等工作。</w:t>
      </w:r>
    </w:p>
    <w:p w14:paraId="2AC3F57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 xml:space="preserve">第四条 </w:t>
      </w:r>
      <w:r>
        <w:rPr>
          <w:rStyle w:val="9"/>
          <w:rFonts w:hint="eastAsia" w:ascii="仿宋_GB2312" w:hAnsi="仿宋_GB2312" w:eastAsia="仿宋_GB2312" w:cs="仿宋_GB2312"/>
          <w:b w:val="0"/>
          <w:bCs/>
          <w:color w:val="auto"/>
          <w:kern w:val="0"/>
          <w:sz w:val="32"/>
          <w:szCs w:val="32"/>
          <w:u w:val="none"/>
          <w:lang w:val="en-US" w:eastAsia="zh-CN" w:bidi="ar"/>
        </w:rPr>
        <w:t>适用范围。</w:t>
      </w:r>
      <w:r>
        <w:rPr>
          <w:rFonts w:hint="eastAsia" w:ascii="仿宋_GB2312" w:hAnsi="仿宋_GB2312" w:eastAsia="仿宋_GB2312" w:cs="仿宋_GB2312"/>
          <w:color w:val="auto"/>
          <w:kern w:val="0"/>
          <w:sz w:val="32"/>
          <w:szCs w:val="32"/>
          <w:u w:val="none"/>
          <w:lang w:val="en-US" w:eastAsia="zh-CN" w:bidi="ar"/>
        </w:rPr>
        <w:t>本细则适用于全市实施长期护理保险制度区域内定点长护服务机构的定点准入、运行监管、协议管理、动态调整等相关工作。</w:t>
      </w:r>
    </w:p>
    <w:p w14:paraId="30EF800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color w:val="auto"/>
          <w:sz w:val="32"/>
          <w:szCs w:val="32"/>
          <w:u w:val="none"/>
        </w:rPr>
      </w:pPr>
      <w:r>
        <w:rPr>
          <w:rFonts w:hint="eastAsia" w:ascii="黑体" w:hAnsi="黑体" w:eastAsia="黑体" w:cs="黑体"/>
          <w:b w:val="0"/>
          <w:bCs w:val="0"/>
          <w:color w:val="auto"/>
          <w:sz w:val="32"/>
          <w:szCs w:val="32"/>
          <w:u w:val="none"/>
        </w:rPr>
        <w:t>第二章 定点长护服务机构确定</w:t>
      </w:r>
    </w:p>
    <w:p w14:paraId="035B1F4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第五条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布局规划原则。</w:t>
      </w:r>
      <w:r>
        <w:rPr>
          <w:rFonts w:hint="eastAsia" w:ascii="仿宋_GB2312" w:hAnsi="仿宋_GB2312" w:eastAsia="仿宋_GB2312" w:cs="仿宋_GB2312"/>
          <w:color w:val="auto"/>
          <w:sz w:val="32"/>
          <w:szCs w:val="32"/>
          <w:u w:val="none"/>
        </w:rPr>
        <w:t>市医疗保障行政部门综合参保人数、失能人员预测规模、服务半径、管理能力、长期护理服务需求、长护险基金收支、现有照护服务资源等因素，统一规划全市定点护理服务机构及从业人员数量与布局，保障护理服务可及性</w:t>
      </w:r>
      <w:r>
        <w:rPr>
          <w:rFonts w:hint="eastAsia" w:ascii="仿宋_GB2312" w:hAnsi="仿宋_GB2312" w:eastAsia="仿宋_GB2312" w:cs="仿宋_GB2312"/>
          <w:color w:val="auto"/>
          <w:sz w:val="32"/>
          <w:szCs w:val="32"/>
          <w:u w:val="none"/>
        </w:rPr>
        <w:t>；区分居家护理型（含居家护理服务和社区护理服务）、机构护理型分类管控配置，动态调整全市护理机构总量。</w:t>
      </w:r>
    </w:p>
    <w:p w14:paraId="3D69629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居家护理型机构参考单家机构平均覆盖2000名左右60岁以上老年人口、服务80名左右重度失能人员标准优化点位布局，实现县域所有乡镇服务全覆盖。机构护理型床位实行总量调控，全市院护床位总量不超过当期长护险待遇享受总人数的30%；当区域内院护床位平均使用率低于70%时，原则上不再新增核定院护床位。</w:t>
      </w:r>
    </w:p>
    <w:p w14:paraId="3695088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各辖区</w:t>
      </w:r>
      <w:r>
        <w:rPr>
          <w:rFonts w:hint="eastAsia" w:ascii="仿宋_GB2312" w:hAnsi="仿宋_GB2312" w:eastAsia="仿宋_GB2312" w:cs="仿宋_GB2312"/>
          <w:color w:val="auto"/>
          <w:sz w:val="32"/>
          <w:szCs w:val="32"/>
          <w:u w:val="none"/>
        </w:rPr>
        <w:t>在全市统一规划、总量管控框架下，结合本地参保规模、失能人员分布细化本辖区定点机构点位布局，推动区域服务资源均衡配置，提升服务质量，促进长护服务市场有序发展。</w:t>
      </w:r>
    </w:p>
    <w:p w14:paraId="51DE477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Style w:val="9"/>
          <w:rFonts w:hint="eastAsia" w:ascii="仿宋_GB2312" w:hAnsi="仿宋_GB2312" w:eastAsia="仿宋_GB2312" w:cs="仿宋_GB2312"/>
          <w:b/>
          <w:bCs w:val="0"/>
          <w:color w:val="auto"/>
          <w:kern w:val="0"/>
          <w:sz w:val="32"/>
          <w:szCs w:val="32"/>
          <w:u w:val="none"/>
          <w:lang w:val="en-US" w:eastAsia="zh-CN" w:bidi="ar"/>
        </w:rPr>
      </w:pPr>
      <w:r>
        <w:rPr>
          <w:rFonts w:hint="eastAsia" w:ascii="仿宋_GB2312" w:hAnsi="仿宋_GB2312" w:eastAsia="仿宋_GB2312" w:cs="仿宋_GB2312"/>
          <w:color w:val="auto"/>
          <w:sz w:val="32"/>
          <w:szCs w:val="32"/>
          <w:u w:val="none"/>
        </w:rPr>
        <w:t>结合本市长护险基金收支、区域服务布局统筹管控要求，全市定点长护服务机构不得跨市域开展常态化长护护理服务。市内居家、社区护理机构可跨县（市、区）开展服务，</w:t>
      </w:r>
      <w:r>
        <w:rPr>
          <w:rFonts w:hint="eastAsia" w:ascii="仿宋_GB2312" w:hAnsi="仿宋_GB2312" w:eastAsia="仿宋_GB2312" w:cs="仿宋_GB2312"/>
          <w:color w:val="auto"/>
          <w:sz w:val="32"/>
          <w:szCs w:val="32"/>
          <w:u w:val="none"/>
          <w:lang w:val="en-US" w:eastAsia="zh-CN"/>
        </w:rPr>
        <w:t>应当</w:t>
      </w:r>
      <w:r>
        <w:rPr>
          <w:rFonts w:hint="eastAsia" w:ascii="仿宋_GB2312" w:hAnsi="仿宋_GB2312" w:eastAsia="仿宋_GB2312" w:cs="仿宋_GB2312"/>
          <w:color w:val="auto"/>
          <w:sz w:val="32"/>
          <w:szCs w:val="32"/>
          <w:u w:val="none"/>
        </w:rPr>
        <w:t>优先满足本地服务需求，接受属地监管；机构护理仅限本机构长护服务专区内服务</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临时应急跨区域服务，应当按规定备案。市本级定点长护服务机构可面向全市参保人</w:t>
      </w:r>
      <w:bookmarkStart w:id="0" w:name="_GoBack"/>
      <w:bookmarkEnd w:id="0"/>
      <w:r>
        <w:rPr>
          <w:rFonts w:hint="eastAsia" w:ascii="仿宋_GB2312" w:hAnsi="仿宋_GB2312" w:eastAsia="仿宋_GB2312" w:cs="仿宋_GB2312"/>
          <w:color w:val="auto"/>
          <w:sz w:val="32"/>
          <w:szCs w:val="32"/>
          <w:u w:val="none"/>
        </w:rPr>
        <w:t>员提供长护服务</w:t>
      </w:r>
      <w:r>
        <w:rPr>
          <w:rFonts w:hint="eastAsia" w:ascii="仿宋_GB2312" w:hAnsi="仿宋_GB2312" w:eastAsia="仿宋_GB2312" w:cs="仿宋_GB2312"/>
          <w:color w:val="auto"/>
          <w:sz w:val="32"/>
          <w:szCs w:val="32"/>
          <w:u w:val="none"/>
          <w:lang w:eastAsia="zh-CN"/>
        </w:rPr>
        <w:t>。</w:t>
      </w:r>
    </w:p>
    <w:p w14:paraId="7381A90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b/>
          <w:bCs w:val="0"/>
          <w:color w:val="auto"/>
          <w:kern w:val="0"/>
          <w:sz w:val="32"/>
          <w:szCs w:val="32"/>
          <w:u w:val="none"/>
          <w:lang w:val="en-US" w:eastAsia="zh-CN" w:bidi="ar"/>
        </w:rPr>
        <w:t>第六条</w:t>
      </w:r>
      <w:r>
        <w:rPr>
          <w:rStyle w:val="9"/>
          <w:rFonts w:hint="eastAsia" w:ascii="仿宋_GB2312" w:hAnsi="仿宋_GB2312" w:eastAsia="仿宋_GB2312" w:cs="仿宋_GB2312"/>
          <w:b w:val="0"/>
          <w:bCs/>
          <w:color w:val="auto"/>
          <w:kern w:val="0"/>
          <w:sz w:val="32"/>
          <w:szCs w:val="32"/>
          <w:u w:val="none"/>
          <w:lang w:val="en-US" w:eastAsia="zh-CN" w:bidi="ar"/>
        </w:rPr>
        <w:t xml:space="preserve"> 申请主体条件。</w:t>
      </w:r>
      <w:r>
        <w:rPr>
          <w:rFonts w:hint="eastAsia" w:ascii="仿宋_GB2312" w:hAnsi="仿宋_GB2312" w:eastAsia="仿宋_GB2312" w:cs="仿宋_GB2312"/>
          <w:color w:val="auto"/>
          <w:kern w:val="0"/>
          <w:sz w:val="32"/>
          <w:szCs w:val="32"/>
          <w:u w:val="none"/>
          <w:lang w:val="en-US" w:eastAsia="zh-CN" w:bidi="ar"/>
        </w:rPr>
        <w:t>符合下列资质的养老机构、医疗机构或者其他服务机构，可自愿向辖区医疗保障经办机构申请成为定点长护服务机构：</w:t>
      </w:r>
    </w:p>
    <w:p w14:paraId="09E7A28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（一）养老机构：依法办理登记，为老年人提供全日集中住宿和照料护理服务，床位数在10张以上的机构；</w:t>
      </w:r>
    </w:p>
    <w:p w14:paraId="04EF5FD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（二）医疗机构：已取得卫生健康部门颁发的医疗机构执业许可证或者诊所备案凭证的机构；</w:t>
      </w:r>
    </w:p>
    <w:p w14:paraId="771E1A5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（三）其他服务机构：依法登记成立，经营范围包含养老服务、照护服务、护理服务的法人机构。</w:t>
      </w:r>
    </w:p>
    <w:p w14:paraId="6F70247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经军队主管部门批准具备为民服务资质的军队医疗机构，符合本细则第七条规定条件的，可申请定点资质。</w:t>
      </w:r>
    </w:p>
    <w:p w14:paraId="3FD6C3B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第七条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定点准入基本条件。</w:t>
      </w:r>
      <w:r>
        <w:rPr>
          <w:rFonts w:hint="eastAsia" w:ascii="仿宋_GB2312" w:hAnsi="仿宋_GB2312" w:eastAsia="仿宋_GB2312" w:cs="仿宋_GB2312"/>
          <w:b w:val="0"/>
          <w:bCs/>
          <w:color w:val="auto"/>
          <w:kern w:val="0"/>
          <w:sz w:val="32"/>
          <w:szCs w:val="32"/>
          <w:u w:val="none"/>
          <w:lang w:val="en-US" w:eastAsia="zh-CN" w:bidi="ar"/>
        </w:rPr>
        <w:t>申</w:t>
      </w:r>
      <w:r>
        <w:rPr>
          <w:rFonts w:hint="eastAsia" w:ascii="仿宋_GB2312" w:hAnsi="仿宋_GB2312" w:eastAsia="仿宋_GB2312" w:cs="仿宋_GB2312"/>
          <w:color w:val="auto"/>
          <w:kern w:val="0"/>
          <w:sz w:val="32"/>
          <w:szCs w:val="32"/>
          <w:u w:val="none"/>
          <w:lang w:val="en-US" w:eastAsia="zh-CN" w:bidi="ar"/>
        </w:rPr>
        <w:t>请成为定点长护服务机构应当同时具备以下条件：</w:t>
      </w:r>
    </w:p>
    <w:p w14:paraId="0837737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（一）具备独立法人资格，在本市依法登记注册，拥有固定经营场所，业务用房使用期限剩余不少于2年；</w:t>
      </w:r>
    </w:p>
    <w:p w14:paraId="03E2A76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（二）规范诚信经营，近一年内（不足一年的自开业以来）未因养老、医疗服务违规行为受到相关行政部门行政处罚；</w:t>
      </w:r>
    </w:p>
    <w:p w14:paraId="1EC16F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w:t>
      </w:r>
      <w:r>
        <w:rPr>
          <w:rFonts w:hint="eastAsia" w:ascii="仿宋_GB2312" w:hAnsi="仿宋_GB2312" w:eastAsia="仿宋_GB2312" w:cs="仿宋_GB2312"/>
          <w:b w:val="0"/>
          <w:bCs w:val="0"/>
          <w:color w:val="auto"/>
          <w:sz w:val="32"/>
          <w:szCs w:val="32"/>
          <w:u w:val="none"/>
        </w:rPr>
        <w:t>配备长期照护师、养老护理员、医疗护理员等相关护理人员，人员数量与服务能力、服务范围相匹配，</w:t>
      </w:r>
      <w:r>
        <w:rPr>
          <w:rStyle w:val="9"/>
          <w:rFonts w:hint="eastAsia" w:ascii="仿宋_GB2312" w:hAnsi="仿宋_GB2312" w:eastAsia="仿宋_GB2312" w:cs="仿宋_GB2312"/>
          <w:b w:val="0"/>
          <w:bCs w:val="0"/>
          <w:color w:val="auto"/>
          <w:sz w:val="32"/>
          <w:szCs w:val="32"/>
          <w:u w:val="none"/>
        </w:rPr>
        <w:t>定点护理服务长期照护师配备应当达到国家规定标准及以上</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b w:val="0"/>
          <w:bCs w:val="0"/>
          <w:color w:val="auto"/>
          <w:sz w:val="32"/>
          <w:szCs w:val="32"/>
          <w:u w:val="none"/>
        </w:rPr>
        <w:t>其中长期照护师人数占全部护理人员比例不低于3%（计算结果不足整数的向上取整），机构取得定点资质起3年内提升至不低于30%，逐步实现长期照护师全覆盖。</w:t>
      </w:r>
    </w:p>
    <w:p w14:paraId="0479717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（四）配备不少于1名专（兼）职长护管理人员，熟练掌握长护保险政策及经办要求；</w:t>
      </w:r>
    </w:p>
    <w:p w14:paraId="604E6F6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（五）建立健全适配长护险工作的服务管理、财务管理、信息统计、内控管理、人员管理、档案管理等内部制度；</w:t>
      </w:r>
    </w:p>
    <w:p w14:paraId="7A50FAD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（六）</w:t>
      </w:r>
      <w:r>
        <w:rPr>
          <w:rFonts w:hint="eastAsia" w:ascii="仿宋_GB2312" w:hAnsi="仿宋_GB2312" w:eastAsia="仿宋_GB2312" w:cs="仿宋_GB2312"/>
          <w:color w:val="auto"/>
          <w:kern w:val="2"/>
          <w:sz w:val="32"/>
          <w:szCs w:val="40"/>
          <w:u w:val="none"/>
          <w:lang w:val="en-US" w:eastAsia="zh-CN" w:bidi="ar-SA"/>
        </w:rPr>
        <w:t>具备使用全国统一的医疗保障信息平台长期护理保险相关功能模块的条件，并按规定完成接口对接</w:t>
      </w:r>
      <w:r>
        <w:rPr>
          <w:rFonts w:hint="eastAsia" w:ascii="仿宋_GB2312" w:hAnsi="仿宋_GB2312" w:eastAsia="仿宋_GB2312" w:cs="仿宋_GB2312"/>
          <w:color w:val="auto"/>
          <w:kern w:val="0"/>
          <w:sz w:val="32"/>
          <w:szCs w:val="32"/>
          <w:u w:val="none"/>
          <w:lang w:val="en-US" w:eastAsia="zh-CN" w:bidi="ar"/>
        </w:rPr>
        <w:t>；</w:t>
      </w:r>
    </w:p>
    <w:p w14:paraId="18C2F5F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（七）长护相关收费项目、收费标准符合政策规定，严格执行收费公示和费用清单制度；</w:t>
      </w:r>
    </w:p>
    <w:p w14:paraId="5A4FC01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（八）符合法律法规及省级以上医疗保障行政部门规定的其他条件。</w:t>
      </w:r>
    </w:p>
    <w:p w14:paraId="1EEB377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申请提供医疗护理服务的机构，应同时符合卫生健康行业相关管理规定。</w:t>
      </w:r>
    </w:p>
    <w:p w14:paraId="0AF8AEF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第八条 </w:t>
      </w:r>
      <w:r>
        <w:rPr>
          <w:rStyle w:val="9"/>
          <w:rFonts w:hint="eastAsia" w:ascii="仿宋_GB2312" w:hAnsi="仿宋_GB2312" w:eastAsia="仿宋_GB2312" w:cs="仿宋_GB2312"/>
          <w:b w:val="0"/>
          <w:bCs/>
          <w:color w:val="auto"/>
          <w:kern w:val="0"/>
          <w:sz w:val="32"/>
          <w:szCs w:val="32"/>
          <w:u w:val="none"/>
          <w:lang w:val="en-US" w:eastAsia="zh-CN" w:bidi="ar"/>
        </w:rPr>
        <w:t>分类服务准入标准。</w:t>
      </w:r>
      <w:r>
        <w:rPr>
          <w:rFonts w:hint="eastAsia" w:ascii="仿宋_GB2312" w:hAnsi="仿宋_GB2312" w:eastAsia="仿宋_GB2312" w:cs="仿宋_GB2312"/>
          <w:color w:val="auto"/>
          <w:kern w:val="0"/>
          <w:sz w:val="32"/>
          <w:szCs w:val="32"/>
          <w:u w:val="none"/>
          <w:lang w:val="en-US" w:eastAsia="zh-CN" w:bidi="ar"/>
        </w:rPr>
        <w:t>定点长护服务机构服务类型分为居家护理、社区护理、机构护理三类，分类准入标准如下：</w:t>
      </w:r>
    </w:p>
    <w:p w14:paraId="6D54D95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Style w:val="9"/>
          <w:rFonts w:hint="eastAsia" w:ascii="仿宋_GB2312" w:hAnsi="仿宋_GB2312" w:eastAsia="仿宋_GB2312" w:cs="仿宋_GB2312"/>
          <w:b w:val="0"/>
          <w:bCs w:val="0"/>
          <w:color w:val="auto"/>
          <w:sz w:val="32"/>
          <w:szCs w:val="32"/>
          <w:u w:val="none"/>
          <w:lang w:eastAsia="zh-CN"/>
        </w:rPr>
        <w:t>（</w:t>
      </w:r>
      <w:r>
        <w:rPr>
          <w:rStyle w:val="9"/>
          <w:rFonts w:hint="eastAsia" w:ascii="仿宋_GB2312" w:hAnsi="仿宋_GB2312" w:eastAsia="仿宋_GB2312" w:cs="仿宋_GB2312"/>
          <w:b w:val="0"/>
          <w:bCs w:val="0"/>
          <w:color w:val="auto"/>
          <w:sz w:val="32"/>
          <w:szCs w:val="32"/>
          <w:u w:val="none"/>
          <w:lang w:val="en-US" w:eastAsia="zh-CN"/>
        </w:rPr>
        <w:t>一</w:t>
      </w:r>
      <w:r>
        <w:rPr>
          <w:rStyle w:val="9"/>
          <w:rFonts w:hint="eastAsia" w:ascii="仿宋_GB2312" w:hAnsi="仿宋_GB2312" w:eastAsia="仿宋_GB2312" w:cs="仿宋_GB2312"/>
          <w:b w:val="0"/>
          <w:bCs w:val="0"/>
          <w:color w:val="auto"/>
          <w:sz w:val="32"/>
          <w:szCs w:val="32"/>
          <w:u w:val="none"/>
          <w:lang w:eastAsia="zh-CN"/>
        </w:rPr>
        <w:t>）</w:t>
      </w:r>
      <w:r>
        <w:rPr>
          <w:rStyle w:val="9"/>
          <w:rFonts w:hint="eastAsia" w:ascii="仿宋_GB2312" w:hAnsi="仿宋_GB2312" w:eastAsia="仿宋_GB2312" w:cs="仿宋_GB2312"/>
          <w:b w:val="0"/>
          <w:bCs w:val="0"/>
          <w:color w:val="auto"/>
          <w:sz w:val="32"/>
          <w:szCs w:val="32"/>
          <w:u w:val="none"/>
        </w:rPr>
        <w:t>居家护理</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color w:val="auto"/>
          <w:sz w:val="32"/>
          <w:szCs w:val="32"/>
          <w:u w:val="none"/>
        </w:rPr>
        <w:t>是指长护服务机构在参保人员所居住的家庭住所内为参保人员提供长期护理服务。应当配备专业护理服务团队，长期照护师等专业护理人员不少于4人；具备医疗资质的，在岗医护人员不少于2人；不具备医疗资质的，</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与就近正规医疗机构签订合作服务协议，保障基础医疗服务供给。</w:t>
      </w:r>
    </w:p>
    <w:p w14:paraId="2E4F91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val="0"/>
          <w:bCs w:val="0"/>
          <w:color w:val="auto"/>
          <w:sz w:val="32"/>
          <w:szCs w:val="32"/>
          <w:u w:val="none"/>
        </w:rPr>
        <w:t>（二）</w:t>
      </w:r>
      <w:r>
        <w:rPr>
          <w:rStyle w:val="9"/>
          <w:rFonts w:hint="eastAsia" w:ascii="仿宋_GB2312" w:hAnsi="仿宋_GB2312" w:eastAsia="仿宋_GB2312" w:cs="仿宋_GB2312"/>
          <w:b w:val="0"/>
          <w:bCs w:val="0"/>
          <w:color w:val="auto"/>
          <w:sz w:val="32"/>
          <w:szCs w:val="32"/>
          <w:u w:val="none"/>
        </w:rPr>
        <w:t>社区护理</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color w:val="auto"/>
          <w:sz w:val="32"/>
          <w:szCs w:val="32"/>
          <w:u w:val="none"/>
        </w:rPr>
        <w:t>是指长护服务机构以社区为依托为参保人员提供就近就便、非全日的长期护理服务。应当配备专业护理服务团队，长期照护师等专业护理人员不少于4人；具备医疗资质的，在岗医护人员不少于2人；不具备医疗资质的，</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与就近正规医疗机构签订合作服务协议，保障基础医疗服务供给。</w:t>
      </w:r>
    </w:p>
    <w:p w14:paraId="2FA5C8A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val="0"/>
          <w:bCs w:val="0"/>
          <w:color w:val="auto"/>
          <w:sz w:val="32"/>
          <w:szCs w:val="32"/>
          <w:u w:val="none"/>
        </w:rPr>
        <w:t>（三）</w:t>
      </w:r>
      <w:r>
        <w:rPr>
          <w:rStyle w:val="9"/>
          <w:rFonts w:hint="eastAsia" w:ascii="仿宋_GB2312" w:hAnsi="仿宋_GB2312" w:eastAsia="仿宋_GB2312" w:cs="仿宋_GB2312"/>
          <w:b w:val="0"/>
          <w:bCs w:val="0"/>
          <w:color w:val="auto"/>
          <w:sz w:val="32"/>
          <w:szCs w:val="32"/>
          <w:u w:val="none"/>
        </w:rPr>
        <w:t>机构护理</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color w:val="auto"/>
          <w:sz w:val="32"/>
          <w:szCs w:val="32"/>
          <w:u w:val="none"/>
        </w:rPr>
        <w:t>是指长护服务机构在所开设的机构内为参保人员提供全日</w:t>
      </w:r>
      <w:r>
        <w:rPr>
          <w:rFonts w:hint="eastAsia" w:ascii="仿宋_GB2312" w:hAnsi="仿宋_GB2312" w:eastAsia="仿宋_GB2312" w:cs="仿宋_GB2312"/>
          <w:color w:val="auto"/>
          <w:sz w:val="32"/>
          <w:szCs w:val="32"/>
          <w:u w:val="none"/>
          <w:lang w:val="en-US" w:eastAsia="zh-CN"/>
        </w:rPr>
        <w:t>制</w:t>
      </w:r>
      <w:r>
        <w:rPr>
          <w:rFonts w:hint="eastAsia" w:ascii="仿宋_GB2312" w:hAnsi="仿宋_GB2312" w:eastAsia="仿宋_GB2312" w:cs="仿宋_GB2312"/>
          <w:color w:val="auto"/>
          <w:sz w:val="32"/>
          <w:szCs w:val="32"/>
          <w:u w:val="none"/>
        </w:rPr>
        <w:t>长期护理服务。</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设置物理隔离、标识</w:t>
      </w:r>
      <w:r>
        <w:rPr>
          <w:rFonts w:hint="eastAsia" w:ascii="仿宋_GB2312" w:hAnsi="仿宋_GB2312" w:eastAsia="仿宋_GB2312" w:cs="仿宋_GB2312"/>
          <w:color w:val="auto"/>
          <w:sz w:val="32"/>
          <w:szCs w:val="32"/>
          <w:u w:val="none"/>
          <w:lang w:val="en-US" w:eastAsia="zh-CN"/>
        </w:rPr>
        <w:t>清晰</w:t>
      </w:r>
      <w:r>
        <w:rPr>
          <w:rFonts w:hint="eastAsia" w:ascii="仿宋_GB2312" w:hAnsi="仿宋_GB2312" w:eastAsia="仿宋_GB2312" w:cs="仿宋_GB2312"/>
          <w:color w:val="auto"/>
          <w:sz w:val="32"/>
          <w:szCs w:val="32"/>
          <w:u w:val="none"/>
        </w:rPr>
        <w:t>的独立长护服务专区，并实行规范化管理</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rPr>
        <w:t>专区床位执行差异化标准：城镇类机构长护专用</w:t>
      </w:r>
      <w:r>
        <w:rPr>
          <w:rFonts w:hint="eastAsia" w:ascii="仿宋_GB2312" w:hAnsi="仿宋_GB2312" w:eastAsia="仿宋_GB2312" w:cs="仿宋_GB2312"/>
          <w:color w:val="auto"/>
          <w:sz w:val="32"/>
          <w:szCs w:val="32"/>
          <w:u w:val="none"/>
          <w:lang w:val="en-US" w:eastAsia="zh-CN"/>
        </w:rPr>
        <w:t>专区</w:t>
      </w:r>
      <w:r>
        <w:rPr>
          <w:rFonts w:hint="eastAsia" w:ascii="仿宋_GB2312" w:hAnsi="仿宋_GB2312" w:eastAsia="仿宋_GB2312" w:cs="仿宋_GB2312"/>
          <w:color w:val="auto"/>
          <w:sz w:val="32"/>
          <w:szCs w:val="32"/>
          <w:u w:val="none"/>
        </w:rPr>
        <w:t>床位不少于20张，乡镇类机构长护专用</w:t>
      </w:r>
      <w:r>
        <w:rPr>
          <w:rFonts w:hint="eastAsia" w:ascii="仿宋_GB2312" w:hAnsi="仿宋_GB2312" w:eastAsia="仿宋_GB2312" w:cs="仿宋_GB2312"/>
          <w:color w:val="auto"/>
          <w:sz w:val="32"/>
          <w:szCs w:val="32"/>
          <w:u w:val="none"/>
          <w:lang w:val="en-US" w:eastAsia="zh-CN"/>
        </w:rPr>
        <w:t>专区</w:t>
      </w:r>
      <w:r>
        <w:rPr>
          <w:rFonts w:hint="eastAsia" w:ascii="仿宋_GB2312" w:hAnsi="仿宋_GB2312" w:eastAsia="仿宋_GB2312" w:cs="仿宋_GB2312"/>
          <w:color w:val="auto"/>
          <w:sz w:val="32"/>
          <w:szCs w:val="32"/>
          <w:u w:val="none"/>
        </w:rPr>
        <w:t>床位不少于10张</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highlight w:val="none"/>
          <w:u w:val="none"/>
          <w:lang w:val="en-US" w:eastAsia="zh-CN"/>
        </w:rPr>
        <w:t>护理服务人员</w:t>
      </w:r>
      <w:r>
        <w:rPr>
          <w:rFonts w:hint="eastAsia" w:ascii="仿宋_GB2312" w:hAnsi="仿宋_GB2312" w:eastAsia="仿宋_GB2312" w:cs="仿宋_GB2312"/>
          <w:color w:val="auto"/>
          <w:sz w:val="32"/>
          <w:szCs w:val="32"/>
          <w:u w:val="none"/>
        </w:rPr>
        <w:t>与床位配比不低于1:</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机</w:t>
      </w:r>
      <w:r>
        <w:rPr>
          <w:rFonts w:hint="eastAsia" w:ascii="仿宋_GB2312" w:hAnsi="仿宋_GB2312" w:eastAsia="仿宋_GB2312" w:cs="仿宋_GB2312"/>
          <w:color w:val="auto"/>
          <w:sz w:val="32"/>
          <w:szCs w:val="32"/>
          <w:u w:val="none"/>
        </w:rPr>
        <w:t>构</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配备齐全的护理用具、消毒灭菌设施、基础生活照料</w:t>
      </w:r>
      <w:r>
        <w:rPr>
          <w:rFonts w:hint="eastAsia" w:ascii="仿宋_GB2312" w:hAnsi="仿宋_GB2312" w:eastAsia="仿宋_GB2312" w:cs="仿宋_GB2312"/>
          <w:color w:val="auto"/>
          <w:sz w:val="32"/>
          <w:szCs w:val="32"/>
          <w:u w:val="none"/>
          <w:lang w:val="en-US" w:eastAsia="zh-CN"/>
        </w:rPr>
        <w:t>设备</w:t>
      </w:r>
      <w:r>
        <w:rPr>
          <w:rFonts w:hint="eastAsia" w:ascii="仿宋_GB2312" w:hAnsi="仿宋_GB2312" w:eastAsia="仿宋_GB2312" w:cs="仿宋_GB2312"/>
          <w:color w:val="auto"/>
          <w:sz w:val="32"/>
          <w:szCs w:val="32"/>
          <w:u w:val="none"/>
        </w:rPr>
        <w:t>。具备医疗资质的机构，在岗医师、护士</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师</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各不少于2人；长护服务容量达100人及以上的，</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设立专职长护管理内设机构，配备专职管理人员。</w:t>
      </w:r>
    </w:p>
    <w:p w14:paraId="6D9F19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第九条 </w:t>
      </w:r>
      <w:r>
        <w:rPr>
          <w:rStyle w:val="9"/>
          <w:rFonts w:hint="eastAsia" w:ascii="仿宋_GB2312" w:hAnsi="仿宋_GB2312" w:eastAsia="仿宋_GB2312" w:cs="仿宋_GB2312"/>
          <w:b w:val="0"/>
          <w:bCs/>
          <w:color w:val="auto"/>
          <w:kern w:val="0"/>
          <w:sz w:val="32"/>
          <w:szCs w:val="32"/>
          <w:u w:val="none"/>
          <w:lang w:val="en-US" w:eastAsia="zh-CN" w:bidi="ar"/>
        </w:rPr>
        <w:t>分支机构管理。</w:t>
      </w:r>
      <w:r>
        <w:rPr>
          <w:rFonts w:hint="eastAsia" w:ascii="仿宋_GB2312" w:hAnsi="仿宋_GB2312" w:eastAsia="仿宋_GB2312" w:cs="仿宋_GB2312"/>
          <w:b w:val="0"/>
          <w:bCs/>
          <w:color w:val="auto"/>
          <w:kern w:val="0"/>
          <w:sz w:val="32"/>
          <w:szCs w:val="32"/>
          <w:u w:val="none"/>
          <w:lang w:val="en-US" w:eastAsia="zh-CN" w:bidi="ar"/>
        </w:rPr>
        <w:t>定点长护服务机构设立分支机构、新增服务站点的，应按照本细则规定的准入条件和办理流程，另行申请定点资质，不得共用总部定点资格。</w:t>
      </w:r>
    </w:p>
    <w:p w14:paraId="3595A96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第十条 </w:t>
      </w:r>
      <w:r>
        <w:rPr>
          <w:rStyle w:val="9"/>
          <w:rFonts w:hint="eastAsia" w:ascii="仿宋_GB2312" w:hAnsi="仿宋_GB2312" w:eastAsia="仿宋_GB2312" w:cs="仿宋_GB2312"/>
          <w:b w:val="0"/>
          <w:bCs/>
          <w:color w:val="auto"/>
          <w:kern w:val="0"/>
          <w:sz w:val="32"/>
          <w:szCs w:val="32"/>
          <w:u w:val="none"/>
          <w:lang w:val="en-US" w:eastAsia="zh-CN" w:bidi="ar"/>
        </w:rPr>
        <w:t>申请材料清单。</w:t>
      </w:r>
      <w:r>
        <w:rPr>
          <w:rFonts w:hint="eastAsia" w:ascii="仿宋_GB2312" w:hAnsi="仿宋_GB2312" w:eastAsia="仿宋_GB2312" w:cs="仿宋_GB2312"/>
          <w:color w:val="auto"/>
          <w:sz w:val="32"/>
          <w:szCs w:val="32"/>
          <w:u w:val="none"/>
        </w:rPr>
        <w:t>符合本第七条、第八条规定准入条件的机构</w:t>
      </w:r>
      <w:r>
        <w:rPr>
          <w:rFonts w:hint="eastAsia" w:ascii="仿宋_GB2312" w:hAnsi="仿宋_GB2312" w:eastAsia="仿宋_GB2312" w:cs="仿宋_GB2312"/>
          <w:b w:val="0"/>
          <w:bCs/>
          <w:color w:val="auto"/>
          <w:kern w:val="0"/>
          <w:sz w:val="32"/>
          <w:szCs w:val="32"/>
          <w:u w:val="none"/>
          <w:lang w:val="en-US" w:eastAsia="zh-CN" w:bidi="ar"/>
        </w:rPr>
        <w:t>，可自愿向辖区医疗保障经办机构提交书面申请，并加盖单位公章报送以下材料：</w:t>
      </w:r>
    </w:p>
    <w:p w14:paraId="3EFA559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（一）《景德镇市长期护理保险定点护理服务机构申请表》；</w:t>
      </w:r>
    </w:p>
    <w:p w14:paraId="3C837BF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（二）对应行业资质证件复印件（医疗机构执业许可证、养老机构备案回执、营业执照等），合作医疗机构需同步提供合作协议及对方资质材料；</w:t>
      </w:r>
    </w:p>
    <w:p w14:paraId="1E6981A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（三）法人登记证书、法定代表人身份证复印件；</w:t>
      </w:r>
    </w:p>
    <w:p w14:paraId="2561053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（四）业务用房产权证明或有效期剩余不少于2年的租赁协议复印件；</w:t>
      </w:r>
    </w:p>
    <w:p w14:paraId="3C27F8E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w:t>
      </w:r>
      <w:r>
        <w:rPr>
          <w:rFonts w:hint="eastAsia" w:ascii="仿宋_GB2312" w:hAnsi="仿宋_GB2312" w:eastAsia="仿宋_GB2312" w:cs="仿宋_GB2312"/>
          <w:color w:val="auto"/>
          <w:sz w:val="32"/>
          <w:szCs w:val="32"/>
          <w:u w:val="none"/>
        </w:rPr>
        <w:t>在岗人员花名册、劳动合同、对应职业及职称资格证书、社保缴纳证明、工资发放凭证</w:t>
      </w:r>
      <w:r>
        <w:rPr>
          <w:rFonts w:hint="eastAsia" w:ascii="仿宋_GB2312" w:hAnsi="仿宋_GB2312" w:eastAsia="仿宋_GB2312" w:cs="仿宋_GB2312"/>
          <w:color w:val="auto"/>
          <w:kern w:val="0"/>
          <w:sz w:val="32"/>
          <w:szCs w:val="32"/>
          <w:u w:val="none"/>
          <w:lang w:val="en-US" w:eastAsia="zh-CN" w:bidi="ar"/>
        </w:rPr>
        <w:t>；</w:t>
      </w:r>
    </w:p>
    <w:p w14:paraId="20026CD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（六）申请机构护理服务的，需提供长护专区设置方案、核定床位明细等相关材料；</w:t>
      </w:r>
    </w:p>
    <w:p w14:paraId="5C520BD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（七）全套内部管理制度文本（服务、财务、档案、信息、内控等）；</w:t>
      </w:r>
    </w:p>
    <w:p w14:paraId="30F759E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（八）</w:t>
      </w:r>
      <w:r>
        <w:rPr>
          <w:rFonts w:hint="eastAsia" w:ascii="仿宋_GB2312" w:hAnsi="仿宋_GB2312" w:eastAsia="仿宋_GB2312" w:cs="仿宋_GB2312"/>
          <w:color w:val="auto"/>
          <w:sz w:val="32"/>
          <w:szCs w:val="32"/>
          <w:u w:val="none"/>
        </w:rPr>
        <w:t>具备全国统一的医疗保障信息平台长期护理保险相关功能模块对接条件的情况说明，或按全国统一接口规范完成系统对接的承诺书</w:t>
      </w:r>
      <w:r>
        <w:rPr>
          <w:rFonts w:hint="eastAsia" w:ascii="仿宋_GB2312" w:hAnsi="仿宋_GB2312" w:eastAsia="仿宋_GB2312" w:cs="仿宋_GB2312"/>
          <w:color w:val="auto"/>
          <w:kern w:val="0"/>
          <w:sz w:val="32"/>
          <w:szCs w:val="32"/>
          <w:u w:val="none"/>
          <w:lang w:val="en-US" w:eastAsia="zh-CN" w:bidi="ar"/>
        </w:rPr>
        <w:t>；</w:t>
      </w:r>
    </w:p>
    <w:p w14:paraId="1C3E188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（九）长护服务收费项目及价格清单；</w:t>
      </w:r>
    </w:p>
    <w:p w14:paraId="5C63C34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（十）法律法规及政策要求的其他补充材料。</w:t>
      </w:r>
    </w:p>
    <w:p w14:paraId="6568C19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第十一条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不予受理情形。</w:t>
      </w:r>
      <w:r>
        <w:rPr>
          <w:rFonts w:hint="eastAsia" w:ascii="仿宋_GB2312" w:hAnsi="仿宋_GB2312" w:eastAsia="仿宋_GB2312" w:cs="仿宋_GB2312"/>
          <w:color w:val="auto"/>
          <w:kern w:val="0"/>
          <w:sz w:val="32"/>
          <w:szCs w:val="32"/>
          <w:u w:val="none"/>
          <w:lang w:val="en-US" w:eastAsia="zh-CN" w:bidi="ar"/>
        </w:rPr>
        <w:t>长护服务机构存在下列情形之一的，不予受理定点申请：</w:t>
      </w:r>
    </w:p>
    <w:p w14:paraId="00094B2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（一）受到相关行政部门行政处罚，尚未完全履行处罚责任的；</w:t>
      </w:r>
    </w:p>
    <w:p w14:paraId="0959AAF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（二）以弄虚作假、隐瞒实情等不正当手段申请定点，自查实之日起未满3年的；</w:t>
      </w:r>
    </w:p>
    <w:p w14:paraId="58B0B1B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（三）因违规违约被解除长护协议未满3年，或已满3年但未完全履行违约责任的；</w:t>
      </w:r>
    </w:p>
    <w:p w14:paraId="1A7542C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（四）法定代表人、主要负责人、实际控制人或股东设立长护险失能等级评估机构的；</w:t>
      </w:r>
    </w:p>
    <w:p w14:paraId="1A2F881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（五）法定代表人、主要负责人、实际控制人被列入严重失信主体名单的；</w:t>
      </w:r>
    </w:p>
    <w:p w14:paraId="3116F23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（六）相关责任人因严重违法违规行为造成长护基金重大损失或恶劣社会影响，被禁止从事长护机构管理工作未满5年的；</w:t>
      </w:r>
    </w:p>
    <w:p w14:paraId="4C9A462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（七）法律法规、规章规定的其他不予受理情形。</w:t>
      </w:r>
    </w:p>
    <w:p w14:paraId="4A33461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第十二条 </w:t>
      </w:r>
      <w:r>
        <w:rPr>
          <w:rStyle w:val="9"/>
          <w:rFonts w:hint="eastAsia" w:ascii="仿宋_GB2312" w:hAnsi="仿宋_GB2312" w:eastAsia="仿宋_GB2312" w:cs="仿宋_GB2312"/>
          <w:b w:val="0"/>
          <w:bCs/>
          <w:color w:val="auto"/>
          <w:kern w:val="0"/>
          <w:sz w:val="32"/>
          <w:szCs w:val="32"/>
          <w:u w:val="none"/>
          <w:lang w:val="en-US" w:eastAsia="zh-CN" w:bidi="ar"/>
        </w:rPr>
        <w:t>定点办理流程。</w:t>
      </w:r>
      <w:r>
        <w:rPr>
          <w:rFonts w:hint="eastAsia" w:ascii="仿宋_GB2312" w:hAnsi="仿宋_GB2312" w:eastAsia="仿宋_GB2312" w:cs="仿宋_GB2312"/>
          <w:color w:val="auto"/>
          <w:kern w:val="0"/>
          <w:sz w:val="32"/>
          <w:szCs w:val="32"/>
          <w:u w:val="none"/>
          <w:lang w:val="en-US" w:eastAsia="zh-CN" w:bidi="ar"/>
        </w:rPr>
        <w:t>定点长护服务机构准入按照形式审查、综合评估、结果备案、社会公示、协议签订的流程办理：</w:t>
      </w:r>
    </w:p>
    <w:p w14:paraId="46033F2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形式审查。辖区医疗保障经办机构受理申请后，核查申请材料完整性、规范性、合规性。材料不全的一次性告知补齐，不符合条件的书面说明理由。申请机构应在5个工作日内补齐材料，逾期视为自动放弃申请。审查重点包含机构规划适配性、资质合法性、设施完备性、人员合规性、制度健全性、系统对接条件、收费合规性等。</w:t>
      </w:r>
    </w:p>
    <w:p w14:paraId="0F9DDC9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综合评估。形式审查通过后，市医疗保障经办机构组织专业评审小组，通过书面查验、现场核查、集体评议等方式开展综合审核。评审小组由5名及以上单数专业人员组成，涵盖长护管理、医疗、养老、财务、信息技术等领域，严格执行回避制度，审核全过程接受市医疗保障行政部门监督。审核时限不超过3个月，机构补正材料时间不计入审核期限。</w:t>
      </w:r>
    </w:p>
    <w:p w14:paraId="5B3F3D1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（三）结果备案。审核结果分为合格、不合格，结果报同级医疗保障行政部门备案。合格机构纳入拟签约名单；不合格的书面告知理由及整改建议，机构</w:t>
      </w:r>
      <w:r>
        <w:rPr>
          <w:rFonts w:hint="eastAsia" w:ascii="仿宋_GB2312" w:hAnsi="仿宋_GB2312" w:eastAsia="仿宋_GB2312" w:cs="仿宋_GB2312"/>
          <w:color w:val="auto"/>
          <w:sz w:val="32"/>
          <w:szCs w:val="32"/>
          <w:u w:val="none"/>
        </w:rPr>
        <w:t>可自收到不予通过书面告知之日起3个月内完成整改并提交复核；复核仍不合格的，1年内不得再次提交定点申请</w:t>
      </w:r>
      <w:r>
        <w:rPr>
          <w:rFonts w:hint="eastAsia" w:ascii="仿宋_GB2312" w:hAnsi="仿宋_GB2312" w:eastAsia="仿宋_GB2312" w:cs="仿宋_GB2312"/>
          <w:color w:val="auto"/>
          <w:kern w:val="0"/>
          <w:sz w:val="32"/>
          <w:szCs w:val="32"/>
          <w:u w:val="none"/>
          <w:lang w:val="en-US" w:eastAsia="zh-CN" w:bidi="ar"/>
        </w:rPr>
        <w:t>。</w:t>
      </w:r>
    </w:p>
    <w:p w14:paraId="60E7CF2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社会公示。市医疗保障经办机构对拟定点机构名单进行公示，公示期不少于5个工作日，公示平台为景德镇市医疗保障局官方微信公众号，公示内容包含机构名称、地址、法人、服务类型。公示期间收到异议的，经办机构及时核查处置。</w:t>
      </w:r>
    </w:p>
    <w:p w14:paraId="1C9E65D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（五）协议签订。公示期满无异议的，辖区医疗保障经办机构与申请机构签订长护服务协议，逾期无正当理由未签约的，视为自动放弃定点资格。</w:t>
      </w:r>
    </w:p>
    <w:p w14:paraId="214F3AC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第十三条 </w:t>
      </w:r>
      <w:r>
        <w:rPr>
          <w:rStyle w:val="9"/>
          <w:rFonts w:hint="eastAsia" w:ascii="仿宋_GB2312" w:hAnsi="仿宋_GB2312" w:eastAsia="仿宋_GB2312" w:cs="仿宋_GB2312"/>
          <w:b w:val="0"/>
          <w:bCs/>
          <w:color w:val="auto"/>
          <w:kern w:val="0"/>
          <w:sz w:val="32"/>
          <w:szCs w:val="32"/>
          <w:u w:val="none"/>
          <w:lang w:val="en-US" w:eastAsia="zh-CN" w:bidi="ar"/>
        </w:rPr>
        <w:t>协议备案与续签。</w:t>
      </w:r>
      <w:r>
        <w:rPr>
          <w:rFonts w:hint="eastAsia" w:ascii="仿宋_GB2312" w:hAnsi="仿宋_GB2312" w:eastAsia="仿宋_GB2312" w:cs="仿宋_GB2312"/>
          <w:color w:val="auto"/>
          <w:kern w:val="0"/>
          <w:sz w:val="32"/>
          <w:szCs w:val="32"/>
          <w:u w:val="none"/>
          <w:lang w:val="en-US" w:eastAsia="zh-CN" w:bidi="ar"/>
        </w:rPr>
        <w:t>长护协议签订后，由经办机构报同级医疗保障行政部门备案。协议有效期一般为1年，协议内容明确双方权利义务、服务标准、结算规则、违约责任、中止解除、争议处理等内容，建立动态准入退出机制。定点机构需续签协议的，应提前3个月提交申请，经办机构结合年度履约情况、绩效考核结果审核确定是否续签。</w:t>
      </w:r>
    </w:p>
    <w:p w14:paraId="036916D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第十四条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信息公开公示。</w:t>
      </w:r>
      <w:r>
        <w:rPr>
          <w:rFonts w:hint="eastAsia" w:ascii="仿宋_GB2312" w:hAnsi="仿宋_GB2312" w:eastAsia="仿宋_GB2312" w:cs="仿宋_GB2312"/>
          <w:color w:val="auto"/>
          <w:kern w:val="0"/>
          <w:sz w:val="32"/>
          <w:szCs w:val="32"/>
          <w:u w:val="none"/>
          <w:lang w:val="en-US" w:eastAsia="zh-CN" w:bidi="ar"/>
        </w:rPr>
        <w:t>市医疗保障经办机构</w:t>
      </w:r>
      <w:r>
        <w:rPr>
          <w:rFonts w:hint="eastAsia" w:ascii="仿宋_GB2312" w:hAnsi="仿宋_GB2312" w:eastAsia="仿宋_GB2312" w:cs="仿宋_GB2312"/>
          <w:color w:val="auto"/>
          <w:kern w:val="0"/>
          <w:sz w:val="32"/>
          <w:szCs w:val="32"/>
          <w:u w:val="none"/>
          <w:lang w:bidi="ar"/>
        </w:rPr>
        <w:t>通过景德镇市医疗保障微信公众号</w:t>
      </w:r>
      <w:r>
        <w:rPr>
          <w:rFonts w:hint="eastAsia" w:ascii="仿宋_GB2312" w:hAnsi="仿宋_GB2312" w:eastAsia="仿宋_GB2312" w:cs="仿宋_GB2312"/>
          <w:color w:val="auto"/>
          <w:sz w:val="32"/>
          <w:szCs w:val="32"/>
          <w:u w:val="none"/>
        </w:rPr>
        <w:t>等线上政务公开渠道</w:t>
      </w:r>
      <w:r>
        <w:rPr>
          <w:rFonts w:hint="eastAsia" w:ascii="仿宋_GB2312" w:hAnsi="仿宋_GB2312" w:eastAsia="仿宋_GB2312" w:cs="仿宋_GB2312"/>
          <w:color w:val="auto"/>
          <w:kern w:val="0"/>
          <w:sz w:val="32"/>
          <w:szCs w:val="32"/>
          <w:u w:val="none"/>
          <w:lang w:val="en-US" w:eastAsia="zh-CN" w:bidi="ar"/>
        </w:rPr>
        <w:t>向社会公布全市所有定点长护服务机构基础信息，包含机构名称、地址、联系电话、服务类型等内容，供参保人员、监护人、委托代理人自主选择，主动接受社会监督。</w:t>
      </w:r>
    </w:p>
    <w:p w14:paraId="085369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第三章 定点长护服务机构运行管理</w:t>
      </w:r>
    </w:p>
    <w:p w14:paraId="5B3902C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第十五条 </w:t>
      </w:r>
      <w:r>
        <w:rPr>
          <w:rFonts w:hint="eastAsia" w:ascii="仿宋_GB2312" w:hAnsi="仿宋_GB2312" w:eastAsia="仿宋_GB2312" w:cs="仿宋_GB2312"/>
          <w:b w:val="0"/>
          <w:bCs/>
          <w:color w:val="auto"/>
          <w:kern w:val="0"/>
          <w:sz w:val="32"/>
          <w:szCs w:val="32"/>
          <w:u w:val="none"/>
          <w:lang w:val="en-US" w:eastAsia="zh-CN" w:bidi="ar"/>
        </w:rPr>
        <w:t>定点长护服务机构享有以下权利：</w:t>
      </w:r>
    </w:p>
    <w:p w14:paraId="6FFD143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（一）按规定提供合规长护服务后，依规结算长护保险费用；</w:t>
      </w:r>
    </w:p>
    <w:p w14:paraId="633B3A3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（二）依规申请变更、中止、解除长护服务协议；</w:t>
      </w:r>
    </w:p>
    <w:p w14:paraId="39E11BE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（三）要求医疗保障经办机构全面履行协议约定；</w:t>
      </w:r>
    </w:p>
    <w:p w14:paraId="261A374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（四）对长护定点管理、服务政策提出意见建议。</w:t>
      </w:r>
    </w:p>
    <w:p w14:paraId="21A54A7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定点机构应当与参保人员或其监护人、委托代理人签订书面服务合同，明确服务内容、权责边界；发现参保人员失能等级变动、死亡、住院、长期市外居住等异常情况，应及时向辖区医疗保障经办机构报备。</w:t>
      </w:r>
    </w:p>
    <w:p w14:paraId="1A561D4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第十六条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服务规范与档案管理。</w:t>
      </w:r>
      <w:r>
        <w:rPr>
          <w:rFonts w:hint="eastAsia" w:ascii="仿宋_GB2312" w:hAnsi="仿宋_GB2312" w:eastAsia="仿宋_GB2312" w:cs="仿宋_GB2312"/>
          <w:color w:val="auto"/>
          <w:kern w:val="0"/>
          <w:sz w:val="32"/>
          <w:szCs w:val="32"/>
          <w:u w:val="none"/>
          <w:lang w:val="en-US" w:eastAsia="zh-CN" w:bidi="ar"/>
        </w:rPr>
        <w:t>定点机构应严格核验参保人员身份凭证，按照既定护理服务计划、行业规范提供标准化服务，规范使用音视频记录、轨迹定位、生物识别等监管手段。服务完成后，主动收集参保人及家属满意度评价，自觉接受医疗保障经办机构全过程监督。严格落实“一人一档”管理制度，建立完整的电子及纸质护理档案，档案涵盖参保人基础信息、失能评估结果、护理计划、服务记录、费用明细、确认签字记录等内容。档案保存期限不少于10年，鼓励机构搭建智能化电子档案管理系统。</w:t>
      </w:r>
      <w:r>
        <w:rPr>
          <w:rFonts w:hint="eastAsia" w:ascii="仿宋_GB2312" w:hAnsi="仿宋_GB2312" w:eastAsia="仿宋_GB2312" w:cs="仿宋_GB2312"/>
          <w:color w:val="auto"/>
          <w:sz w:val="32"/>
          <w:szCs w:val="32"/>
          <w:u w:val="none"/>
        </w:rPr>
        <w:t>定点服务协议终止前30日，机构应当归集全部护理服务档案完整移交属地医疗保障经办机构归档管理。</w:t>
      </w:r>
    </w:p>
    <w:p w14:paraId="3E6DFD8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第十七条 </w:t>
      </w:r>
      <w:r>
        <w:rPr>
          <w:rFonts w:hint="eastAsia" w:ascii="仿宋_GB2312" w:hAnsi="仿宋_GB2312" w:eastAsia="仿宋_GB2312" w:cs="仿宋_GB2312"/>
          <w:color w:val="auto"/>
          <w:sz w:val="32"/>
          <w:szCs w:val="32"/>
          <w:u w:val="none"/>
        </w:rPr>
        <w:t>服务质量管理。定点机构应当严格遵守长护保险政策规定，制定标准化服务流程和服务规范，持续加强内部管理，保障护理服务专业性、规范性、一致性，严守服务质量底线和基金安全红线。仅经失能等级评估认定为 E、F 、G 级重度失能的参保人员，其合规护理服务费用可按规定纳入长护保险基金支付范围；对 A、B、C、D 级失能参保人员提供的护理服务，不得申报长护保险基金结算。</w:t>
      </w:r>
    </w:p>
    <w:p w14:paraId="3E8B5E0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第十八条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信息系统管理。</w:t>
      </w:r>
      <w:r>
        <w:rPr>
          <w:rFonts w:hint="eastAsia" w:ascii="仿宋_GB2312" w:hAnsi="仿宋_GB2312" w:eastAsia="仿宋_GB2312" w:cs="仿宋_GB2312"/>
          <w:color w:val="auto"/>
          <w:kern w:val="0"/>
          <w:sz w:val="32"/>
          <w:szCs w:val="32"/>
          <w:u w:val="none"/>
          <w:lang w:val="en-US" w:eastAsia="zh-CN" w:bidi="ar"/>
        </w:rPr>
        <w:t>定点机构应依托</w:t>
      </w:r>
      <w:r>
        <w:rPr>
          <w:rFonts w:hint="eastAsia" w:ascii="仿宋_GB2312" w:hAnsi="仿宋_GB2312" w:eastAsia="仿宋_GB2312" w:cs="仿宋_GB2312"/>
          <w:color w:val="auto"/>
          <w:sz w:val="32"/>
          <w:szCs w:val="32"/>
          <w:u w:val="none"/>
        </w:rPr>
        <w:t>全国统一的医疗保障信息平台长期护理保险相关功能模块</w:t>
      </w:r>
      <w:r>
        <w:rPr>
          <w:rFonts w:hint="eastAsia" w:ascii="仿宋_GB2312" w:hAnsi="仿宋_GB2312" w:eastAsia="仿宋_GB2312" w:cs="仿宋_GB2312"/>
          <w:color w:val="auto"/>
          <w:kern w:val="0"/>
          <w:sz w:val="32"/>
          <w:szCs w:val="32"/>
          <w:u w:val="none"/>
          <w:lang w:val="en-US" w:eastAsia="zh-CN" w:bidi="ar"/>
        </w:rPr>
        <w:t>，或通过自建系统完成合规对接，实现服务数据、费用数据、人员数据的实时录入、规范管理和精准传输，保障数据真实可追溯。</w:t>
      </w:r>
    </w:p>
    <w:p w14:paraId="1E0CA28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仿宋_GB2312" w:hAnsi="仿宋_GB2312" w:eastAsia="仿宋_GB2312" w:cs="仿宋_GB2312"/>
          <w:color w:val="auto"/>
          <w:kern w:val="0"/>
          <w:sz w:val="32"/>
          <w:szCs w:val="32"/>
          <w:u w:val="none"/>
          <w:lang w:val="en-US" w:eastAsia="zh-CN" w:bidi="ar"/>
        </w:rPr>
        <w:t xml:space="preserve">第十九条 </w:t>
      </w:r>
      <w:r>
        <w:rPr>
          <w:rStyle w:val="9"/>
          <w:rFonts w:hint="eastAsia" w:ascii="仿宋_GB2312" w:hAnsi="仿宋_GB2312" w:eastAsia="仿宋_GB2312" w:cs="仿宋_GB2312"/>
          <w:b w:val="0"/>
          <w:bCs/>
          <w:color w:val="auto"/>
          <w:kern w:val="0"/>
          <w:sz w:val="32"/>
          <w:szCs w:val="32"/>
          <w:u w:val="none"/>
          <w:lang w:val="en-US" w:eastAsia="zh-CN" w:bidi="ar"/>
        </w:rPr>
        <w:t>人员动态管理。</w:t>
      </w:r>
      <w:r>
        <w:rPr>
          <w:rFonts w:hint="eastAsia" w:ascii="仿宋_GB2312" w:hAnsi="仿宋_GB2312" w:eastAsia="仿宋_GB2312" w:cs="仿宋_GB2312"/>
          <w:color w:val="auto"/>
          <w:kern w:val="0"/>
          <w:sz w:val="32"/>
          <w:szCs w:val="32"/>
          <w:u w:val="none"/>
          <w:lang w:val="en-US" w:eastAsia="zh-CN" w:bidi="ar"/>
        </w:rPr>
        <w:t>定点机构对护理人员实行实名制动态管理，护理人员</w:t>
      </w:r>
      <w:r>
        <w:rPr>
          <w:rFonts w:hint="eastAsia" w:ascii="仿宋_GB2312" w:hAnsi="仿宋_GB2312" w:eastAsia="仿宋_GB2312" w:cs="仿宋_GB2312"/>
          <w:color w:val="auto"/>
          <w:sz w:val="32"/>
          <w:szCs w:val="32"/>
          <w:u w:val="none"/>
        </w:rPr>
        <w:t>不得同时在两家及以上定点机构执业</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按要求</w:t>
      </w:r>
      <w:r>
        <w:rPr>
          <w:rFonts w:hint="eastAsia" w:ascii="仿宋_GB2312" w:hAnsi="仿宋_GB2312" w:eastAsia="仿宋_GB2312" w:cs="仿宋_GB2312"/>
          <w:color w:val="auto"/>
          <w:kern w:val="0"/>
          <w:sz w:val="32"/>
          <w:szCs w:val="32"/>
          <w:u w:val="none"/>
          <w:lang w:val="en-US" w:eastAsia="zh-CN" w:bidi="ar"/>
        </w:rPr>
        <w:t>及时维护机构及人员编码信息，常态化开展政策及技能培训，建立服务质量考核评价体系。护理人员岗位变动、离职、新增的，应</w:t>
      </w:r>
      <w:r>
        <w:rPr>
          <w:rFonts w:hint="eastAsia" w:ascii="仿宋_GB2312" w:hAnsi="仿宋_GB2312" w:eastAsia="仿宋_GB2312" w:cs="仿宋_GB2312"/>
          <w:color w:val="auto"/>
          <w:sz w:val="32"/>
          <w:szCs w:val="32"/>
          <w:u w:val="none"/>
        </w:rPr>
        <w:t>当在3个工作日</w:t>
      </w:r>
      <w:r>
        <w:rPr>
          <w:rFonts w:hint="eastAsia" w:ascii="仿宋_GB2312" w:hAnsi="仿宋_GB2312" w:eastAsia="仿宋_GB2312" w:cs="仿宋_GB2312"/>
          <w:color w:val="auto"/>
          <w:sz w:val="32"/>
          <w:szCs w:val="32"/>
          <w:u w:val="none"/>
          <w:lang w:val="en-US" w:eastAsia="zh-CN"/>
        </w:rPr>
        <w:t>内</w:t>
      </w:r>
      <w:r>
        <w:rPr>
          <w:rFonts w:hint="eastAsia" w:ascii="仿宋_GB2312" w:hAnsi="仿宋_GB2312" w:eastAsia="仿宋_GB2312" w:cs="仿宋_GB2312"/>
          <w:color w:val="auto"/>
          <w:kern w:val="0"/>
          <w:sz w:val="32"/>
          <w:szCs w:val="32"/>
          <w:u w:val="none"/>
          <w:lang w:val="en-US" w:eastAsia="zh-CN" w:bidi="ar"/>
        </w:rPr>
        <w:t>向辖区医疗保障经办机构备案。</w:t>
      </w:r>
    </w:p>
    <w:p w14:paraId="02DDDC4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收费与价格管理。</w:t>
      </w:r>
      <w:r>
        <w:rPr>
          <w:rFonts w:hint="eastAsia" w:ascii="仿宋_GB2312" w:hAnsi="仿宋_GB2312" w:eastAsia="仿宋_GB2312" w:cs="仿宋_GB2312"/>
          <w:color w:val="auto"/>
          <w:kern w:val="0"/>
          <w:sz w:val="32"/>
          <w:szCs w:val="32"/>
          <w:u w:val="none"/>
          <w:lang w:val="en-US" w:eastAsia="zh-CN" w:bidi="ar"/>
        </w:rPr>
        <w:t>定点机构应严格遵守价格管理规定，全面落实收费公示和费用清单制度。医疗类护理服务价格参照本市定点医疗机构收费标准执行；生活照护服务遵循公平合理、质价相符原则自主定价，确保价格公允、透明合规。所有收费项目、计价标准应在经营场所醒目位置公示。</w:t>
      </w:r>
    </w:p>
    <w:p w14:paraId="4E0086D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第二十一条</w:t>
      </w:r>
      <w:r>
        <w:rPr>
          <w:rStyle w:val="9"/>
          <w:rFonts w:hint="eastAsia" w:ascii="仿宋_GB2312" w:hAnsi="仿宋_GB2312" w:eastAsia="仿宋_GB2312" w:cs="仿宋_GB2312"/>
          <w:b w:val="0"/>
          <w:bCs/>
          <w:color w:val="auto"/>
          <w:kern w:val="0"/>
          <w:sz w:val="32"/>
          <w:szCs w:val="32"/>
          <w:u w:val="none"/>
          <w:lang w:val="en-US" w:eastAsia="zh-CN" w:bidi="ar"/>
        </w:rPr>
        <w:t xml:space="preserve"> 收费行为规范。</w:t>
      </w:r>
      <w:r>
        <w:rPr>
          <w:rFonts w:hint="eastAsia" w:ascii="仿宋_GB2312" w:hAnsi="仿宋_GB2312" w:eastAsia="仿宋_GB2312" w:cs="仿宋_GB2312"/>
          <w:color w:val="auto"/>
          <w:kern w:val="0"/>
          <w:sz w:val="32"/>
          <w:szCs w:val="32"/>
          <w:u w:val="none"/>
          <w:lang w:val="en-US" w:eastAsia="zh-CN" w:bidi="ar"/>
        </w:rPr>
        <w:t>定点机构严禁重复收费、分解收费、串换服务项目，收费价格不得高于公示标准及非参保人员收费标准，不得设置歧视性高价服务。提供长护保障范围外服务的，应当事先取得参保人或其监护人、委托代理人书面同意。机构护理服务应在专属长护专区提供24小时不间断服务；居家、社区护理按规范频次上门服务。参保人员在非定点区域、非专属长护专区产生的护理费用，长护基金不予支付。</w:t>
      </w:r>
    </w:p>
    <w:p w14:paraId="5997C5E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第二十二条 </w:t>
      </w:r>
      <w:r>
        <w:rPr>
          <w:rStyle w:val="9"/>
          <w:rFonts w:hint="eastAsia" w:ascii="仿宋_GB2312" w:hAnsi="仿宋_GB2312" w:eastAsia="仿宋_GB2312" w:cs="仿宋_GB2312"/>
          <w:b w:val="0"/>
          <w:bCs/>
          <w:color w:val="auto"/>
          <w:kern w:val="0"/>
          <w:sz w:val="32"/>
          <w:szCs w:val="32"/>
          <w:u w:val="none"/>
          <w:lang w:val="en-US" w:eastAsia="zh-CN" w:bidi="ar"/>
        </w:rPr>
        <w:t>价格与用量监测配合。</w:t>
      </w:r>
      <w:r>
        <w:rPr>
          <w:rFonts w:hint="eastAsia" w:ascii="仿宋_GB2312" w:hAnsi="仿宋_GB2312" w:eastAsia="仿宋_GB2312" w:cs="仿宋_GB2312"/>
          <w:color w:val="auto"/>
          <w:kern w:val="0"/>
          <w:sz w:val="32"/>
          <w:szCs w:val="32"/>
          <w:u w:val="none"/>
          <w:lang w:val="en-US" w:eastAsia="zh-CN" w:bidi="ar"/>
        </w:rPr>
        <w:t>定点机构应主动配合医疗保障部门开展长护服务价格监测、用量统计、基金核查等工作，如实提供各类数据资料。</w:t>
      </w:r>
    </w:p>
    <w:p w14:paraId="25D54B7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第二十三条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定点标识管理。</w:t>
      </w:r>
      <w:r>
        <w:rPr>
          <w:rFonts w:hint="eastAsia" w:ascii="仿宋_GB2312" w:hAnsi="仿宋_GB2312" w:eastAsia="仿宋_GB2312" w:cs="仿宋_GB2312"/>
          <w:bCs/>
          <w:color w:val="auto"/>
          <w:kern w:val="0"/>
          <w:sz w:val="32"/>
          <w:szCs w:val="32"/>
          <w:u w:val="none"/>
          <w:lang w:bidi="ar"/>
        </w:rPr>
        <w:t>定</w:t>
      </w:r>
      <w:r>
        <w:rPr>
          <w:rFonts w:hint="eastAsia" w:ascii="仿宋_GB2312" w:hAnsi="仿宋_GB2312" w:eastAsia="仿宋_GB2312" w:cs="仿宋_GB2312"/>
          <w:color w:val="auto"/>
          <w:kern w:val="0"/>
          <w:sz w:val="32"/>
          <w:szCs w:val="32"/>
          <w:u w:val="none"/>
          <w:lang w:bidi="ar"/>
        </w:rPr>
        <w:t>点长护服务机构应当按照全市统一制式，在经营场所醒目位置悬挂长护保险定点标识，妥善保管、规范使用，严禁伪造、涂改、出借、转让。</w:t>
      </w:r>
    </w:p>
    <w:p w14:paraId="5E4757E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第二十四条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政策培训与宣传。</w:t>
      </w:r>
      <w:r>
        <w:rPr>
          <w:rFonts w:hint="eastAsia" w:ascii="仿宋_GB2312" w:hAnsi="仿宋_GB2312" w:eastAsia="仿宋_GB2312" w:cs="仿宋_GB2312"/>
          <w:color w:val="auto"/>
          <w:kern w:val="0"/>
          <w:sz w:val="32"/>
          <w:szCs w:val="32"/>
          <w:u w:val="none"/>
          <w:lang w:val="en-US" w:eastAsia="zh-CN" w:bidi="ar"/>
        </w:rPr>
        <w:t>定点机构应主动参加医疗保障行政部门、经办机构组织的长护政策宣讲、业务培训、行业交流等活动，熟练掌握最新政策及经办要求。</w:t>
      </w:r>
    </w:p>
    <w:p w14:paraId="40258A2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第二十五条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自查自纠管理。</w:t>
      </w:r>
      <w:r>
        <w:rPr>
          <w:rFonts w:hint="eastAsia" w:ascii="仿宋_GB2312" w:hAnsi="仿宋_GB2312" w:eastAsia="仿宋_GB2312" w:cs="仿宋_GB2312"/>
          <w:color w:val="auto"/>
          <w:kern w:val="0"/>
          <w:sz w:val="32"/>
          <w:szCs w:val="32"/>
          <w:u w:val="none"/>
          <w:lang w:val="en-US" w:eastAsia="zh-CN" w:bidi="ar"/>
        </w:rPr>
        <w:t>定点机构应定期开展长护基金使用、服务规范自查工作，及时整改不规范服务、违规结算行为，严禁超标准结算、重复结算、挂靠结算、协助其他机构违规结算等行为。</w:t>
      </w:r>
    </w:p>
    <w:p w14:paraId="40FA615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第二十六条 </w:t>
      </w:r>
      <w:r>
        <w:rPr>
          <w:rStyle w:val="9"/>
          <w:rFonts w:hint="eastAsia" w:ascii="仿宋_GB2312" w:hAnsi="仿宋_GB2312" w:eastAsia="仿宋_GB2312" w:cs="仿宋_GB2312"/>
          <w:b w:val="0"/>
          <w:bCs/>
          <w:color w:val="auto"/>
          <w:kern w:val="0"/>
          <w:sz w:val="32"/>
          <w:szCs w:val="32"/>
          <w:u w:val="none"/>
          <w:lang w:val="en-US" w:eastAsia="zh-CN" w:bidi="ar"/>
        </w:rPr>
        <w:t>监督检查配合义务。</w:t>
      </w:r>
      <w:r>
        <w:rPr>
          <w:rFonts w:hint="eastAsia" w:ascii="仿宋_GB2312" w:hAnsi="仿宋_GB2312" w:eastAsia="仿宋_GB2312" w:cs="仿宋_GB2312"/>
          <w:b w:val="0"/>
          <w:bCs/>
          <w:color w:val="auto"/>
          <w:kern w:val="0"/>
          <w:sz w:val="32"/>
          <w:szCs w:val="32"/>
          <w:u w:val="none"/>
          <w:lang w:val="en-US" w:eastAsia="zh-CN" w:bidi="ar"/>
        </w:rPr>
        <w:t>定点机构应配合医疗保障经办机构、行政部门开展的费用审核、现场检查、质量稽查、绩效考核等工作，真实、完整、及时提供台账、票据、档案、数据等核查资料。</w:t>
      </w:r>
    </w:p>
    <w:p w14:paraId="40A61E2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第二十七条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数据报送管理。</w:t>
      </w:r>
      <w:r>
        <w:rPr>
          <w:rFonts w:hint="eastAsia" w:ascii="仿宋_GB2312" w:hAnsi="仿宋_GB2312" w:eastAsia="仿宋_GB2312" w:cs="仿宋_GB2312"/>
          <w:b w:val="0"/>
          <w:bCs/>
          <w:color w:val="auto"/>
          <w:kern w:val="0"/>
          <w:sz w:val="32"/>
          <w:szCs w:val="32"/>
          <w:u w:val="none"/>
          <w:lang w:val="en-US" w:eastAsia="zh-CN" w:bidi="ar"/>
        </w:rPr>
        <w:t>定点机构应按要求据实、全量、动态报送长护服务、人员、费用、床位等相关数据，确保数据真实、准确、完整、可追溯。</w:t>
      </w:r>
    </w:p>
    <w:p w14:paraId="28A9CB6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第二十八条</w:t>
      </w:r>
      <w:r>
        <w:rPr>
          <w:rStyle w:val="9"/>
          <w:rFonts w:hint="eastAsia" w:ascii="楷体_GB2312" w:hAnsi="楷体_GB2312" w:eastAsia="楷体_GB2312" w:cs="楷体_GB2312"/>
          <w:b w:val="0"/>
          <w:bCs/>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信息安全与隐私保护。</w:t>
      </w:r>
      <w:r>
        <w:rPr>
          <w:rFonts w:hint="eastAsia" w:ascii="仿宋_GB2312" w:hAnsi="仿宋_GB2312" w:eastAsia="仿宋_GB2312" w:cs="仿宋_GB2312"/>
          <w:b w:val="0"/>
          <w:bCs/>
          <w:color w:val="auto"/>
          <w:kern w:val="0"/>
          <w:sz w:val="32"/>
          <w:szCs w:val="32"/>
          <w:u w:val="none"/>
          <w:lang w:val="en-US" w:eastAsia="zh-CN" w:bidi="ar"/>
        </w:rPr>
        <w:t>定点机构应严格遵守数据安全、个人信息保护相关法律法规，在法定范围内收集、使用参保人信息，严守参保人员隐私和数据安全底线。</w:t>
      </w:r>
    </w:p>
    <w:p w14:paraId="0ECF44B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第二十九条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待遇异动报备管理。</w:t>
      </w:r>
      <w:r>
        <w:rPr>
          <w:rFonts w:hint="eastAsia" w:ascii="仿宋_GB2312" w:hAnsi="仿宋_GB2312" w:eastAsia="仿宋_GB2312" w:cs="仿宋_GB2312"/>
          <w:color w:val="auto"/>
          <w:kern w:val="0"/>
          <w:sz w:val="32"/>
          <w:szCs w:val="32"/>
          <w:u w:val="none"/>
          <w:lang w:val="en-US" w:eastAsia="zh-CN" w:bidi="ar"/>
        </w:rPr>
        <w:t>参保人员因病情需要转出长护服务专区接受治疗的，机构应及时暂停其长护待遇，并在2个工作日内向医疗保障经办机构备案；病情稳定转回专区后，依规备案恢复待遇。参保人员出国（境）、死亡的，机构应及时暂停或终止护理服务，并向医疗保障经办机构报备异动信息。</w:t>
      </w:r>
    </w:p>
    <w:p w14:paraId="39DD42C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第三十条</w:t>
      </w:r>
      <w:r>
        <w:rPr>
          <w:rStyle w:val="9"/>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color w:val="auto"/>
          <w:sz w:val="32"/>
          <w:szCs w:val="32"/>
          <w:u w:val="none"/>
        </w:rPr>
        <w:t>机构信息动态变更。定点机构名称、等级、法定代表人、主要负责人、实际控制人、注册地址、银行账户、床位数量、服务类型、收费标准等重大信息发生变更的，应在变更生效之日起30个工作日内向辖区医疗保障经办机构申请变更备案；一般信息变更及时告知辖区医疗保障经办机构。床位调整涉及全市床位总量统筹调控的，按照本细则第五条规定执行。机构涉嫌违法违规被调查处置期间，不得申请信息变更。定点机构法定代表人除因上级机关任免、丧失民事行为能力原因外发生变更的，应重新履行定点准入审核流程。审核评估期间，正常提供长护护理服务，基金正常结算。</w:t>
      </w:r>
    </w:p>
    <w:p w14:paraId="03D76A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p>
    <w:p w14:paraId="1AB95C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第四章 经办服务管理</w:t>
      </w:r>
    </w:p>
    <w:p w14:paraId="607A96C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第三十一条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经办履职管理。</w:t>
      </w:r>
      <w:r>
        <w:rPr>
          <w:rFonts w:hint="eastAsia" w:ascii="仿宋_GB2312" w:hAnsi="仿宋_GB2312" w:eastAsia="仿宋_GB2312" w:cs="仿宋_GB2312"/>
          <w:b w:val="0"/>
          <w:bCs/>
          <w:color w:val="auto"/>
          <w:kern w:val="0"/>
          <w:sz w:val="32"/>
          <w:szCs w:val="32"/>
          <w:u w:val="none"/>
          <w:lang w:val="en-US" w:eastAsia="zh-CN" w:bidi="ar"/>
        </w:rPr>
        <w:t>医疗保障经办机构应当规范服务管理行为，优化定点申请、综合审核、协议管理、费用结算等全流程经办服务，常态化开展政策宣传与业务培训，为定点长护服务机构和参保人员提供优质、高效、便民的经办服务。</w:t>
      </w:r>
    </w:p>
    <w:p w14:paraId="31D28D8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第三十二条 </w:t>
      </w:r>
      <w:r>
        <w:rPr>
          <w:rStyle w:val="9"/>
          <w:rFonts w:hint="eastAsia" w:ascii="仿宋_GB2312" w:hAnsi="仿宋_GB2312" w:eastAsia="仿宋_GB2312" w:cs="仿宋_GB2312"/>
          <w:b w:val="0"/>
          <w:bCs/>
          <w:color w:val="auto"/>
          <w:kern w:val="0"/>
          <w:sz w:val="32"/>
          <w:szCs w:val="32"/>
          <w:u w:val="none"/>
          <w:lang w:val="en-US" w:eastAsia="zh-CN" w:bidi="ar"/>
        </w:rPr>
        <w:t>内控风险防控。</w:t>
      </w:r>
      <w:r>
        <w:rPr>
          <w:rFonts w:hint="eastAsia" w:ascii="仿宋_GB2312" w:hAnsi="仿宋_GB2312" w:eastAsia="仿宋_GB2312" w:cs="仿宋_GB2312"/>
          <w:b w:val="0"/>
          <w:bCs/>
          <w:color w:val="auto"/>
          <w:kern w:val="0"/>
          <w:sz w:val="32"/>
          <w:szCs w:val="32"/>
          <w:u w:val="none"/>
          <w:lang w:val="en-US" w:eastAsia="zh-CN" w:bidi="ar"/>
        </w:rPr>
        <w:t>医疗保障经办机构应当建立健全内控管理制度，明确定点准入、费用审核、结算拨付、绩效考核、档案管理等岗位职责，严格落实不相容岗位分离制度，完善全流程风险防控机制，防范经办风险与基金风险。</w:t>
      </w:r>
    </w:p>
    <w:p w14:paraId="3A76613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 xml:space="preserve">第三十三条 </w:t>
      </w:r>
      <w:r>
        <w:rPr>
          <w:rStyle w:val="9"/>
          <w:rFonts w:hint="eastAsia" w:ascii="仿宋_GB2312" w:hAnsi="仿宋_GB2312" w:eastAsia="仿宋_GB2312" w:cs="仿宋_GB2312"/>
          <w:b w:val="0"/>
          <w:bCs/>
          <w:color w:val="auto"/>
          <w:kern w:val="0"/>
          <w:sz w:val="32"/>
          <w:szCs w:val="32"/>
          <w:u w:val="none"/>
          <w:lang w:val="en-US" w:eastAsia="zh-CN" w:bidi="ar"/>
        </w:rPr>
        <w:t>基金结算与对账清算。</w:t>
      </w:r>
      <w:r>
        <w:rPr>
          <w:rFonts w:hint="eastAsia" w:ascii="仿宋_GB2312" w:hAnsi="仿宋_GB2312" w:eastAsia="仿宋_GB2312" w:cs="仿宋_GB2312"/>
          <w:color w:val="auto"/>
          <w:sz w:val="32"/>
          <w:szCs w:val="32"/>
          <w:u w:val="none"/>
        </w:rPr>
        <w:t>参保人员长护服务费用中应由长期护理保险基金支付的部分，由医疗保障经办机构与定点长护服务机构直接结算。</w:t>
      </w:r>
      <w:r>
        <w:rPr>
          <w:rFonts w:hint="eastAsia" w:ascii="仿宋_GB2312" w:hAnsi="仿宋_GB2312" w:eastAsia="仿宋_GB2312" w:cs="仿宋_GB2312"/>
          <w:color w:val="auto"/>
          <w:sz w:val="32"/>
          <w:szCs w:val="32"/>
          <w:u w:val="none"/>
        </w:rPr>
        <w:t>医疗保障经办机构</w:t>
      </w:r>
      <w:r>
        <w:rPr>
          <w:rFonts w:hint="eastAsia" w:ascii="仿宋_GB2312" w:hAnsi="仿宋_GB2312" w:eastAsia="仿宋_GB2312" w:cs="仿宋_GB2312"/>
          <w:color w:val="auto"/>
          <w:sz w:val="32"/>
          <w:szCs w:val="32"/>
          <w:u w:val="none"/>
          <w:lang w:val="en-US" w:eastAsia="zh-CN"/>
        </w:rPr>
        <w:t>应</w:t>
      </w:r>
      <w:r>
        <w:rPr>
          <w:rFonts w:hint="eastAsia" w:ascii="仿宋_GB2312" w:hAnsi="仿宋_GB2312" w:eastAsia="仿宋_GB2312" w:cs="仿宋_GB2312"/>
          <w:color w:val="auto"/>
          <w:sz w:val="32"/>
          <w:szCs w:val="32"/>
          <w:u w:val="none"/>
        </w:rPr>
        <w:t>强化基金支出管控，可委托符合规定的第三方机构配合开展智能审核、实时监控、现场核查等费用审核工作，相关审核结果由医疗保障经办机构复核把关，并由医疗保障经办机构及时足额拨付合规长护险费用。</w:t>
      </w:r>
      <w:r>
        <w:rPr>
          <w:rFonts w:hint="eastAsia" w:ascii="仿宋_GB2312" w:hAnsi="仿宋_GB2312" w:eastAsia="仿宋_GB2312" w:cs="仿宋_GB2312"/>
          <w:color w:val="auto"/>
          <w:sz w:val="32"/>
          <w:szCs w:val="32"/>
          <w:u w:val="none"/>
        </w:rPr>
        <w:t>定点长护服务机构按月申报服务费用，医疗保障经办机构原则上自受理申报之日起30个工作日内完成审核拨付；双方建立常态化对账机制，每月核对账务明细，按政策规定完成年度基金清算工作。</w:t>
      </w:r>
    </w:p>
    <w:p w14:paraId="71071C2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第三十四条 </w:t>
      </w:r>
      <w:r>
        <w:rPr>
          <w:rStyle w:val="9"/>
          <w:rFonts w:hint="eastAsia" w:ascii="仿宋_GB2312" w:hAnsi="仿宋_GB2312" w:eastAsia="仿宋_GB2312" w:cs="仿宋_GB2312"/>
          <w:b w:val="0"/>
          <w:bCs/>
          <w:color w:val="auto"/>
          <w:kern w:val="0"/>
          <w:sz w:val="32"/>
          <w:szCs w:val="32"/>
          <w:u w:val="none"/>
          <w:lang w:val="en-US" w:eastAsia="zh-CN" w:bidi="ar"/>
        </w:rPr>
        <w:t>服务质量保证金管理。</w:t>
      </w:r>
      <w:r>
        <w:rPr>
          <w:rFonts w:hint="eastAsia" w:ascii="仿宋_GB2312" w:hAnsi="仿宋_GB2312" w:eastAsia="仿宋_GB2312" w:cs="仿宋_GB2312"/>
          <w:color w:val="auto"/>
          <w:kern w:val="0"/>
          <w:sz w:val="32"/>
          <w:szCs w:val="32"/>
          <w:u w:val="none"/>
          <w:lang w:val="en-US" w:eastAsia="zh-CN" w:bidi="ar"/>
        </w:rPr>
        <w:t>医疗保障经办机构可预留定点长护服务机构每月应拨费用的5%，作为长护服务质量保证金，并根据该机构年度协议履行情况、考核结果等进行质量保证金年度清算。</w:t>
      </w:r>
    </w:p>
    <w:p w14:paraId="6DA1E06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第三十五条</w:t>
      </w:r>
      <w:r>
        <w:rPr>
          <w:rStyle w:val="9"/>
          <w:rFonts w:hint="eastAsia" w:ascii="仿宋_GB2312" w:hAnsi="仿宋_GB2312" w:eastAsia="仿宋_GB2312" w:cs="仿宋_GB2312"/>
          <w:b w:val="0"/>
          <w:bCs/>
          <w:color w:val="auto"/>
          <w:kern w:val="0"/>
          <w:sz w:val="32"/>
          <w:szCs w:val="32"/>
          <w:u w:val="none"/>
          <w:lang w:val="en-US" w:eastAsia="zh-CN" w:bidi="ar"/>
        </w:rPr>
        <w:t xml:space="preserve"> 绩效考核管理。</w:t>
      </w:r>
      <w:r>
        <w:rPr>
          <w:rFonts w:hint="eastAsia" w:ascii="仿宋_GB2312" w:hAnsi="仿宋_GB2312" w:eastAsia="仿宋_GB2312" w:cs="仿宋_GB2312"/>
          <w:color w:val="auto"/>
          <w:sz w:val="32"/>
          <w:szCs w:val="32"/>
          <w:u w:val="none"/>
        </w:rPr>
        <w:t>医疗保障经办机构依据市医疗保障局制定的考核细则，建立定点长护服务机构年度绩效考核实施机制，考核结果与费用拨付、年度清算、协议续签、日常监管直接挂钩，考核情况同步报同级医疗保障行政部门备案。</w:t>
      </w:r>
    </w:p>
    <w:p w14:paraId="37F38FF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第三十六条 </w:t>
      </w:r>
      <w:r>
        <w:rPr>
          <w:rStyle w:val="9"/>
          <w:rFonts w:hint="eastAsia" w:ascii="仿宋_GB2312" w:hAnsi="仿宋_GB2312" w:eastAsia="仿宋_GB2312" w:cs="仿宋_GB2312"/>
          <w:b w:val="0"/>
          <w:bCs/>
          <w:color w:val="auto"/>
          <w:kern w:val="0"/>
          <w:sz w:val="32"/>
          <w:szCs w:val="32"/>
          <w:u w:val="none"/>
          <w:lang w:val="en-US" w:eastAsia="zh-CN" w:bidi="ar"/>
        </w:rPr>
        <w:t>核查与费用暂停机制。</w:t>
      </w:r>
      <w:r>
        <w:rPr>
          <w:rFonts w:hint="eastAsia" w:ascii="仿宋_GB2312" w:hAnsi="仿宋_GB2312" w:eastAsia="仿宋_GB2312" w:cs="仿宋_GB2312"/>
          <w:color w:val="auto"/>
          <w:kern w:val="0"/>
          <w:sz w:val="32"/>
          <w:szCs w:val="32"/>
          <w:u w:val="none"/>
          <w:lang w:val="en-US" w:eastAsia="zh-CN" w:bidi="ar"/>
        </w:rPr>
        <w:t>医疗保障经办机构可采取电话回访、智能审核、实时监控等方式开展长护服务费用审核核查工作，也可委托有资质的第三方开展审计和检查工作。定点长护服务机构及相关人员应当予以配合，并根据需要提供各类相关材料。定点长护服务机构涉嫌违反长期护理保险政策法规、长护协议规定的，在立案调查及处理期间，经办机构可暂停拨付长期护理保险费用。</w:t>
      </w:r>
    </w:p>
    <w:p w14:paraId="7E8F4D4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第三十七条 </w:t>
      </w:r>
      <w:r>
        <w:rPr>
          <w:rStyle w:val="9"/>
          <w:rFonts w:hint="eastAsia" w:ascii="仿宋_GB2312" w:hAnsi="仿宋_GB2312" w:eastAsia="仿宋_GB2312" w:cs="仿宋_GB2312"/>
          <w:b w:val="0"/>
          <w:bCs/>
          <w:color w:val="auto"/>
          <w:kern w:val="0"/>
          <w:sz w:val="32"/>
          <w:szCs w:val="32"/>
          <w:u w:val="none"/>
          <w:lang w:val="en-US" w:eastAsia="zh-CN" w:bidi="ar"/>
        </w:rPr>
        <w:t>数据安全管理。</w:t>
      </w:r>
      <w:r>
        <w:rPr>
          <w:rFonts w:hint="eastAsia" w:ascii="仿宋_GB2312" w:hAnsi="仿宋_GB2312" w:eastAsia="仿宋_GB2312" w:cs="仿宋_GB2312"/>
          <w:color w:val="auto"/>
          <w:sz w:val="32"/>
          <w:szCs w:val="32"/>
          <w:u w:val="none"/>
        </w:rPr>
        <w:t>医疗保障经办机构、定点长护服务机构及所有长期护理保险从业人员</w:t>
      </w:r>
      <w:r>
        <w:rPr>
          <w:rFonts w:hint="eastAsia" w:ascii="仿宋_GB2312" w:hAnsi="仿宋_GB2312" w:eastAsia="仿宋_GB2312" w:cs="仿宋_GB2312"/>
          <w:color w:val="auto"/>
          <w:kern w:val="0"/>
          <w:sz w:val="32"/>
          <w:szCs w:val="32"/>
          <w:u w:val="none"/>
          <w:lang w:val="en-US" w:eastAsia="zh-CN" w:bidi="ar"/>
        </w:rPr>
        <w:t>应当严格遵守数据安全、个人信息保护相关法律法规，规范长护险数据采集、存储、使用、传输等全流程管理，保障长护险业务数据安全和参保人员隐私信息安全。</w:t>
      </w:r>
    </w:p>
    <w:p w14:paraId="6896A4B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第三十八条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经办违约纠错机制。</w:t>
      </w:r>
      <w:r>
        <w:rPr>
          <w:rFonts w:hint="eastAsia" w:ascii="仿宋_GB2312" w:hAnsi="仿宋_GB2312" w:eastAsia="仿宋_GB2312" w:cs="仿宋_GB2312"/>
          <w:color w:val="auto"/>
          <w:kern w:val="0"/>
          <w:sz w:val="32"/>
          <w:szCs w:val="32"/>
          <w:u w:val="none"/>
          <w:lang w:val="en-US" w:eastAsia="zh-CN" w:bidi="ar"/>
        </w:rPr>
        <w:t>医疗保障经办机构未按协议约定履行经办职责的，定点长护服务机构有权要求其及时纠正，也可提请同级医疗保障行政部门协调处理、督促整改，或依法申请行政复议、提起行政诉讼。医疗保障行政部门发现经办机构履职违约的，应当依规约谈、限期整改、通报批评，对相关责任人员依法依规追责问责。</w:t>
      </w:r>
    </w:p>
    <w:p w14:paraId="155EE9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第五章 协议管理</w:t>
      </w:r>
    </w:p>
    <w:p w14:paraId="72DB3A9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第三十九条</w:t>
      </w:r>
      <w:r>
        <w:rPr>
          <w:rStyle w:val="9"/>
          <w:rFonts w:hint="eastAsia" w:ascii="楷体_GB2312" w:hAnsi="楷体_GB2312" w:eastAsia="楷体_GB2312" w:cs="楷体_GB2312"/>
          <w:b w:val="0"/>
          <w:bCs/>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协议范本管理。</w:t>
      </w:r>
      <w:r>
        <w:rPr>
          <w:rFonts w:hint="eastAsia" w:ascii="仿宋_GB2312" w:hAnsi="仿宋_GB2312" w:eastAsia="仿宋_GB2312" w:cs="仿宋_GB2312"/>
          <w:color w:val="auto"/>
          <w:kern w:val="0"/>
          <w:sz w:val="32"/>
          <w:szCs w:val="32"/>
          <w:u w:val="none"/>
          <w:lang w:val="en-US" w:eastAsia="zh-CN" w:bidi="ar"/>
        </w:rPr>
        <w:t>市医疗保障经办机构依据国家统一长护服务协议范本，结合本市实际制定本市长护保险服务协议标准文本，报同级医疗保障行政部门备案后实施。</w:t>
      </w:r>
    </w:p>
    <w:p w14:paraId="24B3CBD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第四十条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协议中止。</w:t>
      </w:r>
      <w:r>
        <w:rPr>
          <w:rFonts w:hint="eastAsia" w:ascii="仿宋_GB2312" w:hAnsi="仿宋_GB2312" w:eastAsia="仿宋_GB2312" w:cs="仿宋_GB2312"/>
          <w:color w:val="auto"/>
          <w:kern w:val="0"/>
          <w:sz w:val="32"/>
          <w:szCs w:val="32"/>
          <w:u w:val="none"/>
          <w:lang w:val="en-US" w:eastAsia="zh-CN" w:bidi="ar"/>
        </w:rPr>
        <w:t>协议中止是指经办机构与定点机构暂时暂停履行协议约定，中止期间产生的长护险服务费用基金不予结算，中止期限最长不超过6个月。中止期满，协议未到期的可恢复履行，协议到期的自动终止。定点机构有下列情形之一的，医疗保障经办机构应当中止协议：</w:t>
      </w:r>
    </w:p>
    <w:p w14:paraId="11B0822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（一）服务质量检查不合格，责令限期整改不到位的；</w:t>
      </w:r>
    </w:p>
    <w:p w14:paraId="78B40D8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（二）护理服务人员不足或关键人员变动，导致服务能力暂时无法满足协议要求的；</w:t>
      </w:r>
    </w:p>
    <w:p w14:paraId="405B708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（三）重大信息变更未按规定时限申请备案的；</w:t>
      </w:r>
    </w:p>
    <w:p w14:paraId="3AC6257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（四）未按要求报送信息或报送虚假、不实数据的；</w:t>
      </w:r>
    </w:p>
    <w:p w14:paraId="5C49CE3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（五）服务行为、运营管理存在重大基金风险、侵害参保人合法权益风险的；</w:t>
      </w:r>
    </w:p>
    <w:p w14:paraId="01E4781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（六）被责令限期整改，经两次约谈仍未整改到位的；</w:t>
      </w:r>
    </w:p>
    <w:p w14:paraId="0B85325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（七）法律法规、规章及协议约定应当中止协议的其他情形。</w:t>
      </w:r>
    </w:p>
    <w:p w14:paraId="755FF3E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第四十一条</w:t>
      </w:r>
      <w:r>
        <w:rPr>
          <w:rStyle w:val="9"/>
          <w:rFonts w:hint="eastAsia" w:ascii="仿宋_GB2312" w:hAnsi="仿宋_GB2312" w:eastAsia="仿宋_GB2312" w:cs="仿宋_GB2312"/>
          <w:b w:val="0"/>
          <w:bCs/>
          <w:color w:val="auto"/>
          <w:kern w:val="0"/>
          <w:sz w:val="32"/>
          <w:szCs w:val="32"/>
          <w:u w:val="none"/>
          <w:lang w:val="en-US" w:eastAsia="zh-CN" w:bidi="ar"/>
        </w:rPr>
        <w:t xml:space="preserve"> 协议解除。</w:t>
      </w:r>
      <w:r>
        <w:rPr>
          <w:rFonts w:hint="eastAsia" w:ascii="仿宋_GB2312" w:hAnsi="仿宋_GB2312" w:eastAsia="仿宋_GB2312" w:cs="仿宋_GB2312"/>
          <w:color w:val="auto"/>
          <w:kern w:val="0"/>
          <w:sz w:val="32"/>
          <w:szCs w:val="32"/>
          <w:u w:val="none"/>
          <w:lang w:val="en-US" w:eastAsia="zh-CN" w:bidi="ar"/>
        </w:rPr>
        <w:t>协议解除后，双方协议权利义务终止，后续产生的长护服务费用基金不予支付。定点机构有下列情形之一的，医疗保障经办机构应当解除协议，同时，3年内不再受理其长护定点申请：</w:t>
      </w:r>
    </w:p>
    <w:p w14:paraId="4C9B462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（一）超注册地址、超执业许可范围开展长护服务的；</w:t>
      </w:r>
    </w:p>
    <w:p w14:paraId="1A1D8C6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（二）各类执业资质被注销、吊销、过期或年检不合格，丧失服务准入条件的；</w:t>
      </w:r>
    </w:p>
    <w:p w14:paraId="1BFBF91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（三）机构重组、转让、买卖导致经营主体重大变更，无法正常履约的；</w:t>
      </w:r>
    </w:p>
    <w:p w14:paraId="230ACA6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w:t>
      </w:r>
      <w:r>
        <w:rPr>
          <w:rFonts w:hint="eastAsia" w:ascii="仿宋_GB2312" w:hAnsi="仿宋_GB2312" w:eastAsia="仿宋_GB2312" w:cs="仿宋_GB2312"/>
          <w:color w:val="auto"/>
          <w:sz w:val="32"/>
          <w:szCs w:val="32"/>
          <w:u w:val="none"/>
        </w:rPr>
        <w:t>法定代表人、主要负责人、实际控制人</w:t>
      </w:r>
      <w:r>
        <w:rPr>
          <w:rFonts w:hint="eastAsia" w:ascii="仿宋_GB2312" w:hAnsi="仿宋_GB2312" w:eastAsia="仿宋_GB2312" w:cs="仿宋_GB2312"/>
          <w:color w:val="auto"/>
          <w:kern w:val="0"/>
          <w:sz w:val="32"/>
          <w:szCs w:val="32"/>
          <w:u w:val="none"/>
          <w:lang w:val="en-US" w:eastAsia="zh-CN" w:bidi="ar"/>
        </w:rPr>
        <w:t>无法履约或存在严重失信、违法违规行为的；</w:t>
      </w:r>
    </w:p>
    <w:p w14:paraId="388E288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（五）以弄虚作假、隐瞒实情等不正当手段骗取定点资质的；</w:t>
      </w:r>
    </w:p>
    <w:p w14:paraId="342AFC0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（六）12个月内累计2次协议中止，或中止期间整改仍不合格的；</w:t>
      </w:r>
    </w:p>
    <w:p w14:paraId="09BDC65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（七）虚假宣传、利益诱导参保，造成恶劣影响的；</w:t>
      </w:r>
    </w:p>
    <w:p w14:paraId="4BBCC2B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（八）拒绝、阻挠医保监督检查，或违规行为被官方通报的；</w:t>
      </w:r>
    </w:p>
    <w:p w14:paraId="252246D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（九）伪造篡改服务记录、票据凭证、结算数据套取基金的；</w:t>
      </w:r>
    </w:p>
    <w:p w14:paraId="073001D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（十）诱导、串通他人冒名结算、违规使用基金的；</w:t>
      </w:r>
    </w:p>
    <w:p w14:paraId="614BF34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（十一）出借定点资质、为其他机构提供违规结算便利的；</w:t>
      </w:r>
    </w:p>
    <w:p w14:paraId="261E078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（十二）查实存在欺诈骗保行为的；</w:t>
      </w:r>
    </w:p>
    <w:p w14:paraId="672A470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（十三）双方协商一致自愿解除协议的；</w:t>
      </w:r>
    </w:p>
    <w:p w14:paraId="097C574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sz w:val="32"/>
          <w:szCs w:val="32"/>
          <w:u w:val="none"/>
        </w:rPr>
        <w:t>（十四）与失能等级评估机构、评估人员串通，人为抬高失能等级、虚构评估结论套取长护保险基金的；</w:t>
      </w:r>
    </w:p>
    <w:p w14:paraId="6C040DB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（十五）法律法规、规章及协议约定应当解除协议的其他情形。</w:t>
      </w:r>
    </w:p>
    <w:p w14:paraId="37ADAEB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第四十二条 </w:t>
      </w:r>
      <w:r>
        <w:rPr>
          <w:rStyle w:val="9"/>
          <w:rFonts w:hint="eastAsia" w:ascii="仿宋_GB2312" w:hAnsi="仿宋_GB2312" w:eastAsia="仿宋_GB2312" w:cs="仿宋_GB2312"/>
          <w:b w:val="0"/>
          <w:bCs/>
          <w:color w:val="auto"/>
          <w:kern w:val="0"/>
          <w:sz w:val="32"/>
          <w:szCs w:val="32"/>
          <w:u w:val="none"/>
          <w:lang w:val="en-US" w:eastAsia="zh-CN" w:bidi="ar"/>
        </w:rPr>
        <w:t>违约处置措施。</w:t>
      </w:r>
      <w:r>
        <w:rPr>
          <w:rFonts w:hint="eastAsia" w:ascii="仿宋_GB2312" w:hAnsi="仿宋_GB2312" w:eastAsia="仿宋_GB2312" w:cs="仿宋_GB2312"/>
          <w:color w:val="auto"/>
          <w:kern w:val="0"/>
          <w:sz w:val="32"/>
          <w:szCs w:val="32"/>
          <w:u w:val="none"/>
          <w:lang w:val="en-US" w:eastAsia="zh-CN" w:bidi="ar"/>
        </w:rPr>
        <w:t>医疗保障经办机构查实定点机构存在违约行为的，可根据情节轻重，采取公开通报、约谈法定代表人及主要负责人、暂停新增服务对象、暂停或不予拨付长护险费用、追回违规资金、收取违约金、中止相关服务权限、中止或解除长护协议等处置措施，相关处置结果及时报同级医疗保障行政部门备案。</w:t>
      </w:r>
    </w:p>
    <w:p w14:paraId="72BE5AC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第四十三条</w:t>
      </w:r>
      <w:r>
        <w:rPr>
          <w:rStyle w:val="9"/>
          <w:rFonts w:hint="eastAsia" w:ascii="仿宋_GB2312" w:hAnsi="仿宋_GB2312" w:eastAsia="仿宋_GB2312" w:cs="仿宋_GB2312"/>
          <w:b w:val="0"/>
          <w:bCs/>
          <w:color w:val="auto"/>
          <w:kern w:val="0"/>
          <w:sz w:val="32"/>
          <w:szCs w:val="32"/>
          <w:u w:val="none"/>
          <w:lang w:val="en-US" w:eastAsia="zh-CN" w:bidi="ar"/>
        </w:rPr>
        <w:t xml:space="preserve"> 协议争议处理。</w:t>
      </w:r>
      <w:r>
        <w:rPr>
          <w:rFonts w:hint="eastAsia" w:ascii="仿宋_GB2312" w:hAnsi="仿宋_GB2312" w:eastAsia="仿宋_GB2312" w:cs="仿宋_GB2312"/>
          <w:color w:val="auto"/>
          <w:kern w:val="0"/>
          <w:sz w:val="32"/>
          <w:szCs w:val="32"/>
          <w:u w:val="none"/>
          <w:lang w:val="en-US" w:eastAsia="zh-CN" w:bidi="ar"/>
        </w:rPr>
        <w:t>定点长护服务机构与医疗保障经办机构在协议签订、履行、变更、中止、解除过程中产生争议的，双方可协商解决；协商不成的，可提请同级医疗保障行政部门协调处理，或依法申请行政复议、提起行政诉讼。</w:t>
      </w:r>
    </w:p>
    <w:p w14:paraId="4A0A45E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第四十四条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退出后续监管。</w:t>
      </w:r>
      <w:r>
        <w:rPr>
          <w:rFonts w:hint="eastAsia" w:ascii="仿宋_GB2312" w:hAnsi="仿宋_GB2312" w:eastAsia="仿宋_GB2312" w:cs="仿宋_GB2312"/>
          <w:color w:val="auto"/>
          <w:kern w:val="0"/>
          <w:sz w:val="32"/>
          <w:szCs w:val="32"/>
          <w:u w:val="none"/>
          <w:lang w:val="en-US" w:eastAsia="zh-CN" w:bidi="ar"/>
        </w:rPr>
        <w:t>医疗保障经办机构应当及时向社会公布中止、解除、终止长护协议的定点机构名单，同步报同级医疗保障行政部门备案，全程督促做好参保人员服务转接工作，保障参保人员服务连续、权益不受损害。协议解除机构应及时撤除全部定点标识，不得继续以定点长护服务机构名义开展服务。</w:t>
      </w:r>
    </w:p>
    <w:p w14:paraId="69ACFA1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第四十五条</w:t>
      </w:r>
      <w:r>
        <w:rPr>
          <w:rStyle w:val="9"/>
          <w:rFonts w:hint="eastAsia" w:ascii="仿宋_GB2312" w:hAnsi="仿宋_GB2312" w:eastAsia="仿宋_GB2312" w:cs="仿宋_GB2312"/>
          <w:b w:val="0"/>
          <w:bCs/>
          <w:color w:val="auto"/>
          <w:kern w:val="0"/>
          <w:sz w:val="32"/>
          <w:szCs w:val="32"/>
          <w:u w:val="none"/>
          <w:lang w:val="en-US" w:eastAsia="zh-CN" w:bidi="ar"/>
        </w:rPr>
        <w:t xml:space="preserve"> 失信惩戒与从业限制。</w:t>
      </w:r>
      <w:r>
        <w:rPr>
          <w:rFonts w:hint="eastAsia" w:ascii="仿宋_GB2312" w:hAnsi="仿宋_GB2312" w:eastAsia="仿宋_GB2312" w:cs="仿宋_GB2312"/>
          <w:color w:val="auto"/>
          <w:kern w:val="0"/>
          <w:sz w:val="32"/>
          <w:szCs w:val="32"/>
          <w:u w:val="none"/>
          <w:lang w:val="en-US" w:eastAsia="zh-CN" w:bidi="ar"/>
        </w:rPr>
        <w:t>定点机构违规造成长护基金重大损失或恶劣社会影响的，依规实施惩戒：</w:t>
      </w:r>
    </w:p>
    <w:p w14:paraId="6585AD3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（一）法定代表人、主要负责人、实际控制人5年内禁止从事长护机构管理工作；</w:t>
      </w:r>
    </w:p>
    <w:p w14:paraId="6C81BEC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（二）相关从业人员暂停长护基金服务结算资格3至12个月；</w:t>
      </w:r>
    </w:p>
    <w:p w14:paraId="3A83FFE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（三）情节严重的，相关从业人员限制从业1至3年；</w:t>
      </w:r>
    </w:p>
    <w:p w14:paraId="198CB16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lang w:val="en-US" w:eastAsia="zh-CN" w:bidi="ar"/>
        </w:rPr>
        <w:t>（四）涉嫌违法犯罪的，依法追究刑事责任。</w:t>
      </w:r>
    </w:p>
    <w:p w14:paraId="4F45976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第四十六条 </w:t>
      </w:r>
      <w:r>
        <w:rPr>
          <w:rStyle w:val="9"/>
          <w:rFonts w:hint="eastAsia" w:ascii="仿宋_GB2312" w:hAnsi="仿宋_GB2312" w:eastAsia="仿宋_GB2312" w:cs="仿宋_GB2312"/>
          <w:b w:val="0"/>
          <w:bCs/>
          <w:color w:val="auto"/>
          <w:kern w:val="0"/>
          <w:sz w:val="32"/>
          <w:szCs w:val="32"/>
          <w:u w:val="none"/>
          <w:lang w:val="en-US" w:eastAsia="zh-CN" w:bidi="ar"/>
        </w:rPr>
        <w:t>资格恢复管理。</w:t>
      </w:r>
      <w:r>
        <w:rPr>
          <w:rFonts w:hint="eastAsia" w:ascii="仿宋_GB2312" w:hAnsi="仿宋_GB2312" w:eastAsia="仿宋_GB2312" w:cs="仿宋_GB2312"/>
          <w:color w:val="auto"/>
          <w:kern w:val="0"/>
          <w:sz w:val="32"/>
          <w:szCs w:val="32"/>
          <w:u w:val="none"/>
          <w:lang w:val="en-US" w:eastAsia="zh-CN" w:bidi="ar"/>
        </w:rPr>
        <w:t>被暂停服务资格、限制从业的机构及人员，惩戒期满后可向辖区医疗保障经办机构申请恢复资格，经审核符合准入及履约条件的，予以恢复相关服务权限。</w:t>
      </w:r>
    </w:p>
    <w:p w14:paraId="5DAD1C2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b w:val="0"/>
          <w:bCs w:val="0"/>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第四十七条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停业与退出衔接。</w:t>
      </w:r>
      <w:r>
        <w:rPr>
          <w:rFonts w:hint="eastAsia" w:ascii="仿宋_GB2312" w:hAnsi="仿宋_GB2312" w:eastAsia="仿宋_GB2312" w:cs="仿宋_GB2312"/>
          <w:color w:val="auto"/>
          <w:kern w:val="0"/>
          <w:sz w:val="32"/>
          <w:szCs w:val="32"/>
          <w:u w:val="none"/>
          <w:lang w:val="en-US" w:eastAsia="zh-CN" w:bidi="ar"/>
        </w:rPr>
        <w:t>定点机构自愿中止、解除协议或不再续签协议的，应提前3个月向辖区医疗保障经办机构提交申请，妥善做好参保人员服务转接、档案移交、费用清算等工作，保障服务连续不中断。</w:t>
      </w:r>
    </w:p>
    <w:p w14:paraId="4F0C91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第六章 监督管理</w:t>
      </w:r>
    </w:p>
    <w:p w14:paraId="429BA43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Style w:val="9"/>
          <w:rFonts w:hint="eastAsia" w:ascii="楷体_GB2312" w:hAnsi="楷体_GB2312" w:eastAsia="楷体_GB2312" w:cs="楷体_GB2312"/>
          <w:color w:val="auto"/>
          <w:kern w:val="0"/>
          <w:sz w:val="32"/>
          <w:szCs w:val="32"/>
          <w:u w:val="none"/>
          <w:lang w:val="en-US" w:eastAsia="zh-CN" w:bidi="ar"/>
        </w:rPr>
        <w:t>第四十八条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行政监督职责。</w:t>
      </w:r>
      <w:r>
        <w:rPr>
          <w:rFonts w:hint="eastAsia" w:ascii="仿宋_GB2312" w:hAnsi="仿宋_GB2312" w:eastAsia="仿宋_GB2312" w:cs="仿宋_GB2312"/>
          <w:color w:val="auto"/>
          <w:kern w:val="0"/>
          <w:sz w:val="32"/>
          <w:szCs w:val="32"/>
          <w:u w:val="none"/>
          <w:lang w:val="en-US" w:eastAsia="zh-CN" w:bidi="ar"/>
        </w:rPr>
        <w:t>医疗保障行政部门对医疗保障经办机构定点准入、协议管理、费用拨付、内控建设等工作实施全程监督指导；通过实地检查、随机抽查、智能监控、大数据分析等方式对定点长护服务机构协议履行情况、长期护理保险基金使用情况、长护服务行为、购买涉及长期护理保险基金使用的第三方服务等进行监督。</w:t>
      </w:r>
    </w:p>
    <w:p w14:paraId="02CDDD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val="0"/>
          <w:bCs w:val="0"/>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rPr>
        <w:t xml:space="preserve">第四十九条 </w:t>
      </w:r>
      <w:r>
        <w:rPr>
          <w:rFonts w:hint="eastAsia" w:ascii="仿宋_GB2312" w:hAnsi="仿宋_GB2312" w:eastAsia="仿宋_GB2312" w:cs="仿宋_GB2312"/>
          <w:b w:val="0"/>
          <w:bCs w:val="0"/>
          <w:color w:val="auto"/>
          <w:kern w:val="0"/>
          <w:sz w:val="32"/>
          <w:szCs w:val="32"/>
          <w:u w:val="none"/>
          <w:lang w:val="en-US" w:eastAsia="zh-CN" w:bidi="ar"/>
        </w:rPr>
        <w:t>跨部门协同监管。医疗保障行政部门根据需要，可以联合相关部门开展联合执法检查，建立综合监管工作机制，形成监管合力，协调解决监管难点问题。</w:t>
      </w:r>
    </w:p>
    <w:p w14:paraId="01AE2F1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第五十条 </w:t>
      </w:r>
      <w:r>
        <w:rPr>
          <w:rFonts w:hint="eastAsia" w:ascii="仿宋_GB2312" w:hAnsi="仿宋_GB2312" w:eastAsia="仿宋_GB2312" w:cs="仿宋_GB2312"/>
          <w:color w:val="auto"/>
          <w:sz w:val="32"/>
          <w:szCs w:val="32"/>
          <w:u w:val="none"/>
        </w:rPr>
        <w:t>违规处置报备管理</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kern w:val="0"/>
          <w:sz w:val="32"/>
          <w:szCs w:val="32"/>
          <w:u w:val="none"/>
          <w:lang w:val="en-US" w:eastAsia="zh-CN" w:bidi="ar"/>
        </w:rPr>
        <w:t>医疗保障经办机构查实定点机构重大违约、违规行为，拟采取中止、解除协议、限制从业等处置措施的，应及时上报同级医疗保障行政部门。医疗保障行政部门对各类违规违约问题实行闭环监管，督促医疗保障经办机构依规落实处置措施。</w:t>
      </w:r>
    </w:p>
    <w:p w14:paraId="0A0A627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第五十一条 </w:t>
      </w:r>
      <w:r>
        <w:rPr>
          <w:rStyle w:val="9"/>
          <w:rFonts w:hint="eastAsia" w:ascii="仿宋_GB2312" w:hAnsi="仿宋_GB2312" w:eastAsia="仿宋_GB2312" w:cs="仿宋_GB2312"/>
          <w:b w:val="0"/>
          <w:bCs/>
          <w:color w:val="auto"/>
          <w:kern w:val="0"/>
          <w:sz w:val="32"/>
          <w:szCs w:val="32"/>
          <w:u w:val="none"/>
          <w:lang w:val="en-US" w:eastAsia="zh-CN" w:bidi="ar"/>
        </w:rPr>
        <w:t>社会监督机制。</w:t>
      </w:r>
      <w:r>
        <w:rPr>
          <w:rFonts w:hint="eastAsia" w:ascii="仿宋_GB2312" w:hAnsi="仿宋_GB2312" w:eastAsia="仿宋_GB2312" w:cs="仿宋_GB2312"/>
          <w:b w:val="0"/>
          <w:bCs/>
          <w:color w:val="auto"/>
          <w:kern w:val="0"/>
          <w:sz w:val="32"/>
          <w:szCs w:val="32"/>
          <w:u w:val="none"/>
          <w:lang w:val="en-US" w:eastAsia="zh-CN" w:bidi="ar"/>
        </w:rPr>
        <w:t>建</w:t>
      </w:r>
      <w:r>
        <w:rPr>
          <w:rFonts w:hint="eastAsia" w:ascii="仿宋_GB2312" w:hAnsi="仿宋_GB2312" w:eastAsia="仿宋_GB2312" w:cs="仿宋_GB2312"/>
          <w:color w:val="auto"/>
          <w:kern w:val="0"/>
          <w:sz w:val="32"/>
          <w:szCs w:val="32"/>
          <w:u w:val="none"/>
          <w:lang w:val="en-US" w:eastAsia="zh-CN" w:bidi="ar"/>
        </w:rPr>
        <w:t>立健全社会监督机制。畅通投诉举报渠道，公开举报电话和邮箱。可通过满意度调查、第三方评价、聘请社会监督员、信用管理等方式对定点长护服务机构进行社会监督。</w:t>
      </w:r>
    </w:p>
    <w:p w14:paraId="208C0AA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u w:val="none"/>
        </w:rPr>
      </w:pPr>
      <w:r>
        <w:rPr>
          <w:rFonts w:hint="eastAsia" w:ascii="黑体" w:hAnsi="黑体" w:eastAsia="黑体" w:cs="黑体"/>
          <w:b w:val="0"/>
          <w:bCs w:val="0"/>
          <w:color w:val="auto"/>
          <w:sz w:val="32"/>
          <w:szCs w:val="32"/>
          <w:u w:val="none"/>
        </w:rPr>
        <w:t>第七章 附则</w:t>
      </w:r>
    </w:p>
    <w:p w14:paraId="02603BF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val="0"/>
          <w:bCs/>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第五十二条 </w:t>
      </w:r>
      <w:r>
        <w:rPr>
          <w:rStyle w:val="9"/>
          <w:rFonts w:hint="eastAsia" w:ascii="仿宋_GB2312" w:hAnsi="仿宋_GB2312" w:eastAsia="仿宋_GB2312" w:cs="仿宋_GB2312"/>
          <w:b w:val="0"/>
          <w:bCs/>
          <w:color w:val="auto"/>
          <w:kern w:val="0"/>
          <w:sz w:val="32"/>
          <w:szCs w:val="32"/>
          <w:u w:val="none"/>
          <w:lang w:val="en-US" w:eastAsia="zh-CN" w:bidi="ar"/>
        </w:rPr>
        <w:t>信息化管理要求。</w:t>
      </w:r>
      <w:r>
        <w:rPr>
          <w:rFonts w:hint="eastAsia" w:ascii="仿宋_GB2312" w:hAnsi="仿宋_GB2312" w:eastAsia="仿宋_GB2312" w:cs="仿宋_GB2312"/>
          <w:b w:val="0"/>
          <w:bCs/>
          <w:color w:val="auto"/>
          <w:kern w:val="0"/>
          <w:sz w:val="32"/>
          <w:szCs w:val="32"/>
          <w:u w:val="none"/>
          <w:lang w:val="en-US" w:eastAsia="zh-CN" w:bidi="ar"/>
        </w:rPr>
        <w:t>定点长护服务机构应按规定接入并使用</w:t>
      </w:r>
      <w:r>
        <w:rPr>
          <w:rFonts w:hint="eastAsia" w:ascii="仿宋_GB2312" w:hAnsi="仿宋_GB2312" w:eastAsia="仿宋_GB2312" w:cs="仿宋_GB2312"/>
          <w:color w:val="auto"/>
          <w:sz w:val="32"/>
          <w:szCs w:val="32"/>
          <w:u w:val="none"/>
        </w:rPr>
        <w:t>全国统一的医疗保障信息平台长期护理保险相关功能模块</w:t>
      </w:r>
      <w:r>
        <w:rPr>
          <w:rFonts w:hint="eastAsia" w:ascii="仿宋_GB2312" w:hAnsi="仿宋_GB2312" w:eastAsia="仿宋_GB2312" w:cs="仿宋_GB2312"/>
          <w:b w:val="0"/>
          <w:bCs/>
          <w:color w:val="auto"/>
          <w:kern w:val="0"/>
          <w:sz w:val="32"/>
          <w:szCs w:val="32"/>
          <w:u w:val="none"/>
          <w:lang w:val="en-US" w:eastAsia="zh-CN" w:bidi="ar"/>
        </w:rPr>
        <w:t>，实现服务申请、服务实施、费用结算等全过程信息化管理。鼓励护理机构运用智能化服务工具，提升服务工作的规范性和效率。</w:t>
      </w:r>
    </w:p>
    <w:p w14:paraId="1DBBC5A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第五十三条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服务类型变更备案。</w:t>
      </w:r>
      <w:r>
        <w:rPr>
          <w:rFonts w:hint="eastAsia" w:ascii="仿宋_GB2312" w:hAnsi="仿宋_GB2312" w:eastAsia="仿宋_GB2312" w:cs="仿宋_GB2312"/>
          <w:b w:val="0"/>
          <w:bCs/>
          <w:color w:val="auto"/>
          <w:kern w:val="0"/>
          <w:sz w:val="32"/>
          <w:szCs w:val="32"/>
          <w:u w:val="none"/>
          <w:lang w:val="en-US" w:eastAsia="zh-CN" w:bidi="ar"/>
        </w:rPr>
        <w:t>已纳入定点管理的机构护理服务机构申请开展居家护理服务的，应按居家护理服务条件进行备案申请，经审核后纳入相应服务类型管理。</w:t>
      </w:r>
    </w:p>
    <w:p w14:paraId="0184B45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第五十四条</w:t>
      </w:r>
      <w:r>
        <w:rPr>
          <w:rStyle w:val="9"/>
          <w:rFonts w:hint="eastAsia" w:ascii="仿宋_GB2312" w:hAnsi="仿宋_GB2312" w:eastAsia="仿宋_GB2312" w:cs="仿宋_GB2312"/>
          <w:color w:val="auto"/>
          <w:kern w:val="0"/>
          <w:sz w:val="32"/>
          <w:szCs w:val="32"/>
          <w:u w:val="none"/>
          <w:lang w:val="en-US" w:eastAsia="zh-CN" w:bidi="ar"/>
        </w:rPr>
        <w:t xml:space="preserve"> </w:t>
      </w:r>
      <w:r>
        <w:rPr>
          <w:rStyle w:val="9"/>
          <w:rFonts w:hint="eastAsia" w:ascii="仿宋_GB2312" w:hAnsi="仿宋_GB2312" w:eastAsia="仿宋_GB2312" w:cs="仿宋_GB2312"/>
          <w:b w:val="0"/>
          <w:bCs/>
          <w:color w:val="auto"/>
          <w:kern w:val="0"/>
          <w:sz w:val="32"/>
          <w:szCs w:val="32"/>
          <w:u w:val="none"/>
          <w:lang w:val="en-US" w:eastAsia="zh-CN" w:bidi="ar"/>
        </w:rPr>
        <w:t>内设机构管理规定。</w:t>
      </w:r>
      <w:r>
        <w:rPr>
          <w:rFonts w:hint="eastAsia" w:ascii="仿宋_GB2312" w:hAnsi="仿宋_GB2312" w:eastAsia="仿宋_GB2312" w:cs="仿宋_GB2312"/>
          <w:b w:val="0"/>
          <w:bCs/>
          <w:color w:val="auto"/>
          <w:kern w:val="0"/>
          <w:sz w:val="32"/>
          <w:szCs w:val="32"/>
          <w:u w:val="none"/>
          <w:lang w:val="en-US" w:eastAsia="zh-CN" w:bidi="ar"/>
        </w:rPr>
        <w:t>依托</w:t>
      </w:r>
      <w:r>
        <w:rPr>
          <w:rFonts w:hint="eastAsia" w:ascii="仿宋_GB2312" w:hAnsi="仿宋_GB2312" w:eastAsia="仿宋_GB2312" w:cs="仿宋_GB2312"/>
          <w:color w:val="auto"/>
          <w:kern w:val="0"/>
          <w:sz w:val="32"/>
          <w:szCs w:val="32"/>
          <w:u w:val="none"/>
          <w:lang w:val="en-US" w:eastAsia="zh-CN" w:bidi="ar"/>
        </w:rPr>
        <w:t>医疗机构、养老机构、劳动能力鉴定机构等内设部门开展护理服务工作的，对该部门及其所属机构的管理，适用本细则全部规定。该内设部门应当具备独立开展护理服务的固定场所、专职人员及管理制度，并作为签约主体与医疗保障经办机构签订服务协议。</w:t>
      </w:r>
    </w:p>
    <w:p w14:paraId="1367B79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第五十五条 </w:t>
      </w:r>
      <w:r>
        <w:rPr>
          <w:rStyle w:val="9"/>
          <w:rFonts w:hint="eastAsia" w:ascii="仿宋_GB2312" w:hAnsi="仿宋_GB2312" w:eastAsia="仿宋_GB2312" w:cs="仿宋_GB2312"/>
          <w:b w:val="0"/>
          <w:bCs/>
          <w:color w:val="auto"/>
          <w:kern w:val="0"/>
          <w:sz w:val="32"/>
          <w:szCs w:val="32"/>
          <w:u w:val="none"/>
          <w:lang w:val="en-US" w:eastAsia="zh-CN" w:bidi="ar"/>
        </w:rPr>
        <w:t>机构扶持与采购机制。</w:t>
      </w:r>
      <w:r>
        <w:rPr>
          <w:rFonts w:hint="eastAsia" w:ascii="仿宋_GB2312" w:hAnsi="仿宋_GB2312" w:eastAsia="仿宋_GB2312" w:cs="仿宋_GB2312"/>
          <w:b w:val="0"/>
          <w:bCs/>
          <w:color w:val="auto"/>
          <w:kern w:val="0"/>
          <w:sz w:val="32"/>
          <w:szCs w:val="32"/>
          <w:u w:val="none"/>
          <w:lang w:val="en-US" w:eastAsia="zh-CN" w:bidi="ar"/>
        </w:rPr>
        <w:t>鼓</w:t>
      </w:r>
      <w:r>
        <w:rPr>
          <w:rFonts w:hint="eastAsia" w:ascii="仿宋_GB2312" w:hAnsi="仿宋_GB2312" w:eastAsia="仿宋_GB2312" w:cs="仿宋_GB2312"/>
          <w:color w:val="auto"/>
          <w:kern w:val="0"/>
          <w:sz w:val="32"/>
          <w:szCs w:val="32"/>
          <w:u w:val="none"/>
          <w:lang w:val="en-US" w:eastAsia="zh-CN" w:bidi="ar"/>
        </w:rPr>
        <w:t>励现有的基层医疗机构（或养老机构、医养结合机构）设立长护定点服务机构，根据服务需要，逐步按政府采购法招标采购第三方长护定点服务机构。</w:t>
      </w:r>
    </w:p>
    <w:p w14:paraId="611200F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sz w:val="32"/>
          <w:szCs w:val="32"/>
          <w:u w:val="none"/>
        </w:rPr>
      </w:pPr>
      <w:r>
        <w:rPr>
          <w:rStyle w:val="9"/>
          <w:rFonts w:hint="eastAsia" w:ascii="楷体_GB2312" w:hAnsi="楷体_GB2312" w:eastAsia="楷体_GB2312" w:cs="楷体_GB2312"/>
          <w:color w:val="auto"/>
          <w:kern w:val="0"/>
          <w:sz w:val="32"/>
          <w:szCs w:val="32"/>
          <w:u w:val="none"/>
          <w:lang w:val="en-US" w:eastAsia="zh-CN" w:bidi="ar"/>
        </w:rPr>
        <w:t xml:space="preserve">第五十六条 </w:t>
      </w:r>
      <w:r>
        <w:rPr>
          <w:rStyle w:val="9"/>
          <w:rFonts w:hint="eastAsia" w:ascii="仿宋_GB2312" w:hAnsi="仿宋_GB2312" w:eastAsia="仿宋_GB2312" w:cs="仿宋_GB2312"/>
          <w:b w:val="0"/>
          <w:bCs/>
          <w:color w:val="auto"/>
          <w:kern w:val="0"/>
          <w:sz w:val="32"/>
          <w:szCs w:val="32"/>
          <w:u w:val="none"/>
          <w:lang w:val="en-US" w:eastAsia="zh-CN" w:bidi="ar"/>
        </w:rPr>
        <w:t>解释权限与施行日期。</w:t>
      </w:r>
      <w:r>
        <w:rPr>
          <w:rFonts w:hint="eastAsia" w:ascii="仿宋_GB2312" w:hAnsi="仿宋_GB2312" w:eastAsia="仿宋_GB2312" w:cs="仿宋_GB2312"/>
          <w:color w:val="auto"/>
          <w:kern w:val="0"/>
          <w:sz w:val="32"/>
          <w:szCs w:val="32"/>
          <w:u w:val="none"/>
          <w:lang w:val="en-US" w:eastAsia="zh-CN" w:bidi="ar"/>
        </w:rPr>
        <w:t>本实施细则由景德镇市医疗保障局负责解释，自印发之日起施行。国家、省后续出台新政策规定的，从其规定。</w:t>
      </w:r>
    </w:p>
    <w:p w14:paraId="7081DBB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附件：景德镇长期护理保险定点护理服务机构申请表</w:t>
      </w:r>
    </w:p>
    <w:p w14:paraId="1B529F92">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u w:val="none"/>
        </w:rPr>
      </w:pPr>
    </w:p>
    <w:p w14:paraId="61B8FC5C">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auto"/>
          <w:sz w:val="32"/>
          <w:szCs w:val="32"/>
          <w:u w:val="none"/>
        </w:rPr>
      </w:pPr>
    </w:p>
    <w:p w14:paraId="53995EDD">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b w:val="0"/>
          <w:bCs/>
          <w:color w:val="auto"/>
          <w:sz w:val="32"/>
          <w:szCs w:val="32"/>
          <w:u w:val="none"/>
          <w:lang w:val="en-US" w:eastAsia="zh-CN"/>
        </w:rPr>
      </w:pPr>
      <w:r>
        <w:rPr>
          <w:rFonts w:hint="eastAsia" w:ascii="黑体" w:hAnsi="黑体" w:eastAsia="黑体" w:cs="黑体"/>
          <w:b w:val="0"/>
          <w:bCs/>
          <w:color w:val="auto"/>
          <w:sz w:val="32"/>
          <w:szCs w:val="32"/>
          <w:u w:val="none"/>
          <w:lang w:val="en-US" w:eastAsia="zh-CN"/>
        </w:rPr>
        <w:t>附件</w:t>
      </w:r>
    </w:p>
    <w:p w14:paraId="3145B097">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宋体" w:hAnsi="宋体" w:eastAsia="方正小标宋简体" w:cs="方正小标宋简体"/>
          <w:b w:val="0"/>
          <w:bCs/>
          <w:color w:val="auto"/>
          <w:sz w:val="32"/>
          <w:szCs w:val="32"/>
          <w:u w:val="none"/>
          <w:lang w:val="en-US" w:eastAsia="zh-CN"/>
        </w:rPr>
      </w:pPr>
      <w:r>
        <w:rPr>
          <w:rFonts w:hint="eastAsia" w:ascii="宋体" w:hAnsi="宋体" w:eastAsia="方正小标宋简体" w:cs="方正小标宋简体"/>
          <w:b w:val="0"/>
          <w:bCs/>
          <w:color w:val="auto"/>
          <w:sz w:val="32"/>
          <w:szCs w:val="32"/>
          <w:u w:val="none"/>
          <w:lang w:val="en-US" w:eastAsia="zh-CN"/>
        </w:rPr>
        <w:t>景德镇市长期护理保险定点护理服务机构申请表</w:t>
      </w:r>
    </w:p>
    <w:p w14:paraId="656C15B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eastAsia" w:ascii="宋体" w:hAnsi="宋体" w:eastAsiaTheme="minorEastAsia" w:cstheme="minorEastAsia"/>
          <w:color w:val="auto"/>
          <w:spacing w:val="-13"/>
          <w:sz w:val="24"/>
          <w:szCs w:val="24"/>
          <w:u w:val="none"/>
          <w:lang w:val="en-US" w:eastAsia="zh-CN"/>
        </w:rPr>
      </w:pPr>
    </w:p>
    <w:p w14:paraId="59EF7D5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left"/>
        <w:textAlignment w:val="auto"/>
        <w:rPr>
          <w:rFonts w:hint="default" w:ascii="宋体" w:hAnsi="宋体"/>
          <w:color w:val="auto"/>
          <w:sz w:val="24"/>
          <w:szCs w:val="24"/>
          <w:u w:val="none"/>
          <w:lang w:val="en-US" w:eastAsia="zh-CN"/>
        </w:rPr>
      </w:pPr>
      <w:r>
        <w:rPr>
          <w:rFonts w:hint="eastAsia" w:ascii="宋体" w:hAnsi="宋体" w:eastAsiaTheme="minorEastAsia" w:cstheme="minorEastAsia"/>
          <w:color w:val="auto"/>
          <w:spacing w:val="-13"/>
          <w:sz w:val="24"/>
          <w:szCs w:val="24"/>
          <w:u w:val="none"/>
          <w:lang w:val="en-US" w:eastAsia="zh-CN"/>
        </w:rPr>
        <w:t xml:space="preserve">申请单位名称（盖章）：           </w:t>
      </w:r>
      <w:r>
        <w:rPr>
          <w:rFonts w:hint="eastAsia" w:ascii="宋体" w:hAnsi="宋体" w:cs="宋体"/>
          <w:color w:val="auto"/>
          <w:spacing w:val="-13"/>
          <w:sz w:val="24"/>
          <w:szCs w:val="24"/>
          <w:u w:val="none"/>
          <w:lang w:val="en-US" w:eastAsia="zh-CN"/>
        </w:rPr>
        <w:t xml:space="preserve">                  </w:t>
      </w:r>
      <w:r>
        <w:rPr>
          <w:rFonts w:hint="eastAsia" w:ascii="宋体" w:hAnsi="宋体" w:eastAsia="宋体" w:cs="宋体"/>
          <w:color w:val="auto"/>
          <w:spacing w:val="-13"/>
          <w:sz w:val="24"/>
          <w:szCs w:val="24"/>
          <w:u w:val="none"/>
        </w:rPr>
        <w:t>申请时间：</w:t>
      </w:r>
      <w:r>
        <w:rPr>
          <w:rFonts w:hint="eastAsia" w:ascii="宋体" w:hAnsi="宋体" w:eastAsia="宋体" w:cs="宋体"/>
          <w:color w:val="auto"/>
          <w:spacing w:val="74"/>
          <w:w w:val="101"/>
          <w:sz w:val="24"/>
          <w:szCs w:val="24"/>
          <w:u w:val="none"/>
        </w:rPr>
        <w:t xml:space="preserve"> </w:t>
      </w:r>
      <w:r>
        <w:rPr>
          <w:rFonts w:hint="eastAsia" w:ascii="宋体" w:hAnsi="宋体" w:eastAsia="宋体" w:cs="宋体"/>
          <w:color w:val="auto"/>
          <w:spacing w:val="74"/>
          <w:w w:val="101"/>
          <w:sz w:val="24"/>
          <w:szCs w:val="24"/>
          <w:u w:val="none"/>
          <w:lang w:val="en-US" w:eastAsia="zh-CN"/>
        </w:rPr>
        <w:t xml:space="preserve"> </w:t>
      </w:r>
      <w:r>
        <w:rPr>
          <w:rFonts w:hint="eastAsia" w:ascii="宋体" w:hAnsi="宋体" w:eastAsia="宋体" w:cs="宋体"/>
          <w:color w:val="auto"/>
          <w:spacing w:val="-13"/>
          <w:sz w:val="24"/>
          <w:szCs w:val="24"/>
          <w:u w:val="none"/>
        </w:rPr>
        <w:t>年</w:t>
      </w:r>
      <w:r>
        <w:rPr>
          <w:rFonts w:hint="eastAsia" w:ascii="宋体" w:hAnsi="宋体" w:eastAsia="宋体" w:cs="宋体"/>
          <w:color w:val="auto"/>
          <w:spacing w:val="5"/>
          <w:sz w:val="24"/>
          <w:szCs w:val="24"/>
          <w:u w:val="none"/>
        </w:rPr>
        <w:t xml:space="preserve">    </w:t>
      </w:r>
      <w:r>
        <w:rPr>
          <w:rFonts w:hint="eastAsia" w:ascii="宋体" w:hAnsi="宋体" w:eastAsia="宋体" w:cs="宋体"/>
          <w:color w:val="auto"/>
          <w:spacing w:val="-13"/>
          <w:sz w:val="24"/>
          <w:szCs w:val="24"/>
          <w:u w:val="none"/>
        </w:rPr>
        <w:t>月</w:t>
      </w:r>
      <w:r>
        <w:rPr>
          <w:rFonts w:hint="eastAsia" w:ascii="宋体" w:hAnsi="宋体" w:eastAsia="宋体" w:cs="宋体"/>
          <w:color w:val="auto"/>
          <w:spacing w:val="8"/>
          <w:sz w:val="24"/>
          <w:szCs w:val="24"/>
          <w:u w:val="none"/>
        </w:rPr>
        <w:t xml:space="preserve">  </w:t>
      </w:r>
      <w:r>
        <w:rPr>
          <w:rFonts w:hint="eastAsia" w:ascii="宋体" w:hAnsi="宋体" w:cs="宋体"/>
          <w:color w:val="auto"/>
          <w:spacing w:val="8"/>
          <w:sz w:val="24"/>
          <w:szCs w:val="24"/>
          <w:u w:val="none"/>
          <w:lang w:val="en-US" w:eastAsia="zh-CN"/>
        </w:rPr>
        <w:t xml:space="preserve"> </w:t>
      </w:r>
      <w:r>
        <w:rPr>
          <w:rFonts w:hint="eastAsia" w:ascii="宋体" w:hAnsi="宋体" w:eastAsia="宋体" w:cs="宋体"/>
          <w:color w:val="auto"/>
          <w:spacing w:val="8"/>
          <w:sz w:val="24"/>
          <w:szCs w:val="24"/>
          <w:u w:val="none"/>
        </w:rPr>
        <w:t xml:space="preserve"> </w:t>
      </w:r>
      <w:r>
        <w:rPr>
          <w:rFonts w:hint="eastAsia" w:ascii="宋体" w:hAnsi="宋体" w:eastAsia="宋体" w:cs="宋体"/>
          <w:color w:val="auto"/>
          <w:spacing w:val="-13"/>
          <w:sz w:val="24"/>
          <w:szCs w:val="24"/>
          <w:u w:val="none"/>
        </w:rPr>
        <w:t>日</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
        <w:gridCol w:w="1544"/>
        <w:gridCol w:w="24"/>
        <w:gridCol w:w="1036"/>
        <w:gridCol w:w="24"/>
        <w:gridCol w:w="599"/>
        <w:gridCol w:w="466"/>
        <w:gridCol w:w="870"/>
        <w:gridCol w:w="210"/>
        <w:gridCol w:w="356"/>
        <w:gridCol w:w="536"/>
        <w:gridCol w:w="185"/>
        <w:gridCol w:w="17"/>
        <w:gridCol w:w="153"/>
        <w:gridCol w:w="207"/>
        <w:gridCol w:w="288"/>
        <w:gridCol w:w="828"/>
      </w:tblGrid>
      <w:tr w14:paraId="1048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noWrap w:val="0"/>
            <w:vAlign w:val="center"/>
          </w:tcPr>
          <w:p w14:paraId="0F1CFEB8">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机构名称</w:t>
            </w:r>
          </w:p>
        </w:tc>
        <w:tc>
          <w:tcPr>
            <w:tcW w:w="7367" w:type="dxa"/>
            <w:gridSpan w:val="17"/>
            <w:noWrap w:val="0"/>
            <w:vAlign w:val="center"/>
          </w:tcPr>
          <w:p w14:paraId="3C9DB2A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7DA7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44BED5C1">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单位地址</w:t>
            </w:r>
          </w:p>
        </w:tc>
        <w:tc>
          <w:tcPr>
            <w:tcW w:w="4587" w:type="dxa"/>
            <w:gridSpan w:val="8"/>
            <w:tcBorders>
              <w:top w:val="single" w:color="auto" w:sz="4" w:space="0"/>
              <w:left w:val="single" w:color="auto" w:sz="4" w:space="0"/>
              <w:bottom w:val="single" w:color="auto" w:sz="4" w:space="0"/>
              <w:right w:val="single" w:color="auto" w:sz="4" w:space="0"/>
            </w:tcBorders>
            <w:noWrap w:val="0"/>
            <w:vAlign w:val="center"/>
          </w:tcPr>
          <w:p w14:paraId="277D91B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664" w:type="dxa"/>
            <w:gridSpan w:val="7"/>
            <w:tcBorders>
              <w:top w:val="single" w:color="auto" w:sz="4" w:space="0"/>
              <w:left w:val="single" w:color="auto" w:sz="4" w:space="0"/>
              <w:bottom w:val="single" w:color="auto" w:sz="4" w:space="0"/>
              <w:right w:val="single" w:color="auto" w:sz="4" w:space="0"/>
            </w:tcBorders>
            <w:noWrap w:val="0"/>
            <w:vAlign w:val="center"/>
          </w:tcPr>
          <w:p w14:paraId="3C96480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邮政编码</w:t>
            </w:r>
          </w:p>
        </w:tc>
        <w:tc>
          <w:tcPr>
            <w:tcW w:w="1116" w:type="dxa"/>
            <w:gridSpan w:val="2"/>
            <w:tcBorders>
              <w:top w:val="single" w:color="auto" w:sz="4" w:space="0"/>
              <w:left w:val="single" w:color="auto" w:sz="4" w:space="0"/>
              <w:bottom w:val="single" w:color="auto" w:sz="4" w:space="0"/>
              <w:right w:val="single" w:color="auto" w:sz="4" w:space="0"/>
            </w:tcBorders>
            <w:noWrap w:val="0"/>
            <w:vAlign w:val="center"/>
          </w:tcPr>
          <w:p w14:paraId="51B8C1F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6785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356EC18B">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i w:val="0"/>
                <w:caps w:val="0"/>
                <w:color w:val="auto"/>
                <w:spacing w:val="0"/>
                <w:kern w:val="0"/>
                <w:sz w:val="24"/>
                <w:szCs w:val="24"/>
                <w:u w:val="none"/>
                <w:shd w:val="clear" w:color="auto" w:fill="FFFFFF"/>
                <w:lang w:val="en-US" w:eastAsia="zh-CN" w:bidi="ar"/>
              </w:rPr>
              <w:t>统一社会信用代码</w:t>
            </w:r>
          </w:p>
        </w:tc>
        <w:tc>
          <w:tcPr>
            <w:tcW w:w="3251" w:type="dxa"/>
            <w:gridSpan w:val="6"/>
            <w:tcBorders>
              <w:top w:val="single" w:color="auto" w:sz="4" w:space="0"/>
              <w:left w:val="single" w:color="auto" w:sz="4" w:space="0"/>
              <w:bottom w:val="single" w:color="auto" w:sz="4" w:space="0"/>
              <w:right w:val="single" w:color="auto" w:sz="4" w:space="0"/>
            </w:tcBorders>
            <w:noWrap w:val="0"/>
            <w:vAlign w:val="center"/>
          </w:tcPr>
          <w:p w14:paraId="36D249E9">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p>
        </w:tc>
        <w:tc>
          <w:tcPr>
            <w:tcW w:w="1902" w:type="dxa"/>
            <w:gridSpan w:val="4"/>
            <w:tcBorders>
              <w:top w:val="single" w:color="auto" w:sz="4" w:space="0"/>
              <w:left w:val="single" w:color="auto" w:sz="4" w:space="0"/>
              <w:bottom w:val="single" w:color="auto" w:sz="4" w:space="0"/>
              <w:right w:val="single" w:color="auto" w:sz="4" w:space="0"/>
            </w:tcBorders>
            <w:noWrap w:val="0"/>
            <w:vAlign w:val="center"/>
          </w:tcPr>
          <w:p w14:paraId="5D28E54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eastAsia="zh-CN"/>
              </w:rPr>
              <w:t>所属</w:t>
            </w:r>
            <w:r>
              <w:rPr>
                <w:rFonts w:hint="eastAsia" w:ascii="宋体" w:hAnsi="宋体" w:eastAsia="宋体" w:cs="宋体"/>
                <w:color w:val="auto"/>
                <w:sz w:val="24"/>
                <w:szCs w:val="24"/>
                <w:u w:val="none"/>
                <w:lang w:eastAsia="zh-CN"/>
              </w:rPr>
              <w:t>行政</w:t>
            </w:r>
            <w:r>
              <w:rPr>
                <w:rFonts w:hint="eastAsia" w:ascii="宋体" w:hAnsi="宋体" w:eastAsia="宋体" w:cs="宋体"/>
                <w:color w:val="auto"/>
                <w:sz w:val="24"/>
                <w:szCs w:val="24"/>
                <w:u w:val="none"/>
                <w:lang w:eastAsia="zh-CN"/>
              </w:rPr>
              <w:t>区</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u w:val="none"/>
                <w:lang w:eastAsia="zh-CN"/>
              </w:rPr>
              <w:t>街道</w:t>
            </w:r>
          </w:p>
        </w:tc>
        <w:tc>
          <w:tcPr>
            <w:tcW w:w="2214" w:type="dxa"/>
            <w:gridSpan w:val="7"/>
            <w:tcBorders>
              <w:top w:val="single" w:color="auto" w:sz="4" w:space="0"/>
              <w:left w:val="single" w:color="auto" w:sz="4" w:space="0"/>
              <w:bottom w:val="single" w:color="auto" w:sz="4" w:space="0"/>
              <w:right w:val="single" w:color="auto" w:sz="4" w:space="0"/>
            </w:tcBorders>
            <w:noWrap w:val="0"/>
            <w:vAlign w:val="center"/>
          </w:tcPr>
          <w:p w14:paraId="62C68BF3">
            <w:pPr>
              <w:keepNext w:val="0"/>
              <w:keepLines w:val="0"/>
              <w:pageBreakBefore w:val="0"/>
              <w:kinsoku/>
              <w:wordWrap/>
              <w:overflowPunct/>
              <w:topLinePunct w:val="0"/>
              <w:autoSpaceDE/>
              <w:autoSpaceDN/>
              <w:bidi w:val="0"/>
              <w:adjustRightInd/>
              <w:snapToGrid/>
              <w:spacing w:beforeAutospacing="0" w:afterAutospacing="0" w:line="400" w:lineRule="exact"/>
              <w:ind w:firstLine="960" w:firstLineChars="400"/>
              <w:jc w:val="right"/>
              <w:textAlignment w:val="auto"/>
              <w:rPr>
                <w:rFonts w:hint="eastAsia" w:ascii="宋体" w:hAnsi="宋体" w:eastAsia="宋体" w:cs="宋体"/>
                <w:color w:val="auto"/>
                <w:sz w:val="24"/>
                <w:szCs w:val="24"/>
                <w:u w:val="none"/>
                <w:lang w:val="en-US" w:eastAsia="zh-CN"/>
              </w:rPr>
            </w:pPr>
          </w:p>
        </w:tc>
      </w:tr>
      <w:tr w14:paraId="36C8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14DA751F">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法定代表人</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2A1FEB9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42B75FC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身份证号</w:t>
            </w:r>
          </w:p>
        </w:tc>
        <w:tc>
          <w:tcPr>
            <w:tcW w:w="1959" w:type="dxa"/>
            <w:gridSpan w:val="4"/>
            <w:tcBorders>
              <w:top w:val="single" w:color="auto" w:sz="4" w:space="0"/>
              <w:left w:val="single" w:color="auto" w:sz="4" w:space="0"/>
              <w:bottom w:val="single" w:color="auto" w:sz="4" w:space="0"/>
              <w:right w:val="single" w:color="auto" w:sz="4" w:space="0"/>
            </w:tcBorders>
            <w:noWrap w:val="0"/>
            <w:vAlign w:val="center"/>
          </w:tcPr>
          <w:p w14:paraId="084217D7">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304" w:type="dxa"/>
            <w:gridSpan w:val="5"/>
            <w:tcBorders>
              <w:top w:val="single" w:color="auto" w:sz="4" w:space="0"/>
              <w:left w:val="single" w:color="auto" w:sz="4" w:space="0"/>
              <w:bottom w:val="single" w:color="auto" w:sz="4" w:space="0"/>
              <w:right w:val="single" w:color="auto" w:sz="4" w:space="0"/>
            </w:tcBorders>
            <w:noWrap w:val="0"/>
            <w:vAlign w:val="center"/>
          </w:tcPr>
          <w:p w14:paraId="62EC9DDA">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联系电话</w:t>
            </w:r>
          </w:p>
        </w:tc>
        <w:tc>
          <w:tcPr>
            <w:tcW w:w="1476" w:type="dxa"/>
            <w:gridSpan w:val="4"/>
            <w:tcBorders>
              <w:top w:val="single" w:color="auto" w:sz="4" w:space="0"/>
              <w:left w:val="single" w:color="auto" w:sz="4" w:space="0"/>
              <w:bottom w:val="single" w:color="auto" w:sz="4" w:space="0"/>
              <w:right w:val="single" w:color="auto" w:sz="4" w:space="0"/>
            </w:tcBorders>
            <w:noWrap w:val="0"/>
            <w:vAlign w:val="center"/>
          </w:tcPr>
          <w:p w14:paraId="416DC12F">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3A94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207D35C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主要负责人</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03632262">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29ADD687">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身份证号</w:t>
            </w:r>
          </w:p>
        </w:tc>
        <w:tc>
          <w:tcPr>
            <w:tcW w:w="1959" w:type="dxa"/>
            <w:gridSpan w:val="4"/>
            <w:tcBorders>
              <w:top w:val="single" w:color="auto" w:sz="4" w:space="0"/>
              <w:left w:val="single" w:color="auto" w:sz="4" w:space="0"/>
              <w:bottom w:val="single" w:color="auto" w:sz="4" w:space="0"/>
              <w:right w:val="single" w:color="auto" w:sz="4" w:space="0"/>
            </w:tcBorders>
            <w:noWrap w:val="0"/>
            <w:vAlign w:val="center"/>
          </w:tcPr>
          <w:p w14:paraId="2749E3F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304" w:type="dxa"/>
            <w:gridSpan w:val="5"/>
            <w:tcBorders>
              <w:top w:val="single" w:color="auto" w:sz="4" w:space="0"/>
              <w:left w:val="single" w:color="auto" w:sz="4" w:space="0"/>
              <w:bottom w:val="single" w:color="auto" w:sz="4" w:space="0"/>
              <w:right w:val="single" w:color="auto" w:sz="4" w:space="0"/>
            </w:tcBorders>
            <w:noWrap w:val="0"/>
            <w:vAlign w:val="center"/>
          </w:tcPr>
          <w:p w14:paraId="1BCD3E3B">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联系电话</w:t>
            </w:r>
          </w:p>
        </w:tc>
        <w:tc>
          <w:tcPr>
            <w:tcW w:w="1476" w:type="dxa"/>
            <w:gridSpan w:val="4"/>
            <w:tcBorders>
              <w:top w:val="single" w:color="auto" w:sz="4" w:space="0"/>
              <w:left w:val="single" w:color="auto" w:sz="4" w:space="0"/>
              <w:bottom w:val="single" w:color="auto" w:sz="4" w:space="0"/>
              <w:right w:val="single" w:color="auto" w:sz="4" w:space="0"/>
            </w:tcBorders>
            <w:noWrap w:val="0"/>
            <w:vAlign w:val="center"/>
          </w:tcPr>
          <w:p w14:paraId="5F30EA9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6C3D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3A9D9704">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实际控制人</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2B9943F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1F9A1D3B">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身份证号</w:t>
            </w:r>
          </w:p>
        </w:tc>
        <w:tc>
          <w:tcPr>
            <w:tcW w:w="1959" w:type="dxa"/>
            <w:gridSpan w:val="4"/>
            <w:tcBorders>
              <w:top w:val="single" w:color="auto" w:sz="4" w:space="0"/>
              <w:left w:val="single" w:color="auto" w:sz="4" w:space="0"/>
              <w:bottom w:val="single" w:color="auto" w:sz="4" w:space="0"/>
              <w:right w:val="single" w:color="auto" w:sz="4" w:space="0"/>
            </w:tcBorders>
            <w:noWrap w:val="0"/>
            <w:vAlign w:val="center"/>
          </w:tcPr>
          <w:p w14:paraId="72CBC40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304" w:type="dxa"/>
            <w:gridSpan w:val="5"/>
            <w:tcBorders>
              <w:top w:val="single" w:color="auto" w:sz="4" w:space="0"/>
              <w:left w:val="single" w:color="auto" w:sz="4" w:space="0"/>
              <w:bottom w:val="single" w:color="auto" w:sz="4" w:space="0"/>
              <w:right w:val="single" w:color="auto" w:sz="4" w:space="0"/>
            </w:tcBorders>
            <w:noWrap w:val="0"/>
            <w:vAlign w:val="center"/>
          </w:tcPr>
          <w:p w14:paraId="199F8813">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联系电话</w:t>
            </w:r>
          </w:p>
        </w:tc>
        <w:tc>
          <w:tcPr>
            <w:tcW w:w="1476" w:type="dxa"/>
            <w:gridSpan w:val="4"/>
            <w:tcBorders>
              <w:top w:val="single" w:color="auto" w:sz="4" w:space="0"/>
              <w:left w:val="single" w:color="auto" w:sz="4" w:space="0"/>
              <w:bottom w:val="single" w:color="auto" w:sz="4" w:space="0"/>
              <w:right w:val="single" w:color="auto" w:sz="4" w:space="0"/>
            </w:tcBorders>
            <w:noWrap w:val="0"/>
            <w:vAlign w:val="center"/>
          </w:tcPr>
          <w:p w14:paraId="61E7DEF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0FDD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7DAE1117">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联系人</w:t>
            </w:r>
          </w:p>
        </w:tc>
        <w:tc>
          <w:tcPr>
            <w:tcW w:w="4587" w:type="dxa"/>
            <w:gridSpan w:val="8"/>
            <w:tcBorders>
              <w:top w:val="single" w:color="auto" w:sz="4" w:space="0"/>
              <w:left w:val="single" w:color="auto" w:sz="4" w:space="0"/>
              <w:bottom w:val="single" w:color="auto" w:sz="4" w:space="0"/>
              <w:right w:val="single" w:color="auto" w:sz="4" w:space="0"/>
            </w:tcBorders>
            <w:noWrap w:val="0"/>
            <w:vAlign w:val="center"/>
          </w:tcPr>
          <w:p w14:paraId="1BCB24E0">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304" w:type="dxa"/>
            <w:gridSpan w:val="5"/>
            <w:tcBorders>
              <w:top w:val="single" w:color="auto" w:sz="4" w:space="0"/>
              <w:left w:val="single" w:color="auto" w:sz="4" w:space="0"/>
              <w:bottom w:val="single" w:color="auto" w:sz="4" w:space="0"/>
              <w:right w:val="single" w:color="auto" w:sz="4" w:space="0"/>
            </w:tcBorders>
            <w:noWrap w:val="0"/>
            <w:vAlign w:val="center"/>
          </w:tcPr>
          <w:p w14:paraId="32F89628">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联系电话</w:t>
            </w:r>
          </w:p>
        </w:tc>
        <w:tc>
          <w:tcPr>
            <w:tcW w:w="1476" w:type="dxa"/>
            <w:gridSpan w:val="4"/>
            <w:tcBorders>
              <w:top w:val="single" w:color="auto" w:sz="4" w:space="0"/>
              <w:left w:val="single" w:color="auto" w:sz="4" w:space="0"/>
              <w:bottom w:val="single" w:color="auto" w:sz="4" w:space="0"/>
              <w:right w:val="single" w:color="auto" w:sz="4" w:space="0"/>
            </w:tcBorders>
            <w:noWrap w:val="0"/>
            <w:vAlign w:val="center"/>
          </w:tcPr>
          <w:p w14:paraId="489A8FD2">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1443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exact"/>
          <w:jc w:val="center"/>
        </w:trPr>
        <w:tc>
          <w:tcPr>
            <w:tcW w:w="1984" w:type="dxa"/>
            <w:noWrap w:val="0"/>
            <w:vAlign w:val="center"/>
          </w:tcPr>
          <w:p w14:paraId="72804F8D">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机构类型</w:t>
            </w:r>
          </w:p>
        </w:tc>
        <w:tc>
          <w:tcPr>
            <w:tcW w:w="7367" w:type="dxa"/>
            <w:gridSpan w:val="17"/>
            <w:noWrap w:val="0"/>
            <w:vAlign w:val="center"/>
          </w:tcPr>
          <w:p w14:paraId="64A7CA9E">
            <w:pPr>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医疗机构</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养老机构</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其他企业或社会组织</w:t>
            </w:r>
          </w:p>
          <w:p w14:paraId="42AC747A">
            <w:pPr>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□公办机构</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□民营</w:t>
            </w:r>
            <w:r>
              <w:rPr>
                <w:rFonts w:hint="eastAsia" w:ascii="宋体" w:hAnsi="宋体" w:eastAsia="宋体" w:cs="宋体"/>
                <w:color w:val="auto"/>
                <w:sz w:val="24"/>
                <w:szCs w:val="24"/>
                <w:u w:val="none"/>
              </w:rPr>
              <w:t>机构</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□国有资本参资</w:t>
            </w:r>
            <w:r>
              <w:rPr>
                <w:rFonts w:hint="eastAsia" w:ascii="宋体" w:hAnsi="宋体" w:eastAsia="宋体" w:cs="宋体"/>
                <w:color w:val="auto"/>
                <w:sz w:val="24"/>
                <w:szCs w:val="24"/>
                <w:u w:val="none"/>
              </w:rPr>
              <w:t>机构</w:t>
            </w:r>
            <w:r>
              <w:rPr>
                <w:rFonts w:hint="eastAsia" w:ascii="宋体" w:hAnsi="宋体" w:eastAsia="宋体" w:cs="宋体"/>
                <w:color w:val="auto"/>
                <w:sz w:val="24"/>
                <w:szCs w:val="24"/>
                <w:u w:val="none"/>
                <w:lang w:val="en-US" w:eastAsia="zh-CN"/>
              </w:rPr>
              <w:t xml:space="preserve">  </w:t>
            </w:r>
          </w:p>
          <w:p w14:paraId="5FBBBC36">
            <w:pPr>
              <w:keepNext w:val="0"/>
              <w:keepLines w:val="0"/>
              <w:pageBreakBefore w:val="0"/>
              <w:kinsoku/>
              <w:wordWrap/>
              <w:overflowPunct/>
              <w:topLinePunct w:val="0"/>
              <w:autoSpaceDE/>
              <w:autoSpaceDN/>
              <w:bidi w:val="0"/>
              <w:adjustRightInd/>
              <w:snapToGrid/>
              <w:spacing w:beforeAutospacing="0" w:afterAutospacing="0" w:line="400" w:lineRule="exact"/>
              <w:jc w:val="lef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□非营利性机构</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□营利性</w:t>
            </w:r>
            <w:r>
              <w:rPr>
                <w:rFonts w:hint="eastAsia" w:ascii="宋体" w:hAnsi="宋体" w:eastAsia="宋体" w:cs="宋体"/>
                <w:color w:val="auto"/>
                <w:sz w:val="24"/>
                <w:szCs w:val="24"/>
                <w:u w:val="none"/>
              </w:rPr>
              <w:t>机构</w:t>
            </w:r>
          </w:p>
        </w:tc>
      </w:tr>
      <w:tr w14:paraId="0658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4" w:type="dxa"/>
            <w:noWrap w:val="0"/>
            <w:vAlign w:val="center"/>
          </w:tcPr>
          <w:p w14:paraId="676D4304">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提供服务方式</w:t>
            </w:r>
          </w:p>
        </w:tc>
        <w:tc>
          <w:tcPr>
            <w:tcW w:w="7367" w:type="dxa"/>
            <w:gridSpan w:val="17"/>
            <w:noWrap w:val="0"/>
            <w:vAlign w:val="center"/>
          </w:tcPr>
          <w:p w14:paraId="4FEB40B8">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机构护理服务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居家护理服务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eastAsia="zh-CN"/>
              </w:rPr>
              <w:t>社区</w:t>
            </w:r>
            <w:r>
              <w:rPr>
                <w:rFonts w:hint="eastAsia" w:ascii="宋体" w:hAnsi="宋体" w:eastAsia="宋体" w:cs="宋体"/>
                <w:color w:val="auto"/>
                <w:sz w:val="24"/>
                <w:szCs w:val="24"/>
                <w:u w:val="none"/>
              </w:rPr>
              <w:t>护理服务</w:t>
            </w:r>
          </w:p>
        </w:tc>
      </w:tr>
      <w:tr w14:paraId="72D6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351" w:type="dxa"/>
            <w:gridSpan w:val="18"/>
            <w:tcBorders>
              <w:top w:val="single" w:color="auto" w:sz="4" w:space="0"/>
              <w:left w:val="single" w:color="auto" w:sz="4" w:space="0"/>
              <w:bottom w:val="single" w:color="auto" w:sz="4" w:space="0"/>
              <w:right w:val="single" w:color="auto" w:sz="4" w:space="0"/>
            </w:tcBorders>
            <w:noWrap w:val="0"/>
            <w:vAlign w:val="center"/>
          </w:tcPr>
          <w:p w14:paraId="6A188174">
            <w:pPr>
              <w:keepNext w:val="0"/>
              <w:keepLines w:val="0"/>
              <w:pageBreakBefore w:val="0"/>
              <w:kinsoku/>
              <w:wordWrap/>
              <w:overflowPunct/>
              <w:topLinePunct w:val="0"/>
              <w:autoSpaceDE/>
              <w:autoSpaceDN/>
              <w:bidi w:val="0"/>
              <w:adjustRightInd/>
              <w:snapToGrid/>
              <w:spacing w:beforeAutospacing="0" w:afterAutospacing="0" w:line="400" w:lineRule="exact"/>
              <w:ind w:firstLine="120" w:firstLineChars="50"/>
              <w:jc w:val="center"/>
              <w:textAlignment w:val="auto"/>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以下根据机构类型及实际情况对应填写</w:t>
            </w:r>
          </w:p>
        </w:tc>
      </w:tr>
      <w:tr w14:paraId="6349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576" w:type="dxa"/>
            <w:gridSpan w:val="4"/>
            <w:noWrap w:val="0"/>
            <w:vAlign w:val="center"/>
          </w:tcPr>
          <w:p w14:paraId="3F9EA96F">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医疗机构执业许可证号</w:t>
            </w:r>
          </w:p>
        </w:tc>
        <w:tc>
          <w:tcPr>
            <w:tcW w:w="5775" w:type="dxa"/>
            <w:gridSpan w:val="14"/>
            <w:noWrap w:val="0"/>
            <w:vAlign w:val="center"/>
          </w:tcPr>
          <w:p w14:paraId="3F7AD4F5">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7BB0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576" w:type="dxa"/>
            <w:gridSpan w:val="4"/>
            <w:noWrap w:val="0"/>
            <w:vAlign w:val="center"/>
          </w:tcPr>
          <w:p w14:paraId="719573C3">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养老机构设立许可证号</w:t>
            </w:r>
          </w:p>
        </w:tc>
        <w:tc>
          <w:tcPr>
            <w:tcW w:w="5775" w:type="dxa"/>
            <w:gridSpan w:val="14"/>
            <w:noWrap w:val="0"/>
            <w:vAlign w:val="center"/>
          </w:tcPr>
          <w:p w14:paraId="24A3653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66A4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51" w:type="dxa"/>
            <w:gridSpan w:val="18"/>
            <w:tcBorders>
              <w:top w:val="single" w:color="auto" w:sz="4" w:space="0"/>
              <w:left w:val="single" w:color="auto" w:sz="4" w:space="0"/>
              <w:bottom w:val="single" w:color="auto" w:sz="4" w:space="0"/>
              <w:right w:val="single" w:color="auto" w:sz="4" w:space="0"/>
            </w:tcBorders>
            <w:noWrap w:val="0"/>
            <w:vAlign w:val="center"/>
          </w:tcPr>
          <w:p w14:paraId="41729426">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□事业单位法人证书号</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民办非企业单位登记证书号</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□营业执照号</w:t>
            </w:r>
          </w:p>
        </w:tc>
      </w:tr>
      <w:tr w14:paraId="5EB9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3576" w:type="dxa"/>
            <w:gridSpan w:val="4"/>
            <w:noWrap w:val="0"/>
            <w:vAlign w:val="center"/>
          </w:tcPr>
          <w:p w14:paraId="6C80E15C">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rPr>
              <w:t>证书</w:t>
            </w:r>
            <w:r>
              <w:rPr>
                <w:rFonts w:hint="eastAsia" w:ascii="宋体" w:hAnsi="宋体" w:eastAsia="宋体" w:cs="宋体"/>
                <w:color w:val="auto"/>
                <w:sz w:val="24"/>
                <w:szCs w:val="24"/>
                <w:u w:val="none"/>
                <w:lang w:val="en-US" w:eastAsia="zh-CN"/>
              </w:rPr>
              <w:t>号码</w:t>
            </w:r>
          </w:p>
        </w:tc>
        <w:tc>
          <w:tcPr>
            <w:tcW w:w="5775" w:type="dxa"/>
            <w:gridSpan w:val="14"/>
            <w:noWrap w:val="0"/>
            <w:vAlign w:val="center"/>
          </w:tcPr>
          <w:p w14:paraId="7A1F1C59">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r>
      <w:tr w14:paraId="1864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jc w:val="center"/>
        </w:trPr>
        <w:tc>
          <w:tcPr>
            <w:tcW w:w="3576" w:type="dxa"/>
            <w:gridSpan w:val="4"/>
            <w:vMerge w:val="restart"/>
            <w:noWrap w:val="0"/>
            <w:vAlign w:val="center"/>
          </w:tcPr>
          <w:p w14:paraId="38F9882A">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养老机构、其他服务机构的医疗服务能力配备情况</w:t>
            </w:r>
          </w:p>
        </w:tc>
        <w:tc>
          <w:tcPr>
            <w:tcW w:w="5775" w:type="dxa"/>
            <w:gridSpan w:val="14"/>
            <w:noWrap w:val="0"/>
            <w:vAlign w:val="center"/>
          </w:tcPr>
          <w:p w14:paraId="15A40CA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□设有内设医疗机构</w:t>
            </w:r>
          </w:p>
        </w:tc>
      </w:tr>
      <w:tr w14:paraId="709A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exact"/>
          <w:jc w:val="center"/>
        </w:trPr>
        <w:tc>
          <w:tcPr>
            <w:tcW w:w="3576" w:type="dxa"/>
            <w:gridSpan w:val="4"/>
            <w:vMerge w:val="continue"/>
            <w:noWrap w:val="0"/>
            <w:vAlign w:val="center"/>
          </w:tcPr>
          <w:p w14:paraId="15EBDE04">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p>
        </w:tc>
        <w:tc>
          <w:tcPr>
            <w:tcW w:w="5775" w:type="dxa"/>
            <w:gridSpan w:val="14"/>
            <w:noWrap w:val="0"/>
            <w:vAlign w:val="center"/>
          </w:tcPr>
          <w:p w14:paraId="11A1815F">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□与就近医疗机构开展协议合作</w:t>
            </w:r>
          </w:p>
        </w:tc>
      </w:tr>
      <w:tr w14:paraId="495C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2008" w:type="dxa"/>
            <w:gridSpan w:val="2"/>
            <w:vMerge w:val="restart"/>
            <w:tcBorders>
              <w:top w:val="single" w:color="auto" w:sz="4" w:space="0"/>
              <w:left w:val="single" w:color="auto" w:sz="4" w:space="0"/>
              <w:right w:val="single" w:color="auto" w:sz="4" w:space="0"/>
            </w:tcBorders>
            <w:noWrap w:val="0"/>
            <w:vAlign w:val="center"/>
          </w:tcPr>
          <w:p w14:paraId="770B9F0B">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现有护理</w:t>
            </w:r>
            <w:r>
              <w:rPr>
                <w:rFonts w:hint="eastAsia" w:ascii="宋体" w:hAnsi="宋体" w:eastAsia="宋体" w:cs="宋体"/>
                <w:color w:val="auto"/>
                <w:sz w:val="24"/>
                <w:szCs w:val="24"/>
                <w:u w:val="none"/>
              </w:rPr>
              <w:t>人员构成</w:t>
            </w: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3F0CBB50">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人员类别</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5ED2E61F">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总人数</w:t>
            </w: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7423BCA1">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高级职称</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7B9506D9">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中级职称</w:t>
            </w:r>
          </w:p>
        </w:tc>
        <w:tc>
          <w:tcPr>
            <w:tcW w:w="1247" w:type="dxa"/>
            <w:gridSpan w:val="5"/>
            <w:tcBorders>
              <w:top w:val="single" w:color="auto" w:sz="4" w:space="0"/>
              <w:left w:val="single" w:color="auto" w:sz="4" w:space="0"/>
              <w:bottom w:val="single" w:color="auto" w:sz="4" w:space="0"/>
              <w:right w:val="single" w:color="auto" w:sz="4" w:space="0"/>
            </w:tcBorders>
            <w:noWrap w:val="0"/>
            <w:vAlign w:val="center"/>
          </w:tcPr>
          <w:p w14:paraId="30BE1F6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初级职称</w:t>
            </w:r>
          </w:p>
        </w:tc>
        <w:tc>
          <w:tcPr>
            <w:tcW w:w="1323" w:type="dxa"/>
            <w:gridSpan w:val="3"/>
            <w:tcBorders>
              <w:top w:val="single" w:color="auto" w:sz="4" w:space="0"/>
              <w:left w:val="single" w:color="auto" w:sz="4" w:space="0"/>
              <w:bottom w:val="single" w:color="auto" w:sz="4" w:space="0"/>
              <w:right w:val="single" w:color="auto" w:sz="4" w:space="0"/>
            </w:tcBorders>
            <w:noWrap w:val="0"/>
            <w:vAlign w:val="center"/>
          </w:tcPr>
          <w:p w14:paraId="5612334D">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其他</w:t>
            </w:r>
          </w:p>
        </w:tc>
      </w:tr>
      <w:tr w14:paraId="420A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exact"/>
          <w:jc w:val="center"/>
        </w:trPr>
        <w:tc>
          <w:tcPr>
            <w:tcW w:w="2008" w:type="dxa"/>
            <w:gridSpan w:val="2"/>
            <w:vMerge w:val="continue"/>
            <w:tcBorders>
              <w:left w:val="single" w:color="auto" w:sz="4" w:space="0"/>
              <w:right w:val="single" w:color="auto" w:sz="4" w:space="0"/>
            </w:tcBorders>
            <w:noWrap w:val="0"/>
            <w:vAlign w:val="center"/>
          </w:tcPr>
          <w:p w14:paraId="4D16712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6506087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注册医</w:t>
            </w:r>
            <w:r>
              <w:rPr>
                <w:rFonts w:hint="eastAsia" w:ascii="宋体" w:hAnsi="宋体" w:eastAsia="宋体" w:cs="宋体"/>
                <w:color w:val="auto"/>
                <w:sz w:val="24"/>
                <w:szCs w:val="24"/>
                <w:u w:val="none"/>
                <w:lang w:eastAsia="zh-CN"/>
              </w:rPr>
              <w:t>师</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2278A620">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2278F05F">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6E7FB564">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247" w:type="dxa"/>
            <w:gridSpan w:val="5"/>
            <w:tcBorders>
              <w:top w:val="single" w:color="auto" w:sz="4" w:space="0"/>
              <w:left w:val="single" w:color="auto" w:sz="4" w:space="0"/>
              <w:bottom w:val="single" w:color="auto" w:sz="4" w:space="0"/>
              <w:right w:val="single" w:color="auto" w:sz="4" w:space="0"/>
            </w:tcBorders>
            <w:noWrap w:val="0"/>
            <w:vAlign w:val="center"/>
          </w:tcPr>
          <w:p w14:paraId="3146D404">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323" w:type="dxa"/>
            <w:gridSpan w:val="3"/>
            <w:tcBorders>
              <w:top w:val="single" w:color="auto" w:sz="4" w:space="0"/>
              <w:left w:val="single" w:color="auto" w:sz="4" w:space="0"/>
              <w:bottom w:val="single" w:color="auto" w:sz="4" w:space="0"/>
              <w:right w:val="single" w:color="auto" w:sz="4" w:space="0"/>
            </w:tcBorders>
            <w:noWrap w:val="0"/>
            <w:vAlign w:val="center"/>
          </w:tcPr>
          <w:p w14:paraId="6410B3A3">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r>
      <w:tr w14:paraId="65C2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2008" w:type="dxa"/>
            <w:gridSpan w:val="2"/>
            <w:vMerge w:val="continue"/>
            <w:tcBorders>
              <w:left w:val="single" w:color="auto" w:sz="4" w:space="0"/>
              <w:right w:val="single" w:color="auto" w:sz="4" w:space="0"/>
            </w:tcBorders>
            <w:noWrap w:val="0"/>
            <w:vAlign w:val="center"/>
          </w:tcPr>
          <w:p w14:paraId="49A3034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tcBorders>
              <w:top w:val="single" w:color="auto" w:sz="4" w:space="0"/>
              <w:left w:val="single" w:color="auto" w:sz="4" w:space="0"/>
              <w:bottom w:val="single" w:color="auto" w:sz="4" w:space="0"/>
              <w:right w:val="single" w:color="auto" w:sz="4" w:space="0"/>
            </w:tcBorders>
            <w:noWrap w:val="0"/>
            <w:vAlign w:val="center"/>
          </w:tcPr>
          <w:p w14:paraId="6F3004C2">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注册护士</w:t>
            </w:r>
            <w:r>
              <w:rPr>
                <w:rFonts w:hint="eastAsia" w:ascii="宋体" w:hAnsi="宋体" w:eastAsia="宋体" w:cs="宋体"/>
                <w:color w:val="auto"/>
                <w:sz w:val="24"/>
                <w:szCs w:val="24"/>
                <w:u w:val="none"/>
                <w:lang w:eastAsia="zh-CN"/>
              </w:rPr>
              <w:t>（师）</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1A215DF1">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66B1A395">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14708F86">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247" w:type="dxa"/>
            <w:gridSpan w:val="5"/>
            <w:tcBorders>
              <w:top w:val="single" w:color="auto" w:sz="4" w:space="0"/>
              <w:left w:val="single" w:color="auto" w:sz="4" w:space="0"/>
              <w:bottom w:val="single" w:color="auto" w:sz="4" w:space="0"/>
              <w:right w:val="single" w:color="auto" w:sz="4" w:space="0"/>
            </w:tcBorders>
            <w:noWrap w:val="0"/>
            <w:vAlign w:val="center"/>
          </w:tcPr>
          <w:p w14:paraId="21A7D032">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1323" w:type="dxa"/>
            <w:gridSpan w:val="3"/>
            <w:tcBorders>
              <w:top w:val="single" w:color="auto" w:sz="4" w:space="0"/>
              <w:left w:val="single" w:color="auto" w:sz="4" w:space="0"/>
              <w:bottom w:val="single" w:color="auto" w:sz="4" w:space="0"/>
              <w:right w:val="single" w:color="auto" w:sz="4" w:space="0"/>
            </w:tcBorders>
            <w:noWrap w:val="0"/>
            <w:vAlign w:val="center"/>
          </w:tcPr>
          <w:p w14:paraId="12277DBD">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r>
      <w:tr w14:paraId="66F9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exact"/>
          <w:jc w:val="center"/>
        </w:trPr>
        <w:tc>
          <w:tcPr>
            <w:tcW w:w="2008" w:type="dxa"/>
            <w:gridSpan w:val="2"/>
            <w:vMerge w:val="continue"/>
            <w:tcBorders>
              <w:left w:val="single" w:color="auto" w:sz="4" w:space="0"/>
              <w:right w:val="single" w:color="auto" w:sz="4" w:space="0"/>
            </w:tcBorders>
            <w:noWrap w:val="0"/>
            <w:vAlign w:val="center"/>
          </w:tcPr>
          <w:p w14:paraId="2C7C7C2D">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p>
        </w:tc>
        <w:tc>
          <w:tcPr>
            <w:tcW w:w="1568" w:type="dxa"/>
            <w:gridSpan w:val="2"/>
            <w:vMerge w:val="restart"/>
            <w:tcBorders>
              <w:top w:val="single" w:color="auto" w:sz="4" w:space="0"/>
              <w:left w:val="single" w:color="auto" w:sz="4" w:space="0"/>
              <w:right w:val="single" w:color="auto" w:sz="4" w:space="0"/>
            </w:tcBorders>
            <w:noWrap w:val="0"/>
            <w:vAlign w:val="center"/>
          </w:tcPr>
          <w:p w14:paraId="2AA20642">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护理员</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6633258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rPr>
              <w:t>总人数</w:t>
            </w: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114A617D">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养老</w:t>
            </w:r>
          </w:p>
          <w:p w14:paraId="301E30BE">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护理员</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1C6AC955">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医疗</w:t>
            </w:r>
          </w:p>
          <w:p w14:paraId="7E0E55A4">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护理员</w:t>
            </w:r>
          </w:p>
        </w:tc>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106A7AA3">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长期照护师</w:t>
            </w:r>
          </w:p>
        </w:tc>
        <w:tc>
          <w:tcPr>
            <w:tcW w:w="850" w:type="dxa"/>
            <w:gridSpan w:val="5"/>
            <w:tcBorders>
              <w:top w:val="single" w:color="auto" w:sz="4" w:space="0"/>
              <w:left w:val="single" w:color="auto" w:sz="4" w:space="0"/>
              <w:bottom w:val="single" w:color="auto" w:sz="4" w:space="0"/>
              <w:right w:val="single" w:color="auto" w:sz="4" w:space="0"/>
            </w:tcBorders>
            <w:noWrap w:val="0"/>
            <w:vAlign w:val="center"/>
          </w:tcPr>
          <w:p w14:paraId="25072187">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健康照护师</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96FB99E">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其他</w:t>
            </w:r>
          </w:p>
        </w:tc>
      </w:tr>
      <w:tr w14:paraId="0680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exact"/>
          <w:jc w:val="center"/>
        </w:trPr>
        <w:tc>
          <w:tcPr>
            <w:tcW w:w="2008" w:type="dxa"/>
            <w:gridSpan w:val="2"/>
            <w:vMerge w:val="continue"/>
            <w:tcBorders>
              <w:left w:val="single" w:color="auto" w:sz="4" w:space="0"/>
              <w:bottom w:val="single" w:color="auto" w:sz="4" w:space="0"/>
              <w:right w:val="single" w:color="auto" w:sz="4" w:space="0"/>
            </w:tcBorders>
            <w:noWrap w:val="0"/>
            <w:vAlign w:val="center"/>
          </w:tcPr>
          <w:p w14:paraId="256C5B9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vMerge w:val="continue"/>
            <w:tcBorders>
              <w:left w:val="single" w:color="auto" w:sz="4" w:space="0"/>
              <w:bottom w:val="single" w:color="auto" w:sz="4" w:space="0"/>
              <w:right w:val="single" w:color="auto" w:sz="4" w:space="0"/>
            </w:tcBorders>
            <w:noWrap w:val="0"/>
            <w:vAlign w:val="center"/>
          </w:tcPr>
          <w:p w14:paraId="6A5D38F6">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441AA88D">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4AE4D6EB">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1046CFAA">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892" w:type="dxa"/>
            <w:gridSpan w:val="2"/>
            <w:tcBorders>
              <w:top w:val="single" w:color="auto" w:sz="4" w:space="0"/>
              <w:left w:val="single" w:color="auto" w:sz="4" w:space="0"/>
              <w:bottom w:val="single" w:color="auto" w:sz="4" w:space="0"/>
              <w:right w:val="single" w:color="auto" w:sz="4" w:space="0"/>
            </w:tcBorders>
            <w:noWrap w:val="0"/>
            <w:vAlign w:val="top"/>
          </w:tcPr>
          <w:p w14:paraId="4F3233E2">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850" w:type="dxa"/>
            <w:gridSpan w:val="5"/>
            <w:tcBorders>
              <w:top w:val="single" w:color="auto" w:sz="4" w:space="0"/>
              <w:left w:val="single" w:color="auto" w:sz="4" w:space="0"/>
              <w:bottom w:val="single" w:color="auto" w:sz="4" w:space="0"/>
              <w:right w:val="single" w:color="auto" w:sz="4" w:space="0"/>
            </w:tcBorders>
            <w:noWrap w:val="0"/>
            <w:vAlign w:val="top"/>
          </w:tcPr>
          <w:p w14:paraId="027F5A0B">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828" w:type="dxa"/>
            <w:tcBorders>
              <w:top w:val="single" w:color="auto" w:sz="4" w:space="0"/>
              <w:left w:val="single" w:color="auto" w:sz="4" w:space="0"/>
              <w:bottom w:val="single" w:color="auto" w:sz="4" w:space="0"/>
              <w:right w:val="single" w:color="auto" w:sz="4" w:space="0"/>
            </w:tcBorders>
            <w:noWrap w:val="0"/>
            <w:vAlign w:val="top"/>
          </w:tcPr>
          <w:p w14:paraId="6A240156">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r>
      <w:tr w14:paraId="4F98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exact"/>
          <w:jc w:val="center"/>
        </w:trPr>
        <w:tc>
          <w:tcPr>
            <w:tcW w:w="2008" w:type="dxa"/>
            <w:gridSpan w:val="2"/>
            <w:vMerge w:val="restart"/>
            <w:tcBorders>
              <w:left w:val="single" w:color="auto" w:sz="4" w:space="0"/>
              <w:right w:val="single" w:color="auto" w:sz="4" w:space="0"/>
            </w:tcBorders>
            <w:noWrap w:val="0"/>
            <w:vAlign w:val="center"/>
          </w:tcPr>
          <w:p w14:paraId="45C930FC">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拟配备护理人员</w:t>
            </w:r>
          </w:p>
        </w:tc>
        <w:tc>
          <w:tcPr>
            <w:tcW w:w="1568" w:type="dxa"/>
            <w:gridSpan w:val="2"/>
            <w:tcBorders>
              <w:left w:val="single" w:color="auto" w:sz="4" w:space="0"/>
              <w:bottom w:val="single" w:color="auto" w:sz="4" w:space="0"/>
              <w:right w:val="single" w:color="auto" w:sz="4" w:space="0"/>
            </w:tcBorders>
            <w:noWrap w:val="0"/>
            <w:vAlign w:val="center"/>
          </w:tcPr>
          <w:p w14:paraId="1D79DCB7">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人员类别</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7F93A1F4">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总人数</w:t>
            </w: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3B535613">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高级职称</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1E488AAB">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中级职称</w:t>
            </w:r>
          </w:p>
        </w:tc>
        <w:tc>
          <w:tcPr>
            <w:tcW w:w="1077" w:type="dxa"/>
            <w:gridSpan w:val="3"/>
            <w:tcBorders>
              <w:top w:val="single" w:color="auto" w:sz="4" w:space="0"/>
              <w:left w:val="single" w:color="auto" w:sz="4" w:space="0"/>
              <w:bottom w:val="single" w:color="auto" w:sz="4" w:space="0"/>
              <w:right w:val="single" w:color="auto" w:sz="4" w:space="0"/>
            </w:tcBorders>
            <w:noWrap w:val="0"/>
            <w:vAlign w:val="center"/>
          </w:tcPr>
          <w:p w14:paraId="6B1DE064">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初级职称</w:t>
            </w:r>
          </w:p>
        </w:tc>
        <w:tc>
          <w:tcPr>
            <w:tcW w:w="1493" w:type="dxa"/>
            <w:gridSpan w:val="5"/>
            <w:tcBorders>
              <w:top w:val="single" w:color="auto" w:sz="4" w:space="0"/>
              <w:left w:val="single" w:color="auto" w:sz="4" w:space="0"/>
              <w:bottom w:val="single" w:color="auto" w:sz="4" w:space="0"/>
              <w:right w:val="single" w:color="auto" w:sz="4" w:space="0"/>
            </w:tcBorders>
            <w:noWrap w:val="0"/>
            <w:vAlign w:val="center"/>
          </w:tcPr>
          <w:p w14:paraId="6D2E2AA7">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其他</w:t>
            </w:r>
          </w:p>
        </w:tc>
      </w:tr>
      <w:tr w14:paraId="32A1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exact"/>
          <w:jc w:val="center"/>
        </w:trPr>
        <w:tc>
          <w:tcPr>
            <w:tcW w:w="2008" w:type="dxa"/>
            <w:gridSpan w:val="2"/>
            <w:vMerge w:val="continue"/>
            <w:tcBorders>
              <w:left w:val="single" w:color="auto" w:sz="4" w:space="0"/>
              <w:right w:val="single" w:color="auto" w:sz="4" w:space="0"/>
            </w:tcBorders>
            <w:noWrap w:val="0"/>
            <w:vAlign w:val="center"/>
          </w:tcPr>
          <w:p w14:paraId="160C4F1F">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tcBorders>
              <w:left w:val="single" w:color="auto" w:sz="4" w:space="0"/>
              <w:bottom w:val="single" w:color="auto" w:sz="4" w:space="0"/>
              <w:right w:val="single" w:color="auto" w:sz="4" w:space="0"/>
            </w:tcBorders>
            <w:noWrap w:val="0"/>
            <w:vAlign w:val="center"/>
          </w:tcPr>
          <w:p w14:paraId="28123D96">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注册医</w:t>
            </w:r>
            <w:r>
              <w:rPr>
                <w:rFonts w:hint="eastAsia" w:ascii="宋体" w:hAnsi="宋体" w:eastAsia="宋体" w:cs="宋体"/>
                <w:color w:val="auto"/>
                <w:sz w:val="24"/>
                <w:szCs w:val="24"/>
                <w:u w:val="none"/>
                <w:lang w:eastAsia="zh-CN"/>
              </w:rPr>
              <w:t>师</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2B4AF672">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345B88F6">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407594C4">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077" w:type="dxa"/>
            <w:gridSpan w:val="3"/>
            <w:tcBorders>
              <w:top w:val="single" w:color="auto" w:sz="4" w:space="0"/>
              <w:left w:val="single" w:color="auto" w:sz="4" w:space="0"/>
              <w:bottom w:val="single" w:color="auto" w:sz="4" w:space="0"/>
              <w:right w:val="single" w:color="auto" w:sz="4" w:space="0"/>
            </w:tcBorders>
            <w:noWrap w:val="0"/>
            <w:vAlign w:val="center"/>
          </w:tcPr>
          <w:p w14:paraId="10C44CDE">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493" w:type="dxa"/>
            <w:gridSpan w:val="5"/>
            <w:tcBorders>
              <w:top w:val="single" w:color="auto" w:sz="4" w:space="0"/>
              <w:left w:val="single" w:color="auto" w:sz="4" w:space="0"/>
              <w:bottom w:val="single" w:color="auto" w:sz="4" w:space="0"/>
              <w:right w:val="single" w:color="auto" w:sz="4" w:space="0"/>
            </w:tcBorders>
            <w:noWrap w:val="0"/>
            <w:vAlign w:val="center"/>
          </w:tcPr>
          <w:p w14:paraId="11CC0494">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r>
      <w:tr w14:paraId="38E9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exact"/>
          <w:jc w:val="center"/>
        </w:trPr>
        <w:tc>
          <w:tcPr>
            <w:tcW w:w="2008" w:type="dxa"/>
            <w:gridSpan w:val="2"/>
            <w:vMerge w:val="continue"/>
            <w:tcBorders>
              <w:left w:val="single" w:color="auto" w:sz="4" w:space="0"/>
              <w:right w:val="single" w:color="auto" w:sz="4" w:space="0"/>
            </w:tcBorders>
            <w:noWrap w:val="0"/>
            <w:vAlign w:val="center"/>
          </w:tcPr>
          <w:p w14:paraId="1D65B4F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tcBorders>
              <w:left w:val="single" w:color="auto" w:sz="4" w:space="0"/>
              <w:bottom w:val="single" w:color="auto" w:sz="4" w:space="0"/>
              <w:right w:val="single" w:color="auto" w:sz="4" w:space="0"/>
            </w:tcBorders>
            <w:noWrap w:val="0"/>
            <w:vAlign w:val="center"/>
          </w:tcPr>
          <w:p w14:paraId="1662796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eastAsia="宋体" w:cs="宋体"/>
                <w:color w:val="auto"/>
                <w:sz w:val="24"/>
                <w:szCs w:val="24"/>
                <w:u w:val="none"/>
              </w:rPr>
              <w:t>注册护士</w:t>
            </w:r>
            <w:r>
              <w:rPr>
                <w:rFonts w:hint="eastAsia" w:ascii="宋体" w:hAnsi="宋体" w:eastAsia="宋体" w:cs="宋体"/>
                <w:color w:val="auto"/>
                <w:sz w:val="24"/>
                <w:szCs w:val="24"/>
                <w:u w:val="none"/>
                <w:lang w:eastAsia="zh-CN"/>
              </w:rPr>
              <w:t>（师）</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0D6693A5">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50BE6A55">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7F82816E">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077" w:type="dxa"/>
            <w:gridSpan w:val="3"/>
            <w:tcBorders>
              <w:top w:val="single" w:color="auto" w:sz="4" w:space="0"/>
              <w:left w:val="single" w:color="auto" w:sz="4" w:space="0"/>
              <w:bottom w:val="single" w:color="auto" w:sz="4" w:space="0"/>
              <w:right w:val="single" w:color="auto" w:sz="4" w:space="0"/>
            </w:tcBorders>
            <w:noWrap w:val="0"/>
            <w:vAlign w:val="center"/>
          </w:tcPr>
          <w:p w14:paraId="7BB1F164">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kern w:val="2"/>
                <w:sz w:val="24"/>
                <w:szCs w:val="24"/>
                <w:u w:val="none"/>
                <w:lang w:val="en-US" w:eastAsia="zh-CN" w:bidi="ar-SA"/>
              </w:rPr>
            </w:pPr>
          </w:p>
        </w:tc>
        <w:tc>
          <w:tcPr>
            <w:tcW w:w="1493" w:type="dxa"/>
            <w:gridSpan w:val="5"/>
            <w:tcBorders>
              <w:top w:val="single" w:color="auto" w:sz="4" w:space="0"/>
              <w:left w:val="single" w:color="auto" w:sz="4" w:space="0"/>
              <w:bottom w:val="single" w:color="auto" w:sz="4" w:space="0"/>
              <w:right w:val="single" w:color="auto" w:sz="4" w:space="0"/>
            </w:tcBorders>
            <w:noWrap w:val="0"/>
            <w:vAlign w:val="center"/>
          </w:tcPr>
          <w:p w14:paraId="5617779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r>
      <w:tr w14:paraId="5B61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exact"/>
          <w:jc w:val="center"/>
        </w:trPr>
        <w:tc>
          <w:tcPr>
            <w:tcW w:w="2008" w:type="dxa"/>
            <w:gridSpan w:val="2"/>
            <w:vMerge w:val="continue"/>
            <w:tcBorders>
              <w:left w:val="single" w:color="auto" w:sz="4" w:space="0"/>
              <w:right w:val="single" w:color="auto" w:sz="4" w:space="0"/>
            </w:tcBorders>
            <w:noWrap w:val="0"/>
            <w:vAlign w:val="center"/>
          </w:tcPr>
          <w:p w14:paraId="4D56C17F">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vMerge w:val="restart"/>
            <w:tcBorders>
              <w:left w:val="single" w:color="auto" w:sz="4" w:space="0"/>
              <w:bottom w:val="single" w:color="auto" w:sz="4" w:space="0"/>
              <w:right w:val="single" w:color="auto" w:sz="4" w:space="0"/>
            </w:tcBorders>
            <w:noWrap w:val="0"/>
            <w:vAlign w:val="center"/>
          </w:tcPr>
          <w:p w14:paraId="634C3E65">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护理员</w:t>
            </w: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42E400EC">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总人数</w:t>
            </w: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3974191F">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养老</w:t>
            </w:r>
          </w:p>
          <w:p w14:paraId="1BF6BE10">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护理员</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53C3FCE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医疗</w:t>
            </w:r>
          </w:p>
          <w:p w14:paraId="70978CF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护理员</w:t>
            </w:r>
          </w:p>
        </w:tc>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5B26AB8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长期照护师</w:t>
            </w:r>
          </w:p>
        </w:tc>
        <w:tc>
          <w:tcPr>
            <w:tcW w:w="850" w:type="dxa"/>
            <w:gridSpan w:val="5"/>
            <w:tcBorders>
              <w:top w:val="single" w:color="auto" w:sz="4" w:space="0"/>
              <w:left w:val="single" w:color="auto" w:sz="4" w:space="0"/>
              <w:bottom w:val="single" w:color="auto" w:sz="4" w:space="0"/>
              <w:right w:val="single" w:color="auto" w:sz="4" w:space="0"/>
            </w:tcBorders>
            <w:noWrap w:val="0"/>
            <w:vAlign w:val="center"/>
          </w:tcPr>
          <w:p w14:paraId="4B832C37">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健康照护师</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977FEA3">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其他</w:t>
            </w:r>
          </w:p>
        </w:tc>
      </w:tr>
      <w:tr w14:paraId="4668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exact"/>
          <w:jc w:val="center"/>
        </w:trPr>
        <w:tc>
          <w:tcPr>
            <w:tcW w:w="2008" w:type="dxa"/>
            <w:gridSpan w:val="2"/>
            <w:vMerge w:val="continue"/>
            <w:tcBorders>
              <w:left w:val="single" w:color="auto" w:sz="4" w:space="0"/>
              <w:bottom w:val="single" w:color="auto" w:sz="4" w:space="0"/>
              <w:right w:val="single" w:color="auto" w:sz="4" w:space="0"/>
            </w:tcBorders>
            <w:noWrap w:val="0"/>
            <w:vAlign w:val="center"/>
          </w:tcPr>
          <w:p w14:paraId="6EEA279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1568" w:type="dxa"/>
            <w:gridSpan w:val="2"/>
            <w:vMerge w:val="continue"/>
            <w:tcBorders>
              <w:left w:val="single" w:color="auto" w:sz="4" w:space="0"/>
              <w:bottom w:val="single" w:color="auto" w:sz="4" w:space="0"/>
              <w:right w:val="single" w:color="auto" w:sz="4" w:space="0"/>
            </w:tcBorders>
            <w:noWrap w:val="0"/>
            <w:vAlign w:val="center"/>
          </w:tcPr>
          <w:p w14:paraId="75ADF593">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p>
        </w:tc>
        <w:tc>
          <w:tcPr>
            <w:tcW w:w="1060" w:type="dxa"/>
            <w:gridSpan w:val="2"/>
            <w:tcBorders>
              <w:top w:val="single" w:color="auto" w:sz="4" w:space="0"/>
              <w:left w:val="single" w:color="auto" w:sz="4" w:space="0"/>
              <w:bottom w:val="single" w:color="auto" w:sz="4" w:space="0"/>
              <w:right w:val="single" w:color="auto" w:sz="4" w:space="0"/>
            </w:tcBorders>
            <w:noWrap w:val="0"/>
            <w:vAlign w:val="center"/>
          </w:tcPr>
          <w:p w14:paraId="501F32FF">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1065" w:type="dxa"/>
            <w:gridSpan w:val="2"/>
            <w:tcBorders>
              <w:top w:val="single" w:color="auto" w:sz="4" w:space="0"/>
              <w:left w:val="single" w:color="auto" w:sz="4" w:space="0"/>
              <w:bottom w:val="single" w:color="auto" w:sz="4" w:space="0"/>
              <w:right w:val="single" w:color="auto" w:sz="4" w:space="0"/>
            </w:tcBorders>
            <w:noWrap w:val="0"/>
            <w:vAlign w:val="center"/>
          </w:tcPr>
          <w:p w14:paraId="031FF397">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6334219F">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892" w:type="dxa"/>
            <w:gridSpan w:val="2"/>
            <w:tcBorders>
              <w:top w:val="single" w:color="auto" w:sz="4" w:space="0"/>
              <w:left w:val="single" w:color="auto" w:sz="4" w:space="0"/>
              <w:bottom w:val="single" w:color="auto" w:sz="4" w:space="0"/>
              <w:right w:val="single" w:color="auto" w:sz="4" w:space="0"/>
            </w:tcBorders>
            <w:noWrap w:val="0"/>
            <w:vAlign w:val="top"/>
          </w:tcPr>
          <w:p w14:paraId="2EE30C42">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850" w:type="dxa"/>
            <w:gridSpan w:val="5"/>
            <w:tcBorders>
              <w:top w:val="single" w:color="auto" w:sz="4" w:space="0"/>
              <w:left w:val="single" w:color="auto" w:sz="4" w:space="0"/>
              <w:bottom w:val="single" w:color="auto" w:sz="4" w:space="0"/>
              <w:right w:val="single" w:color="auto" w:sz="4" w:space="0"/>
            </w:tcBorders>
            <w:noWrap w:val="0"/>
            <w:vAlign w:val="top"/>
          </w:tcPr>
          <w:p w14:paraId="421367EF">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c>
          <w:tcPr>
            <w:tcW w:w="828" w:type="dxa"/>
            <w:tcBorders>
              <w:top w:val="single" w:color="auto" w:sz="4" w:space="0"/>
              <w:left w:val="single" w:color="auto" w:sz="4" w:space="0"/>
              <w:bottom w:val="single" w:color="auto" w:sz="4" w:space="0"/>
              <w:right w:val="single" w:color="auto" w:sz="4" w:space="0"/>
            </w:tcBorders>
            <w:noWrap w:val="0"/>
            <w:vAlign w:val="top"/>
          </w:tcPr>
          <w:p w14:paraId="4D6870EC">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auto"/>
                <w:sz w:val="24"/>
                <w:szCs w:val="24"/>
                <w:u w:val="none"/>
              </w:rPr>
            </w:pPr>
          </w:p>
        </w:tc>
      </w:tr>
      <w:tr w14:paraId="362E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exact"/>
          <w:jc w:val="center"/>
        </w:trPr>
        <w:tc>
          <w:tcPr>
            <w:tcW w:w="2008"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9B06DBF">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床位数</w:t>
            </w:r>
          </w:p>
          <w:p w14:paraId="149FEEBC">
            <w:pPr>
              <w:keepNext w:val="0"/>
              <w:keepLines w:val="0"/>
              <w:pageBreakBefore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（机构护理填写）</w:t>
            </w:r>
          </w:p>
        </w:tc>
        <w:tc>
          <w:tcPr>
            <w:tcW w:w="3693" w:type="dxa"/>
            <w:gridSpan w:val="6"/>
            <w:tcBorders>
              <w:top w:val="single" w:color="auto" w:sz="4" w:space="0"/>
              <w:left w:val="single" w:color="auto" w:sz="4" w:space="0"/>
              <w:bottom w:val="single" w:color="auto" w:sz="4" w:space="0"/>
              <w:right w:val="single" w:color="auto" w:sz="4" w:space="0"/>
            </w:tcBorders>
            <w:noWrap w:val="0"/>
            <w:vAlign w:val="center"/>
          </w:tcPr>
          <w:p w14:paraId="78862B1E">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总床位数</w:t>
            </w:r>
          </w:p>
        </w:tc>
        <w:tc>
          <w:tcPr>
            <w:tcW w:w="3650" w:type="dxa"/>
            <w:gridSpan w:val="10"/>
            <w:tcBorders>
              <w:top w:val="single" w:color="auto" w:sz="4" w:space="0"/>
              <w:left w:val="single" w:color="auto" w:sz="4" w:space="0"/>
              <w:bottom w:val="single" w:color="auto" w:sz="4" w:space="0"/>
              <w:right w:val="single" w:color="auto" w:sz="4" w:space="0"/>
            </w:tcBorders>
            <w:noWrap w:val="0"/>
            <w:vAlign w:val="center"/>
          </w:tcPr>
          <w:p w14:paraId="589C99C2">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拟</w:t>
            </w:r>
            <w:r>
              <w:rPr>
                <w:rFonts w:hint="eastAsia" w:ascii="宋体" w:hAnsi="宋体" w:eastAsia="宋体" w:cs="宋体"/>
                <w:color w:val="auto"/>
                <w:sz w:val="24"/>
                <w:szCs w:val="24"/>
                <w:u w:val="none"/>
                <w:lang w:val="en-US" w:eastAsia="zh-CN"/>
              </w:rPr>
              <w:t>规划</w:t>
            </w:r>
            <w:r>
              <w:rPr>
                <w:rFonts w:hint="eastAsia" w:ascii="宋体" w:hAnsi="宋体" w:eastAsia="宋体" w:cs="宋体"/>
                <w:color w:val="auto"/>
                <w:sz w:val="24"/>
                <w:szCs w:val="24"/>
                <w:u w:val="none"/>
              </w:rPr>
              <w:t>护理</w:t>
            </w:r>
            <w:r>
              <w:rPr>
                <w:rFonts w:hint="eastAsia" w:ascii="宋体" w:hAnsi="宋体" w:eastAsia="宋体" w:cs="宋体"/>
                <w:color w:val="auto"/>
                <w:sz w:val="24"/>
                <w:szCs w:val="24"/>
                <w:u w:val="none"/>
                <w:lang w:val="en-US" w:eastAsia="zh-CN"/>
              </w:rPr>
              <w:t>专</w:t>
            </w:r>
            <w:r>
              <w:rPr>
                <w:rFonts w:hint="eastAsia" w:ascii="宋体" w:hAnsi="宋体" w:eastAsia="宋体" w:cs="宋体"/>
                <w:color w:val="auto"/>
                <w:sz w:val="24"/>
                <w:szCs w:val="24"/>
                <w:u w:val="none"/>
              </w:rPr>
              <w:t>区床位数</w:t>
            </w:r>
          </w:p>
        </w:tc>
      </w:tr>
      <w:tr w14:paraId="7BD5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0" w:hRule="exact"/>
          <w:jc w:val="center"/>
        </w:trPr>
        <w:tc>
          <w:tcPr>
            <w:tcW w:w="200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B48604">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 w:val="24"/>
                <w:szCs w:val="24"/>
                <w:u w:val="none"/>
              </w:rPr>
            </w:pPr>
          </w:p>
        </w:tc>
        <w:tc>
          <w:tcPr>
            <w:tcW w:w="3693" w:type="dxa"/>
            <w:gridSpan w:val="6"/>
            <w:tcBorders>
              <w:top w:val="single" w:color="auto" w:sz="4" w:space="0"/>
              <w:left w:val="single" w:color="auto" w:sz="4" w:space="0"/>
              <w:bottom w:val="single" w:color="auto" w:sz="4" w:space="0"/>
              <w:right w:val="single" w:color="auto" w:sz="4" w:space="0"/>
            </w:tcBorders>
            <w:noWrap w:val="0"/>
            <w:vAlign w:val="center"/>
          </w:tcPr>
          <w:p w14:paraId="0013F5AE">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c>
          <w:tcPr>
            <w:tcW w:w="3650" w:type="dxa"/>
            <w:gridSpan w:val="10"/>
            <w:tcBorders>
              <w:top w:val="single" w:color="auto" w:sz="4" w:space="0"/>
              <w:left w:val="single" w:color="auto" w:sz="4" w:space="0"/>
              <w:bottom w:val="single" w:color="auto" w:sz="4" w:space="0"/>
              <w:right w:val="single" w:color="auto" w:sz="4" w:space="0"/>
            </w:tcBorders>
            <w:noWrap w:val="0"/>
            <w:vAlign w:val="center"/>
          </w:tcPr>
          <w:p w14:paraId="4C4CCFD0">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sz w:val="24"/>
                <w:szCs w:val="24"/>
                <w:u w:val="none"/>
              </w:rPr>
            </w:pPr>
          </w:p>
        </w:tc>
      </w:tr>
    </w:tbl>
    <w:p w14:paraId="4A2ABFF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cs="仿宋_GB2312"/>
          <w:color w:val="auto"/>
          <w:sz w:val="32"/>
          <w:szCs w:val="32"/>
          <w:highlight w:val="none"/>
          <w:u w:val="none"/>
          <w:lang w:val="en-US" w:eastAsia="zh-CN"/>
        </w:rPr>
      </w:pPr>
    </w:p>
    <w:p w14:paraId="7CFAFE42">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color w:val="auto"/>
          <w:sz w:val="32"/>
          <w:szCs w:val="32"/>
          <w:u w:val="none"/>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E35E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D09F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0D09F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F037B"/>
    <w:rsid w:val="015F682F"/>
    <w:rsid w:val="02CA1749"/>
    <w:rsid w:val="04E92909"/>
    <w:rsid w:val="06691F53"/>
    <w:rsid w:val="06CD3473"/>
    <w:rsid w:val="06DA69AD"/>
    <w:rsid w:val="06E94E42"/>
    <w:rsid w:val="081E0B1B"/>
    <w:rsid w:val="083B16CD"/>
    <w:rsid w:val="0A690774"/>
    <w:rsid w:val="0A6C0264"/>
    <w:rsid w:val="0AA572D2"/>
    <w:rsid w:val="0AB614DF"/>
    <w:rsid w:val="0ABA2D7D"/>
    <w:rsid w:val="0ADF52ED"/>
    <w:rsid w:val="0BCB0FBA"/>
    <w:rsid w:val="0DCD0CF5"/>
    <w:rsid w:val="0EE505E5"/>
    <w:rsid w:val="0F3550C8"/>
    <w:rsid w:val="107B5820"/>
    <w:rsid w:val="10991687"/>
    <w:rsid w:val="10E741A0"/>
    <w:rsid w:val="114A5C90"/>
    <w:rsid w:val="1198779A"/>
    <w:rsid w:val="122B4561"/>
    <w:rsid w:val="122F22A3"/>
    <w:rsid w:val="13166FBF"/>
    <w:rsid w:val="13E87ACB"/>
    <w:rsid w:val="146E4BD8"/>
    <w:rsid w:val="14AB36B5"/>
    <w:rsid w:val="14BE16BC"/>
    <w:rsid w:val="15150DDF"/>
    <w:rsid w:val="16247C45"/>
    <w:rsid w:val="165027E8"/>
    <w:rsid w:val="16B34B25"/>
    <w:rsid w:val="173739A8"/>
    <w:rsid w:val="176C53FF"/>
    <w:rsid w:val="17AE712F"/>
    <w:rsid w:val="17C20BA8"/>
    <w:rsid w:val="18A1557C"/>
    <w:rsid w:val="18C474BD"/>
    <w:rsid w:val="19404D95"/>
    <w:rsid w:val="1988673C"/>
    <w:rsid w:val="1A620D3B"/>
    <w:rsid w:val="1AEF6191"/>
    <w:rsid w:val="1B1C0EEA"/>
    <w:rsid w:val="1B7F1479"/>
    <w:rsid w:val="1CD32CF2"/>
    <w:rsid w:val="1DD57B37"/>
    <w:rsid w:val="1E2F3655"/>
    <w:rsid w:val="1EA65EA5"/>
    <w:rsid w:val="1EC024D4"/>
    <w:rsid w:val="1EF34658"/>
    <w:rsid w:val="1F2962CC"/>
    <w:rsid w:val="1FE16BA6"/>
    <w:rsid w:val="20633C30"/>
    <w:rsid w:val="206C46C2"/>
    <w:rsid w:val="21123F0C"/>
    <w:rsid w:val="221D4748"/>
    <w:rsid w:val="2271533D"/>
    <w:rsid w:val="22A31EF1"/>
    <w:rsid w:val="23C66F3E"/>
    <w:rsid w:val="23F0560A"/>
    <w:rsid w:val="247022A7"/>
    <w:rsid w:val="24BD6B27"/>
    <w:rsid w:val="25A22934"/>
    <w:rsid w:val="25BD1A1A"/>
    <w:rsid w:val="263A3FD5"/>
    <w:rsid w:val="26413EFB"/>
    <w:rsid w:val="275A646F"/>
    <w:rsid w:val="28793E20"/>
    <w:rsid w:val="290556B4"/>
    <w:rsid w:val="292F44DF"/>
    <w:rsid w:val="29741713"/>
    <w:rsid w:val="2AC944BF"/>
    <w:rsid w:val="2B914808"/>
    <w:rsid w:val="2D3B5B48"/>
    <w:rsid w:val="2DA4494F"/>
    <w:rsid w:val="2DC74228"/>
    <w:rsid w:val="2E2959A0"/>
    <w:rsid w:val="2FB7522E"/>
    <w:rsid w:val="30B359F5"/>
    <w:rsid w:val="314825E1"/>
    <w:rsid w:val="3220355E"/>
    <w:rsid w:val="32452FC5"/>
    <w:rsid w:val="32990C1B"/>
    <w:rsid w:val="32AC3044"/>
    <w:rsid w:val="331A7FAD"/>
    <w:rsid w:val="337955D1"/>
    <w:rsid w:val="340F73E6"/>
    <w:rsid w:val="34930017"/>
    <w:rsid w:val="34AA5967"/>
    <w:rsid w:val="356829AB"/>
    <w:rsid w:val="357D65D2"/>
    <w:rsid w:val="36153160"/>
    <w:rsid w:val="36FD3E6E"/>
    <w:rsid w:val="375B2943"/>
    <w:rsid w:val="3787198A"/>
    <w:rsid w:val="38AA3C86"/>
    <w:rsid w:val="39066EF7"/>
    <w:rsid w:val="390F7E89"/>
    <w:rsid w:val="39111E53"/>
    <w:rsid w:val="39D8471E"/>
    <w:rsid w:val="3AEF7F72"/>
    <w:rsid w:val="3BDB4052"/>
    <w:rsid w:val="3CDB255C"/>
    <w:rsid w:val="3E7C38CA"/>
    <w:rsid w:val="40360425"/>
    <w:rsid w:val="40D23C76"/>
    <w:rsid w:val="40DB78F1"/>
    <w:rsid w:val="415D210B"/>
    <w:rsid w:val="42186000"/>
    <w:rsid w:val="42436207"/>
    <w:rsid w:val="42F36125"/>
    <w:rsid w:val="43A35D9D"/>
    <w:rsid w:val="444C3D3F"/>
    <w:rsid w:val="447E707E"/>
    <w:rsid w:val="44C304A5"/>
    <w:rsid w:val="45776465"/>
    <w:rsid w:val="45EC7588"/>
    <w:rsid w:val="45F050D3"/>
    <w:rsid w:val="46D53DA4"/>
    <w:rsid w:val="46DF0E9A"/>
    <w:rsid w:val="46F30DEA"/>
    <w:rsid w:val="477C493B"/>
    <w:rsid w:val="47AF6ABF"/>
    <w:rsid w:val="4831454F"/>
    <w:rsid w:val="49382AE4"/>
    <w:rsid w:val="4BEC64D2"/>
    <w:rsid w:val="4D14349E"/>
    <w:rsid w:val="4DA644C0"/>
    <w:rsid w:val="4E86609F"/>
    <w:rsid w:val="4EFD45B3"/>
    <w:rsid w:val="4F231B40"/>
    <w:rsid w:val="4FF0236A"/>
    <w:rsid w:val="50485D02"/>
    <w:rsid w:val="505A7722"/>
    <w:rsid w:val="50EE4AFC"/>
    <w:rsid w:val="514069D9"/>
    <w:rsid w:val="514F1402"/>
    <w:rsid w:val="51B6319D"/>
    <w:rsid w:val="51FB1F8F"/>
    <w:rsid w:val="52DB2E5E"/>
    <w:rsid w:val="5344788E"/>
    <w:rsid w:val="53BA6F17"/>
    <w:rsid w:val="54712998"/>
    <w:rsid w:val="54AF0437"/>
    <w:rsid w:val="559B0682"/>
    <w:rsid w:val="55D472C0"/>
    <w:rsid w:val="56ED315F"/>
    <w:rsid w:val="57F449BD"/>
    <w:rsid w:val="5889335C"/>
    <w:rsid w:val="59E51740"/>
    <w:rsid w:val="5A130BD0"/>
    <w:rsid w:val="5A157414"/>
    <w:rsid w:val="5CBA7F88"/>
    <w:rsid w:val="5CC826A5"/>
    <w:rsid w:val="5CC93D27"/>
    <w:rsid w:val="5CE9261B"/>
    <w:rsid w:val="5ED52E57"/>
    <w:rsid w:val="5F0932AE"/>
    <w:rsid w:val="5F410D04"/>
    <w:rsid w:val="5FF679B3"/>
    <w:rsid w:val="603911C4"/>
    <w:rsid w:val="604A33D1"/>
    <w:rsid w:val="60687CFB"/>
    <w:rsid w:val="610572F8"/>
    <w:rsid w:val="617821BF"/>
    <w:rsid w:val="61DA0784"/>
    <w:rsid w:val="62CA245C"/>
    <w:rsid w:val="63464323"/>
    <w:rsid w:val="63BD210C"/>
    <w:rsid w:val="63EF49BB"/>
    <w:rsid w:val="655A1441"/>
    <w:rsid w:val="65B65064"/>
    <w:rsid w:val="66C043ED"/>
    <w:rsid w:val="675E7762"/>
    <w:rsid w:val="677156E7"/>
    <w:rsid w:val="67C1041C"/>
    <w:rsid w:val="683A6906"/>
    <w:rsid w:val="69872FA0"/>
    <w:rsid w:val="6A2A2055"/>
    <w:rsid w:val="6AC02C0D"/>
    <w:rsid w:val="6BD3071E"/>
    <w:rsid w:val="6BEC7A32"/>
    <w:rsid w:val="6BF608B1"/>
    <w:rsid w:val="6CF272CA"/>
    <w:rsid w:val="6D1F1741"/>
    <w:rsid w:val="6D3E42BD"/>
    <w:rsid w:val="6E0C7F17"/>
    <w:rsid w:val="6E274D51"/>
    <w:rsid w:val="6E801271"/>
    <w:rsid w:val="71CC633B"/>
    <w:rsid w:val="72EC0317"/>
    <w:rsid w:val="7366631C"/>
    <w:rsid w:val="73880040"/>
    <w:rsid w:val="756B19C7"/>
    <w:rsid w:val="7601232C"/>
    <w:rsid w:val="761C7166"/>
    <w:rsid w:val="76C923A0"/>
    <w:rsid w:val="787E7C64"/>
    <w:rsid w:val="789B6A68"/>
    <w:rsid w:val="797F3C93"/>
    <w:rsid w:val="79B871A5"/>
    <w:rsid w:val="79BD47BC"/>
    <w:rsid w:val="79D7762B"/>
    <w:rsid w:val="79FB19AC"/>
    <w:rsid w:val="7A1B7CE2"/>
    <w:rsid w:val="7AE30252"/>
    <w:rsid w:val="7B877442"/>
    <w:rsid w:val="7DF34C50"/>
    <w:rsid w:val="7E644A13"/>
    <w:rsid w:val="7F29784B"/>
    <w:rsid w:val="7F363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10102</Words>
  <Characters>10133</Characters>
  <Lines>0</Lines>
  <Paragraphs>0</Paragraphs>
  <TotalTime>897</TotalTime>
  <ScaleCrop>false</ScaleCrop>
  <LinksUpToDate>false</LinksUpToDate>
  <CharactersWithSpaces>10241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2026-06-01T05:59:00Z</dcterms:created>
  <dc:creator>lenovo</dc:creator>
  <cp:lastModifiedBy>月月鸟买瓷器加13319389808</cp:lastModifiedBy>
  <cp:lastPrinted>2026-06-18T06:07:00Z</cp:lastPrinted>
  <dcterms:modified xsi:type="dcterms:W3CDTF">2026-07-06T01:20:37Z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eyJoZGlkIjoiMmI2MTY0MGRiM2EzM2ZjYzZkZGI3NTkxOTg0ODdiMGMiLCJ1c2VySWQiOiI1OTE0ODY0MTcifQ==</vt:lpwstr>
  </property>
  <property fmtid="{D5CDD505-2E9C-101B-9397-08002B2CF9AE}" pid="4" name="ICV">
    <vt:lpwstr>F9CDC8A663FD462398398D1DEB1E7AD3_13</vt:lpwstr>
  </property>
</Properties>
</file>