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8B1816">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jc w:val="center"/>
        <w:textAlignment w:val="auto"/>
        <w:rPr>
          <w:rFonts w:hint="eastAsia" w:ascii="方正小标宋简体" w:hAnsi="方正小标宋简体" w:eastAsia="方正小标宋简体" w:cs="方正小标宋简体"/>
          <w:color w:val="auto"/>
          <w:kern w:val="0"/>
          <w:sz w:val="44"/>
          <w:szCs w:val="44"/>
          <w:u w:val="none"/>
          <w:lang w:val="en-US" w:eastAsia="zh-CN" w:bidi="ar"/>
        </w:rPr>
      </w:pPr>
      <w:r>
        <w:rPr>
          <w:rFonts w:hint="eastAsia" w:ascii="方正小标宋简体" w:hAnsi="方正小标宋简体" w:eastAsia="方正小标宋简体" w:cs="方正小标宋简体"/>
          <w:color w:val="auto"/>
          <w:kern w:val="0"/>
          <w:sz w:val="44"/>
          <w:szCs w:val="44"/>
          <w:u w:val="none"/>
          <w:lang w:val="en-US" w:eastAsia="zh-CN" w:bidi="ar"/>
        </w:rPr>
        <w:t>景德镇市长期护理保险失能等级评估机构定点</w:t>
      </w:r>
      <w:bookmarkStart w:id="0" w:name="_GoBack"/>
      <w:bookmarkEnd w:id="0"/>
      <w:r>
        <w:rPr>
          <w:rFonts w:hint="eastAsia" w:ascii="方正小标宋简体" w:hAnsi="方正小标宋简体" w:eastAsia="方正小标宋简体" w:cs="方正小标宋简体"/>
          <w:color w:val="auto"/>
          <w:kern w:val="0"/>
          <w:sz w:val="44"/>
          <w:szCs w:val="44"/>
          <w:u w:val="none"/>
          <w:lang w:val="en-US" w:eastAsia="zh-CN" w:bidi="ar"/>
        </w:rPr>
        <w:t>管理实施细则（试行）</w:t>
      </w:r>
    </w:p>
    <w:p w14:paraId="068FC50F">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jc w:val="center"/>
        <w:textAlignment w:val="auto"/>
        <w:rPr>
          <w:rFonts w:hint="eastAsia" w:ascii="楷体_GB2312" w:hAnsi="楷体_GB2312" w:eastAsia="楷体_GB2312" w:cs="楷体_GB2312"/>
          <w:color w:val="auto"/>
          <w:kern w:val="0"/>
          <w:sz w:val="32"/>
          <w:szCs w:val="32"/>
          <w:u w:val="none"/>
          <w:lang w:val="en-US" w:eastAsia="zh-CN" w:bidi="ar"/>
        </w:rPr>
      </w:pPr>
      <w:r>
        <w:rPr>
          <w:rFonts w:hint="eastAsia" w:ascii="楷体_GB2312" w:hAnsi="楷体_GB2312" w:eastAsia="楷体_GB2312" w:cs="楷体_GB2312"/>
          <w:color w:val="auto"/>
          <w:kern w:val="0"/>
          <w:sz w:val="32"/>
          <w:szCs w:val="32"/>
          <w:u w:val="none"/>
          <w:lang w:val="en-US" w:eastAsia="zh-CN" w:bidi="ar"/>
        </w:rPr>
        <w:t>（征求意见稿）</w:t>
      </w:r>
    </w:p>
    <w:p w14:paraId="69CE8E1B">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jc w:val="center"/>
        <w:textAlignment w:val="auto"/>
        <w:rPr>
          <w:rFonts w:hint="eastAsia" w:ascii="黑体" w:hAnsi="黑体" w:eastAsia="黑体" w:cs="黑体"/>
          <w:b w:val="0"/>
          <w:bCs w:val="0"/>
          <w:color w:val="auto"/>
          <w:sz w:val="32"/>
          <w:szCs w:val="32"/>
          <w:u w:val="none"/>
        </w:rPr>
      </w:pPr>
    </w:p>
    <w:p w14:paraId="663B9A03">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jc w:val="center"/>
        <w:textAlignment w:val="auto"/>
        <w:rPr>
          <w:rFonts w:hint="eastAsia" w:ascii="黑体" w:hAnsi="黑体" w:eastAsia="黑体" w:cs="黑体"/>
          <w:b w:val="0"/>
          <w:bCs w:val="0"/>
          <w:color w:val="auto"/>
          <w:sz w:val="32"/>
          <w:szCs w:val="32"/>
          <w:u w:val="none"/>
        </w:rPr>
      </w:pPr>
      <w:r>
        <w:rPr>
          <w:rFonts w:hint="eastAsia" w:ascii="黑体" w:hAnsi="黑体" w:eastAsia="黑体" w:cs="黑体"/>
          <w:b w:val="0"/>
          <w:bCs w:val="0"/>
          <w:color w:val="auto"/>
          <w:sz w:val="32"/>
          <w:szCs w:val="32"/>
          <w:u w:val="none"/>
        </w:rPr>
        <w:t>第一章 总则</w:t>
      </w:r>
    </w:p>
    <w:p w14:paraId="5A19E2DD">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3" w:firstLineChars="200"/>
        <w:jc w:val="left"/>
        <w:textAlignment w:val="auto"/>
        <w:rPr>
          <w:rFonts w:hint="eastAsia" w:ascii="仿宋_GB2312" w:hAnsi="仿宋_GB2312" w:eastAsia="仿宋_GB2312" w:cs="仿宋_GB2312"/>
          <w:color w:val="auto"/>
          <w:sz w:val="32"/>
          <w:szCs w:val="32"/>
          <w:u w:val="none"/>
        </w:rPr>
      </w:pPr>
      <w:r>
        <w:rPr>
          <w:rStyle w:val="9"/>
          <w:rFonts w:hint="eastAsia" w:ascii="楷体_GB2312" w:hAnsi="楷体_GB2312" w:eastAsia="楷体_GB2312" w:cs="楷体_GB2312"/>
          <w:color w:val="auto"/>
          <w:kern w:val="0"/>
          <w:sz w:val="32"/>
          <w:szCs w:val="32"/>
          <w:u w:val="none"/>
          <w:lang w:val="en-US" w:eastAsia="zh-CN" w:bidi="ar"/>
        </w:rPr>
        <w:t>第一条</w:t>
      </w:r>
      <w:r>
        <w:rPr>
          <w:rStyle w:val="9"/>
          <w:rFonts w:hint="eastAsia" w:ascii="仿宋_GB2312" w:hAnsi="仿宋_GB2312" w:eastAsia="仿宋_GB2312" w:cs="仿宋_GB2312"/>
          <w:color w:val="auto"/>
          <w:kern w:val="0"/>
          <w:sz w:val="32"/>
          <w:szCs w:val="32"/>
          <w:u w:val="none"/>
          <w:lang w:val="en-US" w:eastAsia="zh-CN" w:bidi="ar"/>
        </w:rPr>
        <w:t xml:space="preserve"> </w:t>
      </w:r>
      <w:r>
        <w:rPr>
          <w:rStyle w:val="9"/>
          <w:rFonts w:hint="eastAsia" w:ascii="仿宋_GB2312" w:hAnsi="仿宋_GB2312" w:eastAsia="仿宋_GB2312" w:cs="仿宋_GB2312"/>
          <w:b w:val="0"/>
          <w:bCs/>
          <w:color w:val="auto"/>
          <w:kern w:val="0"/>
          <w:sz w:val="32"/>
          <w:szCs w:val="32"/>
          <w:u w:val="none"/>
          <w:lang w:val="en-US" w:eastAsia="zh-CN" w:bidi="ar"/>
        </w:rPr>
        <w:t>制定目的与依据。</w:t>
      </w:r>
      <w:r>
        <w:rPr>
          <w:rFonts w:hint="eastAsia" w:ascii="仿宋_GB2312" w:hAnsi="仿宋_GB2312" w:eastAsia="仿宋_GB2312" w:cs="仿宋_GB2312"/>
          <w:b w:val="0"/>
          <w:bCs/>
          <w:color w:val="auto"/>
          <w:kern w:val="0"/>
          <w:sz w:val="32"/>
          <w:szCs w:val="32"/>
          <w:u w:val="none"/>
          <w:lang w:val="en-US" w:eastAsia="zh-CN" w:bidi="ar"/>
        </w:rPr>
        <w:t>为</w:t>
      </w:r>
      <w:r>
        <w:rPr>
          <w:rFonts w:hint="eastAsia" w:ascii="仿宋_GB2312" w:hAnsi="仿宋_GB2312" w:eastAsia="仿宋_GB2312" w:cs="仿宋_GB2312"/>
          <w:color w:val="auto"/>
          <w:kern w:val="0"/>
          <w:sz w:val="32"/>
          <w:szCs w:val="32"/>
          <w:u w:val="none"/>
          <w:lang w:val="en-US" w:eastAsia="zh-CN" w:bidi="ar"/>
        </w:rPr>
        <w:t>规范全市长期护理保险失能等级评估机构定点准入、日常监管、考核退出全流程管理，保障失能等级评估工作客观公正、规范有序开展，切实维护参保人员合法权益和医保基金安全，根据《长期护理保险失能等级评估机构定点管理办法（试行）》（医保发〔2024〕13号）及省、市相关政策规定，结合我市长期护理保险先行覆盖职工、后续分步扩面至城乡居民的工作实际，制定本细则。</w:t>
      </w:r>
    </w:p>
    <w:p w14:paraId="59785C72">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3" w:firstLineChars="200"/>
        <w:jc w:val="left"/>
        <w:textAlignment w:val="auto"/>
        <w:rPr>
          <w:rFonts w:hint="eastAsia" w:ascii="仿宋_GB2312" w:hAnsi="仿宋_GB2312" w:eastAsia="仿宋_GB2312" w:cs="仿宋_GB2312"/>
          <w:color w:val="auto"/>
          <w:sz w:val="32"/>
          <w:szCs w:val="32"/>
          <w:u w:val="none"/>
        </w:rPr>
      </w:pPr>
      <w:r>
        <w:rPr>
          <w:rStyle w:val="9"/>
          <w:rFonts w:hint="eastAsia" w:ascii="楷体_GB2312" w:hAnsi="楷体_GB2312" w:eastAsia="楷体_GB2312" w:cs="楷体_GB2312"/>
          <w:color w:val="auto"/>
          <w:kern w:val="0"/>
          <w:sz w:val="32"/>
          <w:szCs w:val="32"/>
          <w:u w:val="none"/>
          <w:lang w:val="en-US" w:eastAsia="zh-CN" w:bidi="ar"/>
        </w:rPr>
        <w:t>第二条</w:t>
      </w:r>
      <w:r>
        <w:rPr>
          <w:rStyle w:val="9"/>
          <w:rFonts w:hint="eastAsia" w:ascii="仿宋_GB2312" w:hAnsi="仿宋_GB2312" w:eastAsia="仿宋_GB2312" w:cs="仿宋_GB2312"/>
          <w:color w:val="auto"/>
          <w:kern w:val="0"/>
          <w:sz w:val="32"/>
          <w:szCs w:val="32"/>
          <w:u w:val="none"/>
          <w:lang w:val="en-US" w:eastAsia="zh-CN" w:bidi="ar"/>
        </w:rPr>
        <w:t xml:space="preserve"> </w:t>
      </w:r>
      <w:r>
        <w:rPr>
          <w:rStyle w:val="9"/>
          <w:rFonts w:hint="eastAsia" w:ascii="仿宋_GB2312" w:hAnsi="仿宋_GB2312" w:eastAsia="仿宋_GB2312" w:cs="仿宋_GB2312"/>
          <w:b w:val="0"/>
          <w:bCs/>
          <w:color w:val="auto"/>
          <w:kern w:val="0"/>
          <w:sz w:val="32"/>
          <w:szCs w:val="32"/>
          <w:u w:val="none"/>
          <w:lang w:val="en-US" w:eastAsia="zh-CN" w:bidi="ar"/>
        </w:rPr>
        <w:t>适用范围。</w:t>
      </w:r>
      <w:r>
        <w:rPr>
          <w:rFonts w:hint="eastAsia" w:ascii="仿宋_GB2312" w:hAnsi="仿宋_GB2312" w:eastAsia="仿宋_GB2312" w:cs="仿宋_GB2312"/>
          <w:b w:val="0"/>
          <w:bCs/>
          <w:color w:val="auto"/>
          <w:kern w:val="0"/>
          <w:sz w:val="32"/>
          <w:szCs w:val="32"/>
          <w:u w:val="none"/>
          <w:lang w:val="en-US" w:eastAsia="zh-CN" w:bidi="ar"/>
        </w:rPr>
        <w:t>本细则适用于本市行政区域内申请并纳入长期护理保险定点管理的失能等级评估机构。依托医疗机构、养老机构、劳动能力鉴定机构、商业保险机构设立评估主体开展失能评估业务的，参照本细则执行。</w:t>
      </w:r>
    </w:p>
    <w:p w14:paraId="55265976">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3" w:firstLineChars="200"/>
        <w:jc w:val="left"/>
        <w:textAlignment w:val="auto"/>
        <w:rPr>
          <w:rStyle w:val="9"/>
          <w:rFonts w:hint="eastAsia" w:ascii="仿宋_GB2312" w:hAnsi="仿宋_GB2312" w:eastAsia="仿宋_GB2312" w:cs="仿宋_GB2312"/>
          <w:color w:val="auto"/>
          <w:kern w:val="0"/>
          <w:sz w:val="32"/>
          <w:szCs w:val="32"/>
          <w:u w:val="none"/>
          <w:lang w:val="en-US" w:eastAsia="zh-CN" w:bidi="ar"/>
        </w:rPr>
      </w:pPr>
      <w:r>
        <w:rPr>
          <w:rStyle w:val="9"/>
          <w:rFonts w:hint="eastAsia" w:ascii="楷体_GB2312" w:hAnsi="楷体_GB2312" w:eastAsia="楷体_GB2312" w:cs="楷体_GB2312"/>
          <w:color w:val="auto"/>
          <w:kern w:val="0"/>
          <w:sz w:val="32"/>
          <w:szCs w:val="32"/>
          <w:u w:val="none"/>
          <w:lang w:val="en-US" w:eastAsia="zh-CN" w:bidi="ar"/>
        </w:rPr>
        <w:t>第三条</w:t>
      </w:r>
      <w:r>
        <w:rPr>
          <w:rStyle w:val="9"/>
          <w:rFonts w:hint="eastAsia" w:ascii="仿宋_GB2312" w:hAnsi="仿宋_GB2312" w:eastAsia="仿宋_GB2312" w:cs="仿宋_GB2312"/>
          <w:color w:val="auto"/>
          <w:kern w:val="0"/>
          <w:sz w:val="32"/>
          <w:szCs w:val="32"/>
          <w:u w:val="none"/>
          <w:lang w:val="en-US" w:eastAsia="zh-CN" w:bidi="ar"/>
        </w:rPr>
        <w:t xml:space="preserve"> </w:t>
      </w:r>
      <w:r>
        <w:rPr>
          <w:rStyle w:val="9"/>
          <w:rFonts w:hint="eastAsia" w:ascii="仿宋_GB2312" w:hAnsi="仿宋_GB2312" w:eastAsia="仿宋_GB2312" w:cs="仿宋_GB2312"/>
          <w:b w:val="0"/>
          <w:bCs/>
          <w:color w:val="auto"/>
          <w:kern w:val="0"/>
          <w:sz w:val="32"/>
          <w:szCs w:val="32"/>
          <w:u w:val="none"/>
          <w:lang w:val="en-US" w:eastAsia="zh-CN" w:bidi="ar"/>
        </w:rPr>
        <w:t>职责划分：</w:t>
      </w:r>
    </w:p>
    <w:p w14:paraId="0191E820">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kern w:val="0"/>
          <w:sz w:val="32"/>
          <w:szCs w:val="32"/>
          <w:u w:val="none"/>
          <w:lang w:val="en-US" w:eastAsia="zh-CN" w:bidi="ar"/>
        </w:rPr>
        <w:t>（一）市医保行政部门。负责制定全市定点评估机构管理实施细则、</w:t>
      </w:r>
      <w:r>
        <w:rPr>
          <w:rFonts w:hint="eastAsia" w:ascii="仿宋_GB2312" w:hAnsi="仿宋_GB2312" w:eastAsia="仿宋_GB2312" w:cs="仿宋_GB2312"/>
          <w:color w:val="auto"/>
          <w:sz w:val="32"/>
          <w:szCs w:val="32"/>
          <w:u w:val="none"/>
        </w:rPr>
        <w:t>考核细则</w:t>
      </w:r>
      <w:r>
        <w:rPr>
          <w:rFonts w:hint="eastAsia" w:ascii="仿宋_GB2312" w:hAnsi="仿宋_GB2312" w:eastAsia="仿宋_GB2312" w:cs="仿宋_GB2312"/>
          <w:color w:val="auto"/>
          <w:kern w:val="0"/>
          <w:sz w:val="32"/>
          <w:szCs w:val="32"/>
          <w:u w:val="none"/>
          <w:lang w:val="en-US" w:eastAsia="zh-CN" w:bidi="ar"/>
        </w:rPr>
        <w:t>，统筹全市定点评估资源规划布局，履行行业行政监督职责。</w:t>
      </w:r>
    </w:p>
    <w:p w14:paraId="6513F915">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kern w:val="0"/>
          <w:sz w:val="32"/>
          <w:szCs w:val="32"/>
          <w:u w:val="none"/>
          <w:lang w:val="en-US" w:eastAsia="zh-CN" w:bidi="ar"/>
        </w:rPr>
        <w:t>（二）市医保经办机构。负责制定全市统一的定点服务协议；</w:t>
      </w:r>
      <w:r>
        <w:rPr>
          <w:rFonts w:hint="eastAsia" w:ascii="仿宋_GB2312" w:hAnsi="仿宋_GB2312" w:eastAsia="仿宋_GB2312" w:cs="仿宋_GB2312"/>
          <w:color w:val="auto"/>
          <w:kern w:val="0"/>
          <w:sz w:val="32"/>
          <w:szCs w:val="32"/>
          <w:u w:val="none"/>
          <w:lang w:val="en-US" w:eastAsia="zh-CN" w:bidi="ar"/>
        </w:rPr>
        <w:t>牵头组织定点准入评审、业务规范指导、全市评估人员库管理；统筹指导各县（市、区）医保经办机构开展日常履约管理。</w:t>
      </w:r>
    </w:p>
    <w:p w14:paraId="581F1933">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kern w:val="0"/>
          <w:sz w:val="32"/>
          <w:szCs w:val="32"/>
          <w:u w:val="none"/>
          <w:lang w:val="en-US" w:eastAsia="zh-CN" w:bidi="ar"/>
        </w:rPr>
        <w:t>（三）各县（市、区）医保行政部门。负责辖区内定点评估机构的日常行政监管工作。</w:t>
      </w:r>
    </w:p>
    <w:p w14:paraId="51AA7A4C">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kern w:val="0"/>
          <w:sz w:val="32"/>
          <w:szCs w:val="32"/>
          <w:u w:val="none"/>
          <w:lang w:val="en-US" w:eastAsia="zh-CN" w:bidi="ar"/>
        </w:rPr>
        <w:t>（四）各县（市、区）医保经办机构。负责辖区内定点申请受理、资料初审、协议签订、日常巡查、费用结算、履约考核及日常动态管理等工作。</w:t>
      </w:r>
    </w:p>
    <w:p w14:paraId="5016CFB3">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3" w:firstLineChars="200"/>
        <w:jc w:val="left"/>
        <w:textAlignment w:val="auto"/>
        <w:rPr>
          <w:rFonts w:hint="eastAsia" w:ascii="仿宋_GB2312" w:hAnsi="仿宋_GB2312" w:eastAsia="仿宋_GB2312" w:cs="仿宋_GB2312"/>
          <w:color w:val="auto"/>
          <w:sz w:val="32"/>
          <w:szCs w:val="32"/>
          <w:u w:val="none"/>
        </w:rPr>
      </w:pPr>
      <w:r>
        <w:rPr>
          <w:rStyle w:val="9"/>
          <w:rFonts w:hint="eastAsia" w:ascii="楷体_GB2312" w:hAnsi="楷体_GB2312" w:eastAsia="楷体_GB2312" w:cs="楷体_GB2312"/>
          <w:color w:val="auto"/>
          <w:kern w:val="0"/>
          <w:sz w:val="32"/>
          <w:szCs w:val="32"/>
          <w:u w:val="none"/>
          <w:lang w:val="en-US" w:eastAsia="zh-CN" w:bidi="ar"/>
        </w:rPr>
        <w:t>第四条</w:t>
      </w:r>
      <w:r>
        <w:rPr>
          <w:rStyle w:val="9"/>
          <w:rFonts w:hint="eastAsia" w:ascii="仿宋_GB2312" w:hAnsi="仿宋_GB2312" w:eastAsia="仿宋_GB2312" w:cs="仿宋_GB2312"/>
          <w:b w:val="0"/>
          <w:bCs/>
          <w:color w:val="auto"/>
          <w:kern w:val="0"/>
          <w:sz w:val="32"/>
          <w:szCs w:val="32"/>
          <w:u w:val="none"/>
          <w:lang w:val="en-US" w:eastAsia="zh-CN" w:bidi="ar"/>
        </w:rPr>
        <w:t xml:space="preserve"> 定点总量调控。</w:t>
      </w:r>
      <w:r>
        <w:rPr>
          <w:rFonts w:hint="eastAsia" w:ascii="仿宋_GB2312" w:hAnsi="仿宋_GB2312" w:eastAsia="仿宋_GB2312" w:cs="仿宋_GB2312"/>
          <w:color w:val="auto"/>
          <w:sz w:val="32"/>
          <w:szCs w:val="32"/>
          <w:u w:val="none"/>
        </w:rPr>
        <w:t>全市定点评估机构实行总量调控、动态调整。市医保行政部门统筹全市定点评估资源布局，综合考量参保人数、失能人员预测规模、服务半径、经办管理能力等因素合理规划机构数量，保障评估服务可及；市医保经办机构依据参保数据测算核定人员总量上限</w:t>
      </w:r>
      <w:r>
        <w:rPr>
          <w:rFonts w:hint="eastAsia" w:ascii="仿宋_GB2312" w:hAnsi="仿宋_GB2312" w:eastAsia="仿宋_GB2312" w:cs="仿宋_GB2312"/>
          <w:color w:val="auto"/>
          <w:sz w:val="32"/>
          <w:szCs w:val="32"/>
          <w:u w:val="none"/>
          <w:lang w:eastAsia="zh-CN"/>
        </w:rPr>
        <w:t>，</w:t>
      </w:r>
      <w:r>
        <w:rPr>
          <w:rFonts w:hint="eastAsia" w:ascii="仿宋_GB2312" w:hAnsi="仿宋_GB2312" w:eastAsia="仿宋_GB2312" w:cs="仿宋_GB2312"/>
          <w:color w:val="auto"/>
          <w:sz w:val="32"/>
          <w:szCs w:val="32"/>
          <w:u w:val="none"/>
        </w:rPr>
        <w:t>以上年度全市长期护理保险实际参保缴费人数为基数，按照每3.5万名参保人员配置2名在岗持证评估人员的标准核定人员总量上限，达到配置标准后原则上不再新增定点。所有评估人员统一纳入全市评估人员库实行全职在岗管理，不得跨机构重复备案、重复执业。</w:t>
      </w:r>
    </w:p>
    <w:p w14:paraId="114060F9">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3" w:firstLineChars="200"/>
        <w:jc w:val="left"/>
        <w:textAlignment w:val="auto"/>
        <w:rPr>
          <w:rFonts w:hint="eastAsia" w:ascii="仿宋_GB2312" w:hAnsi="仿宋_GB2312" w:eastAsia="仿宋_GB2312" w:cs="仿宋_GB2312"/>
          <w:b w:val="0"/>
          <w:bCs/>
          <w:color w:val="auto"/>
          <w:sz w:val="32"/>
          <w:szCs w:val="32"/>
          <w:u w:val="none"/>
        </w:rPr>
      </w:pPr>
      <w:r>
        <w:rPr>
          <w:rStyle w:val="9"/>
          <w:rFonts w:hint="eastAsia" w:ascii="楷体_GB2312" w:hAnsi="楷体_GB2312" w:eastAsia="楷体_GB2312" w:cs="楷体_GB2312"/>
          <w:color w:val="auto"/>
          <w:kern w:val="0"/>
          <w:sz w:val="32"/>
          <w:szCs w:val="32"/>
          <w:u w:val="none"/>
          <w:lang w:val="en-US" w:eastAsia="zh-CN" w:bidi="ar"/>
        </w:rPr>
        <w:t>第五条</w:t>
      </w:r>
      <w:r>
        <w:rPr>
          <w:rStyle w:val="9"/>
          <w:rFonts w:hint="eastAsia" w:ascii="仿宋_GB2312" w:hAnsi="仿宋_GB2312" w:eastAsia="仿宋_GB2312" w:cs="仿宋_GB2312"/>
          <w:color w:val="auto"/>
          <w:kern w:val="0"/>
          <w:sz w:val="32"/>
          <w:szCs w:val="32"/>
          <w:u w:val="none"/>
          <w:lang w:val="en-US" w:eastAsia="zh-CN" w:bidi="ar"/>
        </w:rPr>
        <w:t xml:space="preserve"> </w:t>
      </w:r>
      <w:r>
        <w:rPr>
          <w:rStyle w:val="9"/>
          <w:rFonts w:hint="eastAsia" w:ascii="仿宋_GB2312" w:hAnsi="仿宋_GB2312" w:eastAsia="仿宋_GB2312" w:cs="仿宋_GB2312"/>
          <w:b w:val="0"/>
          <w:bCs/>
          <w:color w:val="auto"/>
          <w:kern w:val="0"/>
          <w:sz w:val="32"/>
          <w:szCs w:val="32"/>
          <w:u w:val="none"/>
          <w:lang w:val="en-US" w:eastAsia="zh-CN" w:bidi="ar"/>
        </w:rPr>
        <w:t>管理原则与执业隔离。</w:t>
      </w:r>
      <w:r>
        <w:rPr>
          <w:rFonts w:hint="eastAsia" w:ascii="仿宋_GB2312" w:hAnsi="仿宋_GB2312" w:eastAsia="仿宋_GB2312" w:cs="仿宋_GB2312"/>
          <w:b w:val="0"/>
          <w:bCs/>
          <w:color w:val="auto"/>
          <w:kern w:val="0"/>
          <w:sz w:val="32"/>
          <w:szCs w:val="32"/>
          <w:u w:val="none"/>
          <w:lang w:val="en-US" w:eastAsia="zh-CN" w:bidi="ar"/>
        </w:rPr>
        <w:t>定点评估机构管理坚持</w:t>
      </w:r>
      <w:r>
        <w:rPr>
          <w:rStyle w:val="9"/>
          <w:rFonts w:hint="eastAsia" w:ascii="仿宋_GB2312" w:hAnsi="仿宋_GB2312" w:eastAsia="仿宋_GB2312" w:cs="仿宋_GB2312"/>
          <w:b w:val="0"/>
          <w:bCs/>
          <w:color w:val="auto"/>
          <w:kern w:val="0"/>
          <w:sz w:val="32"/>
          <w:szCs w:val="32"/>
          <w:u w:val="none"/>
          <w:lang w:val="en-US" w:eastAsia="zh-CN" w:bidi="ar"/>
        </w:rPr>
        <w:t>总量调控、公平择优、权责对等、动态监管</w:t>
      </w:r>
      <w:r>
        <w:rPr>
          <w:rFonts w:hint="eastAsia" w:ascii="仿宋_GB2312" w:hAnsi="仿宋_GB2312" w:eastAsia="仿宋_GB2312" w:cs="仿宋_GB2312"/>
          <w:b w:val="0"/>
          <w:bCs/>
          <w:color w:val="auto"/>
          <w:kern w:val="0"/>
          <w:sz w:val="32"/>
          <w:szCs w:val="32"/>
          <w:u w:val="none"/>
          <w:lang w:val="en-US" w:eastAsia="zh-CN" w:bidi="ar"/>
        </w:rPr>
        <w:t>的原则。定点评估机构应当严格执行执业隔离制度，不得同步承接长期护理定点护理服务业务，不得承担长期护理保险经办业务。</w:t>
      </w:r>
    </w:p>
    <w:p w14:paraId="253DB8F8">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jc w:val="center"/>
        <w:textAlignment w:val="auto"/>
        <w:rPr>
          <w:rFonts w:hint="eastAsia" w:ascii="黑体" w:hAnsi="黑体" w:eastAsia="黑体" w:cs="黑体"/>
          <w:b w:val="0"/>
          <w:bCs w:val="0"/>
          <w:color w:val="auto"/>
          <w:sz w:val="32"/>
          <w:szCs w:val="32"/>
          <w:u w:val="none"/>
        </w:rPr>
      </w:pPr>
      <w:r>
        <w:rPr>
          <w:rFonts w:hint="eastAsia" w:ascii="黑体" w:hAnsi="黑体" w:eastAsia="黑体" w:cs="黑体"/>
          <w:b w:val="0"/>
          <w:bCs w:val="0"/>
          <w:color w:val="auto"/>
          <w:sz w:val="32"/>
          <w:szCs w:val="32"/>
          <w:u w:val="none"/>
        </w:rPr>
        <w:t>第二章 定点准入条件与申报</w:t>
      </w:r>
    </w:p>
    <w:p w14:paraId="3D365E43">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3" w:firstLineChars="200"/>
        <w:jc w:val="left"/>
        <w:textAlignment w:val="auto"/>
        <w:rPr>
          <w:rFonts w:hint="eastAsia" w:ascii="仿宋_GB2312" w:hAnsi="仿宋_GB2312" w:eastAsia="仿宋_GB2312" w:cs="仿宋_GB2312"/>
          <w:color w:val="auto"/>
          <w:sz w:val="32"/>
          <w:szCs w:val="32"/>
          <w:u w:val="none"/>
        </w:rPr>
      </w:pPr>
      <w:r>
        <w:rPr>
          <w:rStyle w:val="9"/>
          <w:rFonts w:hint="eastAsia" w:ascii="楷体_GB2312" w:hAnsi="楷体_GB2312" w:eastAsia="楷体_GB2312" w:cs="楷体_GB2312"/>
          <w:color w:val="auto"/>
          <w:kern w:val="0"/>
          <w:sz w:val="32"/>
          <w:szCs w:val="32"/>
          <w:u w:val="none"/>
          <w:lang w:val="en-US" w:eastAsia="zh-CN" w:bidi="ar"/>
        </w:rPr>
        <w:t>第六条</w:t>
      </w:r>
      <w:r>
        <w:rPr>
          <w:rStyle w:val="9"/>
          <w:rFonts w:hint="eastAsia" w:ascii="仿宋_GB2312" w:hAnsi="仿宋_GB2312" w:eastAsia="仿宋_GB2312" w:cs="仿宋_GB2312"/>
          <w:color w:val="auto"/>
          <w:kern w:val="0"/>
          <w:sz w:val="32"/>
          <w:szCs w:val="32"/>
          <w:u w:val="none"/>
          <w:lang w:val="en-US" w:eastAsia="zh-CN" w:bidi="ar"/>
        </w:rPr>
        <w:t xml:space="preserve"> </w:t>
      </w:r>
      <w:r>
        <w:rPr>
          <w:rStyle w:val="9"/>
          <w:rFonts w:hint="eastAsia" w:ascii="仿宋_GB2312" w:hAnsi="仿宋_GB2312" w:eastAsia="仿宋_GB2312" w:cs="仿宋_GB2312"/>
          <w:b w:val="0"/>
          <w:bCs/>
          <w:color w:val="auto"/>
          <w:kern w:val="0"/>
          <w:sz w:val="32"/>
          <w:szCs w:val="32"/>
          <w:u w:val="none"/>
          <w:lang w:val="en-US" w:eastAsia="zh-CN" w:bidi="ar"/>
        </w:rPr>
        <w:t>定点准入条件。</w:t>
      </w:r>
      <w:r>
        <w:rPr>
          <w:rFonts w:hint="eastAsia" w:ascii="仿宋_GB2312" w:hAnsi="仿宋_GB2312" w:eastAsia="仿宋_GB2312" w:cs="仿宋_GB2312"/>
          <w:b w:val="0"/>
          <w:bCs/>
          <w:color w:val="auto"/>
          <w:kern w:val="0"/>
          <w:sz w:val="32"/>
          <w:szCs w:val="32"/>
          <w:u w:val="none"/>
          <w:lang w:val="en-US" w:eastAsia="zh-CN" w:bidi="ar"/>
        </w:rPr>
        <w:t>申请长期护理保险失能等级评估定点资质的机构，应当同时具备以下条件：</w:t>
      </w:r>
    </w:p>
    <w:p w14:paraId="4D514636">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一）主体资质合规。依法依规登记注册，经营范围包含失能评估相关业务，机构连续正常运营满3个月。鼓励发展独立评估机构；暂不具备条件的，可依托医疗机构、劳动能力鉴定机构、商业保险机构开展评估业务，逐步向独立评估机构过渡。</w:t>
      </w:r>
    </w:p>
    <w:p w14:paraId="0948CA8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（二）人员配置达标。在岗专职评估人员不少于6名，评估人员分为评估员、评估专家两类：其中评估员不少于3名，</w:t>
      </w:r>
      <w:r>
        <w:rPr>
          <w:rFonts w:hint="eastAsia" w:ascii="仿宋_GB2312" w:hAnsi="仿宋_GB2312" w:eastAsia="仿宋_GB2312" w:cs="仿宋_GB2312"/>
          <w:color w:val="auto"/>
          <w:sz w:val="32"/>
          <w:szCs w:val="32"/>
          <w:u w:val="none"/>
          <w:lang w:val="en-US" w:eastAsia="zh-CN"/>
        </w:rPr>
        <w:t>应</w:t>
      </w:r>
      <w:r>
        <w:rPr>
          <w:rFonts w:hint="eastAsia" w:ascii="仿宋_GB2312" w:hAnsi="仿宋_GB2312" w:eastAsia="仿宋_GB2312" w:cs="仿宋_GB2312"/>
          <w:color w:val="auto"/>
          <w:sz w:val="32"/>
          <w:szCs w:val="32"/>
          <w:u w:val="none"/>
        </w:rPr>
        <w:t>具备医学、护理、康复、心理、长期照护、养老服务与管理相关专业背景，从事相关专业工作2年（含）以上；评估专家除符合评估员全部基础条件外，另需具备临床医学、护理、康复、精神心理等领域中级及以上职称，并有2年（含）以上相关工作经历。机构另配专职管理人员、信息化运维专职人员各不少于1名。全体评估人员</w:t>
      </w:r>
      <w:r>
        <w:rPr>
          <w:rFonts w:hint="eastAsia" w:ascii="仿宋_GB2312" w:hAnsi="仿宋_GB2312" w:eastAsia="仿宋_GB2312" w:cs="仿宋_GB2312"/>
          <w:color w:val="auto"/>
          <w:sz w:val="32"/>
          <w:szCs w:val="32"/>
          <w:u w:val="none"/>
          <w:lang w:val="en-US" w:eastAsia="zh-CN"/>
        </w:rPr>
        <w:t>应</w:t>
      </w:r>
      <w:r>
        <w:rPr>
          <w:rFonts w:hint="eastAsia" w:ascii="仿宋_GB2312" w:hAnsi="仿宋_GB2312" w:eastAsia="仿宋_GB2312" w:cs="仿宋_GB2312"/>
          <w:color w:val="auto"/>
          <w:sz w:val="32"/>
          <w:szCs w:val="32"/>
          <w:u w:val="none"/>
        </w:rPr>
        <w:t>按要求参加市级统一规范化培训并通过准入考核、入库持证上岗；长护险制度启动过渡期培训、临时执业相关管理按照《景德镇市长期护理保险失能等级评估实施细则（试行）》执行。评估人员相关行业无不良信用信息记录，严格执行利害关系回避制度，不得同时在两家及以上定点评估机构执业。</w:t>
      </w:r>
    </w:p>
    <w:p w14:paraId="56D376AB">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 xml:space="preserve">（三）场地设备达标。拥有固定合法的办公及评估场所，自有场地提供产权证明，租赁场地剩余租赁期限不少于2年，配齐现场评估、音视频采集、档案存放等配套设施设备，满足评估全程留痕工作要求。 </w:t>
      </w:r>
    </w:p>
    <w:p w14:paraId="6B66D417">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（四）信息化达标。</w:t>
      </w:r>
      <w:r>
        <w:rPr>
          <w:rFonts w:hint="eastAsia" w:ascii="仿宋_GB2312" w:hAnsi="仿宋_GB2312" w:eastAsia="仿宋_GB2312" w:cs="仿宋_GB2312"/>
          <w:color w:val="auto"/>
          <w:sz w:val="32"/>
          <w:szCs w:val="32"/>
          <w:u w:val="none"/>
        </w:rPr>
        <w:t>具备使用全国统一的医疗保障信息平台长期护理保险相关功能模块的条件，并按照全国统一接口规范完成系统对接；规范开展医保业务编码动态维护、贯标应用，完整、实时上传全部评估业务数据，实现业务全流程留痕、数据全程可追溯，主动接受医保部门智能监控与核查。</w:t>
      </w:r>
      <w:r>
        <w:rPr>
          <w:rFonts w:hint="eastAsia" w:ascii="仿宋_GB2312" w:hAnsi="仿宋_GB2312" w:eastAsia="仿宋_GB2312" w:cs="仿宋_GB2312"/>
          <w:color w:val="auto"/>
          <w:sz w:val="32"/>
          <w:szCs w:val="32"/>
          <w:u w:val="none"/>
        </w:rPr>
        <w:t xml:space="preserve"> </w:t>
      </w:r>
    </w:p>
    <w:p w14:paraId="21E36077">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 xml:space="preserve">（五）制度体系健全。建立健全符合评估服务协议要求的服务管理、财务管理、信息统计、内控质控、档案管理等内部管理制度。 </w:t>
      </w:r>
    </w:p>
    <w:p w14:paraId="2BB4E876">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（六）符合法律法规、国家及省、市医疗保障行政部门规定的其他条件。</w:t>
      </w:r>
    </w:p>
    <w:p w14:paraId="5D40E28F">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3" w:firstLineChars="200"/>
        <w:jc w:val="left"/>
        <w:textAlignment w:val="auto"/>
        <w:rPr>
          <w:rFonts w:hint="eastAsia" w:ascii="仿宋_GB2312" w:hAnsi="仿宋_GB2312" w:eastAsia="仿宋_GB2312" w:cs="仿宋_GB2312"/>
          <w:b w:val="0"/>
          <w:bCs/>
          <w:color w:val="auto"/>
          <w:sz w:val="32"/>
          <w:szCs w:val="32"/>
          <w:u w:val="none"/>
        </w:rPr>
      </w:pPr>
      <w:r>
        <w:rPr>
          <w:rStyle w:val="9"/>
          <w:rFonts w:hint="eastAsia" w:ascii="楷体_GB2312" w:hAnsi="楷体_GB2312" w:eastAsia="楷体_GB2312" w:cs="楷体_GB2312"/>
          <w:color w:val="auto"/>
          <w:kern w:val="0"/>
          <w:sz w:val="32"/>
          <w:szCs w:val="32"/>
          <w:u w:val="none"/>
          <w:lang w:val="en-US" w:eastAsia="zh-CN" w:bidi="ar"/>
        </w:rPr>
        <w:t>第七条</w:t>
      </w:r>
      <w:r>
        <w:rPr>
          <w:rStyle w:val="9"/>
          <w:rFonts w:hint="eastAsia" w:ascii="楷体_GB2312" w:hAnsi="楷体_GB2312" w:eastAsia="楷体_GB2312" w:cs="楷体_GB2312"/>
          <w:b w:val="0"/>
          <w:bCs/>
          <w:color w:val="auto"/>
          <w:kern w:val="0"/>
          <w:sz w:val="32"/>
          <w:szCs w:val="32"/>
          <w:u w:val="none"/>
          <w:lang w:val="en-US" w:eastAsia="zh-CN" w:bidi="ar"/>
        </w:rPr>
        <w:t xml:space="preserve"> </w:t>
      </w:r>
      <w:r>
        <w:rPr>
          <w:rStyle w:val="9"/>
          <w:rFonts w:hint="eastAsia" w:ascii="仿宋_GB2312" w:hAnsi="仿宋_GB2312" w:eastAsia="仿宋_GB2312" w:cs="仿宋_GB2312"/>
          <w:b w:val="0"/>
          <w:bCs/>
          <w:color w:val="auto"/>
          <w:kern w:val="0"/>
          <w:sz w:val="32"/>
          <w:szCs w:val="32"/>
          <w:u w:val="none"/>
          <w:lang w:val="en-US" w:eastAsia="zh-CN" w:bidi="ar"/>
        </w:rPr>
        <w:t>不予受理情形。</w:t>
      </w:r>
      <w:r>
        <w:rPr>
          <w:rFonts w:hint="eastAsia" w:ascii="仿宋_GB2312" w:hAnsi="仿宋_GB2312" w:eastAsia="仿宋_GB2312" w:cs="仿宋_GB2312"/>
          <w:b w:val="0"/>
          <w:bCs/>
          <w:color w:val="auto"/>
          <w:kern w:val="0"/>
          <w:sz w:val="32"/>
          <w:szCs w:val="32"/>
          <w:u w:val="none"/>
          <w:lang w:val="en-US" w:eastAsia="zh-CN" w:bidi="ar"/>
        </w:rPr>
        <w:t>申请机构存在下列情形之一的，不予受理定点申请：</w:t>
      </w:r>
    </w:p>
    <w:p w14:paraId="59257BF5">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lang w:eastAsia="zh-CN"/>
        </w:rPr>
        <w:t>（</w:t>
      </w:r>
      <w:r>
        <w:rPr>
          <w:rFonts w:hint="eastAsia" w:ascii="仿宋_GB2312" w:hAnsi="仿宋_GB2312" w:eastAsia="仿宋_GB2312" w:cs="仿宋_GB2312"/>
          <w:color w:val="auto"/>
          <w:sz w:val="32"/>
          <w:szCs w:val="32"/>
          <w:u w:val="none"/>
          <w:lang w:val="en-US" w:eastAsia="zh-CN"/>
        </w:rPr>
        <w:t>一</w:t>
      </w:r>
      <w:r>
        <w:rPr>
          <w:rFonts w:hint="eastAsia" w:ascii="仿宋_GB2312" w:hAnsi="仿宋_GB2312" w:eastAsia="仿宋_GB2312" w:cs="仿宋_GB2312"/>
          <w:color w:val="auto"/>
          <w:sz w:val="32"/>
          <w:szCs w:val="32"/>
          <w:u w:val="none"/>
          <w:lang w:eastAsia="zh-CN"/>
        </w:rPr>
        <w:t>）</w:t>
      </w:r>
      <w:r>
        <w:rPr>
          <w:rFonts w:hint="eastAsia" w:ascii="仿宋_GB2312" w:hAnsi="仿宋_GB2312" w:eastAsia="仿宋_GB2312" w:cs="仿宋_GB2312"/>
          <w:color w:val="auto"/>
          <w:sz w:val="32"/>
          <w:szCs w:val="32"/>
          <w:u w:val="none"/>
        </w:rPr>
        <w:t>采取伪造、篡改申报材料等不正当手段申请定点，自发现之日起未满3年的；</w:t>
      </w:r>
    </w:p>
    <w:p w14:paraId="18C0E03C">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（二）处于违规解约限制期、行政处罚未履行完毕的；</w:t>
      </w:r>
    </w:p>
    <w:p w14:paraId="192346CD">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 xml:space="preserve">（三）法定代表人、实际控制人被列入严重失信主体名单的； </w:t>
      </w:r>
    </w:p>
    <w:p w14:paraId="20C1EE96">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 xml:space="preserve">（四）已从事长期护理保险护理服务或经办业务，未完成业务剥离的； </w:t>
      </w:r>
    </w:p>
    <w:p w14:paraId="6503A195">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eastAsia" w:ascii="仿宋_GB2312" w:hAnsi="仿宋_GB2312" w:eastAsia="仿宋_GB2312" w:cs="仿宋_GB2312"/>
          <w:b w:val="0"/>
          <w:bCs w:val="0"/>
          <w:color w:val="auto"/>
          <w:sz w:val="32"/>
          <w:szCs w:val="32"/>
          <w:u w:val="none"/>
        </w:rPr>
      </w:pPr>
      <w:r>
        <w:rPr>
          <w:rFonts w:hint="eastAsia" w:ascii="仿宋_GB2312" w:hAnsi="仿宋_GB2312" w:eastAsia="仿宋_GB2312" w:cs="仿宋_GB2312"/>
          <w:b w:val="0"/>
          <w:bCs w:val="0"/>
          <w:color w:val="auto"/>
          <w:sz w:val="32"/>
          <w:szCs w:val="32"/>
          <w:u w:val="none"/>
        </w:rPr>
        <w:t>（五）</w:t>
      </w:r>
      <w:r>
        <w:rPr>
          <w:rStyle w:val="9"/>
          <w:rFonts w:hint="eastAsia" w:ascii="仿宋_GB2312" w:hAnsi="仿宋_GB2312" w:eastAsia="仿宋_GB2312" w:cs="仿宋_GB2312"/>
          <w:b w:val="0"/>
          <w:bCs w:val="0"/>
          <w:color w:val="auto"/>
          <w:sz w:val="32"/>
          <w:szCs w:val="32"/>
          <w:u w:val="none"/>
        </w:rPr>
        <w:t>从业人员存在严重行业不良信用记录，或拒不执行回避制度的</w:t>
      </w:r>
      <w:r>
        <w:rPr>
          <w:rFonts w:hint="eastAsia" w:ascii="仿宋_GB2312" w:hAnsi="仿宋_GB2312" w:eastAsia="仿宋_GB2312" w:cs="仿宋_GB2312"/>
          <w:b w:val="0"/>
          <w:bCs w:val="0"/>
          <w:color w:val="auto"/>
          <w:sz w:val="32"/>
          <w:szCs w:val="32"/>
          <w:u w:val="none"/>
        </w:rPr>
        <w:t xml:space="preserve">； </w:t>
      </w:r>
    </w:p>
    <w:p w14:paraId="262A7A15">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eastAsia" w:ascii="仿宋_GB2312" w:hAnsi="仿宋_GB2312" w:eastAsia="仿宋_GB2312" w:cs="仿宋_GB2312"/>
          <w:b w:val="0"/>
          <w:bCs w:val="0"/>
          <w:color w:val="auto"/>
          <w:sz w:val="32"/>
          <w:szCs w:val="32"/>
          <w:u w:val="none"/>
        </w:rPr>
      </w:pPr>
      <w:r>
        <w:rPr>
          <w:rFonts w:hint="eastAsia" w:ascii="仿宋_GB2312" w:hAnsi="仿宋_GB2312" w:eastAsia="仿宋_GB2312" w:cs="仿宋_GB2312"/>
          <w:b w:val="0"/>
          <w:bCs w:val="0"/>
          <w:color w:val="auto"/>
          <w:sz w:val="32"/>
          <w:szCs w:val="32"/>
          <w:u w:val="none"/>
        </w:rPr>
        <w:t>（六）</w:t>
      </w:r>
      <w:r>
        <w:rPr>
          <w:rStyle w:val="9"/>
          <w:rFonts w:hint="eastAsia" w:ascii="仿宋_GB2312" w:hAnsi="仿宋_GB2312" w:eastAsia="仿宋_GB2312" w:cs="仿宋_GB2312"/>
          <w:b w:val="0"/>
          <w:bCs w:val="0"/>
          <w:color w:val="auto"/>
          <w:sz w:val="32"/>
          <w:szCs w:val="32"/>
          <w:u w:val="none"/>
        </w:rPr>
        <w:t>设立分支机构未单独履行定点申请，拟共用总部定点资质的</w:t>
      </w:r>
      <w:r>
        <w:rPr>
          <w:rFonts w:hint="eastAsia" w:ascii="仿宋_GB2312" w:hAnsi="仿宋_GB2312" w:eastAsia="仿宋_GB2312" w:cs="仿宋_GB2312"/>
          <w:b w:val="0"/>
          <w:bCs w:val="0"/>
          <w:color w:val="auto"/>
          <w:sz w:val="32"/>
          <w:szCs w:val="32"/>
          <w:u w:val="none"/>
        </w:rPr>
        <w:t xml:space="preserve">； </w:t>
      </w:r>
    </w:p>
    <w:p w14:paraId="36827FF3">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（七）其他不符合定点准入规定的情形。</w:t>
      </w:r>
    </w:p>
    <w:p w14:paraId="70410E4F">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60" w:lineRule="exact"/>
        <w:ind w:firstLine="643" w:firstLineChars="200"/>
        <w:jc w:val="left"/>
        <w:textAlignment w:val="auto"/>
        <w:rPr>
          <w:rFonts w:hint="eastAsia" w:ascii="仿宋_GB2312" w:hAnsi="仿宋_GB2312" w:eastAsia="仿宋_GB2312" w:cs="仿宋_GB2312"/>
          <w:b w:val="0"/>
          <w:bCs/>
          <w:color w:val="auto"/>
          <w:sz w:val="32"/>
          <w:szCs w:val="32"/>
          <w:u w:val="none"/>
        </w:rPr>
      </w:pPr>
      <w:r>
        <w:rPr>
          <w:rStyle w:val="9"/>
          <w:rFonts w:hint="eastAsia" w:ascii="楷体_GB2312" w:hAnsi="楷体_GB2312" w:eastAsia="楷体_GB2312" w:cs="楷体_GB2312"/>
          <w:color w:val="auto"/>
          <w:kern w:val="0"/>
          <w:sz w:val="32"/>
          <w:szCs w:val="32"/>
          <w:u w:val="none"/>
          <w:lang w:val="en-US" w:eastAsia="zh-CN" w:bidi="ar"/>
        </w:rPr>
        <w:t>第八条</w:t>
      </w:r>
      <w:r>
        <w:rPr>
          <w:rStyle w:val="9"/>
          <w:rFonts w:hint="eastAsia" w:ascii="仿宋_GB2312" w:hAnsi="仿宋_GB2312" w:eastAsia="仿宋_GB2312" w:cs="仿宋_GB2312"/>
          <w:color w:val="auto"/>
          <w:kern w:val="0"/>
          <w:sz w:val="32"/>
          <w:szCs w:val="32"/>
          <w:u w:val="none"/>
          <w:lang w:val="en-US" w:eastAsia="zh-CN" w:bidi="ar"/>
        </w:rPr>
        <w:t xml:space="preserve"> </w:t>
      </w:r>
      <w:r>
        <w:rPr>
          <w:rStyle w:val="9"/>
          <w:rFonts w:hint="eastAsia" w:ascii="仿宋_GB2312" w:hAnsi="仿宋_GB2312" w:eastAsia="仿宋_GB2312" w:cs="仿宋_GB2312"/>
          <w:b w:val="0"/>
          <w:bCs/>
          <w:color w:val="auto"/>
          <w:kern w:val="0"/>
          <w:sz w:val="32"/>
          <w:szCs w:val="32"/>
          <w:u w:val="none"/>
          <w:lang w:val="en-US" w:eastAsia="zh-CN" w:bidi="ar"/>
        </w:rPr>
        <w:t>申报渠道及材料清单。</w:t>
      </w:r>
      <w:r>
        <w:rPr>
          <w:rFonts w:hint="eastAsia" w:ascii="仿宋_GB2312" w:hAnsi="仿宋_GB2312" w:eastAsia="仿宋_GB2312" w:cs="仿宋_GB2312"/>
          <w:b w:val="0"/>
          <w:bCs/>
          <w:color w:val="auto"/>
          <w:kern w:val="0"/>
          <w:sz w:val="32"/>
          <w:szCs w:val="32"/>
          <w:u w:val="none"/>
          <w:lang w:val="en-US" w:eastAsia="zh-CN" w:bidi="ar"/>
        </w:rPr>
        <w:t>评估机构可自愿向注册地所属县（市、区）医保经办机构提交定点申请，所有申报材料应加盖申请机构公章，具体包括：</w:t>
      </w:r>
    </w:p>
    <w:p w14:paraId="031FB91E">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kern w:val="0"/>
          <w:sz w:val="32"/>
          <w:szCs w:val="32"/>
          <w:u w:val="none"/>
          <w:lang w:val="en-US" w:eastAsia="zh-CN" w:bidi="ar"/>
        </w:rPr>
        <w:t>（一）主体材料：定点申请表、法人登记证照（营业执照/事业单位法人证书/民办非企业登记证书，医疗机构同步提供《医疗机构执业许可证》），法定代表人（实际控制人）身份证件、失信情况承诺书；</w:t>
      </w:r>
    </w:p>
    <w:p w14:paraId="17C84738">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kern w:val="0"/>
          <w:sz w:val="32"/>
          <w:szCs w:val="32"/>
          <w:u w:val="none"/>
          <w:lang w:val="en-US" w:eastAsia="zh-CN" w:bidi="ar"/>
        </w:rPr>
        <w:t>（二）场地材料：经营场所产权证明或有效期内房屋租赁合同；</w:t>
      </w:r>
    </w:p>
    <w:p w14:paraId="75287503">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kern w:val="0"/>
          <w:sz w:val="32"/>
          <w:szCs w:val="32"/>
          <w:u w:val="none"/>
          <w:lang w:val="en-US" w:eastAsia="zh-CN" w:bidi="ar"/>
        </w:rPr>
        <w:t>（三）人员材料：从业人员花名册、执业资质证书、劳动合同及在岗佐证材料；</w:t>
      </w:r>
    </w:p>
    <w:p w14:paraId="6B961743">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eastAsia" w:ascii="宋体" w:hAnsi="宋体" w:eastAsia="宋体" w:cs="宋体"/>
          <w:color w:val="auto"/>
          <w:sz w:val="24"/>
          <w:szCs w:val="24"/>
          <w:u w:val="none"/>
          <w:lang w:val="en-US" w:eastAsia="zh-CN"/>
        </w:rPr>
      </w:pPr>
      <w:r>
        <w:rPr>
          <w:rFonts w:hint="eastAsia" w:ascii="仿宋_GB2312" w:hAnsi="仿宋_GB2312" w:eastAsia="仿宋_GB2312" w:cs="仿宋_GB2312"/>
          <w:color w:val="auto"/>
          <w:kern w:val="0"/>
          <w:sz w:val="32"/>
          <w:szCs w:val="32"/>
          <w:u w:val="none"/>
          <w:lang w:val="en-US" w:eastAsia="zh-CN" w:bidi="ar"/>
        </w:rPr>
        <w:t>（四）信息化材料：</w:t>
      </w:r>
      <w:r>
        <w:rPr>
          <w:rFonts w:hint="eastAsia" w:ascii="仿宋_GB2312" w:hAnsi="仿宋_GB2312" w:eastAsia="仿宋_GB2312" w:cs="仿宋_GB2312"/>
          <w:color w:val="auto"/>
          <w:sz w:val="32"/>
          <w:szCs w:val="32"/>
          <w:u w:val="none"/>
        </w:rPr>
        <w:t>具备全国统一的医疗保障信息平台长期护理保险相关功能模块对接条件的情况说明，或按全国统一接口规范完成系统对接的承诺书</w:t>
      </w:r>
      <w:r>
        <w:rPr>
          <w:rFonts w:hint="eastAsia" w:ascii="仿宋_GB2312" w:hAnsi="仿宋_GB2312" w:eastAsia="仿宋_GB2312" w:cs="仿宋_GB2312"/>
          <w:color w:val="auto"/>
          <w:sz w:val="32"/>
          <w:szCs w:val="32"/>
          <w:u w:val="none"/>
          <w:lang w:eastAsia="zh-CN"/>
        </w:rPr>
        <w:t>；</w:t>
      </w:r>
      <w:r>
        <w:rPr>
          <w:rFonts w:hint="eastAsia" w:ascii="宋体" w:hAnsi="宋体" w:eastAsia="宋体" w:cs="宋体"/>
          <w:color w:val="auto"/>
          <w:sz w:val="24"/>
          <w:szCs w:val="24"/>
          <w:u w:val="none"/>
          <w:lang w:val="en-US" w:eastAsia="zh-CN"/>
        </w:rPr>
        <w:t xml:space="preserve"> </w:t>
      </w:r>
      <w:r>
        <w:rPr>
          <w:rFonts w:hint="eastAsia" w:ascii="宋体" w:hAnsi="宋体" w:eastAsia="宋体" w:cs="宋体"/>
          <w:color w:val="auto"/>
          <w:sz w:val="24"/>
          <w:szCs w:val="24"/>
          <w:u w:val="none"/>
          <w:lang w:val="en-US" w:eastAsia="zh-CN"/>
        </w:rPr>
        <w:t xml:space="preserve"> </w:t>
      </w:r>
    </w:p>
    <w:p w14:paraId="49EF3AB6">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kern w:val="0"/>
          <w:sz w:val="32"/>
          <w:szCs w:val="32"/>
          <w:u w:val="none"/>
          <w:lang w:val="en-US" w:eastAsia="zh-CN" w:bidi="ar"/>
        </w:rPr>
        <w:t>（五）制度材料：全套内部管理制度汇编；</w:t>
      </w:r>
    </w:p>
    <w:p w14:paraId="0B8C5927">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kern w:val="0"/>
          <w:sz w:val="32"/>
          <w:szCs w:val="32"/>
          <w:u w:val="none"/>
          <w:lang w:val="en-US" w:eastAsia="zh-CN" w:bidi="ar"/>
        </w:rPr>
        <w:t>（六）运营材料：机构连续正常运营满3个月的佐证材料。</w:t>
      </w:r>
    </w:p>
    <w:p w14:paraId="5F9C5821">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3" w:firstLineChars="200"/>
        <w:jc w:val="left"/>
        <w:textAlignment w:val="auto"/>
        <w:rPr>
          <w:rFonts w:hint="eastAsia" w:ascii="仿宋_GB2312" w:hAnsi="仿宋_GB2312" w:eastAsia="仿宋_GB2312" w:cs="仿宋_GB2312"/>
          <w:b w:val="0"/>
          <w:bCs/>
          <w:color w:val="auto"/>
          <w:sz w:val="32"/>
          <w:szCs w:val="32"/>
          <w:u w:val="none"/>
        </w:rPr>
      </w:pPr>
      <w:r>
        <w:rPr>
          <w:rStyle w:val="9"/>
          <w:rFonts w:hint="eastAsia" w:ascii="楷体_GB2312" w:hAnsi="楷体_GB2312" w:eastAsia="楷体_GB2312" w:cs="楷体_GB2312"/>
          <w:color w:val="auto"/>
          <w:kern w:val="0"/>
          <w:sz w:val="32"/>
          <w:szCs w:val="32"/>
          <w:u w:val="none"/>
          <w:lang w:val="en-US" w:eastAsia="zh-CN" w:bidi="ar"/>
        </w:rPr>
        <w:t>第九条</w:t>
      </w:r>
      <w:r>
        <w:rPr>
          <w:rStyle w:val="9"/>
          <w:rFonts w:hint="eastAsia" w:ascii="仿宋_GB2312" w:hAnsi="仿宋_GB2312" w:eastAsia="仿宋_GB2312" w:cs="仿宋_GB2312"/>
          <w:color w:val="auto"/>
          <w:kern w:val="0"/>
          <w:sz w:val="32"/>
          <w:szCs w:val="32"/>
          <w:u w:val="none"/>
          <w:lang w:val="en-US" w:eastAsia="zh-CN" w:bidi="ar"/>
        </w:rPr>
        <w:t xml:space="preserve"> </w:t>
      </w:r>
      <w:r>
        <w:rPr>
          <w:rStyle w:val="9"/>
          <w:rFonts w:hint="eastAsia" w:ascii="仿宋_GB2312" w:hAnsi="仿宋_GB2312" w:eastAsia="仿宋_GB2312" w:cs="仿宋_GB2312"/>
          <w:b w:val="0"/>
          <w:bCs/>
          <w:color w:val="auto"/>
          <w:kern w:val="0"/>
          <w:sz w:val="32"/>
          <w:szCs w:val="32"/>
          <w:u w:val="none"/>
          <w:lang w:val="en-US" w:eastAsia="zh-CN" w:bidi="ar"/>
        </w:rPr>
        <w:t>定点确定程序。</w:t>
      </w:r>
    </w:p>
    <w:p w14:paraId="4AC6FDFF">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kern w:val="0"/>
          <w:sz w:val="32"/>
          <w:szCs w:val="32"/>
          <w:u w:val="none"/>
          <w:lang w:val="en-US" w:eastAsia="zh-CN" w:bidi="ar"/>
        </w:rPr>
        <w:t>（一）属地初审。各级医保经办机构自收到申请之日起5个工作日内完成初审，材料不全的一次性告知补正，不符合条件的即时告知并说明理由。</w:t>
      </w:r>
    </w:p>
    <w:p w14:paraId="1103A756">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kern w:val="0"/>
          <w:sz w:val="32"/>
          <w:szCs w:val="32"/>
          <w:u w:val="none"/>
          <w:lang w:val="en-US" w:eastAsia="zh-CN" w:bidi="ar"/>
        </w:rPr>
        <w:t>（二）市级评审。初审合格的，由市医保经办机构组建单数且不少于5人的评审小组（涵盖长护管理、养老服务、医药卫生、财务、信息技术等专业人员），通过书面审核、现场勘验、集体评议等方式开展综合评审，整体评审时限不超过3个月，审核不通过的书面告知不予定点理由。</w:t>
      </w:r>
    </w:p>
    <w:p w14:paraId="7CA677C5">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kern w:val="0"/>
          <w:sz w:val="32"/>
          <w:szCs w:val="32"/>
          <w:u w:val="none"/>
          <w:lang w:val="en-US" w:eastAsia="zh-CN" w:bidi="ar"/>
        </w:rPr>
        <w:t>（三）备案公示。评审结果报同级医保行政部门备案，并在景德镇市医疗保障局官方微信公众号对拟定点机构名单公示，公示期不少于5个工作日。</w:t>
      </w:r>
    </w:p>
    <w:p w14:paraId="10BBEFD6">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kern w:val="0"/>
          <w:sz w:val="32"/>
          <w:szCs w:val="32"/>
          <w:u w:val="none"/>
          <w:lang w:val="en-US" w:eastAsia="zh-CN" w:bidi="ar"/>
        </w:rPr>
        <w:t>（四）签约备案。公示无异议的，</w:t>
      </w:r>
      <w:r>
        <w:rPr>
          <w:rFonts w:hint="eastAsia" w:ascii="仿宋_GB2312" w:hAnsi="仿宋_GB2312" w:eastAsia="仿宋_GB2312" w:cs="仿宋_GB2312"/>
          <w:color w:val="auto"/>
          <w:kern w:val="0"/>
          <w:sz w:val="32"/>
          <w:szCs w:val="32"/>
          <w:u w:val="none"/>
          <w:lang w:bidi="ar"/>
        </w:rPr>
        <w:t>由市医疗保障经办机构统一或委托</w:t>
      </w:r>
      <w:r>
        <w:rPr>
          <w:rFonts w:hint="eastAsia" w:ascii="仿宋_GB2312" w:hAnsi="仿宋_GB2312" w:eastAsia="仿宋_GB2312" w:cs="仿宋_GB2312"/>
          <w:color w:val="auto"/>
          <w:kern w:val="0"/>
          <w:sz w:val="32"/>
          <w:szCs w:val="32"/>
          <w:u w:val="none"/>
          <w:lang w:val="en-US" w:eastAsia="zh-CN" w:bidi="ar"/>
        </w:rPr>
        <w:t>属地医保经办机构</w:t>
      </w:r>
      <w:r>
        <w:rPr>
          <w:rFonts w:hint="eastAsia" w:ascii="仿宋_GB2312" w:hAnsi="仿宋_GB2312" w:eastAsia="仿宋_GB2312" w:cs="仿宋_GB2312"/>
          <w:color w:val="auto"/>
          <w:kern w:val="0"/>
          <w:sz w:val="32"/>
          <w:szCs w:val="32"/>
          <w:u w:val="none"/>
          <w:lang w:val="en-US" w:eastAsia="zh-CN" w:bidi="ar"/>
        </w:rPr>
        <w:t>与其签订定点服务协议，并向同级医保行政部门备案；逾期无正当理由未签约的，视为自动放弃定点资格。对公示期间收到异议的，由经办机构组织核查并依规处置。</w:t>
      </w:r>
    </w:p>
    <w:p w14:paraId="06321B3F">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kern w:val="0"/>
          <w:sz w:val="32"/>
          <w:szCs w:val="32"/>
          <w:u w:val="none"/>
          <w:lang w:val="en-US" w:eastAsia="zh-CN" w:bidi="ar"/>
        </w:rPr>
        <w:t>（五）结果公布。协议签订完成后，由市医保经办机构统一向社会公布定点评估机构名单，主动接受社会监督。定点机构发生协议中止、终止、解除、重大信息变更等情况的，及时更新公示信息。</w:t>
      </w:r>
    </w:p>
    <w:p w14:paraId="31F943C9">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3" w:firstLineChars="200"/>
        <w:jc w:val="left"/>
        <w:textAlignment w:val="auto"/>
        <w:rPr>
          <w:rFonts w:hint="eastAsia" w:ascii="仿宋_GB2312" w:hAnsi="仿宋_GB2312" w:eastAsia="仿宋_GB2312" w:cs="仿宋_GB2312"/>
          <w:color w:val="auto"/>
          <w:kern w:val="0"/>
          <w:sz w:val="32"/>
          <w:szCs w:val="32"/>
          <w:u w:val="none"/>
          <w:lang w:val="en-US" w:eastAsia="zh-CN" w:bidi="ar"/>
        </w:rPr>
      </w:pPr>
      <w:r>
        <w:rPr>
          <w:rStyle w:val="9"/>
          <w:rFonts w:hint="eastAsia" w:ascii="楷体_GB2312" w:hAnsi="楷体_GB2312" w:eastAsia="楷体_GB2312" w:cs="楷体_GB2312"/>
          <w:color w:val="auto"/>
          <w:kern w:val="0"/>
          <w:sz w:val="32"/>
          <w:szCs w:val="32"/>
          <w:u w:val="none"/>
          <w:lang w:val="en-US" w:eastAsia="zh-CN" w:bidi="ar"/>
        </w:rPr>
        <w:t>第十条</w:t>
      </w:r>
      <w:r>
        <w:rPr>
          <w:rStyle w:val="9"/>
          <w:rFonts w:hint="eastAsia" w:ascii="仿宋_GB2312" w:hAnsi="仿宋_GB2312" w:eastAsia="仿宋_GB2312" w:cs="仿宋_GB2312"/>
          <w:color w:val="auto"/>
          <w:kern w:val="0"/>
          <w:sz w:val="32"/>
          <w:szCs w:val="32"/>
          <w:u w:val="none"/>
          <w:lang w:val="en-US" w:eastAsia="zh-CN" w:bidi="ar"/>
        </w:rPr>
        <w:t xml:space="preserve"> </w:t>
      </w:r>
      <w:r>
        <w:rPr>
          <w:rStyle w:val="9"/>
          <w:rFonts w:hint="eastAsia" w:ascii="仿宋_GB2312" w:hAnsi="仿宋_GB2312" w:eastAsia="仿宋_GB2312" w:cs="仿宋_GB2312"/>
          <w:b w:val="0"/>
          <w:bCs/>
          <w:color w:val="auto"/>
          <w:kern w:val="0"/>
          <w:sz w:val="32"/>
          <w:szCs w:val="32"/>
          <w:u w:val="none"/>
          <w:lang w:val="en-US" w:eastAsia="zh-CN" w:bidi="ar"/>
        </w:rPr>
        <w:t>服务协议管理。</w:t>
      </w:r>
      <w:r>
        <w:rPr>
          <w:rFonts w:hint="eastAsia" w:ascii="仿宋_GB2312" w:hAnsi="仿宋_GB2312" w:eastAsia="仿宋_GB2312" w:cs="仿宋_GB2312"/>
          <w:color w:val="auto"/>
          <w:kern w:val="0"/>
          <w:sz w:val="32"/>
          <w:szCs w:val="32"/>
          <w:u w:val="none"/>
          <w:lang w:val="en-US" w:eastAsia="zh-CN" w:bidi="ar"/>
        </w:rPr>
        <w:t>定点服务协议由市医保经办机构统一制定，协议有效期一般为1年。协议应当明确双方权利义务、评估服务规范、费用结算标准、质控管理要求、协议中止、终止、解除、违约责任及争议处理等内容。协议期满需要续签的，定点机构应提前3个月提交续签申请，由医保经办机构结合年度考核及履约情况确定是否续签。</w:t>
      </w:r>
    </w:p>
    <w:p w14:paraId="3C00588D">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color w:val="auto"/>
          <w:sz w:val="32"/>
          <w:szCs w:val="32"/>
          <w:u w:val="none"/>
        </w:rPr>
      </w:pPr>
      <w:r>
        <w:rPr>
          <w:rFonts w:hint="eastAsia" w:ascii="黑体" w:hAnsi="黑体" w:eastAsia="黑体" w:cs="黑体"/>
          <w:color w:val="auto"/>
          <w:sz w:val="32"/>
          <w:szCs w:val="32"/>
          <w:u w:val="none"/>
        </w:rPr>
        <w:t>第三章 运行规范管理</w:t>
      </w:r>
    </w:p>
    <w:p w14:paraId="2DC184ED">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3" w:firstLineChars="200"/>
        <w:jc w:val="left"/>
        <w:textAlignment w:val="auto"/>
        <w:rPr>
          <w:rFonts w:hint="eastAsia" w:ascii="仿宋_GB2312" w:hAnsi="仿宋_GB2312" w:eastAsia="仿宋_GB2312" w:cs="仿宋_GB2312"/>
          <w:color w:val="auto"/>
          <w:sz w:val="32"/>
          <w:szCs w:val="32"/>
          <w:u w:val="none"/>
        </w:rPr>
      </w:pPr>
      <w:r>
        <w:rPr>
          <w:rStyle w:val="9"/>
          <w:rFonts w:hint="eastAsia" w:ascii="楷体_GB2312" w:hAnsi="楷体_GB2312" w:eastAsia="楷体_GB2312" w:cs="楷体_GB2312"/>
          <w:color w:val="auto"/>
          <w:kern w:val="0"/>
          <w:sz w:val="32"/>
          <w:szCs w:val="32"/>
          <w:u w:val="none"/>
          <w:lang w:val="en-US" w:eastAsia="zh-CN" w:bidi="ar"/>
        </w:rPr>
        <w:t xml:space="preserve">第十一条 </w:t>
      </w:r>
      <w:r>
        <w:rPr>
          <w:rStyle w:val="9"/>
          <w:rFonts w:hint="eastAsia" w:ascii="仿宋_GB2312" w:hAnsi="仿宋_GB2312" w:eastAsia="仿宋_GB2312" w:cs="仿宋_GB2312"/>
          <w:b w:val="0"/>
          <w:bCs/>
          <w:color w:val="auto"/>
          <w:kern w:val="0"/>
          <w:sz w:val="32"/>
          <w:szCs w:val="32"/>
          <w:u w:val="none"/>
          <w:lang w:val="en-US" w:eastAsia="zh-CN" w:bidi="ar"/>
        </w:rPr>
        <w:t>评估质控管理。</w:t>
      </w:r>
      <w:r>
        <w:rPr>
          <w:rFonts w:hint="eastAsia" w:ascii="仿宋_GB2312" w:hAnsi="仿宋_GB2312" w:eastAsia="仿宋_GB2312" w:cs="仿宋_GB2312"/>
          <w:b w:val="0"/>
          <w:bCs/>
          <w:color w:val="auto"/>
          <w:sz w:val="32"/>
          <w:szCs w:val="32"/>
          <w:u w:val="none"/>
        </w:rPr>
        <w:t>定点</w:t>
      </w:r>
      <w:r>
        <w:rPr>
          <w:rFonts w:hint="eastAsia" w:ascii="仿宋_GB2312" w:hAnsi="仿宋_GB2312" w:eastAsia="仿宋_GB2312" w:cs="仿宋_GB2312"/>
          <w:color w:val="auto"/>
          <w:sz w:val="32"/>
          <w:szCs w:val="32"/>
          <w:u w:val="none"/>
        </w:rPr>
        <w:t>评估机构应当严格执行双人现场评估制度，每次现场评估配备不少于2名持证评估人员，其中至少1名</w:t>
      </w:r>
      <w:r>
        <w:rPr>
          <w:rFonts w:hint="eastAsia" w:ascii="仿宋_GB2312" w:hAnsi="仿宋_GB2312" w:eastAsia="仿宋_GB2312" w:cs="仿宋_GB2312"/>
          <w:color w:val="auto"/>
          <w:sz w:val="32"/>
          <w:szCs w:val="32"/>
          <w:u w:val="none"/>
          <w:lang w:eastAsia="zh-CN"/>
        </w:rPr>
        <w:t>应</w:t>
      </w:r>
      <w:r>
        <w:rPr>
          <w:rFonts w:hint="eastAsia" w:ascii="仿宋_GB2312" w:hAnsi="仿宋_GB2312" w:eastAsia="仿宋_GB2312" w:cs="仿宋_GB2312"/>
          <w:color w:val="auto"/>
          <w:sz w:val="32"/>
          <w:szCs w:val="32"/>
          <w:u w:val="none"/>
        </w:rPr>
        <w:t>为符合本细则准入标准的评估专家；对标准界定模糊、病情复杂、存在争议的疑难评估案例，</w:t>
      </w:r>
      <w:r>
        <w:rPr>
          <w:rFonts w:hint="eastAsia" w:ascii="仿宋_GB2312" w:hAnsi="仿宋_GB2312" w:eastAsia="仿宋_GB2312" w:cs="仿宋_GB2312"/>
          <w:color w:val="auto"/>
          <w:sz w:val="32"/>
          <w:szCs w:val="32"/>
          <w:u w:val="none"/>
        </w:rPr>
        <w:t>应当组织不少于2名</w:t>
      </w:r>
      <w:r>
        <w:rPr>
          <w:rFonts w:hint="eastAsia" w:ascii="仿宋_GB2312" w:hAnsi="仿宋_GB2312" w:eastAsia="仿宋_GB2312" w:cs="仿宋_GB2312"/>
          <w:color w:val="auto"/>
          <w:sz w:val="32"/>
          <w:szCs w:val="32"/>
          <w:u w:val="none"/>
          <w:lang w:val="en-US" w:eastAsia="zh-CN"/>
        </w:rPr>
        <w:t>不同</w:t>
      </w:r>
      <w:r>
        <w:rPr>
          <w:rFonts w:hint="eastAsia" w:ascii="仿宋_GB2312" w:hAnsi="仿宋_GB2312" w:eastAsia="仿宋_GB2312" w:cs="仿宋_GB2312"/>
          <w:color w:val="auto"/>
          <w:sz w:val="32"/>
          <w:szCs w:val="32"/>
          <w:u w:val="none"/>
        </w:rPr>
        <w:t>评估专家开展集体合议研判，</w:t>
      </w:r>
      <w:r>
        <w:rPr>
          <w:rFonts w:hint="eastAsia" w:ascii="仿宋_GB2312" w:hAnsi="仿宋_GB2312" w:eastAsia="仿宋_GB2312" w:cs="仿宋_GB2312"/>
          <w:color w:val="auto"/>
          <w:sz w:val="32"/>
          <w:szCs w:val="32"/>
          <w:u w:val="none"/>
        </w:rPr>
        <w:t>并完整留存合议全流程记录；同时建立健全内部质量控制台账，常态化开展评估工作自评自查与质量管控，确保评估工作全程合规、结论客观公正。严格遵守办理时限要求，评估结论书原则上自申请受理之日起30个工作日内送达评估对象。</w:t>
      </w:r>
    </w:p>
    <w:p w14:paraId="3CDF394F">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3" w:firstLineChars="200"/>
        <w:jc w:val="left"/>
        <w:textAlignment w:val="auto"/>
        <w:rPr>
          <w:rFonts w:hint="eastAsia" w:ascii="仿宋_GB2312" w:hAnsi="仿宋_GB2312" w:eastAsia="仿宋_GB2312" w:cs="仿宋_GB2312"/>
          <w:color w:val="auto"/>
          <w:sz w:val="32"/>
          <w:szCs w:val="32"/>
          <w:u w:val="none"/>
        </w:rPr>
      </w:pPr>
      <w:r>
        <w:rPr>
          <w:rStyle w:val="9"/>
          <w:rFonts w:hint="eastAsia" w:ascii="楷体_GB2312" w:hAnsi="楷体_GB2312" w:eastAsia="楷体_GB2312" w:cs="楷体_GB2312"/>
          <w:color w:val="auto"/>
          <w:kern w:val="0"/>
          <w:sz w:val="32"/>
          <w:szCs w:val="32"/>
          <w:u w:val="none"/>
          <w:lang w:val="en-US" w:eastAsia="zh-CN" w:bidi="ar"/>
        </w:rPr>
        <w:t>第十二条</w:t>
      </w:r>
      <w:r>
        <w:rPr>
          <w:rStyle w:val="9"/>
          <w:rFonts w:hint="eastAsia" w:ascii="楷体_GB2312" w:hAnsi="楷体_GB2312" w:eastAsia="楷体_GB2312" w:cs="楷体_GB2312"/>
          <w:b w:val="0"/>
          <w:bCs/>
          <w:color w:val="auto"/>
          <w:kern w:val="0"/>
          <w:sz w:val="32"/>
          <w:szCs w:val="32"/>
          <w:u w:val="none"/>
          <w:lang w:val="en-US" w:eastAsia="zh-CN" w:bidi="ar"/>
        </w:rPr>
        <w:t xml:space="preserve"> </w:t>
      </w:r>
      <w:r>
        <w:rPr>
          <w:rStyle w:val="9"/>
          <w:rFonts w:hint="eastAsia" w:ascii="仿宋_GB2312" w:hAnsi="仿宋_GB2312" w:eastAsia="仿宋_GB2312" w:cs="仿宋_GB2312"/>
          <w:b w:val="0"/>
          <w:bCs/>
          <w:color w:val="auto"/>
          <w:kern w:val="0"/>
          <w:sz w:val="32"/>
          <w:szCs w:val="32"/>
          <w:u w:val="none"/>
          <w:lang w:val="en-US" w:eastAsia="zh-CN" w:bidi="ar"/>
        </w:rPr>
        <w:t>人员动态管理。</w:t>
      </w:r>
      <w:r>
        <w:rPr>
          <w:rFonts w:hint="eastAsia" w:ascii="仿宋_GB2312" w:hAnsi="仿宋_GB2312" w:eastAsia="仿宋_GB2312" w:cs="仿宋_GB2312"/>
          <w:color w:val="auto"/>
          <w:sz w:val="32"/>
          <w:szCs w:val="32"/>
          <w:u w:val="none"/>
        </w:rPr>
        <w:t>评估人员发生增减、离岗、变更等异动情况的，机构应当在3个工作日内向属地医疗保障经办机构书面报备。在岗专职评估人员数量达不到本细则配置标准的，医保经办机构暂停受理该机构新增评估业务，下达整改通知，整改期限</w:t>
      </w:r>
      <w:r>
        <w:rPr>
          <w:rFonts w:hint="eastAsia" w:ascii="仿宋_GB2312" w:hAnsi="仿宋_GB2312" w:eastAsia="仿宋_GB2312" w:cs="仿宋_GB2312"/>
          <w:color w:val="auto"/>
          <w:sz w:val="32"/>
          <w:szCs w:val="32"/>
          <w:u w:val="none"/>
          <w:lang w:val="en-US" w:eastAsia="zh-CN"/>
        </w:rPr>
        <w:t>3个月</w:t>
      </w:r>
      <w:r>
        <w:rPr>
          <w:rFonts w:hint="eastAsia" w:ascii="仿宋_GB2312" w:hAnsi="仿宋_GB2312" w:eastAsia="仿宋_GB2312" w:cs="仿宋_GB2312"/>
          <w:color w:val="auto"/>
          <w:sz w:val="32"/>
          <w:szCs w:val="32"/>
          <w:u w:val="none"/>
        </w:rPr>
        <w:t>；逾期仍未整改到位的，依规采取中止协议、解除定点等处置措施。全体评估从业人员应当按市级</w:t>
      </w:r>
      <w:r>
        <w:rPr>
          <w:rFonts w:hint="eastAsia" w:ascii="仿宋_GB2312" w:hAnsi="仿宋_GB2312" w:eastAsia="仿宋_GB2312" w:cs="仿宋_GB2312"/>
          <w:color w:val="auto"/>
          <w:sz w:val="32"/>
          <w:szCs w:val="32"/>
          <w:u w:val="none"/>
          <w:lang w:val="en-US" w:eastAsia="zh-CN"/>
        </w:rPr>
        <w:t>医保</w:t>
      </w:r>
      <w:r>
        <w:rPr>
          <w:rFonts w:hint="eastAsia" w:ascii="仿宋_GB2312" w:hAnsi="仿宋_GB2312" w:eastAsia="仿宋_GB2312" w:cs="仿宋_GB2312"/>
          <w:color w:val="auto"/>
          <w:sz w:val="32"/>
          <w:szCs w:val="32"/>
          <w:u w:val="none"/>
        </w:rPr>
        <w:t>部门统一安排参加年度继续教育，不得同时在两家及以上定点评估机构执业</w:t>
      </w:r>
      <w:r>
        <w:rPr>
          <w:rFonts w:hint="eastAsia" w:ascii="仿宋_GB2312" w:hAnsi="仿宋_GB2312" w:eastAsia="仿宋_GB2312" w:cs="仿宋_GB2312"/>
          <w:color w:val="auto"/>
          <w:kern w:val="0"/>
          <w:sz w:val="32"/>
          <w:szCs w:val="32"/>
          <w:u w:val="none"/>
          <w:lang w:val="en-US" w:eastAsia="zh-CN" w:bidi="ar"/>
        </w:rPr>
        <w:t>。</w:t>
      </w:r>
    </w:p>
    <w:p w14:paraId="12332C23">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3" w:firstLineChars="200"/>
        <w:jc w:val="left"/>
        <w:textAlignment w:val="auto"/>
        <w:rPr>
          <w:rFonts w:hint="eastAsia" w:ascii="仿宋_GB2312" w:hAnsi="仿宋_GB2312" w:eastAsia="仿宋_GB2312" w:cs="仿宋_GB2312"/>
          <w:color w:val="auto"/>
          <w:sz w:val="32"/>
          <w:szCs w:val="32"/>
          <w:u w:val="none"/>
        </w:rPr>
      </w:pPr>
      <w:r>
        <w:rPr>
          <w:rStyle w:val="9"/>
          <w:rFonts w:hint="eastAsia" w:ascii="楷体_GB2312" w:hAnsi="楷体_GB2312" w:eastAsia="楷体_GB2312" w:cs="楷体_GB2312"/>
          <w:color w:val="auto"/>
          <w:kern w:val="0"/>
          <w:sz w:val="32"/>
          <w:szCs w:val="32"/>
          <w:u w:val="none"/>
          <w:lang w:val="en-US" w:eastAsia="zh-CN" w:bidi="ar"/>
        </w:rPr>
        <w:t xml:space="preserve">第十三条 </w:t>
      </w:r>
      <w:r>
        <w:rPr>
          <w:rStyle w:val="9"/>
          <w:rFonts w:hint="eastAsia" w:ascii="仿宋_GB2312" w:hAnsi="仿宋_GB2312" w:eastAsia="仿宋_GB2312" w:cs="仿宋_GB2312"/>
          <w:b w:val="0"/>
          <w:bCs/>
          <w:color w:val="auto"/>
          <w:kern w:val="0"/>
          <w:sz w:val="32"/>
          <w:szCs w:val="32"/>
          <w:u w:val="none"/>
          <w:lang w:val="en-US" w:eastAsia="zh-CN" w:bidi="ar"/>
        </w:rPr>
        <w:t>结算资料管理。</w:t>
      </w:r>
      <w:r>
        <w:rPr>
          <w:rFonts w:hint="eastAsia" w:ascii="仿宋_GB2312" w:hAnsi="仿宋_GB2312" w:eastAsia="仿宋_GB2312" w:cs="仿宋_GB2312"/>
          <w:color w:val="auto"/>
          <w:kern w:val="0"/>
          <w:sz w:val="32"/>
          <w:szCs w:val="32"/>
          <w:u w:val="none"/>
          <w:lang w:val="en-US" w:eastAsia="zh-CN" w:bidi="ar"/>
        </w:rPr>
        <w:t>评估服务收费、费用结算严格按照定点服务协议约定执行，定点机构应当按规范及时、准确、完整报送结算资料，配合经办机构开展费用审核。</w:t>
      </w:r>
    </w:p>
    <w:p w14:paraId="12DB5450">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3" w:firstLineChars="200"/>
        <w:jc w:val="left"/>
        <w:textAlignment w:val="auto"/>
        <w:rPr>
          <w:rFonts w:hint="eastAsia" w:ascii="仿宋_GB2312" w:hAnsi="仿宋_GB2312" w:eastAsia="仿宋_GB2312" w:cs="仿宋_GB2312"/>
          <w:color w:val="auto"/>
          <w:sz w:val="32"/>
          <w:szCs w:val="32"/>
          <w:u w:val="none"/>
        </w:rPr>
      </w:pPr>
      <w:r>
        <w:rPr>
          <w:rStyle w:val="9"/>
          <w:rFonts w:hint="eastAsia" w:ascii="楷体_GB2312" w:hAnsi="楷体_GB2312" w:eastAsia="楷体_GB2312" w:cs="楷体_GB2312"/>
          <w:color w:val="auto"/>
          <w:kern w:val="0"/>
          <w:sz w:val="32"/>
          <w:szCs w:val="32"/>
          <w:u w:val="none"/>
          <w:lang w:val="en-US" w:eastAsia="zh-CN" w:bidi="ar"/>
        </w:rPr>
        <w:t>第十四条</w:t>
      </w:r>
      <w:r>
        <w:rPr>
          <w:rStyle w:val="9"/>
          <w:rFonts w:hint="eastAsia" w:ascii="仿宋_GB2312" w:hAnsi="仿宋_GB2312" w:eastAsia="仿宋_GB2312" w:cs="仿宋_GB2312"/>
          <w:color w:val="auto"/>
          <w:kern w:val="0"/>
          <w:sz w:val="32"/>
          <w:szCs w:val="32"/>
          <w:u w:val="none"/>
          <w:lang w:val="en-US" w:eastAsia="zh-CN" w:bidi="ar"/>
        </w:rPr>
        <w:t xml:space="preserve"> </w:t>
      </w:r>
      <w:r>
        <w:rPr>
          <w:rStyle w:val="9"/>
          <w:rFonts w:hint="eastAsia" w:ascii="仿宋_GB2312" w:hAnsi="仿宋_GB2312" w:eastAsia="仿宋_GB2312" w:cs="仿宋_GB2312"/>
          <w:b w:val="0"/>
          <w:bCs/>
          <w:color w:val="auto"/>
          <w:kern w:val="0"/>
          <w:sz w:val="32"/>
          <w:szCs w:val="32"/>
          <w:u w:val="none"/>
          <w:lang w:val="en-US" w:eastAsia="zh-CN" w:bidi="ar"/>
        </w:rPr>
        <w:t>档案规范管理。</w:t>
      </w:r>
      <w:r>
        <w:rPr>
          <w:rFonts w:hint="eastAsia" w:ascii="仿宋_GB2312" w:hAnsi="仿宋_GB2312" w:eastAsia="仿宋_GB2312" w:cs="仿宋_GB2312"/>
          <w:color w:val="auto"/>
          <w:kern w:val="0"/>
          <w:sz w:val="32"/>
          <w:szCs w:val="32"/>
          <w:u w:val="none"/>
          <w:lang w:val="en-US" w:eastAsia="zh-CN" w:bidi="ar"/>
        </w:rPr>
        <w:t>定点评估机构实行评估档案纸质、电子双存档管理，档案保管期限自评估结论出具之日起不少于</w:t>
      </w:r>
      <w:r>
        <w:rPr>
          <w:rFonts w:hint="eastAsia" w:ascii="仿宋_GB2312" w:hAnsi="仿宋_GB2312" w:eastAsia="仿宋_GB2312" w:cs="仿宋_GB2312"/>
          <w:color w:val="auto"/>
          <w:kern w:val="0"/>
          <w:sz w:val="32"/>
          <w:szCs w:val="32"/>
          <w:u w:val="none"/>
          <w:lang w:val="en-US" w:eastAsia="zh-CN" w:bidi="ar"/>
        </w:rPr>
        <w:t>10年</w:t>
      </w:r>
      <w:r>
        <w:rPr>
          <w:rFonts w:hint="eastAsia" w:ascii="仿宋_GB2312" w:hAnsi="仿宋_GB2312" w:eastAsia="仿宋_GB2312" w:cs="仿宋_GB2312"/>
          <w:color w:val="auto"/>
          <w:kern w:val="0"/>
          <w:sz w:val="32"/>
          <w:szCs w:val="32"/>
          <w:u w:val="none"/>
          <w:lang w:val="en-US" w:eastAsia="zh-CN" w:bidi="ar"/>
        </w:rPr>
        <w:t>。定点服务协议终止前30日，机构应整理归集全部评估案卷、质控台账、合议记录等资料，完整移交属地医保经办机构归档管理。</w:t>
      </w:r>
    </w:p>
    <w:p w14:paraId="6C128A74">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3" w:firstLineChars="200"/>
        <w:jc w:val="left"/>
        <w:textAlignment w:val="auto"/>
        <w:rPr>
          <w:rFonts w:hint="eastAsia" w:ascii="仿宋_GB2312" w:hAnsi="仿宋_GB2312" w:eastAsia="仿宋_GB2312" w:cs="仿宋_GB2312"/>
          <w:color w:val="auto"/>
          <w:sz w:val="32"/>
          <w:szCs w:val="32"/>
          <w:u w:val="none"/>
        </w:rPr>
      </w:pPr>
      <w:r>
        <w:rPr>
          <w:rStyle w:val="9"/>
          <w:rFonts w:hint="eastAsia" w:ascii="楷体_GB2312" w:hAnsi="楷体_GB2312" w:eastAsia="楷体_GB2312" w:cs="楷体_GB2312"/>
          <w:color w:val="auto"/>
          <w:kern w:val="0"/>
          <w:sz w:val="32"/>
          <w:szCs w:val="32"/>
          <w:u w:val="none"/>
          <w:lang w:val="en-US" w:eastAsia="zh-CN" w:bidi="ar"/>
        </w:rPr>
        <w:t>第十五条</w:t>
      </w:r>
      <w:r>
        <w:rPr>
          <w:rStyle w:val="9"/>
          <w:rFonts w:hint="eastAsia" w:ascii="仿宋_GB2312" w:hAnsi="仿宋_GB2312" w:eastAsia="仿宋_GB2312" w:cs="仿宋_GB2312"/>
          <w:b w:val="0"/>
          <w:bCs/>
          <w:color w:val="auto"/>
          <w:kern w:val="0"/>
          <w:sz w:val="32"/>
          <w:szCs w:val="32"/>
          <w:u w:val="none"/>
          <w:lang w:val="en-US" w:eastAsia="zh-CN" w:bidi="ar"/>
        </w:rPr>
        <w:t xml:space="preserve"> 数据报送与信息保密。</w:t>
      </w:r>
      <w:r>
        <w:rPr>
          <w:rFonts w:hint="eastAsia" w:ascii="仿宋_GB2312" w:hAnsi="仿宋_GB2312" w:eastAsia="仿宋_GB2312" w:cs="仿宋_GB2312"/>
          <w:color w:val="auto"/>
          <w:kern w:val="0"/>
          <w:sz w:val="32"/>
          <w:szCs w:val="32"/>
          <w:u w:val="none"/>
          <w:lang w:val="en-US" w:eastAsia="zh-CN" w:bidi="ar"/>
        </w:rPr>
        <w:t>定点机构应当按要求及时报送业务开展、人员变动、机构变更等相关数据，不得迟报、漏报、错报。严格落实信息安全和隐私保护规定，未经参保人授权或医保经办机构书面许可，不得泄露、传播参保人员个人信息及评估资料。</w:t>
      </w:r>
    </w:p>
    <w:p w14:paraId="40A120C7">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3" w:firstLineChars="200"/>
        <w:jc w:val="left"/>
        <w:textAlignment w:val="auto"/>
        <w:rPr>
          <w:rFonts w:hint="eastAsia" w:ascii="仿宋_GB2312" w:hAnsi="仿宋_GB2312" w:eastAsia="仿宋_GB2312" w:cs="仿宋_GB2312"/>
          <w:b w:val="0"/>
          <w:bCs/>
          <w:color w:val="auto"/>
          <w:kern w:val="0"/>
          <w:sz w:val="32"/>
          <w:szCs w:val="32"/>
          <w:u w:val="none"/>
          <w:lang w:val="en-US" w:eastAsia="zh-CN" w:bidi="ar"/>
        </w:rPr>
      </w:pPr>
      <w:r>
        <w:rPr>
          <w:rStyle w:val="9"/>
          <w:rFonts w:hint="eastAsia" w:ascii="楷体_GB2312" w:hAnsi="楷体_GB2312" w:eastAsia="楷体_GB2312" w:cs="楷体_GB2312"/>
          <w:color w:val="auto"/>
          <w:kern w:val="0"/>
          <w:sz w:val="32"/>
          <w:szCs w:val="32"/>
          <w:u w:val="none"/>
          <w:lang w:val="en-US" w:eastAsia="zh-CN" w:bidi="ar"/>
        </w:rPr>
        <w:t>第十六条</w:t>
      </w:r>
      <w:r>
        <w:rPr>
          <w:rStyle w:val="9"/>
          <w:rFonts w:hint="eastAsia" w:ascii="仿宋_GB2312" w:hAnsi="仿宋_GB2312" w:eastAsia="仿宋_GB2312" w:cs="仿宋_GB2312"/>
          <w:b w:val="0"/>
          <w:bCs/>
          <w:color w:val="auto"/>
          <w:kern w:val="0"/>
          <w:sz w:val="32"/>
          <w:szCs w:val="32"/>
          <w:u w:val="none"/>
          <w:lang w:val="en-US" w:eastAsia="zh-CN" w:bidi="ar"/>
        </w:rPr>
        <w:t xml:space="preserve"> 标准化执业管理。</w:t>
      </w:r>
      <w:r>
        <w:rPr>
          <w:rFonts w:hint="eastAsia" w:ascii="仿宋_GB2312" w:hAnsi="仿宋_GB2312" w:eastAsia="仿宋_GB2312" w:cs="仿宋_GB2312"/>
          <w:color w:val="auto"/>
          <w:sz w:val="32"/>
          <w:szCs w:val="32"/>
          <w:u w:val="none"/>
        </w:rPr>
        <w:t>定点评估机构应当使用全国统一的医疗保障信息平台长期护理保险失能等级评估相关功能模块及长期护理保险统一信息业务编码，做好机构、人员编码动态维护与贯标应用；按规范实时上传全部评估业务数据，严格执行国家统一失能等级评估标准，保障评估全流程标准化、规范化开展。</w:t>
      </w:r>
    </w:p>
    <w:p w14:paraId="033B0B34">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3" w:firstLineChars="200"/>
        <w:jc w:val="left"/>
        <w:textAlignment w:val="auto"/>
        <w:rPr>
          <w:rFonts w:hint="eastAsia" w:ascii="仿宋_GB2312" w:hAnsi="仿宋_GB2312" w:eastAsia="仿宋_GB2312" w:cs="仿宋_GB2312"/>
          <w:color w:val="auto"/>
          <w:kern w:val="0"/>
          <w:sz w:val="32"/>
          <w:szCs w:val="32"/>
          <w:u w:val="none"/>
          <w:lang w:val="en-US" w:eastAsia="zh-CN" w:bidi="ar"/>
        </w:rPr>
      </w:pPr>
      <w:r>
        <w:rPr>
          <w:rStyle w:val="9"/>
          <w:rFonts w:hint="eastAsia" w:ascii="楷体_GB2312" w:hAnsi="楷体_GB2312" w:eastAsia="楷体_GB2312" w:cs="楷体_GB2312"/>
          <w:color w:val="auto"/>
          <w:kern w:val="0"/>
          <w:sz w:val="32"/>
          <w:szCs w:val="32"/>
          <w:u w:val="none"/>
          <w:lang w:val="en-US" w:eastAsia="zh-CN" w:bidi="ar"/>
        </w:rPr>
        <w:t xml:space="preserve">第十七条 </w:t>
      </w:r>
      <w:r>
        <w:rPr>
          <w:rStyle w:val="9"/>
          <w:rFonts w:hint="eastAsia" w:ascii="仿宋_GB2312" w:hAnsi="仿宋_GB2312" w:eastAsia="仿宋_GB2312" w:cs="仿宋_GB2312"/>
          <w:b w:val="0"/>
          <w:bCs/>
          <w:color w:val="auto"/>
          <w:kern w:val="0"/>
          <w:sz w:val="32"/>
          <w:szCs w:val="32"/>
          <w:u w:val="none"/>
          <w:lang w:val="en-US" w:eastAsia="zh-CN" w:bidi="ar"/>
        </w:rPr>
        <w:t>执业范围规范。</w:t>
      </w:r>
      <w:r>
        <w:rPr>
          <w:rFonts w:hint="eastAsia" w:ascii="仿宋_GB2312" w:hAnsi="仿宋_GB2312" w:eastAsia="仿宋_GB2312" w:cs="仿宋_GB2312"/>
          <w:color w:val="auto"/>
          <w:kern w:val="0"/>
          <w:sz w:val="32"/>
          <w:szCs w:val="32"/>
          <w:u w:val="none"/>
          <w:lang w:val="en-US" w:eastAsia="zh-CN" w:bidi="ar"/>
        </w:rPr>
        <w:t>取得本市定点资质的评估机构，可在全市行政辖区内开展失能等级评估业务。</w:t>
      </w:r>
    </w:p>
    <w:p w14:paraId="106F08FD">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3" w:firstLineChars="200"/>
        <w:jc w:val="left"/>
        <w:textAlignment w:val="auto"/>
        <w:rPr>
          <w:rFonts w:hint="eastAsia" w:ascii="仿宋_GB2312" w:hAnsi="仿宋_GB2312" w:eastAsia="仿宋_GB2312" w:cs="仿宋_GB2312"/>
          <w:b w:val="0"/>
          <w:bCs/>
          <w:color w:val="auto"/>
          <w:sz w:val="32"/>
          <w:szCs w:val="32"/>
          <w:u w:val="none"/>
        </w:rPr>
      </w:pPr>
      <w:r>
        <w:rPr>
          <w:rStyle w:val="9"/>
          <w:rFonts w:hint="eastAsia" w:ascii="楷体_GB2312" w:hAnsi="楷体_GB2312" w:eastAsia="楷体_GB2312" w:cs="楷体_GB2312"/>
          <w:color w:val="auto"/>
          <w:kern w:val="0"/>
          <w:sz w:val="32"/>
          <w:szCs w:val="32"/>
          <w:u w:val="none"/>
          <w:lang w:val="en-US" w:eastAsia="zh-CN" w:bidi="ar"/>
        </w:rPr>
        <w:t xml:space="preserve">第十八条 </w:t>
      </w:r>
      <w:r>
        <w:rPr>
          <w:rStyle w:val="9"/>
          <w:rFonts w:hint="eastAsia" w:ascii="仿宋_GB2312" w:hAnsi="仿宋_GB2312" w:eastAsia="仿宋_GB2312" w:cs="仿宋_GB2312"/>
          <w:b w:val="0"/>
          <w:bCs/>
          <w:color w:val="auto"/>
          <w:kern w:val="0"/>
          <w:sz w:val="32"/>
          <w:szCs w:val="32"/>
          <w:u w:val="none"/>
          <w:lang w:val="en-US" w:eastAsia="zh-CN" w:bidi="ar"/>
        </w:rPr>
        <w:t>配合监督检查义务。</w:t>
      </w:r>
      <w:r>
        <w:rPr>
          <w:rFonts w:hint="eastAsia" w:ascii="仿宋_GB2312" w:hAnsi="仿宋_GB2312" w:eastAsia="仿宋_GB2312" w:cs="仿宋_GB2312"/>
          <w:b w:val="0"/>
          <w:bCs/>
          <w:color w:val="auto"/>
          <w:kern w:val="0"/>
          <w:sz w:val="32"/>
          <w:szCs w:val="32"/>
          <w:u w:val="none"/>
          <w:lang w:val="en-US" w:eastAsia="zh-CN" w:bidi="ar"/>
        </w:rPr>
        <w:t>定点评估机构应当自觉遵守法律法规及医保相关政策规范，主动配合医保行政部门、经办机构开展质量检查、费用稽核、考核评价、投诉核查等监管工作，如实提供相关资料，不得拒绝、阻挠、隐瞒。</w:t>
      </w:r>
    </w:p>
    <w:p w14:paraId="50D3A663">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第四章 协议中止、终止与解除</w:t>
      </w:r>
    </w:p>
    <w:p w14:paraId="35BEBF62">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3" w:firstLineChars="200"/>
        <w:jc w:val="left"/>
        <w:textAlignment w:val="auto"/>
        <w:rPr>
          <w:rFonts w:hint="eastAsia" w:ascii="仿宋_GB2312" w:hAnsi="仿宋_GB2312" w:eastAsia="仿宋_GB2312" w:cs="仿宋_GB2312"/>
          <w:b w:val="0"/>
          <w:bCs/>
          <w:color w:val="auto"/>
          <w:sz w:val="32"/>
          <w:szCs w:val="32"/>
          <w:u w:val="none"/>
        </w:rPr>
      </w:pPr>
      <w:r>
        <w:rPr>
          <w:rStyle w:val="9"/>
          <w:rFonts w:hint="eastAsia" w:ascii="楷体_GB2312" w:hAnsi="楷体_GB2312" w:eastAsia="楷体_GB2312" w:cs="楷体_GB2312"/>
          <w:color w:val="auto"/>
          <w:kern w:val="0"/>
          <w:sz w:val="32"/>
          <w:szCs w:val="32"/>
          <w:u w:val="none"/>
          <w:lang w:val="en-US" w:eastAsia="zh-CN" w:bidi="ar"/>
        </w:rPr>
        <w:t>第十九条</w:t>
      </w:r>
      <w:r>
        <w:rPr>
          <w:rStyle w:val="9"/>
          <w:rFonts w:hint="eastAsia" w:ascii="仿宋_GB2312" w:hAnsi="仿宋_GB2312" w:eastAsia="仿宋_GB2312" w:cs="仿宋_GB2312"/>
          <w:color w:val="auto"/>
          <w:kern w:val="0"/>
          <w:sz w:val="32"/>
          <w:szCs w:val="32"/>
          <w:u w:val="none"/>
          <w:lang w:val="en-US" w:eastAsia="zh-CN" w:bidi="ar"/>
        </w:rPr>
        <w:t xml:space="preserve"> </w:t>
      </w:r>
      <w:r>
        <w:rPr>
          <w:rStyle w:val="9"/>
          <w:rFonts w:hint="eastAsia" w:ascii="仿宋_GB2312" w:hAnsi="仿宋_GB2312" w:eastAsia="仿宋_GB2312" w:cs="仿宋_GB2312"/>
          <w:b w:val="0"/>
          <w:bCs/>
          <w:color w:val="auto"/>
          <w:kern w:val="0"/>
          <w:sz w:val="32"/>
          <w:szCs w:val="32"/>
          <w:u w:val="none"/>
          <w:lang w:val="en-US" w:eastAsia="zh-CN" w:bidi="ar"/>
        </w:rPr>
        <w:t>协议中止。</w:t>
      </w:r>
      <w:r>
        <w:rPr>
          <w:rFonts w:hint="eastAsia" w:ascii="仿宋_GB2312" w:hAnsi="仿宋_GB2312" w:eastAsia="仿宋_GB2312" w:cs="仿宋_GB2312"/>
          <w:color w:val="auto"/>
          <w:sz w:val="32"/>
          <w:szCs w:val="32"/>
          <w:u w:val="none"/>
        </w:rPr>
        <w:t>定点评估机构存在评估质量整改不到位、人员缺编失配、档案管理严重不规范、有效投诉较多等履约问题的，医疗保障经办机构可中止服务协议、暂停费用结算，整改期限最长不超过180日。机构完成整改后，应当主动向属地医疗保障经办机构申请复验；逾期未完成整改、整改复验不合格或逾期未申请复验的，服务协议自动终</w:t>
      </w:r>
      <w:r>
        <w:rPr>
          <w:rFonts w:hint="eastAsia" w:ascii="仿宋_GB2312" w:hAnsi="仿宋_GB2312" w:eastAsia="仿宋_GB2312" w:cs="仿宋_GB2312"/>
          <w:color w:val="auto"/>
          <w:sz w:val="32"/>
          <w:szCs w:val="32"/>
          <w:u w:val="none"/>
        </w:rPr>
        <w:t>止。在岗护理人员达不到本细则配置标准的，医保经办机构暂停新增护理服务对象，下达整改通知，整改期限</w:t>
      </w:r>
      <w:r>
        <w:rPr>
          <w:rFonts w:hint="eastAsia" w:ascii="仿宋_GB2312" w:hAnsi="仿宋_GB2312" w:eastAsia="仿宋_GB2312" w:cs="仿宋_GB2312"/>
          <w:color w:val="auto"/>
          <w:sz w:val="32"/>
          <w:szCs w:val="32"/>
          <w:u w:val="none"/>
          <w:lang w:val="en-US" w:eastAsia="zh-CN"/>
        </w:rPr>
        <w:t>3个月</w:t>
      </w:r>
      <w:r>
        <w:rPr>
          <w:rFonts w:hint="eastAsia" w:ascii="仿宋_GB2312" w:hAnsi="仿宋_GB2312" w:eastAsia="仿宋_GB2312" w:cs="仿宋_GB2312"/>
          <w:color w:val="auto"/>
          <w:sz w:val="32"/>
          <w:szCs w:val="32"/>
          <w:u w:val="none"/>
        </w:rPr>
        <w:t>；逾期仍未整改到位的，依规中止服务协议。</w:t>
      </w:r>
    </w:p>
    <w:p w14:paraId="45A92E24">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3" w:firstLineChars="200"/>
        <w:jc w:val="left"/>
        <w:textAlignment w:val="auto"/>
        <w:rPr>
          <w:rFonts w:hint="eastAsia" w:ascii="仿宋_GB2312" w:hAnsi="仿宋_GB2312" w:eastAsia="仿宋_GB2312" w:cs="仿宋_GB2312"/>
          <w:b w:val="0"/>
          <w:bCs/>
          <w:color w:val="auto"/>
          <w:sz w:val="32"/>
          <w:szCs w:val="32"/>
          <w:u w:val="none"/>
        </w:rPr>
      </w:pPr>
      <w:r>
        <w:rPr>
          <w:rStyle w:val="9"/>
          <w:rFonts w:hint="eastAsia" w:ascii="楷体_GB2312" w:hAnsi="楷体_GB2312" w:eastAsia="楷体_GB2312" w:cs="楷体_GB2312"/>
          <w:color w:val="auto"/>
          <w:kern w:val="0"/>
          <w:sz w:val="32"/>
          <w:szCs w:val="32"/>
          <w:u w:val="none"/>
          <w:lang w:val="en-US" w:eastAsia="zh-CN" w:bidi="ar"/>
        </w:rPr>
        <w:t>第二十条</w:t>
      </w:r>
      <w:r>
        <w:rPr>
          <w:rStyle w:val="9"/>
          <w:rFonts w:hint="eastAsia" w:ascii="仿宋_GB2312" w:hAnsi="仿宋_GB2312" w:eastAsia="仿宋_GB2312" w:cs="仿宋_GB2312"/>
          <w:color w:val="auto"/>
          <w:kern w:val="0"/>
          <w:sz w:val="32"/>
          <w:szCs w:val="32"/>
          <w:u w:val="none"/>
          <w:lang w:val="en-US" w:eastAsia="zh-CN" w:bidi="ar"/>
        </w:rPr>
        <w:t xml:space="preserve"> </w:t>
      </w:r>
      <w:r>
        <w:rPr>
          <w:rStyle w:val="9"/>
          <w:rFonts w:hint="eastAsia" w:ascii="仿宋_GB2312" w:hAnsi="仿宋_GB2312" w:eastAsia="仿宋_GB2312" w:cs="仿宋_GB2312"/>
          <w:b w:val="0"/>
          <w:bCs/>
          <w:color w:val="auto"/>
          <w:kern w:val="0"/>
          <w:sz w:val="32"/>
          <w:szCs w:val="32"/>
          <w:u w:val="none"/>
          <w:lang w:val="en-US" w:eastAsia="zh-CN" w:bidi="ar"/>
        </w:rPr>
        <w:t>协议自动终止。</w:t>
      </w:r>
      <w:r>
        <w:rPr>
          <w:rFonts w:hint="eastAsia" w:ascii="仿宋_GB2312" w:hAnsi="仿宋_GB2312" w:eastAsia="仿宋_GB2312" w:cs="仿宋_GB2312"/>
          <w:b w:val="0"/>
          <w:bCs/>
          <w:color w:val="auto"/>
          <w:kern w:val="0"/>
          <w:sz w:val="32"/>
          <w:szCs w:val="32"/>
          <w:u w:val="none"/>
          <w:lang w:val="en-US" w:eastAsia="zh-CN" w:bidi="ar"/>
        </w:rPr>
        <w:t>定点机构出现机构整体迁出本市、执业证照被注销或吊销、主动书面申请退出并获批等情形的，定点服务协议自动终止。</w:t>
      </w:r>
    </w:p>
    <w:p w14:paraId="3A2C36CB">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3" w:firstLineChars="200"/>
        <w:jc w:val="left"/>
        <w:textAlignment w:val="auto"/>
        <w:rPr>
          <w:rFonts w:hint="eastAsia" w:ascii="仿宋_GB2312" w:hAnsi="仿宋_GB2312" w:eastAsia="仿宋_GB2312" w:cs="仿宋_GB2312"/>
          <w:color w:val="auto"/>
          <w:sz w:val="32"/>
          <w:szCs w:val="32"/>
          <w:u w:val="none"/>
        </w:rPr>
      </w:pPr>
      <w:r>
        <w:rPr>
          <w:rStyle w:val="9"/>
          <w:rFonts w:hint="eastAsia" w:ascii="楷体_GB2312" w:hAnsi="楷体_GB2312" w:eastAsia="楷体_GB2312" w:cs="楷体_GB2312"/>
          <w:color w:val="auto"/>
          <w:kern w:val="0"/>
          <w:sz w:val="32"/>
          <w:szCs w:val="32"/>
          <w:u w:val="none"/>
          <w:lang w:val="en-US" w:eastAsia="zh-CN" w:bidi="ar"/>
        </w:rPr>
        <w:t xml:space="preserve">第二十一条 </w:t>
      </w:r>
      <w:r>
        <w:rPr>
          <w:rStyle w:val="9"/>
          <w:rFonts w:hint="eastAsia" w:ascii="仿宋_GB2312" w:hAnsi="仿宋_GB2312" w:eastAsia="仿宋_GB2312" w:cs="仿宋_GB2312"/>
          <w:b w:val="0"/>
          <w:bCs/>
          <w:color w:val="auto"/>
          <w:kern w:val="0"/>
          <w:sz w:val="32"/>
          <w:szCs w:val="32"/>
          <w:u w:val="none"/>
          <w:lang w:val="en-US" w:eastAsia="zh-CN" w:bidi="ar"/>
        </w:rPr>
        <w:t>协议单方解除与失信约束。</w:t>
      </w:r>
      <w:r>
        <w:rPr>
          <w:rFonts w:hint="eastAsia" w:ascii="仿宋_GB2312" w:hAnsi="仿宋_GB2312" w:eastAsia="仿宋_GB2312" w:cs="仿宋_GB2312"/>
          <w:color w:val="auto"/>
          <w:kern w:val="0"/>
          <w:sz w:val="32"/>
          <w:szCs w:val="32"/>
          <w:u w:val="none"/>
          <w:lang w:val="en-US" w:eastAsia="zh-CN" w:bidi="ar"/>
        </w:rPr>
        <w:t>定点机构存在出具虚假评估结论、恶意泄露参保人员隐私信息、拒不落实监管整改、违规兼职且拒不整改等严重违约情形的</w:t>
      </w:r>
      <w:r>
        <w:rPr>
          <w:rFonts w:hint="eastAsia" w:ascii="仿宋_GB2312" w:hAnsi="仿宋_GB2312" w:eastAsia="仿宋_GB2312" w:cs="仿宋_GB2312"/>
          <w:color w:val="auto"/>
          <w:kern w:val="0"/>
          <w:sz w:val="32"/>
          <w:szCs w:val="32"/>
          <w:u w:val="none"/>
          <w:lang w:val="en-US" w:eastAsia="zh-CN" w:bidi="ar"/>
        </w:rPr>
        <w:t>，</w:t>
      </w:r>
      <w:r>
        <w:rPr>
          <w:rFonts w:hint="eastAsia" w:ascii="仿宋_GB2312" w:hAnsi="仿宋_GB2312" w:eastAsia="仿宋_GB2312" w:cs="仿宋_GB2312"/>
          <w:color w:val="auto"/>
          <w:sz w:val="32"/>
          <w:szCs w:val="32"/>
          <w:u w:val="none"/>
        </w:rPr>
        <w:t>医疗保障经办机构拟作出中止、解除协议决定前，应当书面告知机构违规事实、政策依据及拟处理结果，保障机构陈述、申辩权利；结合申辩情况依法作出处置。自协议解除之日起3年内不予受理其定点重新申报。经办机构作出协议中止、终止、解除处理的，应当按规定向同级医疗保障行政部门报备。</w:t>
      </w:r>
    </w:p>
    <w:p w14:paraId="2B01FEB9">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3" w:firstLineChars="200"/>
        <w:jc w:val="left"/>
        <w:textAlignment w:val="auto"/>
        <w:rPr>
          <w:rFonts w:hint="eastAsia" w:ascii="仿宋_GB2312" w:hAnsi="仿宋_GB2312" w:eastAsia="仿宋_GB2312" w:cs="仿宋_GB2312"/>
          <w:b w:val="0"/>
          <w:bCs/>
          <w:color w:val="auto"/>
          <w:sz w:val="32"/>
          <w:szCs w:val="32"/>
          <w:u w:val="none"/>
        </w:rPr>
      </w:pPr>
      <w:r>
        <w:rPr>
          <w:rStyle w:val="9"/>
          <w:rFonts w:hint="eastAsia" w:ascii="仿宋_GB2312" w:hAnsi="仿宋_GB2312" w:eastAsia="仿宋_GB2312" w:cs="仿宋_GB2312"/>
          <w:color w:val="auto"/>
          <w:kern w:val="0"/>
          <w:sz w:val="32"/>
          <w:szCs w:val="32"/>
          <w:u w:val="none"/>
          <w:lang w:val="en-US" w:eastAsia="zh-CN" w:bidi="ar"/>
        </w:rPr>
        <w:t>第二十二条</w:t>
      </w:r>
      <w:r>
        <w:rPr>
          <w:rStyle w:val="9"/>
          <w:rFonts w:hint="eastAsia" w:ascii="仿宋_GB2312" w:hAnsi="仿宋_GB2312" w:eastAsia="仿宋_GB2312" w:cs="仿宋_GB2312"/>
          <w:b w:val="0"/>
          <w:bCs/>
          <w:color w:val="auto"/>
          <w:kern w:val="0"/>
          <w:sz w:val="32"/>
          <w:szCs w:val="32"/>
          <w:u w:val="none"/>
          <w:lang w:val="en-US" w:eastAsia="zh-CN" w:bidi="ar"/>
        </w:rPr>
        <w:t xml:space="preserve"> 信息变更管理。</w:t>
      </w:r>
      <w:r>
        <w:rPr>
          <w:rFonts w:hint="eastAsia" w:ascii="仿宋_GB2312" w:hAnsi="仿宋_GB2312" w:eastAsia="仿宋_GB2312" w:cs="仿宋_GB2312"/>
          <w:b w:val="0"/>
          <w:bCs/>
          <w:color w:val="auto"/>
          <w:sz w:val="32"/>
          <w:szCs w:val="32"/>
          <w:highlight w:val="none"/>
          <w:u w:val="none"/>
        </w:rPr>
        <w:t>定点评估机构的名称、法定代表人、主要负责人</w:t>
      </w:r>
      <w:r>
        <w:rPr>
          <w:rFonts w:hint="eastAsia" w:ascii="仿宋_GB2312" w:hAnsi="仿宋_GB2312" w:eastAsia="仿宋_GB2312" w:cs="仿宋_GB2312"/>
          <w:b w:val="0"/>
          <w:bCs/>
          <w:color w:val="auto"/>
          <w:sz w:val="32"/>
          <w:szCs w:val="32"/>
          <w:highlight w:val="none"/>
          <w:u w:val="none"/>
          <w:lang w:val="en-US" w:eastAsia="zh-CN"/>
        </w:rPr>
        <w:t>或实际控制人</w:t>
      </w:r>
      <w:r>
        <w:rPr>
          <w:rFonts w:hint="eastAsia" w:ascii="仿宋_GB2312" w:hAnsi="仿宋_GB2312" w:eastAsia="仿宋_GB2312" w:cs="仿宋_GB2312"/>
          <w:b w:val="0"/>
          <w:bCs/>
          <w:color w:val="auto"/>
          <w:sz w:val="32"/>
          <w:szCs w:val="32"/>
          <w:highlight w:val="none"/>
          <w:u w:val="none"/>
        </w:rPr>
        <w:t>、注册地址、银行账户</w:t>
      </w:r>
      <w:r>
        <w:rPr>
          <w:rFonts w:hint="eastAsia" w:ascii="仿宋_GB2312" w:hAnsi="仿宋_GB2312" w:eastAsia="仿宋_GB2312" w:cs="仿宋_GB2312"/>
          <w:b w:val="0"/>
          <w:bCs/>
          <w:color w:val="auto"/>
          <w:sz w:val="32"/>
          <w:szCs w:val="32"/>
          <w:highlight w:val="none"/>
          <w:u w:val="none"/>
          <w:lang w:eastAsia="zh-CN"/>
        </w:rPr>
        <w:t>、</w:t>
      </w:r>
      <w:r>
        <w:rPr>
          <w:rFonts w:hint="eastAsia" w:ascii="仿宋_GB2312" w:hAnsi="仿宋_GB2312" w:eastAsia="仿宋_GB2312" w:cs="仿宋_GB2312"/>
          <w:b w:val="0"/>
          <w:bCs/>
          <w:color w:val="auto"/>
          <w:sz w:val="32"/>
          <w:szCs w:val="32"/>
          <w:highlight w:val="none"/>
          <w:u w:val="none"/>
          <w:lang w:val="en-US" w:eastAsia="zh-CN"/>
        </w:rPr>
        <w:t>经营范围、机构性质</w:t>
      </w:r>
      <w:r>
        <w:rPr>
          <w:rFonts w:hint="eastAsia" w:ascii="仿宋_GB2312" w:hAnsi="仿宋_GB2312" w:eastAsia="仿宋_GB2312" w:cs="仿宋_GB2312"/>
          <w:b w:val="0"/>
          <w:bCs/>
          <w:color w:val="auto"/>
          <w:sz w:val="32"/>
          <w:szCs w:val="32"/>
          <w:highlight w:val="none"/>
          <w:u w:val="none"/>
        </w:rPr>
        <w:t>等</w:t>
      </w:r>
      <w:r>
        <w:rPr>
          <w:rFonts w:hint="eastAsia" w:ascii="仿宋_GB2312" w:hAnsi="仿宋_GB2312" w:eastAsia="仿宋_GB2312" w:cs="仿宋_GB2312"/>
          <w:b w:val="0"/>
          <w:bCs/>
          <w:color w:val="auto"/>
          <w:sz w:val="32"/>
          <w:szCs w:val="32"/>
          <w:highlight w:val="none"/>
          <w:u w:val="none"/>
          <w:lang w:val="en-US" w:eastAsia="zh-CN"/>
        </w:rPr>
        <w:t>重大</w:t>
      </w:r>
      <w:r>
        <w:rPr>
          <w:rFonts w:hint="eastAsia" w:ascii="仿宋_GB2312" w:hAnsi="仿宋_GB2312" w:eastAsia="仿宋_GB2312" w:cs="仿宋_GB2312"/>
          <w:b w:val="0"/>
          <w:bCs/>
          <w:color w:val="auto"/>
          <w:sz w:val="32"/>
          <w:szCs w:val="32"/>
          <w:highlight w:val="none"/>
          <w:u w:val="none"/>
        </w:rPr>
        <w:t>信息发生变更时，应自</w:t>
      </w:r>
      <w:r>
        <w:rPr>
          <w:rFonts w:hint="eastAsia" w:ascii="仿宋_GB2312" w:hAnsi="仿宋_GB2312" w:eastAsia="仿宋_GB2312" w:cs="仿宋_GB2312"/>
          <w:b w:val="0"/>
          <w:bCs/>
          <w:color w:val="auto"/>
          <w:sz w:val="32"/>
          <w:szCs w:val="32"/>
          <w:highlight w:val="none"/>
          <w:u w:val="none"/>
          <w:lang w:val="en-US" w:eastAsia="zh-CN"/>
        </w:rPr>
        <w:t>有关部门批准</w:t>
      </w:r>
      <w:r>
        <w:rPr>
          <w:rFonts w:hint="eastAsia" w:ascii="仿宋_GB2312" w:hAnsi="仿宋_GB2312" w:eastAsia="仿宋_GB2312" w:cs="仿宋_GB2312"/>
          <w:b w:val="0"/>
          <w:bCs/>
          <w:color w:val="auto"/>
          <w:sz w:val="32"/>
          <w:szCs w:val="32"/>
          <w:highlight w:val="none"/>
          <w:u w:val="none"/>
        </w:rPr>
        <w:t>之日起30个工作日内向</w:t>
      </w:r>
      <w:r>
        <w:rPr>
          <w:rFonts w:hint="eastAsia" w:ascii="仿宋_GB2312" w:hAnsi="仿宋_GB2312" w:eastAsia="仿宋_GB2312" w:cs="仿宋_GB2312"/>
          <w:b w:val="0"/>
          <w:bCs/>
          <w:color w:val="auto"/>
          <w:sz w:val="32"/>
          <w:szCs w:val="32"/>
          <w:highlight w:val="none"/>
          <w:u w:val="none"/>
          <w:lang w:val="en-US" w:eastAsia="zh-CN"/>
        </w:rPr>
        <w:t>所在</w:t>
      </w:r>
      <w:r>
        <w:rPr>
          <w:rFonts w:hint="eastAsia" w:ascii="仿宋_GB2312" w:hAnsi="仿宋_GB2312" w:eastAsia="仿宋_GB2312" w:cs="仿宋_GB2312"/>
          <w:b w:val="0"/>
          <w:bCs/>
          <w:color w:val="auto"/>
          <w:kern w:val="0"/>
          <w:sz w:val="32"/>
          <w:szCs w:val="32"/>
          <w:highlight w:val="none"/>
          <w:u w:val="none"/>
          <w:shd w:val="clear" w:color="auto" w:fill="FFFFFF"/>
          <w:lang w:val="en-US" w:eastAsia="zh-CN" w:bidi="ar"/>
        </w:rPr>
        <w:t>县（市、区）</w:t>
      </w:r>
      <w:r>
        <w:rPr>
          <w:rFonts w:hint="eastAsia" w:ascii="仿宋_GB2312" w:hAnsi="仿宋_GB2312" w:eastAsia="仿宋_GB2312" w:cs="仿宋_GB2312"/>
          <w:b w:val="0"/>
          <w:bCs/>
          <w:color w:val="auto"/>
          <w:sz w:val="32"/>
          <w:szCs w:val="32"/>
          <w:highlight w:val="none"/>
          <w:u w:val="none"/>
          <w:lang w:val="en-US" w:eastAsia="zh-CN"/>
        </w:rPr>
        <w:t>医疗保障</w:t>
      </w:r>
      <w:r>
        <w:rPr>
          <w:rFonts w:hint="eastAsia" w:ascii="仿宋_GB2312" w:hAnsi="仿宋_GB2312" w:eastAsia="仿宋_GB2312" w:cs="仿宋_GB2312"/>
          <w:b w:val="0"/>
          <w:bCs/>
          <w:color w:val="auto"/>
          <w:sz w:val="32"/>
          <w:szCs w:val="32"/>
          <w:highlight w:val="none"/>
          <w:u w:val="none"/>
          <w:lang w:eastAsia="zh-CN"/>
        </w:rPr>
        <w:t>经办机构</w:t>
      </w:r>
      <w:r>
        <w:rPr>
          <w:rFonts w:hint="eastAsia" w:ascii="仿宋_GB2312" w:hAnsi="仿宋_GB2312" w:eastAsia="仿宋_GB2312" w:cs="仿宋_GB2312"/>
          <w:b w:val="0"/>
          <w:bCs/>
          <w:color w:val="auto"/>
          <w:sz w:val="32"/>
          <w:szCs w:val="32"/>
          <w:highlight w:val="none"/>
          <w:u w:val="none"/>
          <w:lang w:val="en-US" w:eastAsia="zh-CN"/>
        </w:rPr>
        <w:t>提出变更申请。其他一般信息变更应及时书面告知。信息变更后，定点评估机构</w:t>
      </w:r>
      <w:r>
        <w:rPr>
          <w:rFonts w:hint="eastAsia" w:ascii="仿宋_GB2312" w:hAnsi="仿宋_GB2312" w:eastAsia="仿宋_GB2312" w:cs="仿宋_GB2312"/>
          <w:b w:val="0"/>
          <w:bCs/>
          <w:color w:val="auto"/>
          <w:sz w:val="32"/>
          <w:szCs w:val="32"/>
          <w:highlight w:val="none"/>
          <w:u w:val="none"/>
        </w:rPr>
        <w:t>不符合</w:t>
      </w:r>
      <w:r>
        <w:rPr>
          <w:rFonts w:hint="eastAsia" w:ascii="仿宋_GB2312" w:hAnsi="仿宋_GB2312" w:eastAsia="仿宋_GB2312" w:cs="仿宋_GB2312"/>
          <w:b w:val="0"/>
          <w:bCs/>
          <w:color w:val="auto"/>
          <w:sz w:val="32"/>
          <w:szCs w:val="32"/>
          <w:highlight w:val="none"/>
          <w:u w:val="none"/>
          <w:lang w:eastAsia="zh-CN"/>
        </w:rPr>
        <w:t>本</w:t>
      </w:r>
      <w:r>
        <w:rPr>
          <w:rFonts w:hint="eastAsia" w:ascii="仿宋_GB2312" w:hAnsi="仿宋_GB2312" w:eastAsia="仿宋_GB2312" w:cs="仿宋_GB2312"/>
          <w:b w:val="0"/>
          <w:bCs/>
          <w:color w:val="auto"/>
          <w:sz w:val="32"/>
          <w:szCs w:val="32"/>
          <w:highlight w:val="none"/>
          <w:u w:val="none"/>
          <w:lang w:val="en-US" w:eastAsia="zh-CN"/>
        </w:rPr>
        <w:t>实施细则要求</w:t>
      </w:r>
      <w:r>
        <w:rPr>
          <w:rFonts w:hint="eastAsia" w:ascii="仿宋_GB2312" w:hAnsi="仿宋_GB2312" w:eastAsia="仿宋_GB2312" w:cs="仿宋_GB2312"/>
          <w:b w:val="0"/>
          <w:bCs/>
          <w:color w:val="auto"/>
          <w:sz w:val="32"/>
          <w:szCs w:val="32"/>
          <w:highlight w:val="none"/>
          <w:u w:val="none"/>
        </w:rPr>
        <w:t>的</w:t>
      </w:r>
      <w:r>
        <w:rPr>
          <w:rFonts w:hint="eastAsia" w:ascii="仿宋_GB2312" w:hAnsi="仿宋_GB2312" w:eastAsia="仿宋_GB2312" w:cs="仿宋_GB2312"/>
          <w:b w:val="0"/>
          <w:bCs/>
          <w:color w:val="auto"/>
          <w:kern w:val="0"/>
          <w:sz w:val="32"/>
          <w:szCs w:val="32"/>
          <w:u w:val="none"/>
          <w:lang w:val="en-US" w:eastAsia="zh-CN" w:bidi="ar"/>
        </w:rPr>
        <w:t>，依规中止或解除服务协议，并同步更新对外公示信息。</w:t>
      </w:r>
    </w:p>
    <w:p w14:paraId="1ED41FFB">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3" w:firstLineChars="200"/>
        <w:jc w:val="left"/>
        <w:textAlignment w:val="auto"/>
        <w:rPr>
          <w:rFonts w:hint="eastAsia" w:ascii="仿宋_GB2312" w:hAnsi="仿宋_GB2312" w:eastAsia="仿宋_GB2312" w:cs="仿宋_GB2312"/>
          <w:b w:val="0"/>
          <w:bCs/>
          <w:color w:val="auto"/>
          <w:kern w:val="0"/>
          <w:sz w:val="32"/>
          <w:szCs w:val="32"/>
          <w:u w:val="none"/>
          <w:lang w:val="en-US" w:eastAsia="zh-CN" w:bidi="ar"/>
        </w:rPr>
      </w:pPr>
      <w:r>
        <w:rPr>
          <w:rStyle w:val="9"/>
          <w:rFonts w:hint="eastAsia" w:ascii="仿宋_GB2312" w:hAnsi="仿宋_GB2312" w:eastAsia="仿宋_GB2312" w:cs="仿宋_GB2312"/>
          <w:color w:val="auto"/>
          <w:kern w:val="0"/>
          <w:sz w:val="32"/>
          <w:szCs w:val="32"/>
          <w:u w:val="none"/>
          <w:lang w:val="en-US" w:eastAsia="zh-CN" w:bidi="ar"/>
        </w:rPr>
        <w:t xml:space="preserve">第二十三条 </w:t>
      </w:r>
      <w:r>
        <w:rPr>
          <w:rStyle w:val="9"/>
          <w:rFonts w:hint="eastAsia" w:ascii="仿宋_GB2312" w:hAnsi="仿宋_GB2312" w:eastAsia="仿宋_GB2312" w:cs="仿宋_GB2312"/>
          <w:b w:val="0"/>
          <w:bCs/>
          <w:color w:val="auto"/>
          <w:kern w:val="0"/>
          <w:sz w:val="32"/>
          <w:szCs w:val="32"/>
          <w:u w:val="none"/>
          <w:lang w:val="en-US" w:eastAsia="zh-CN" w:bidi="ar"/>
        </w:rPr>
        <w:t>自愿退出管理。</w:t>
      </w:r>
      <w:r>
        <w:rPr>
          <w:rFonts w:hint="eastAsia" w:ascii="仿宋_GB2312" w:hAnsi="仿宋_GB2312" w:eastAsia="仿宋_GB2312" w:cs="仿宋_GB2312"/>
          <w:b w:val="0"/>
          <w:bCs/>
          <w:color w:val="auto"/>
          <w:kern w:val="0"/>
          <w:sz w:val="32"/>
          <w:szCs w:val="32"/>
          <w:u w:val="none"/>
          <w:lang w:val="en-US" w:eastAsia="zh-CN" w:bidi="ar"/>
        </w:rPr>
        <w:t>定点评估机构自愿申请退出定点的，应当提前3个月向属地医保经办机构提交书面退出申请，妥善办结在办评估业务，完整移交全部档案资料后，依规办理协议终止手续。</w:t>
      </w:r>
    </w:p>
    <w:p w14:paraId="25D54B75">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3" w:firstLineChars="200"/>
        <w:jc w:val="left"/>
        <w:textAlignment w:val="auto"/>
        <w:rPr>
          <w:rFonts w:hint="eastAsia" w:ascii="仿宋_GB2312" w:hAnsi="仿宋_GB2312" w:eastAsia="仿宋_GB2312" w:cs="仿宋_GB2312"/>
          <w:color w:val="auto"/>
          <w:sz w:val="32"/>
          <w:szCs w:val="32"/>
          <w:u w:val="none"/>
        </w:rPr>
      </w:pPr>
      <w:r>
        <w:rPr>
          <w:rStyle w:val="9"/>
          <w:rFonts w:hint="eastAsia" w:ascii="楷体_GB2312" w:hAnsi="楷体_GB2312" w:eastAsia="楷体_GB2312" w:cs="楷体_GB2312"/>
          <w:color w:val="auto"/>
          <w:kern w:val="0"/>
          <w:sz w:val="32"/>
          <w:szCs w:val="32"/>
          <w:u w:val="none"/>
          <w:lang w:val="en-US" w:eastAsia="zh-CN" w:bidi="ar"/>
        </w:rPr>
        <w:t>第二十四条</w:t>
      </w:r>
      <w:r>
        <w:rPr>
          <w:rStyle w:val="9"/>
          <w:rFonts w:hint="eastAsia" w:ascii="仿宋_GB2312" w:hAnsi="仿宋_GB2312" w:eastAsia="仿宋_GB2312" w:cs="仿宋_GB2312"/>
          <w:color w:val="auto"/>
          <w:kern w:val="0"/>
          <w:sz w:val="32"/>
          <w:szCs w:val="32"/>
          <w:u w:val="none"/>
          <w:lang w:val="en-US" w:eastAsia="zh-CN" w:bidi="ar"/>
        </w:rPr>
        <w:t xml:space="preserve"> </w:t>
      </w:r>
      <w:r>
        <w:rPr>
          <w:rStyle w:val="9"/>
          <w:rFonts w:hint="eastAsia" w:ascii="仿宋_GB2312" w:hAnsi="仿宋_GB2312" w:eastAsia="仿宋_GB2312" w:cs="仿宋_GB2312"/>
          <w:b w:val="0"/>
          <w:bCs/>
          <w:color w:val="auto"/>
          <w:kern w:val="0"/>
          <w:sz w:val="32"/>
          <w:szCs w:val="32"/>
          <w:u w:val="none"/>
          <w:lang w:val="en-US" w:eastAsia="zh-CN" w:bidi="ar"/>
        </w:rPr>
        <w:t>定点标识管理。</w:t>
      </w:r>
      <w:r>
        <w:rPr>
          <w:rFonts w:hint="eastAsia" w:ascii="仿宋_GB2312" w:hAnsi="仿宋_GB2312" w:eastAsia="仿宋_GB2312" w:cs="仿宋_GB2312"/>
          <w:bCs/>
          <w:color w:val="auto"/>
          <w:kern w:val="0"/>
          <w:sz w:val="32"/>
          <w:szCs w:val="32"/>
          <w:u w:val="none"/>
          <w:lang w:bidi="ar"/>
        </w:rPr>
        <w:t>定</w:t>
      </w:r>
      <w:r>
        <w:rPr>
          <w:rFonts w:hint="eastAsia" w:ascii="仿宋_GB2312" w:hAnsi="仿宋_GB2312" w:eastAsia="仿宋_GB2312" w:cs="仿宋_GB2312"/>
          <w:color w:val="auto"/>
          <w:kern w:val="0"/>
          <w:sz w:val="32"/>
          <w:szCs w:val="32"/>
          <w:u w:val="none"/>
          <w:lang w:bidi="ar"/>
        </w:rPr>
        <w:t>点长护</w:t>
      </w:r>
      <w:r>
        <w:rPr>
          <w:rFonts w:hint="eastAsia" w:ascii="仿宋_GB2312" w:hAnsi="仿宋_GB2312" w:eastAsia="仿宋_GB2312" w:cs="仿宋_GB2312"/>
          <w:color w:val="auto"/>
          <w:kern w:val="0"/>
          <w:sz w:val="32"/>
          <w:szCs w:val="32"/>
          <w:u w:val="none"/>
          <w:lang w:val="en-US" w:eastAsia="zh-CN" w:bidi="ar"/>
        </w:rPr>
        <w:t>评估</w:t>
      </w:r>
      <w:r>
        <w:rPr>
          <w:rFonts w:hint="eastAsia" w:ascii="仿宋_GB2312" w:hAnsi="仿宋_GB2312" w:eastAsia="仿宋_GB2312" w:cs="仿宋_GB2312"/>
          <w:color w:val="auto"/>
          <w:kern w:val="0"/>
          <w:sz w:val="32"/>
          <w:szCs w:val="32"/>
          <w:u w:val="none"/>
          <w:lang w:bidi="ar"/>
        </w:rPr>
        <w:t>机构应当按照全市统一制式，在经营场所醒目位置悬挂长护保险定点标识，妥善保管、规范使用，严禁伪造、涂改、出借、转让。</w:t>
      </w:r>
    </w:p>
    <w:p w14:paraId="07EE5DED">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eastAsia" w:ascii="仿宋_GB2312" w:hAnsi="仿宋_GB2312" w:eastAsia="仿宋_GB2312" w:cs="仿宋_GB2312"/>
          <w:b w:val="0"/>
          <w:bCs/>
          <w:color w:val="auto"/>
          <w:kern w:val="0"/>
          <w:sz w:val="32"/>
          <w:szCs w:val="32"/>
          <w:u w:val="none"/>
          <w:lang w:val="en-US" w:eastAsia="zh-CN" w:bidi="ar"/>
        </w:rPr>
      </w:pPr>
    </w:p>
    <w:p w14:paraId="0F92A87F">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jc w:val="center"/>
        <w:textAlignment w:val="auto"/>
        <w:rPr>
          <w:rFonts w:hint="eastAsia" w:ascii="黑体" w:hAnsi="黑体" w:eastAsia="黑体" w:cs="黑体"/>
          <w:color w:val="auto"/>
          <w:sz w:val="32"/>
          <w:szCs w:val="32"/>
          <w:u w:val="none"/>
        </w:rPr>
      </w:pPr>
      <w:r>
        <w:rPr>
          <w:rFonts w:hint="eastAsia" w:ascii="黑体" w:hAnsi="黑体" w:eastAsia="黑体" w:cs="黑体"/>
          <w:b w:val="0"/>
          <w:bCs w:val="0"/>
          <w:color w:val="auto"/>
          <w:sz w:val="32"/>
          <w:szCs w:val="32"/>
          <w:u w:val="none"/>
        </w:rPr>
        <w:t>第五章 监督管理</w:t>
      </w:r>
    </w:p>
    <w:p w14:paraId="4503E435">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3" w:firstLineChars="200"/>
        <w:jc w:val="left"/>
        <w:textAlignment w:val="auto"/>
        <w:rPr>
          <w:rFonts w:hint="eastAsia" w:ascii="仿宋_GB2312" w:hAnsi="仿宋_GB2312" w:eastAsia="仿宋_GB2312" w:cs="仿宋_GB2312"/>
          <w:b w:val="0"/>
          <w:bCs/>
          <w:color w:val="auto"/>
          <w:sz w:val="32"/>
          <w:szCs w:val="32"/>
          <w:u w:val="none"/>
        </w:rPr>
      </w:pPr>
      <w:r>
        <w:rPr>
          <w:rStyle w:val="9"/>
          <w:rFonts w:hint="eastAsia" w:ascii="楷体_GB2312" w:hAnsi="楷体_GB2312" w:eastAsia="楷体_GB2312" w:cs="楷体_GB2312"/>
          <w:color w:val="auto"/>
          <w:kern w:val="0"/>
          <w:sz w:val="32"/>
          <w:szCs w:val="32"/>
          <w:u w:val="none"/>
          <w:lang w:val="en-US" w:eastAsia="zh-CN" w:bidi="ar"/>
        </w:rPr>
        <w:t xml:space="preserve">第二十五条 </w:t>
      </w:r>
      <w:r>
        <w:rPr>
          <w:rStyle w:val="9"/>
          <w:rFonts w:hint="eastAsia" w:ascii="仿宋_GB2312" w:hAnsi="仿宋_GB2312" w:eastAsia="仿宋_GB2312" w:cs="仿宋_GB2312"/>
          <w:b w:val="0"/>
          <w:bCs/>
          <w:color w:val="auto"/>
          <w:kern w:val="0"/>
          <w:sz w:val="32"/>
          <w:szCs w:val="32"/>
          <w:u w:val="none"/>
          <w:lang w:val="en-US" w:eastAsia="zh-CN" w:bidi="ar"/>
        </w:rPr>
        <w:t>行政监督。</w:t>
      </w:r>
      <w:r>
        <w:rPr>
          <w:rFonts w:hint="eastAsia" w:ascii="仿宋_GB2312" w:hAnsi="仿宋_GB2312" w:eastAsia="仿宋_GB2312" w:cs="仿宋_GB2312"/>
          <w:b w:val="0"/>
          <w:bCs/>
          <w:color w:val="auto"/>
          <w:kern w:val="0"/>
          <w:sz w:val="32"/>
          <w:szCs w:val="32"/>
          <w:u w:val="none"/>
          <w:lang w:val="en-US" w:eastAsia="zh-CN" w:bidi="ar"/>
        </w:rPr>
        <w:t>市、县两级医保行政部门通过实地检查、随机抽查、智能监控等方式，对经办机构协议管理、定点机构执业服务情况开展常态化监督。对违规违约行为，督促经办机构依规处置；涉嫌违法违规的，依法依规处理；涉嫌犯罪的，移送司法机关。</w:t>
      </w:r>
    </w:p>
    <w:p w14:paraId="16300651">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3" w:firstLineChars="200"/>
        <w:jc w:val="left"/>
        <w:textAlignment w:val="auto"/>
        <w:rPr>
          <w:rFonts w:hint="eastAsia" w:ascii="仿宋_GB2312" w:hAnsi="仿宋_GB2312" w:eastAsia="仿宋_GB2312" w:cs="仿宋_GB2312"/>
          <w:color w:val="auto"/>
          <w:sz w:val="32"/>
          <w:szCs w:val="32"/>
          <w:u w:val="none"/>
        </w:rPr>
      </w:pPr>
      <w:r>
        <w:rPr>
          <w:rStyle w:val="9"/>
          <w:rFonts w:hint="eastAsia" w:ascii="楷体_GB2312" w:hAnsi="楷体_GB2312" w:eastAsia="楷体_GB2312" w:cs="楷体_GB2312"/>
          <w:color w:val="auto"/>
          <w:kern w:val="0"/>
          <w:sz w:val="32"/>
          <w:szCs w:val="32"/>
          <w:u w:val="none"/>
          <w:lang w:val="en-US" w:eastAsia="zh-CN" w:bidi="ar"/>
        </w:rPr>
        <w:t>第二十六条</w:t>
      </w:r>
      <w:r>
        <w:rPr>
          <w:rStyle w:val="9"/>
          <w:rFonts w:hint="eastAsia" w:ascii="仿宋_GB2312" w:hAnsi="仿宋_GB2312" w:eastAsia="仿宋_GB2312" w:cs="仿宋_GB2312"/>
          <w:color w:val="auto"/>
          <w:kern w:val="0"/>
          <w:sz w:val="32"/>
          <w:szCs w:val="32"/>
          <w:u w:val="none"/>
          <w:lang w:val="en-US" w:eastAsia="zh-CN" w:bidi="ar"/>
        </w:rPr>
        <w:t xml:space="preserve"> </w:t>
      </w:r>
      <w:r>
        <w:rPr>
          <w:rStyle w:val="9"/>
          <w:rFonts w:hint="eastAsia" w:ascii="仿宋_GB2312" w:hAnsi="仿宋_GB2312" w:eastAsia="仿宋_GB2312" w:cs="仿宋_GB2312"/>
          <w:b w:val="0"/>
          <w:bCs/>
          <w:color w:val="auto"/>
          <w:kern w:val="0"/>
          <w:sz w:val="32"/>
          <w:szCs w:val="32"/>
          <w:u w:val="none"/>
          <w:lang w:val="en-US" w:eastAsia="zh-CN" w:bidi="ar"/>
        </w:rPr>
        <w:t>经办管理。</w:t>
      </w:r>
      <w:r>
        <w:rPr>
          <w:rFonts w:hint="eastAsia" w:ascii="仿宋_GB2312" w:hAnsi="仿宋_GB2312" w:eastAsia="仿宋_GB2312" w:cs="仿宋_GB2312"/>
          <w:color w:val="auto"/>
          <w:kern w:val="0"/>
          <w:sz w:val="32"/>
          <w:szCs w:val="32"/>
          <w:u w:val="none"/>
          <w:lang w:val="en-US" w:eastAsia="zh-CN" w:bidi="ar"/>
        </w:rPr>
        <w:t>医保经办机构应当强化日常履约管理，依托日常巡查、质量稽核、投诉核查、智能监测等方式，重点核查评估程序规范性、结论准确性、档案完整性、问题整改落实情况，核查结果与费用结算、协议续签、定点存续资格挂钩。</w:t>
      </w:r>
    </w:p>
    <w:p w14:paraId="145D7473">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3" w:firstLineChars="200"/>
        <w:jc w:val="left"/>
        <w:textAlignment w:val="auto"/>
        <w:rPr>
          <w:rFonts w:hint="eastAsia" w:ascii="仿宋_GB2312" w:hAnsi="仿宋_GB2312" w:eastAsia="仿宋_GB2312" w:cs="仿宋_GB2312"/>
          <w:b w:val="0"/>
          <w:bCs/>
          <w:color w:val="auto"/>
          <w:sz w:val="32"/>
          <w:szCs w:val="32"/>
          <w:u w:val="none"/>
        </w:rPr>
      </w:pPr>
      <w:r>
        <w:rPr>
          <w:rStyle w:val="9"/>
          <w:rFonts w:hint="eastAsia" w:ascii="楷体_GB2312" w:hAnsi="楷体_GB2312" w:eastAsia="楷体_GB2312" w:cs="楷体_GB2312"/>
          <w:color w:val="auto"/>
          <w:kern w:val="0"/>
          <w:sz w:val="32"/>
          <w:szCs w:val="32"/>
          <w:u w:val="none"/>
          <w:lang w:val="en-US" w:eastAsia="zh-CN" w:bidi="ar"/>
        </w:rPr>
        <w:t>第二十七条</w:t>
      </w:r>
      <w:r>
        <w:rPr>
          <w:rStyle w:val="9"/>
          <w:rFonts w:hint="eastAsia" w:ascii="仿宋_GB2312" w:hAnsi="仿宋_GB2312" w:eastAsia="仿宋_GB2312" w:cs="仿宋_GB2312"/>
          <w:color w:val="auto"/>
          <w:kern w:val="0"/>
          <w:sz w:val="32"/>
          <w:szCs w:val="32"/>
          <w:u w:val="none"/>
          <w:lang w:val="en-US" w:eastAsia="zh-CN" w:bidi="ar"/>
        </w:rPr>
        <w:t xml:space="preserve"> </w:t>
      </w:r>
      <w:r>
        <w:rPr>
          <w:rStyle w:val="9"/>
          <w:rFonts w:hint="eastAsia" w:ascii="仿宋_GB2312" w:hAnsi="仿宋_GB2312" w:eastAsia="仿宋_GB2312" w:cs="仿宋_GB2312"/>
          <w:b w:val="0"/>
          <w:bCs/>
          <w:color w:val="auto"/>
          <w:kern w:val="0"/>
          <w:sz w:val="32"/>
          <w:szCs w:val="32"/>
          <w:u w:val="none"/>
          <w:lang w:val="en-US" w:eastAsia="zh-CN" w:bidi="ar"/>
        </w:rPr>
        <w:t>抽查复核机制。</w:t>
      </w:r>
      <w:r>
        <w:rPr>
          <w:rFonts w:hint="eastAsia" w:ascii="仿宋_GB2312" w:hAnsi="仿宋_GB2312" w:eastAsia="仿宋_GB2312" w:cs="仿宋_GB2312"/>
          <w:b w:val="0"/>
          <w:bCs/>
          <w:color w:val="auto"/>
          <w:kern w:val="0"/>
          <w:sz w:val="32"/>
          <w:szCs w:val="32"/>
          <w:u w:val="none"/>
          <w:lang w:val="en-US" w:eastAsia="zh-CN" w:bidi="ar"/>
        </w:rPr>
        <w:t>建立常态化评估结论抽查复核、参保对象回访核查机制，对抽查发现的不规范评估、错误评估等问题，依规追责问责并督促限期整改。</w:t>
      </w:r>
    </w:p>
    <w:p w14:paraId="06C83404">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3" w:firstLineChars="200"/>
        <w:jc w:val="left"/>
        <w:textAlignment w:val="auto"/>
        <w:rPr>
          <w:rFonts w:hint="eastAsia" w:ascii="仿宋_GB2312" w:hAnsi="仿宋_GB2312" w:eastAsia="仿宋_GB2312" w:cs="仿宋_GB2312"/>
          <w:b w:val="0"/>
          <w:bCs/>
          <w:color w:val="auto"/>
          <w:sz w:val="32"/>
          <w:szCs w:val="32"/>
          <w:u w:val="none"/>
        </w:rPr>
      </w:pPr>
      <w:r>
        <w:rPr>
          <w:rStyle w:val="9"/>
          <w:rFonts w:hint="eastAsia" w:ascii="楷体_GB2312" w:hAnsi="楷体_GB2312" w:eastAsia="楷体_GB2312" w:cs="楷体_GB2312"/>
          <w:color w:val="auto"/>
          <w:kern w:val="0"/>
          <w:sz w:val="32"/>
          <w:szCs w:val="32"/>
          <w:u w:val="none"/>
          <w:lang w:val="en-US" w:eastAsia="zh-CN" w:bidi="ar"/>
        </w:rPr>
        <w:t xml:space="preserve">第二十八条 </w:t>
      </w:r>
      <w:r>
        <w:rPr>
          <w:rStyle w:val="9"/>
          <w:rFonts w:hint="eastAsia" w:ascii="仿宋_GB2312" w:hAnsi="仿宋_GB2312" w:eastAsia="仿宋_GB2312" w:cs="仿宋_GB2312"/>
          <w:b w:val="0"/>
          <w:bCs/>
          <w:color w:val="auto"/>
          <w:kern w:val="0"/>
          <w:sz w:val="32"/>
          <w:szCs w:val="32"/>
          <w:u w:val="none"/>
          <w:lang w:val="en-US" w:eastAsia="zh-CN" w:bidi="ar"/>
        </w:rPr>
        <w:t>社会监督。</w:t>
      </w:r>
      <w:r>
        <w:rPr>
          <w:rFonts w:hint="eastAsia" w:ascii="仿宋_GB2312" w:hAnsi="仿宋_GB2312" w:eastAsia="仿宋_GB2312" w:cs="仿宋_GB2312"/>
          <w:b w:val="0"/>
          <w:bCs/>
          <w:color w:val="auto"/>
          <w:kern w:val="0"/>
          <w:sz w:val="32"/>
          <w:szCs w:val="32"/>
          <w:u w:val="none"/>
          <w:lang w:val="en-US" w:eastAsia="zh-CN" w:bidi="ar"/>
        </w:rPr>
        <w:t>健全社会监督体系，公开投诉举报电话、邮箱，通过满意度评价、第三方评估、聘请社会监督员等方式，广泛接受社会监督，及时处置群众投诉举报和问题线索。</w:t>
      </w:r>
    </w:p>
    <w:p w14:paraId="5809A7D1">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jc w:val="center"/>
        <w:textAlignment w:val="auto"/>
        <w:rPr>
          <w:rFonts w:hint="eastAsia" w:ascii="黑体" w:hAnsi="黑体" w:eastAsia="黑体" w:cs="黑体"/>
          <w:b w:val="0"/>
          <w:bCs w:val="0"/>
          <w:color w:val="auto"/>
          <w:sz w:val="32"/>
          <w:szCs w:val="32"/>
          <w:u w:val="none"/>
        </w:rPr>
      </w:pPr>
      <w:r>
        <w:rPr>
          <w:rFonts w:hint="eastAsia" w:ascii="黑体" w:hAnsi="黑体" w:eastAsia="黑体" w:cs="黑体"/>
          <w:b w:val="0"/>
          <w:bCs w:val="0"/>
          <w:color w:val="auto"/>
          <w:sz w:val="32"/>
          <w:szCs w:val="32"/>
          <w:u w:val="none"/>
        </w:rPr>
        <w:t>第六章 附则</w:t>
      </w:r>
    </w:p>
    <w:p w14:paraId="785CCBAA">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3" w:firstLineChars="200"/>
        <w:jc w:val="left"/>
        <w:textAlignment w:val="auto"/>
        <w:rPr>
          <w:rFonts w:hint="eastAsia" w:ascii="仿宋_GB2312" w:hAnsi="仿宋_GB2312" w:eastAsia="仿宋_GB2312" w:cs="仿宋_GB2312"/>
          <w:b w:val="0"/>
          <w:bCs/>
          <w:color w:val="auto"/>
          <w:sz w:val="32"/>
          <w:szCs w:val="32"/>
          <w:u w:val="none"/>
        </w:rPr>
      </w:pPr>
      <w:r>
        <w:rPr>
          <w:rStyle w:val="9"/>
          <w:rFonts w:hint="eastAsia" w:ascii="楷体_GB2312" w:hAnsi="楷体_GB2312" w:eastAsia="楷体_GB2312" w:cs="楷体_GB2312"/>
          <w:color w:val="auto"/>
          <w:kern w:val="0"/>
          <w:sz w:val="32"/>
          <w:szCs w:val="32"/>
          <w:u w:val="none"/>
          <w:lang w:val="en-US" w:eastAsia="zh-CN" w:bidi="ar"/>
        </w:rPr>
        <w:t>第二十九条</w:t>
      </w:r>
      <w:r>
        <w:rPr>
          <w:rStyle w:val="9"/>
          <w:rFonts w:hint="eastAsia" w:ascii="仿宋_GB2312" w:hAnsi="仿宋_GB2312" w:eastAsia="仿宋_GB2312" w:cs="仿宋_GB2312"/>
          <w:color w:val="auto"/>
          <w:kern w:val="0"/>
          <w:sz w:val="32"/>
          <w:szCs w:val="32"/>
          <w:u w:val="none"/>
          <w:lang w:val="en-US" w:eastAsia="zh-CN" w:bidi="ar"/>
        </w:rPr>
        <w:t xml:space="preserve"> </w:t>
      </w:r>
      <w:r>
        <w:rPr>
          <w:rFonts w:hint="eastAsia" w:ascii="仿宋_GB2312" w:hAnsi="仿宋_GB2312" w:eastAsia="仿宋_GB2312" w:cs="仿宋_GB2312"/>
          <w:b w:val="0"/>
          <w:bCs/>
          <w:color w:val="auto"/>
          <w:kern w:val="0"/>
          <w:sz w:val="32"/>
          <w:szCs w:val="32"/>
          <w:u w:val="none"/>
          <w:lang w:val="en-US" w:eastAsia="zh-CN" w:bidi="ar"/>
        </w:rPr>
        <w:t>我市长期护理保险制度实施初期暂无存量定点评估机构的，首轮定点申报评审工作由市医保经办机构牵头组织、市医保行政部门监督指导；后续根据服务需求，可按政府采购相关规定确定定点评估服务主体。</w:t>
      </w:r>
    </w:p>
    <w:p w14:paraId="611200F2">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3" w:firstLineChars="200"/>
        <w:jc w:val="left"/>
        <w:textAlignment w:val="auto"/>
        <w:rPr>
          <w:rFonts w:hint="eastAsia" w:ascii="仿宋_GB2312" w:hAnsi="仿宋_GB2312" w:eastAsia="仿宋_GB2312" w:cs="仿宋_GB2312"/>
          <w:color w:val="auto"/>
          <w:sz w:val="32"/>
          <w:szCs w:val="32"/>
          <w:u w:val="none"/>
        </w:rPr>
      </w:pPr>
      <w:r>
        <w:rPr>
          <w:rStyle w:val="9"/>
          <w:rFonts w:hint="eastAsia" w:ascii="仿宋_GB2312" w:hAnsi="仿宋_GB2312" w:eastAsia="仿宋_GB2312" w:cs="仿宋_GB2312"/>
          <w:color w:val="auto"/>
          <w:kern w:val="0"/>
          <w:sz w:val="32"/>
          <w:szCs w:val="32"/>
          <w:u w:val="none"/>
          <w:lang w:val="en-US" w:eastAsia="zh-CN" w:bidi="ar"/>
        </w:rPr>
        <w:t xml:space="preserve">第三十条 </w:t>
      </w:r>
      <w:r>
        <w:rPr>
          <w:rFonts w:hint="eastAsia" w:ascii="仿宋_GB2312" w:hAnsi="仿宋_GB2312" w:eastAsia="仿宋_GB2312" w:cs="仿宋_GB2312"/>
          <w:color w:val="auto"/>
          <w:kern w:val="0"/>
          <w:sz w:val="32"/>
          <w:szCs w:val="32"/>
          <w:u w:val="none"/>
          <w:lang w:val="en-US" w:eastAsia="zh-CN" w:bidi="ar"/>
        </w:rPr>
        <w:t>本细则由景德镇市医疗保障局负责解释。国家、省后续出台新政策规定的，从其规定。</w:t>
      </w:r>
    </w:p>
    <w:p w14:paraId="51907D26">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3" w:firstLineChars="200"/>
        <w:jc w:val="left"/>
        <w:textAlignment w:val="auto"/>
        <w:rPr>
          <w:rFonts w:hint="eastAsia" w:ascii="仿宋_GB2312" w:hAnsi="仿宋_GB2312" w:eastAsia="仿宋_GB2312" w:cs="仿宋_GB2312"/>
          <w:color w:val="auto"/>
          <w:sz w:val="32"/>
          <w:szCs w:val="32"/>
          <w:u w:val="none"/>
        </w:rPr>
      </w:pPr>
      <w:r>
        <w:rPr>
          <w:rStyle w:val="9"/>
          <w:rFonts w:hint="eastAsia" w:ascii="楷体_GB2312" w:hAnsi="楷体_GB2312" w:eastAsia="楷体_GB2312" w:cs="楷体_GB2312"/>
          <w:color w:val="auto"/>
          <w:kern w:val="0"/>
          <w:sz w:val="32"/>
          <w:szCs w:val="32"/>
          <w:u w:val="none"/>
          <w:lang w:val="en-US" w:eastAsia="zh-CN" w:bidi="ar"/>
        </w:rPr>
        <w:t xml:space="preserve">第三十一条 </w:t>
      </w:r>
      <w:r>
        <w:rPr>
          <w:rStyle w:val="9"/>
          <w:rFonts w:hint="eastAsia" w:ascii="仿宋_GB2312" w:hAnsi="仿宋_GB2312" w:eastAsia="仿宋_GB2312" w:cs="仿宋_GB2312"/>
          <w:color w:val="auto"/>
          <w:kern w:val="0"/>
          <w:sz w:val="32"/>
          <w:szCs w:val="32"/>
          <w:u w:val="none"/>
          <w:lang w:val="en-US" w:eastAsia="zh-CN" w:bidi="ar"/>
        </w:rPr>
        <w:t xml:space="preserve"> </w:t>
      </w:r>
      <w:r>
        <w:rPr>
          <w:rFonts w:hint="eastAsia" w:ascii="仿宋_GB2312" w:hAnsi="仿宋_GB2312" w:eastAsia="仿宋_GB2312" w:cs="仿宋_GB2312"/>
          <w:color w:val="auto"/>
          <w:kern w:val="0"/>
          <w:sz w:val="32"/>
          <w:szCs w:val="32"/>
          <w:u w:val="none"/>
          <w:lang w:val="en-US" w:eastAsia="zh-CN" w:bidi="ar"/>
        </w:rPr>
        <w:t>本细则自印发之日起施行。</w:t>
      </w:r>
    </w:p>
    <w:p w14:paraId="1DF9B250">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eastAsia" w:ascii="仿宋_GB2312" w:hAnsi="仿宋_GB2312" w:eastAsia="仿宋_GB2312" w:cs="仿宋_GB2312"/>
          <w:b w:val="0"/>
          <w:bCs/>
          <w:color w:val="auto"/>
          <w:sz w:val="32"/>
          <w:szCs w:val="32"/>
          <w:u w:val="none"/>
        </w:rPr>
      </w:pPr>
      <w:r>
        <w:rPr>
          <w:rStyle w:val="9"/>
          <w:rFonts w:hint="eastAsia" w:ascii="仿宋_GB2312" w:hAnsi="仿宋_GB2312" w:eastAsia="仿宋_GB2312" w:cs="仿宋_GB2312"/>
          <w:b w:val="0"/>
          <w:bCs/>
          <w:color w:val="auto"/>
          <w:kern w:val="0"/>
          <w:sz w:val="32"/>
          <w:szCs w:val="32"/>
          <w:u w:val="none"/>
          <w:lang w:val="en-US" w:eastAsia="zh-CN" w:bidi="ar"/>
        </w:rPr>
        <w:t>附件：景德镇市长期护理保险定点失能等级评估机构申请表</w:t>
      </w:r>
    </w:p>
    <w:p w14:paraId="7F1F4EF5">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Autospacing="0" w:afterAutospacing="0" w:line="560" w:lineRule="exact"/>
        <w:jc w:val="both"/>
        <w:textAlignment w:val="auto"/>
        <w:rPr>
          <w:rFonts w:hint="eastAsia" w:ascii="仿宋_GB2312" w:hAnsi="仿宋_GB2312" w:eastAsia="仿宋_GB2312" w:cs="仿宋_GB2312"/>
          <w:color w:val="auto"/>
          <w:sz w:val="32"/>
          <w:szCs w:val="32"/>
          <w:u w:val="none"/>
          <w:lang w:eastAsia="zh-CN"/>
        </w:rPr>
      </w:pPr>
    </w:p>
    <w:p w14:paraId="127BB825">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Autospacing="0" w:afterAutospacing="0" w:line="560" w:lineRule="exact"/>
        <w:jc w:val="both"/>
        <w:textAlignment w:val="auto"/>
        <w:rPr>
          <w:rFonts w:hint="eastAsia" w:ascii="仿宋_GB2312" w:hAnsi="仿宋_GB2312" w:eastAsia="仿宋_GB2312" w:cs="仿宋_GB2312"/>
          <w:color w:val="auto"/>
          <w:sz w:val="32"/>
          <w:szCs w:val="32"/>
          <w:u w:val="none"/>
          <w:lang w:eastAsia="zh-CN"/>
        </w:rPr>
      </w:pPr>
    </w:p>
    <w:p w14:paraId="2C3B43A4">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Autospacing="0" w:afterAutospacing="0" w:line="560" w:lineRule="exact"/>
        <w:jc w:val="both"/>
        <w:textAlignment w:val="auto"/>
        <w:rPr>
          <w:rFonts w:hint="eastAsia" w:ascii="仿宋_GB2312" w:hAnsi="仿宋_GB2312" w:eastAsia="仿宋_GB2312" w:cs="仿宋_GB2312"/>
          <w:color w:val="auto"/>
          <w:sz w:val="32"/>
          <w:szCs w:val="32"/>
          <w:u w:val="none"/>
          <w:lang w:eastAsia="zh-CN"/>
        </w:rPr>
      </w:pPr>
    </w:p>
    <w:p w14:paraId="45D5F872">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Autospacing="0" w:afterAutospacing="0" w:line="560" w:lineRule="exact"/>
        <w:jc w:val="both"/>
        <w:textAlignment w:val="auto"/>
        <w:rPr>
          <w:rFonts w:hint="eastAsia" w:ascii="仿宋_GB2312" w:hAnsi="仿宋_GB2312" w:eastAsia="仿宋_GB2312" w:cs="仿宋_GB2312"/>
          <w:color w:val="auto"/>
          <w:sz w:val="32"/>
          <w:szCs w:val="32"/>
          <w:u w:val="none"/>
          <w:lang w:eastAsia="zh-CN"/>
        </w:rPr>
      </w:pPr>
    </w:p>
    <w:p w14:paraId="37030514">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Autospacing="0" w:afterAutospacing="0" w:line="560" w:lineRule="exact"/>
        <w:jc w:val="both"/>
        <w:textAlignment w:val="auto"/>
        <w:rPr>
          <w:rFonts w:hint="eastAsia" w:ascii="仿宋_GB2312" w:hAnsi="仿宋_GB2312" w:eastAsia="仿宋_GB2312" w:cs="仿宋_GB2312"/>
          <w:color w:val="auto"/>
          <w:sz w:val="32"/>
          <w:szCs w:val="32"/>
          <w:u w:val="none"/>
          <w:lang w:eastAsia="zh-CN"/>
        </w:rPr>
      </w:pPr>
    </w:p>
    <w:p w14:paraId="36DB59DE">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Autospacing="0" w:afterAutospacing="0" w:line="560" w:lineRule="exact"/>
        <w:jc w:val="both"/>
        <w:textAlignment w:val="auto"/>
        <w:rPr>
          <w:rFonts w:hint="eastAsia" w:ascii="黑体" w:hAnsi="黑体" w:eastAsia="黑体" w:cs="黑体"/>
          <w:b w:val="0"/>
          <w:bCs/>
          <w:color w:val="auto"/>
          <w:sz w:val="32"/>
          <w:szCs w:val="32"/>
          <w:u w:val="none"/>
          <w:lang w:val="en-US" w:eastAsia="zh-CN"/>
        </w:rPr>
      </w:pPr>
      <w:r>
        <w:rPr>
          <w:rFonts w:hint="eastAsia" w:ascii="黑体" w:hAnsi="黑体" w:eastAsia="黑体" w:cs="黑体"/>
          <w:color w:val="auto"/>
          <w:sz w:val="32"/>
          <w:szCs w:val="32"/>
          <w:u w:val="none"/>
          <w:lang w:eastAsia="zh-CN"/>
        </w:rPr>
        <w:t>附件</w:t>
      </w:r>
    </w:p>
    <w:p w14:paraId="1C0987DB">
      <w:pPr>
        <w:keepNext w:val="0"/>
        <w:keepLines w:val="0"/>
        <w:pageBreakBefore w:val="0"/>
        <w:kinsoku/>
        <w:wordWrap/>
        <w:overflowPunct/>
        <w:topLinePunct w:val="0"/>
        <w:autoSpaceDE/>
        <w:autoSpaceDN/>
        <w:bidi w:val="0"/>
        <w:adjustRightInd/>
        <w:snapToGrid/>
        <w:spacing w:beforeAutospacing="0" w:afterAutospacing="0" w:line="560" w:lineRule="exact"/>
        <w:jc w:val="center"/>
        <w:textAlignment w:val="auto"/>
        <w:rPr>
          <w:rFonts w:hint="eastAsia" w:ascii="方正小标宋简体" w:hAnsi="方正小标宋简体" w:eastAsia="方正小标宋简体" w:cs="方正小标宋简体"/>
          <w:b w:val="0"/>
          <w:bCs/>
          <w:color w:val="auto"/>
          <w:sz w:val="36"/>
          <w:szCs w:val="36"/>
          <w:u w:val="none"/>
          <w:lang w:val="en-US" w:eastAsia="zh-CN"/>
        </w:rPr>
      </w:pPr>
      <w:r>
        <w:rPr>
          <w:rFonts w:hint="eastAsia" w:ascii="方正小标宋简体" w:hAnsi="方正小标宋简体" w:eastAsia="方正小标宋简体" w:cs="方正小标宋简体"/>
          <w:b w:val="0"/>
          <w:bCs/>
          <w:color w:val="auto"/>
          <w:sz w:val="36"/>
          <w:szCs w:val="36"/>
          <w:u w:val="none"/>
          <w:lang w:val="en-US" w:eastAsia="zh-CN"/>
        </w:rPr>
        <w:t>景德镇市长期护理保险</w:t>
      </w:r>
    </w:p>
    <w:p w14:paraId="0E31C9A0">
      <w:pPr>
        <w:keepNext w:val="0"/>
        <w:keepLines w:val="0"/>
        <w:pageBreakBefore w:val="0"/>
        <w:kinsoku/>
        <w:wordWrap/>
        <w:overflowPunct/>
        <w:topLinePunct w:val="0"/>
        <w:autoSpaceDE/>
        <w:autoSpaceDN/>
        <w:bidi w:val="0"/>
        <w:adjustRightInd/>
        <w:snapToGrid/>
        <w:spacing w:beforeAutospacing="0" w:afterAutospacing="0" w:line="560" w:lineRule="exact"/>
        <w:jc w:val="center"/>
        <w:textAlignment w:val="auto"/>
        <w:rPr>
          <w:rFonts w:hint="eastAsia" w:ascii="方正小标宋简体" w:hAnsi="方正小标宋简体" w:eastAsia="方正小标宋简体" w:cs="方正小标宋简体"/>
          <w:b w:val="0"/>
          <w:bCs/>
          <w:color w:val="auto"/>
          <w:sz w:val="36"/>
          <w:szCs w:val="36"/>
          <w:u w:val="none"/>
          <w:lang w:val="en-US" w:eastAsia="zh-CN"/>
        </w:rPr>
      </w:pPr>
      <w:r>
        <w:rPr>
          <w:rFonts w:hint="eastAsia" w:ascii="方正小标宋简体" w:hAnsi="方正小标宋简体" w:eastAsia="方正小标宋简体" w:cs="方正小标宋简体"/>
          <w:b w:val="0"/>
          <w:bCs/>
          <w:color w:val="auto"/>
          <w:sz w:val="36"/>
          <w:szCs w:val="36"/>
          <w:u w:val="none"/>
          <w:lang w:val="en-US" w:eastAsia="zh-CN"/>
        </w:rPr>
        <w:t>定点失能等级评估机构申请表</w:t>
      </w:r>
    </w:p>
    <w:p w14:paraId="72086F6B">
      <w:pPr>
        <w:keepNext w:val="0"/>
        <w:keepLines w:val="0"/>
        <w:pageBreakBefore w:val="0"/>
        <w:widowControl w:val="0"/>
        <w:kinsoku/>
        <w:wordWrap/>
        <w:overflowPunct/>
        <w:topLinePunct w:val="0"/>
        <w:autoSpaceDE/>
        <w:autoSpaceDN/>
        <w:bidi w:val="0"/>
        <w:adjustRightInd/>
        <w:snapToGrid/>
        <w:spacing w:beforeAutospacing="0" w:afterAutospacing="0" w:line="400" w:lineRule="exact"/>
        <w:jc w:val="left"/>
        <w:textAlignment w:val="auto"/>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pacing w:val="-13"/>
          <w:sz w:val="32"/>
          <w:szCs w:val="32"/>
          <w:u w:val="none"/>
          <w:lang w:val="en-US" w:eastAsia="zh-CN"/>
        </w:rPr>
        <w:t xml:space="preserve">申请单位名称（盖章）：              </w:t>
      </w:r>
      <w:r>
        <w:rPr>
          <w:rFonts w:hint="eastAsia" w:ascii="仿宋_GB2312" w:hAnsi="仿宋_GB2312" w:eastAsia="仿宋_GB2312" w:cs="仿宋_GB2312"/>
          <w:color w:val="auto"/>
          <w:spacing w:val="-13"/>
          <w:sz w:val="32"/>
          <w:szCs w:val="32"/>
          <w:u w:val="none"/>
        </w:rPr>
        <w:t>申请时间：</w:t>
      </w:r>
      <w:r>
        <w:rPr>
          <w:rFonts w:hint="eastAsia" w:ascii="仿宋_GB2312" w:hAnsi="仿宋_GB2312" w:eastAsia="仿宋_GB2312" w:cs="仿宋_GB2312"/>
          <w:color w:val="auto"/>
          <w:spacing w:val="74"/>
          <w:w w:val="101"/>
          <w:sz w:val="32"/>
          <w:szCs w:val="32"/>
          <w:u w:val="none"/>
        </w:rPr>
        <w:t xml:space="preserve"> </w:t>
      </w:r>
      <w:r>
        <w:rPr>
          <w:rFonts w:hint="eastAsia" w:ascii="仿宋_GB2312" w:hAnsi="仿宋_GB2312" w:eastAsia="仿宋_GB2312" w:cs="仿宋_GB2312"/>
          <w:color w:val="auto"/>
          <w:spacing w:val="74"/>
          <w:w w:val="101"/>
          <w:sz w:val="32"/>
          <w:szCs w:val="32"/>
          <w:u w:val="none"/>
          <w:lang w:val="en-US" w:eastAsia="zh-CN"/>
        </w:rPr>
        <w:t xml:space="preserve"> </w:t>
      </w:r>
      <w:r>
        <w:rPr>
          <w:rFonts w:hint="eastAsia" w:ascii="仿宋_GB2312" w:hAnsi="仿宋_GB2312" w:eastAsia="仿宋_GB2312" w:cs="仿宋_GB2312"/>
          <w:color w:val="auto"/>
          <w:spacing w:val="-13"/>
          <w:sz w:val="32"/>
          <w:szCs w:val="32"/>
          <w:u w:val="none"/>
        </w:rPr>
        <w:t>年</w:t>
      </w:r>
      <w:r>
        <w:rPr>
          <w:rFonts w:hint="eastAsia" w:ascii="仿宋_GB2312" w:hAnsi="仿宋_GB2312" w:eastAsia="仿宋_GB2312" w:cs="仿宋_GB2312"/>
          <w:color w:val="auto"/>
          <w:spacing w:val="5"/>
          <w:sz w:val="32"/>
          <w:szCs w:val="32"/>
          <w:u w:val="none"/>
        </w:rPr>
        <w:t xml:space="preserve">  </w:t>
      </w:r>
      <w:r>
        <w:rPr>
          <w:rFonts w:hint="eastAsia" w:ascii="仿宋_GB2312" w:hAnsi="仿宋_GB2312" w:eastAsia="仿宋_GB2312" w:cs="仿宋_GB2312"/>
          <w:color w:val="auto"/>
          <w:spacing w:val="-13"/>
          <w:sz w:val="32"/>
          <w:szCs w:val="32"/>
          <w:u w:val="none"/>
        </w:rPr>
        <w:t>月</w:t>
      </w:r>
      <w:r>
        <w:rPr>
          <w:rFonts w:hint="eastAsia" w:ascii="仿宋_GB2312" w:hAnsi="仿宋_GB2312" w:eastAsia="仿宋_GB2312" w:cs="仿宋_GB2312"/>
          <w:color w:val="auto"/>
          <w:spacing w:val="8"/>
          <w:sz w:val="32"/>
          <w:szCs w:val="32"/>
          <w:u w:val="none"/>
        </w:rPr>
        <w:t xml:space="preserve">  </w:t>
      </w:r>
      <w:r>
        <w:rPr>
          <w:rFonts w:hint="eastAsia" w:ascii="仿宋_GB2312" w:hAnsi="仿宋_GB2312" w:eastAsia="仿宋_GB2312" w:cs="仿宋_GB2312"/>
          <w:color w:val="auto"/>
          <w:spacing w:val="-13"/>
          <w:sz w:val="32"/>
          <w:szCs w:val="32"/>
          <w:u w:val="none"/>
        </w:rPr>
        <w:t>日</w:t>
      </w:r>
    </w:p>
    <w:tbl>
      <w:tblPr>
        <w:tblStyle w:val="7"/>
        <w:tblW w:w="93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4"/>
        <w:gridCol w:w="918"/>
        <w:gridCol w:w="650"/>
        <w:gridCol w:w="223"/>
        <w:gridCol w:w="837"/>
        <w:gridCol w:w="623"/>
        <w:gridCol w:w="595"/>
        <w:gridCol w:w="741"/>
        <w:gridCol w:w="566"/>
        <w:gridCol w:w="628"/>
        <w:gridCol w:w="110"/>
        <w:gridCol w:w="360"/>
        <w:gridCol w:w="280"/>
        <w:gridCol w:w="836"/>
      </w:tblGrid>
      <w:tr w14:paraId="4F2C1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84" w:type="dxa"/>
            <w:noWrap w:val="0"/>
            <w:vAlign w:val="center"/>
          </w:tcPr>
          <w:p w14:paraId="6B5187B1">
            <w:pPr>
              <w:keepNext w:val="0"/>
              <w:keepLines w:val="0"/>
              <w:pageBreakBefore w:val="0"/>
              <w:kinsoku/>
              <w:wordWrap/>
              <w:overflowPunct/>
              <w:topLinePunct w:val="0"/>
              <w:autoSpaceDE/>
              <w:autoSpaceDN/>
              <w:bidi w:val="0"/>
              <w:adjustRightInd/>
              <w:snapToGrid/>
              <w:spacing w:beforeAutospacing="0" w:afterAutospacing="0" w:line="240" w:lineRule="exact"/>
              <w:jc w:val="center"/>
              <w:textAlignment w:val="auto"/>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机构名称</w:t>
            </w:r>
          </w:p>
        </w:tc>
        <w:tc>
          <w:tcPr>
            <w:tcW w:w="7367" w:type="dxa"/>
            <w:gridSpan w:val="13"/>
            <w:noWrap w:val="0"/>
            <w:vAlign w:val="center"/>
          </w:tcPr>
          <w:p w14:paraId="407B6003">
            <w:pPr>
              <w:keepNext w:val="0"/>
              <w:keepLines w:val="0"/>
              <w:pageBreakBefore w:val="0"/>
              <w:kinsoku/>
              <w:wordWrap/>
              <w:overflowPunct/>
              <w:topLinePunct w:val="0"/>
              <w:autoSpaceDE/>
              <w:autoSpaceDN/>
              <w:bidi w:val="0"/>
              <w:adjustRightInd/>
              <w:snapToGrid/>
              <w:spacing w:beforeAutospacing="0" w:afterAutospacing="0" w:line="240" w:lineRule="exact"/>
              <w:textAlignment w:val="auto"/>
              <w:rPr>
                <w:rFonts w:hint="eastAsia" w:ascii="仿宋_GB2312" w:hAnsi="仿宋_GB2312" w:eastAsia="仿宋_GB2312" w:cs="仿宋_GB2312"/>
                <w:color w:val="auto"/>
                <w:sz w:val="24"/>
                <w:szCs w:val="24"/>
                <w:u w:val="none"/>
              </w:rPr>
            </w:pPr>
          </w:p>
        </w:tc>
      </w:tr>
      <w:tr w14:paraId="74A1B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exact"/>
          <w:jc w:val="center"/>
        </w:trPr>
        <w:tc>
          <w:tcPr>
            <w:tcW w:w="1984" w:type="dxa"/>
            <w:tcBorders>
              <w:top w:val="single" w:color="auto" w:sz="4" w:space="0"/>
              <w:left w:val="single" w:color="auto" w:sz="4" w:space="0"/>
              <w:bottom w:val="single" w:color="auto" w:sz="4" w:space="0"/>
              <w:right w:val="single" w:color="auto" w:sz="4" w:space="0"/>
            </w:tcBorders>
            <w:noWrap w:val="0"/>
            <w:vAlign w:val="center"/>
          </w:tcPr>
          <w:p w14:paraId="49F04F5A">
            <w:pPr>
              <w:keepNext w:val="0"/>
              <w:keepLines w:val="0"/>
              <w:pageBreakBefore w:val="0"/>
              <w:kinsoku/>
              <w:wordWrap/>
              <w:overflowPunct/>
              <w:topLinePunct w:val="0"/>
              <w:autoSpaceDE/>
              <w:autoSpaceDN/>
              <w:bidi w:val="0"/>
              <w:adjustRightInd/>
              <w:snapToGrid/>
              <w:spacing w:beforeAutospacing="0" w:afterAutospacing="0" w:line="240" w:lineRule="exact"/>
              <w:jc w:val="center"/>
              <w:textAlignment w:val="auto"/>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单位地址</w:t>
            </w:r>
          </w:p>
        </w:tc>
        <w:tc>
          <w:tcPr>
            <w:tcW w:w="4587" w:type="dxa"/>
            <w:gridSpan w:val="7"/>
            <w:tcBorders>
              <w:top w:val="single" w:color="auto" w:sz="4" w:space="0"/>
              <w:left w:val="single" w:color="auto" w:sz="4" w:space="0"/>
              <w:bottom w:val="single" w:color="auto" w:sz="4" w:space="0"/>
              <w:right w:val="single" w:color="auto" w:sz="4" w:space="0"/>
            </w:tcBorders>
            <w:noWrap w:val="0"/>
            <w:vAlign w:val="center"/>
          </w:tcPr>
          <w:p w14:paraId="1390DFE4">
            <w:pPr>
              <w:keepNext w:val="0"/>
              <w:keepLines w:val="0"/>
              <w:pageBreakBefore w:val="0"/>
              <w:kinsoku/>
              <w:wordWrap/>
              <w:overflowPunct/>
              <w:topLinePunct w:val="0"/>
              <w:autoSpaceDE/>
              <w:autoSpaceDN/>
              <w:bidi w:val="0"/>
              <w:adjustRightInd/>
              <w:snapToGrid/>
              <w:spacing w:beforeAutospacing="0" w:afterAutospacing="0" w:line="240" w:lineRule="exact"/>
              <w:textAlignment w:val="auto"/>
              <w:rPr>
                <w:rFonts w:hint="eastAsia" w:ascii="仿宋_GB2312" w:hAnsi="仿宋_GB2312" w:eastAsia="仿宋_GB2312" w:cs="仿宋_GB2312"/>
                <w:color w:val="auto"/>
                <w:sz w:val="24"/>
                <w:szCs w:val="24"/>
                <w:u w:val="none"/>
              </w:rPr>
            </w:pPr>
          </w:p>
        </w:tc>
        <w:tc>
          <w:tcPr>
            <w:tcW w:w="1664" w:type="dxa"/>
            <w:gridSpan w:val="4"/>
            <w:tcBorders>
              <w:top w:val="single" w:color="auto" w:sz="4" w:space="0"/>
              <w:left w:val="single" w:color="auto" w:sz="4" w:space="0"/>
              <w:bottom w:val="single" w:color="auto" w:sz="4" w:space="0"/>
              <w:right w:val="single" w:color="auto" w:sz="4" w:space="0"/>
            </w:tcBorders>
            <w:noWrap w:val="0"/>
            <w:vAlign w:val="center"/>
          </w:tcPr>
          <w:p w14:paraId="6E460B15">
            <w:pPr>
              <w:keepNext w:val="0"/>
              <w:keepLines w:val="0"/>
              <w:pageBreakBefore w:val="0"/>
              <w:kinsoku/>
              <w:wordWrap/>
              <w:overflowPunct/>
              <w:topLinePunct w:val="0"/>
              <w:autoSpaceDE/>
              <w:autoSpaceDN/>
              <w:bidi w:val="0"/>
              <w:adjustRightInd/>
              <w:snapToGrid/>
              <w:spacing w:beforeAutospacing="0" w:afterAutospacing="0" w:line="240" w:lineRule="exact"/>
              <w:jc w:val="center"/>
              <w:textAlignment w:val="auto"/>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邮政编码</w:t>
            </w:r>
          </w:p>
        </w:tc>
        <w:tc>
          <w:tcPr>
            <w:tcW w:w="1116" w:type="dxa"/>
            <w:gridSpan w:val="2"/>
            <w:tcBorders>
              <w:top w:val="single" w:color="auto" w:sz="4" w:space="0"/>
              <w:left w:val="single" w:color="auto" w:sz="4" w:space="0"/>
              <w:bottom w:val="single" w:color="auto" w:sz="4" w:space="0"/>
              <w:right w:val="single" w:color="auto" w:sz="4" w:space="0"/>
            </w:tcBorders>
            <w:noWrap w:val="0"/>
            <w:vAlign w:val="center"/>
          </w:tcPr>
          <w:p w14:paraId="163D30AE">
            <w:pPr>
              <w:keepNext w:val="0"/>
              <w:keepLines w:val="0"/>
              <w:pageBreakBefore w:val="0"/>
              <w:kinsoku/>
              <w:wordWrap/>
              <w:overflowPunct/>
              <w:topLinePunct w:val="0"/>
              <w:autoSpaceDE/>
              <w:autoSpaceDN/>
              <w:bidi w:val="0"/>
              <w:adjustRightInd/>
              <w:snapToGrid/>
              <w:spacing w:beforeAutospacing="0" w:afterAutospacing="0" w:line="240" w:lineRule="exact"/>
              <w:textAlignment w:val="auto"/>
              <w:rPr>
                <w:rFonts w:hint="eastAsia" w:ascii="仿宋_GB2312" w:hAnsi="仿宋_GB2312" w:eastAsia="仿宋_GB2312" w:cs="仿宋_GB2312"/>
                <w:color w:val="auto"/>
                <w:sz w:val="24"/>
                <w:szCs w:val="24"/>
                <w:u w:val="none"/>
              </w:rPr>
            </w:pPr>
          </w:p>
        </w:tc>
      </w:tr>
      <w:tr w14:paraId="22637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5" w:hRule="exact"/>
          <w:jc w:val="center"/>
        </w:trPr>
        <w:tc>
          <w:tcPr>
            <w:tcW w:w="1984" w:type="dxa"/>
            <w:tcBorders>
              <w:top w:val="single" w:color="auto" w:sz="4" w:space="0"/>
              <w:left w:val="single" w:color="auto" w:sz="4" w:space="0"/>
              <w:bottom w:val="single" w:color="auto" w:sz="4" w:space="0"/>
              <w:right w:val="single" w:color="auto" w:sz="4" w:space="0"/>
            </w:tcBorders>
            <w:noWrap w:val="0"/>
            <w:vAlign w:val="center"/>
          </w:tcPr>
          <w:p w14:paraId="5782D9D6">
            <w:pPr>
              <w:keepNext w:val="0"/>
              <w:keepLines w:val="0"/>
              <w:pageBreakBefore w:val="0"/>
              <w:widowControl/>
              <w:kinsoku/>
              <w:wordWrap/>
              <w:overflowPunct/>
              <w:topLinePunct w:val="0"/>
              <w:autoSpaceDE/>
              <w:autoSpaceDN/>
              <w:bidi w:val="0"/>
              <w:adjustRightInd/>
              <w:snapToGrid/>
              <w:spacing w:beforeAutospacing="0" w:afterAutospacing="0" w:line="240" w:lineRule="exact"/>
              <w:jc w:val="center"/>
              <w:textAlignment w:val="auto"/>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i w:val="0"/>
                <w:caps w:val="0"/>
                <w:color w:val="auto"/>
                <w:spacing w:val="0"/>
                <w:kern w:val="0"/>
                <w:sz w:val="24"/>
                <w:szCs w:val="24"/>
                <w:u w:val="none"/>
                <w:shd w:val="clear" w:color="auto" w:fill="FFFFFF"/>
                <w:lang w:val="en-US" w:eastAsia="zh-CN" w:bidi="ar"/>
              </w:rPr>
              <w:t>统一社会信用代码</w:t>
            </w:r>
          </w:p>
        </w:tc>
        <w:tc>
          <w:tcPr>
            <w:tcW w:w="3251" w:type="dxa"/>
            <w:gridSpan w:val="5"/>
            <w:tcBorders>
              <w:top w:val="single" w:color="auto" w:sz="4" w:space="0"/>
              <w:left w:val="single" w:color="auto" w:sz="4" w:space="0"/>
              <w:bottom w:val="single" w:color="auto" w:sz="4" w:space="0"/>
              <w:right w:val="single" w:color="auto" w:sz="4" w:space="0"/>
            </w:tcBorders>
            <w:noWrap w:val="0"/>
            <w:vAlign w:val="center"/>
          </w:tcPr>
          <w:p w14:paraId="0263F8C4">
            <w:pPr>
              <w:keepNext w:val="0"/>
              <w:keepLines w:val="0"/>
              <w:pageBreakBefore w:val="0"/>
              <w:kinsoku/>
              <w:wordWrap/>
              <w:overflowPunct/>
              <w:topLinePunct w:val="0"/>
              <w:autoSpaceDE/>
              <w:autoSpaceDN/>
              <w:bidi w:val="0"/>
              <w:adjustRightInd/>
              <w:snapToGrid/>
              <w:spacing w:beforeAutospacing="0" w:afterAutospacing="0" w:line="240" w:lineRule="exact"/>
              <w:jc w:val="center"/>
              <w:textAlignment w:val="auto"/>
              <w:rPr>
                <w:rFonts w:hint="eastAsia" w:ascii="仿宋_GB2312" w:hAnsi="仿宋_GB2312" w:eastAsia="仿宋_GB2312" w:cs="仿宋_GB2312"/>
                <w:color w:val="auto"/>
                <w:sz w:val="24"/>
                <w:szCs w:val="24"/>
                <w:u w:val="none"/>
                <w:lang w:eastAsia="zh-CN"/>
              </w:rPr>
            </w:pPr>
          </w:p>
        </w:tc>
        <w:tc>
          <w:tcPr>
            <w:tcW w:w="1902" w:type="dxa"/>
            <w:gridSpan w:val="3"/>
            <w:tcBorders>
              <w:top w:val="single" w:color="auto" w:sz="4" w:space="0"/>
              <w:left w:val="single" w:color="auto" w:sz="4" w:space="0"/>
              <w:bottom w:val="single" w:color="auto" w:sz="4" w:space="0"/>
              <w:right w:val="single" w:color="auto" w:sz="4" w:space="0"/>
            </w:tcBorders>
            <w:noWrap w:val="0"/>
            <w:vAlign w:val="center"/>
          </w:tcPr>
          <w:p w14:paraId="0770CE08">
            <w:pPr>
              <w:keepNext w:val="0"/>
              <w:keepLines w:val="0"/>
              <w:pageBreakBefore w:val="0"/>
              <w:kinsoku/>
              <w:wordWrap/>
              <w:overflowPunct/>
              <w:topLinePunct w:val="0"/>
              <w:autoSpaceDE/>
              <w:autoSpaceDN/>
              <w:bidi w:val="0"/>
              <w:adjustRightInd/>
              <w:snapToGrid/>
              <w:spacing w:beforeAutospacing="0" w:afterAutospacing="0" w:line="240" w:lineRule="exact"/>
              <w:jc w:val="center"/>
              <w:textAlignment w:val="auto"/>
              <w:rPr>
                <w:rFonts w:hint="eastAsia" w:ascii="仿宋_GB2312" w:hAnsi="仿宋_GB2312" w:eastAsia="仿宋_GB2312" w:cs="仿宋_GB2312"/>
                <w:color w:val="auto"/>
                <w:sz w:val="24"/>
                <w:szCs w:val="24"/>
                <w:u w:val="none"/>
                <w:lang w:val="en-US" w:eastAsia="zh-CN"/>
              </w:rPr>
            </w:pPr>
            <w:r>
              <w:rPr>
                <w:rFonts w:hint="eastAsia" w:ascii="仿宋_GB2312" w:hAnsi="仿宋_GB2312" w:eastAsia="仿宋_GB2312" w:cs="仿宋_GB2312"/>
                <w:color w:val="auto"/>
                <w:sz w:val="24"/>
                <w:szCs w:val="24"/>
                <w:u w:val="none"/>
                <w:lang w:eastAsia="zh-CN"/>
              </w:rPr>
              <w:t>所属</w:t>
            </w:r>
            <w:r>
              <w:rPr>
                <w:rFonts w:hint="eastAsia" w:ascii="仿宋_GB2312" w:hAnsi="仿宋_GB2312" w:eastAsia="仿宋_GB2312" w:cs="仿宋_GB2312"/>
                <w:color w:val="auto"/>
                <w:sz w:val="24"/>
                <w:szCs w:val="24"/>
                <w:u w:val="none"/>
                <w:lang w:eastAsia="zh-CN"/>
              </w:rPr>
              <w:t>行政</w:t>
            </w:r>
            <w:r>
              <w:rPr>
                <w:rFonts w:hint="eastAsia" w:ascii="仿宋_GB2312" w:hAnsi="仿宋_GB2312" w:eastAsia="仿宋_GB2312" w:cs="仿宋_GB2312"/>
                <w:color w:val="auto"/>
                <w:sz w:val="24"/>
                <w:szCs w:val="24"/>
                <w:u w:val="none"/>
                <w:lang w:eastAsia="zh-CN"/>
              </w:rPr>
              <w:t>区</w:t>
            </w:r>
            <w:r>
              <w:rPr>
                <w:rFonts w:hint="eastAsia" w:ascii="仿宋_GB2312" w:hAnsi="仿宋_GB2312" w:eastAsia="仿宋_GB2312" w:cs="仿宋_GB2312"/>
                <w:color w:val="auto"/>
                <w:sz w:val="24"/>
                <w:szCs w:val="24"/>
                <w:u w:val="none"/>
                <w:lang w:val="en-US" w:eastAsia="zh-CN"/>
              </w:rPr>
              <w:t>/</w:t>
            </w:r>
            <w:r>
              <w:rPr>
                <w:rFonts w:hint="eastAsia" w:ascii="仿宋_GB2312" w:hAnsi="仿宋_GB2312" w:eastAsia="仿宋_GB2312" w:cs="仿宋_GB2312"/>
                <w:color w:val="auto"/>
                <w:sz w:val="24"/>
                <w:szCs w:val="24"/>
                <w:u w:val="none"/>
                <w:lang w:eastAsia="zh-CN"/>
              </w:rPr>
              <w:t>街道</w:t>
            </w:r>
          </w:p>
        </w:tc>
        <w:tc>
          <w:tcPr>
            <w:tcW w:w="2214" w:type="dxa"/>
            <w:gridSpan w:val="5"/>
            <w:tcBorders>
              <w:top w:val="single" w:color="auto" w:sz="4" w:space="0"/>
              <w:left w:val="single" w:color="auto" w:sz="4" w:space="0"/>
              <w:bottom w:val="single" w:color="auto" w:sz="4" w:space="0"/>
              <w:right w:val="single" w:color="auto" w:sz="4" w:space="0"/>
            </w:tcBorders>
            <w:noWrap w:val="0"/>
            <w:vAlign w:val="center"/>
          </w:tcPr>
          <w:p w14:paraId="08C8F909">
            <w:pPr>
              <w:keepNext w:val="0"/>
              <w:keepLines w:val="0"/>
              <w:pageBreakBefore w:val="0"/>
              <w:kinsoku/>
              <w:wordWrap/>
              <w:overflowPunct/>
              <w:topLinePunct w:val="0"/>
              <w:autoSpaceDE/>
              <w:autoSpaceDN/>
              <w:bidi w:val="0"/>
              <w:adjustRightInd/>
              <w:snapToGrid/>
              <w:spacing w:beforeAutospacing="0" w:afterAutospacing="0" w:line="240" w:lineRule="exact"/>
              <w:ind w:firstLine="960" w:firstLineChars="400"/>
              <w:jc w:val="right"/>
              <w:textAlignment w:val="auto"/>
              <w:rPr>
                <w:rFonts w:hint="eastAsia" w:ascii="仿宋_GB2312" w:hAnsi="仿宋_GB2312" w:eastAsia="仿宋_GB2312" w:cs="仿宋_GB2312"/>
                <w:color w:val="auto"/>
                <w:sz w:val="24"/>
                <w:szCs w:val="24"/>
                <w:u w:val="none"/>
                <w:lang w:val="en-US" w:eastAsia="zh-CN"/>
              </w:rPr>
            </w:pPr>
          </w:p>
        </w:tc>
      </w:tr>
      <w:tr w14:paraId="551DC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exact"/>
          <w:jc w:val="center"/>
        </w:trPr>
        <w:tc>
          <w:tcPr>
            <w:tcW w:w="1984" w:type="dxa"/>
            <w:tcBorders>
              <w:top w:val="single" w:color="auto" w:sz="4" w:space="0"/>
              <w:left w:val="single" w:color="auto" w:sz="4" w:space="0"/>
              <w:bottom w:val="single" w:color="auto" w:sz="4" w:space="0"/>
              <w:right w:val="single" w:color="auto" w:sz="4" w:space="0"/>
            </w:tcBorders>
            <w:noWrap w:val="0"/>
            <w:vAlign w:val="center"/>
          </w:tcPr>
          <w:p w14:paraId="1A078237">
            <w:pPr>
              <w:keepNext w:val="0"/>
              <w:keepLines w:val="0"/>
              <w:pageBreakBefore w:val="0"/>
              <w:kinsoku/>
              <w:wordWrap/>
              <w:overflowPunct/>
              <w:topLinePunct w:val="0"/>
              <w:autoSpaceDE/>
              <w:autoSpaceDN/>
              <w:bidi w:val="0"/>
              <w:adjustRightInd/>
              <w:snapToGrid/>
              <w:spacing w:beforeAutospacing="0" w:afterAutospacing="0" w:line="240" w:lineRule="exact"/>
              <w:jc w:val="center"/>
              <w:textAlignment w:val="auto"/>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法定代表人</w:t>
            </w:r>
          </w:p>
        </w:tc>
        <w:tc>
          <w:tcPr>
            <w:tcW w:w="1568" w:type="dxa"/>
            <w:gridSpan w:val="2"/>
            <w:tcBorders>
              <w:top w:val="single" w:color="auto" w:sz="4" w:space="0"/>
              <w:left w:val="single" w:color="auto" w:sz="4" w:space="0"/>
              <w:bottom w:val="single" w:color="auto" w:sz="4" w:space="0"/>
              <w:right w:val="single" w:color="auto" w:sz="4" w:space="0"/>
            </w:tcBorders>
            <w:noWrap w:val="0"/>
            <w:vAlign w:val="center"/>
          </w:tcPr>
          <w:p w14:paraId="42105B9C">
            <w:pPr>
              <w:keepNext w:val="0"/>
              <w:keepLines w:val="0"/>
              <w:pageBreakBefore w:val="0"/>
              <w:kinsoku/>
              <w:wordWrap/>
              <w:overflowPunct/>
              <w:topLinePunct w:val="0"/>
              <w:autoSpaceDE/>
              <w:autoSpaceDN/>
              <w:bidi w:val="0"/>
              <w:adjustRightInd/>
              <w:snapToGrid/>
              <w:spacing w:beforeAutospacing="0" w:afterAutospacing="0" w:line="240" w:lineRule="exact"/>
              <w:textAlignment w:val="auto"/>
              <w:rPr>
                <w:rFonts w:hint="eastAsia" w:ascii="仿宋_GB2312" w:hAnsi="仿宋_GB2312" w:eastAsia="仿宋_GB2312" w:cs="仿宋_GB2312"/>
                <w:color w:val="auto"/>
                <w:sz w:val="24"/>
                <w:szCs w:val="24"/>
                <w:u w:val="none"/>
              </w:rPr>
            </w:pPr>
          </w:p>
        </w:tc>
        <w:tc>
          <w:tcPr>
            <w:tcW w:w="1060" w:type="dxa"/>
            <w:gridSpan w:val="2"/>
            <w:tcBorders>
              <w:top w:val="single" w:color="auto" w:sz="4" w:space="0"/>
              <w:left w:val="single" w:color="auto" w:sz="4" w:space="0"/>
              <w:bottom w:val="single" w:color="auto" w:sz="4" w:space="0"/>
              <w:right w:val="single" w:color="auto" w:sz="4" w:space="0"/>
            </w:tcBorders>
            <w:noWrap w:val="0"/>
            <w:vAlign w:val="center"/>
          </w:tcPr>
          <w:p w14:paraId="25F55BB2">
            <w:pPr>
              <w:keepNext w:val="0"/>
              <w:keepLines w:val="0"/>
              <w:pageBreakBefore w:val="0"/>
              <w:widowControl w:val="0"/>
              <w:kinsoku/>
              <w:wordWrap/>
              <w:overflowPunct/>
              <w:topLinePunct w:val="0"/>
              <w:autoSpaceDE/>
              <w:autoSpaceDN/>
              <w:bidi w:val="0"/>
              <w:adjustRightInd/>
              <w:snapToGrid/>
              <w:spacing w:beforeAutospacing="0" w:afterAutospacing="0" w:line="240" w:lineRule="exact"/>
              <w:jc w:val="center"/>
              <w:textAlignment w:val="auto"/>
              <w:rPr>
                <w:rFonts w:hint="eastAsia" w:ascii="仿宋_GB2312" w:hAnsi="仿宋_GB2312" w:eastAsia="仿宋_GB2312" w:cs="仿宋_GB2312"/>
                <w:color w:val="auto"/>
                <w:sz w:val="24"/>
                <w:szCs w:val="24"/>
                <w:u w:val="none"/>
                <w:lang w:eastAsia="zh-CN"/>
              </w:rPr>
            </w:pPr>
            <w:r>
              <w:rPr>
                <w:rFonts w:hint="eastAsia" w:ascii="仿宋_GB2312" w:hAnsi="仿宋_GB2312" w:eastAsia="仿宋_GB2312" w:cs="仿宋_GB2312"/>
                <w:color w:val="auto"/>
                <w:sz w:val="24"/>
                <w:szCs w:val="24"/>
                <w:u w:val="none"/>
                <w:lang w:eastAsia="zh-CN"/>
              </w:rPr>
              <w:t>身份证号</w:t>
            </w:r>
          </w:p>
        </w:tc>
        <w:tc>
          <w:tcPr>
            <w:tcW w:w="1959" w:type="dxa"/>
            <w:gridSpan w:val="3"/>
            <w:tcBorders>
              <w:top w:val="single" w:color="auto" w:sz="4" w:space="0"/>
              <w:left w:val="single" w:color="auto" w:sz="4" w:space="0"/>
              <w:bottom w:val="single" w:color="auto" w:sz="4" w:space="0"/>
              <w:right w:val="single" w:color="auto" w:sz="4" w:space="0"/>
            </w:tcBorders>
            <w:noWrap w:val="0"/>
            <w:vAlign w:val="center"/>
          </w:tcPr>
          <w:p w14:paraId="1B96D15E">
            <w:pPr>
              <w:keepNext w:val="0"/>
              <w:keepLines w:val="0"/>
              <w:pageBreakBefore w:val="0"/>
              <w:widowControl w:val="0"/>
              <w:kinsoku/>
              <w:wordWrap/>
              <w:overflowPunct/>
              <w:topLinePunct w:val="0"/>
              <w:autoSpaceDE/>
              <w:autoSpaceDN/>
              <w:bidi w:val="0"/>
              <w:adjustRightInd/>
              <w:snapToGrid/>
              <w:spacing w:beforeAutospacing="0" w:afterAutospacing="0" w:line="240" w:lineRule="exact"/>
              <w:textAlignment w:val="auto"/>
              <w:rPr>
                <w:rFonts w:hint="eastAsia" w:ascii="仿宋_GB2312" w:hAnsi="仿宋_GB2312" w:eastAsia="仿宋_GB2312" w:cs="仿宋_GB2312"/>
                <w:color w:val="auto"/>
                <w:sz w:val="24"/>
                <w:szCs w:val="24"/>
                <w:u w:val="none"/>
              </w:rPr>
            </w:pPr>
          </w:p>
        </w:tc>
        <w:tc>
          <w:tcPr>
            <w:tcW w:w="1304" w:type="dxa"/>
            <w:gridSpan w:val="3"/>
            <w:tcBorders>
              <w:top w:val="single" w:color="auto" w:sz="4" w:space="0"/>
              <w:left w:val="single" w:color="auto" w:sz="4" w:space="0"/>
              <w:bottom w:val="single" w:color="auto" w:sz="4" w:space="0"/>
              <w:right w:val="single" w:color="auto" w:sz="4" w:space="0"/>
            </w:tcBorders>
            <w:noWrap w:val="0"/>
            <w:vAlign w:val="center"/>
          </w:tcPr>
          <w:p w14:paraId="65B2AF37">
            <w:pPr>
              <w:keepNext w:val="0"/>
              <w:keepLines w:val="0"/>
              <w:pageBreakBefore w:val="0"/>
              <w:widowControl w:val="0"/>
              <w:kinsoku/>
              <w:wordWrap/>
              <w:overflowPunct/>
              <w:topLinePunct w:val="0"/>
              <w:autoSpaceDE/>
              <w:autoSpaceDN/>
              <w:bidi w:val="0"/>
              <w:adjustRightInd/>
              <w:snapToGrid/>
              <w:spacing w:beforeAutospacing="0" w:afterAutospacing="0" w:line="240" w:lineRule="exact"/>
              <w:jc w:val="center"/>
              <w:textAlignment w:val="auto"/>
              <w:rPr>
                <w:rFonts w:hint="eastAsia" w:ascii="仿宋_GB2312" w:hAnsi="仿宋_GB2312" w:eastAsia="仿宋_GB2312" w:cs="仿宋_GB2312"/>
                <w:color w:val="auto"/>
                <w:sz w:val="24"/>
                <w:szCs w:val="24"/>
                <w:u w:val="none"/>
                <w:lang w:eastAsia="zh-CN"/>
              </w:rPr>
            </w:pPr>
            <w:r>
              <w:rPr>
                <w:rFonts w:hint="eastAsia" w:ascii="仿宋_GB2312" w:hAnsi="仿宋_GB2312" w:eastAsia="仿宋_GB2312" w:cs="仿宋_GB2312"/>
                <w:color w:val="auto"/>
                <w:sz w:val="24"/>
                <w:szCs w:val="24"/>
                <w:u w:val="none"/>
                <w:lang w:eastAsia="zh-CN"/>
              </w:rPr>
              <w:t>联系电话</w:t>
            </w:r>
          </w:p>
        </w:tc>
        <w:tc>
          <w:tcPr>
            <w:tcW w:w="1476" w:type="dxa"/>
            <w:gridSpan w:val="3"/>
            <w:tcBorders>
              <w:top w:val="single" w:color="auto" w:sz="4" w:space="0"/>
              <w:left w:val="single" w:color="auto" w:sz="4" w:space="0"/>
              <w:bottom w:val="single" w:color="auto" w:sz="4" w:space="0"/>
              <w:right w:val="single" w:color="auto" w:sz="4" w:space="0"/>
            </w:tcBorders>
            <w:noWrap w:val="0"/>
            <w:vAlign w:val="center"/>
          </w:tcPr>
          <w:p w14:paraId="38B373FD">
            <w:pPr>
              <w:keepNext w:val="0"/>
              <w:keepLines w:val="0"/>
              <w:pageBreakBefore w:val="0"/>
              <w:widowControl w:val="0"/>
              <w:kinsoku/>
              <w:wordWrap/>
              <w:overflowPunct/>
              <w:topLinePunct w:val="0"/>
              <w:autoSpaceDE/>
              <w:autoSpaceDN/>
              <w:bidi w:val="0"/>
              <w:adjustRightInd/>
              <w:snapToGrid/>
              <w:spacing w:beforeAutospacing="0" w:afterAutospacing="0" w:line="240" w:lineRule="exact"/>
              <w:textAlignment w:val="auto"/>
              <w:rPr>
                <w:rFonts w:hint="eastAsia" w:ascii="仿宋_GB2312" w:hAnsi="仿宋_GB2312" w:eastAsia="仿宋_GB2312" w:cs="仿宋_GB2312"/>
                <w:color w:val="auto"/>
                <w:sz w:val="24"/>
                <w:szCs w:val="24"/>
                <w:u w:val="none"/>
              </w:rPr>
            </w:pPr>
          </w:p>
        </w:tc>
      </w:tr>
      <w:tr w14:paraId="63A1B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exact"/>
          <w:jc w:val="center"/>
        </w:trPr>
        <w:tc>
          <w:tcPr>
            <w:tcW w:w="1984" w:type="dxa"/>
            <w:tcBorders>
              <w:top w:val="single" w:color="auto" w:sz="4" w:space="0"/>
              <w:left w:val="single" w:color="auto" w:sz="4" w:space="0"/>
              <w:bottom w:val="single" w:color="auto" w:sz="4" w:space="0"/>
              <w:right w:val="single" w:color="auto" w:sz="4" w:space="0"/>
            </w:tcBorders>
            <w:noWrap w:val="0"/>
            <w:vAlign w:val="center"/>
          </w:tcPr>
          <w:p w14:paraId="0F0EB54A">
            <w:pPr>
              <w:keepNext w:val="0"/>
              <w:keepLines w:val="0"/>
              <w:pageBreakBefore w:val="0"/>
              <w:kinsoku/>
              <w:wordWrap/>
              <w:overflowPunct/>
              <w:topLinePunct w:val="0"/>
              <w:autoSpaceDE/>
              <w:autoSpaceDN/>
              <w:bidi w:val="0"/>
              <w:adjustRightInd/>
              <w:snapToGrid/>
              <w:spacing w:beforeAutospacing="0" w:afterAutospacing="0" w:line="240" w:lineRule="exact"/>
              <w:jc w:val="center"/>
              <w:textAlignment w:val="auto"/>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lang w:eastAsia="zh-CN"/>
              </w:rPr>
              <w:t>主要负责人</w:t>
            </w:r>
          </w:p>
        </w:tc>
        <w:tc>
          <w:tcPr>
            <w:tcW w:w="1568" w:type="dxa"/>
            <w:gridSpan w:val="2"/>
            <w:tcBorders>
              <w:top w:val="single" w:color="auto" w:sz="4" w:space="0"/>
              <w:left w:val="single" w:color="auto" w:sz="4" w:space="0"/>
              <w:bottom w:val="single" w:color="auto" w:sz="4" w:space="0"/>
              <w:right w:val="single" w:color="auto" w:sz="4" w:space="0"/>
            </w:tcBorders>
            <w:noWrap w:val="0"/>
            <w:vAlign w:val="center"/>
          </w:tcPr>
          <w:p w14:paraId="6C37D5DB">
            <w:pPr>
              <w:keepNext w:val="0"/>
              <w:keepLines w:val="0"/>
              <w:pageBreakBefore w:val="0"/>
              <w:kinsoku/>
              <w:wordWrap/>
              <w:overflowPunct/>
              <w:topLinePunct w:val="0"/>
              <w:autoSpaceDE/>
              <w:autoSpaceDN/>
              <w:bidi w:val="0"/>
              <w:adjustRightInd/>
              <w:snapToGrid/>
              <w:spacing w:beforeAutospacing="0" w:afterAutospacing="0" w:line="240" w:lineRule="exact"/>
              <w:textAlignment w:val="auto"/>
              <w:rPr>
                <w:rFonts w:hint="eastAsia" w:ascii="仿宋_GB2312" w:hAnsi="仿宋_GB2312" w:eastAsia="仿宋_GB2312" w:cs="仿宋_GB2312"/>
                <w:color w:val="auto"/>
                <w:sz w:val="24"/>
                <w:szCs w:val="24"/>
                <w:u w:val="none"/>
              </w:rPr>
            </w:pPr>
          </w:p>
        </w:tc>
        <w:tc>
          <w:tcPr>
            <w:tcW w:w="1060" w:type="dxa"/>
            <w:gridSpan w:val="2"/>
            <w:tcBorders>
              <w:top w:val="single" w:color="auto" w:sz="4" w:space="0"/>
              <w:left w:val="single" w:color="auto" w:sz="4" w:space="0"/>
              <w:bottom w:val="single" w:color="auto" w:sz="4" w:space="0"/>
              <w:right w:val="single" w:color="auto" w:sz="4" w:space="0"/>
            </w:tcBorders>
            <w:noWrap w:val="0"/>
            <w:vAlign w:val="center"/>
          </w:tcPr>
          <w:p w14:paraId="3AFF3955">
            <w:pPr>
              <w:keepNext w:val="0"/>
              <w:keepLines w:val="0"/>
              <w:pageBreakBefore w:val="0"/>
              <w:widowControl w:val="0"/>
              <w:kinsoku/>
              <w:wordWrap/>
              <w:overflowPunct/>
              <w:topLinePunct w:val="0"/>
              <w:autoSpaceDE/>
              <w:autoSpaceDN/>
              <w:bidi w:val="0"/>
              <w:adjustRightInd/>
              <w:snapToGrid/>
              <w:spacing w:beforeAutospacing="0" w:afterAutospacing="0" w:line="240" w:lineRule="exact"/>
              <w:jc w:val="center"/>
              <w:textAlignment w:val="auto"/>
              <w:rPr>
                <w:rFonts w:hint="eastAsia" w:ascii="仿宋_GB2312" w:hAnsi="仿宋_GB2312" w:eastAsia="仿宋_GB2312" w:cs="仿宋_GB2312"/>
                <w:color w:val="auto"/>
                <w:sz w:val="24"/>
                <w:szCs w:val="24"/>
                <w:u w:val="none"/>
                <w:lang w:eastAsia="zh-CN"/>
              </w:rPr>
            </w:pPr>
            <w:r>
              <w:rPr>
                <w:rFonts w:hint="eastAsia" w:ascii="仿宋_GB2312" w:hAnsi="仿宋_GB2312" w:eastAsia="仿宋_GB2312" w:cs="仿宋_GB2312"/>
                <w:color w:val="auto"/>
                <w:sz w:val="24"/>
                <w:szCs w:val="24"/>
                <w:u w:val="none"/>
                <w:lang w:eastAsia="zh-CN"/>
              </w:rPr>
              <w:t>身份证号</w:t>
            </w:r>
          </w:p>
        </w:tc>
        <w:tc>
          <w:tcPr>
            <w:tcW w:w="1959" w:type="dxa"/>
            <w:gridSpan w:val="3"/>
            <w:tcBorders>
              <w:top w:val="single" w:color="auto" w:sz="4" w:space="0"/>
              <w:left w:val="single" w:color="auto" w:sz="4" w:space="0"/>
              <w:bottom w:val="single" w:color="auto" w:sz="4" w:space="0"/>
              <w:right w:val="single" w:color="auto" w:sz="4" w:space="0"/>
            </w:tcBorders>
            <w:noWrap w:val="0"/>
            <w:vAlign w:val="center"/>
          </w:tcPr>
          <w:p w14:paraId="1746123E">
            <w:pPr>
              <w:keepNext w:val="0"/>
              <w:keepLines w:val="0"/>
              <w:pageBreakBefore w:val="0"/>
              <w:widowControl w:val="0"/>
              <w:kinsoku/>
              <w:wordWrap/>
              <w:overflowPunct/>
              <w:topLinePunct w:val="0"/>
              <w:autoSpaceDE/>
              <w:autoSpaceDN/>
              <w:bidi w:val="0"/>
              <w:adjustRightInd/>
              <w:snapToGrid/>
              <w:spacing w:beforeAutospacing="0" w:afterAutospacing="0" w:line="240" w:lineRule="exact"/>
              <w:textAlignment w:val="auto"/>
              <w:rPr>
                <w:rFonts w:hint="eastAsia" w:ascii="仿宋_GB2312" w:hAnsi="仿宋_GB2312" w:eastAsia="仿宋_GB2312" w:cs="仿宋_GB2312"/>
                <w:color w:val="auto"/>
                <w:sz w:val="24"/>
                <w:szCs w:val="24"/>
                <w:u w:val="none"/>
              </w:rPr>
            </w:pPr>
          </w:p>
        </w:tc>
        <w:tc>
          <w:tcPr>
            <w:tcW w:w="1304" w:type="dxa"/>
            <w:gridSpan w:val="3"/>
            <w:tcBorders>
              <w:top w:val="single" w:color="auto" w:sz="4" w:space="0"/>
              <w:left w:val="single" w:color="auto" w:sz="4" w:space="0"/>
              <w:bottom w:val="single" w:color="auto" w:sz="4" w:space="0"/>
              <w:right w:val="single" w:color="auto" w:sz="4" w:space="0"/>
            </w:tcBorders>
            <w:noWrap w:val="0"/>
            <w:vAlign w:val="center"/>
          </w:tcPr>
          <w:p w14:paraId="74984203">
            <w:pPr>
              <w:keepNext w:val="0"/>
              <w:keepLines w:val="0"/>
              <w:pageBreakBefore w:val="0"/>
              <w:widowControl w:val="0"/>
              <w:kinsoku/>
              <w:wordWrap/>
              <w:overflowPunct/>
              <w:topLinePunct w:val="0"/>
              <w:autoSpaceDE/>
              <w:autoSpaceDN/>
              <w:bidi w:val="0"/>
              <w:adjustRightInd/>
              <w:snapToGrid/>
              <w:spacing w:beforeAutospacing="0" w:afterAutospacing="0" w:line="240" w:lineRule="exact"/>
              <w:jc w:val="center"/>
              <w:textAlignment w:val="auto"/>
              <w:rPr>
                <w:rFonts w:hint="eastAsia" w:ascii="仿宋_GB2312" w:hAnsi="仿宋_GB2312" w:eastAsia="仿宋_GB2312" w:cs="仿宋_GB2312"/>
                <w:color w:val="auto"/>
                <w:sz w:val="24"/>
                <w:szCs w:val="24"/>
                <w:u w:val="none"/>
                <w:lang w:eastAsia="zh-CN"/>
              </w:rPr>
            </w:pPr>
            <w:r>
              <w:rPr>
                <w:rFonts w:hint="eastAsia" w:ascii="仿宋_GB2312" w:hAnsi="仿宋_GB2312" w:eastAsia="仿宋_GB2312" w:cs="仿宋_GB2312"/>
                <w:color w:val="auto"/>
                <w:sz w:val="24"/>
                <w:szCs w:val="24"/>
                <w:u w:val="none"/>
                <w:lang w:eastAsia="zh-CN"/>
              </w:rPr>
              <w:t>联系电话</w:t>
            </w:r>
          </w:p>
        </w:tc>
        <w:tc>
          <w:tcPr>
            <w:tcW w:w="1476" w:type="dxa"/>
            <w:gridSpan w:val="3"/>
            <w:tcBorders>
              <w:top w:val="single" w:color="auto" w:sz="4" w:space="0"/>
              <w:left w:val="single" w:color="auto" w:sz="4" w:space="0"/>
              <w:bottom w:val="single" w:color="auto" w:sz="4" w:space="0"/>
              <w:right w:val="single" w:color="auto" w:sz="4" w:space="0"/>
            </w:tcBorders>
            <w:noWrap w:val="0"/>
            <w:vAlign w:val="center"/>
          </w:tcPr>
          <w:p w14:paraId="2E5FBF51">
            <w:pPr>
              <w:keepNext w:val="0"/>
              <w:keepLines w:val="0"/>
              <w:pageBreakBefore w:val="0"/>
              <w:widowControl w:val="0"/>
              <w:kinsoku/>
              <w:wordWrap/>
              <w:overflowPunct/>
              <w:topLinePunct w:val="0"/>
              <w:autoSpaceDE/>
              <w:autoSpaceDN/>
              <w:bidi w:val="0"/>
              <w:adjustRightInd/>
              <w:snapToGrid/>
              <w:spacing w:beforeAutospacing="0" w:afterAutospacing="0" w:line="240" w:lineRule="exact"/>
              <w:textAlignment w:val="auto"/>
              <w:rPr>
                <w:rFonts w:hint="eastAsia" w:ascii="仿宋_GB2312" w:hAnsi="仿宋_GB2312" w:eastAsia="仿宋_GB2312" w:cs="仿宋_GB2312"/>
                <w:color w:val="auto"/>
                <w:sz w:val="24"/>
                <w:szCs w:val="24"/>
                <w:u w:val="none"/>
              </w:rPr>
            </w:pPr>
          </w:p>
        </w:tc>
      </w:tr>
      <w:tr w14:paraId="5631D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exact"/>
          <w:jc w:val="center"/>
        </w:trPr>
        <w:tc>
          <w:tcPr>
            <w:tcW w:w="1984" w:type="dxa"/>
            <w:tcBorders>
              <w:top w:val="single" w:color="auto" w:sz="4" w:space="0"/>
              <w:left w:val="single" w:color="auto" w:sz="4" w:space="0"/>
              <w:bottom w:val="single" w:color="auto" w:sz="4" w:space="0"/>
              <w:right w:val="single" w:color="auto" w:sz="4" w:space="0"/>
            </w:tcBorders>
            <w:noWrap w:val="0"/>
            <w:vAlign w:val="center"/>
          </w:tcPr>
          <w:p w14:paraId="2F6990E5">
            <w:pPr>
              <w:keepNext w:val="0"/>
              <w:keepLines w:val="0"/>
              <w:pageBreakBefore w:val="0"/>
              <w:kinsoku/>
              <w:wordWrap/>
              <w:overflowPunct/>
              <w:topLinePunct w:val="0"/>
              <w:autoSpaceDE/>
              <w:autoSpaceDN/>
              <w:bidi w:val="0"/>
              <w:adjustRightInd/>
              <w:snapToGrid/>
              <w:spacing w:beforeAutospacing="0" w:afterAutospacing="0" w:line="240" w:lineRule="exact"/>
              <w:jc w:val="center"/>
              <w:textAlignment w:val="auto"/>
              <w:rPr>
                <w:rFonts w:hint="eastAsia" w:ascii="仿宋_GB2312" w:hAnsi="仿宋_GB2312" w:eastAsia="仿宋_GB2312" w:cs="仿宋_GB2312"/>
                <w:color w:val="auto"/>
                <w:sz w:val="24"/>
                <w:szCs w:val="24"/>
                <w:u w:val="none"/>
                <w:lang w:eastAsia="zh-CN"/>
              </w:rPr>
            </w:pPr>
            <w:r>
              <w:rPr>
                <w:rFonts w:hint="eastAsia" w:ascii="仿宋_GB2312" w:hAnsi="仿宋_GB2312" w:eastAsia="仿宋_GB2312" w:cs="仿宋_GB2312"/>
                <w:color w:val="auto"/>
                <w:sz w:val="24"/>
                <w:szCs w:val="24"/>
                <w:u w:val="none"/>
                <w:lang w:eastAsia="zh-CN"/>
              </w:rPr>
              <w:t>实际控制人</w:t>
            </w:r>
          </w:p>
        </w:tc>
        <w:tc>
          <w:tcPr>
            <w:tcW w:w="1568" w:type="dxa"/>
            <w:gridSpan w:val="2"/>
            <w:tcBorders>
              <w:top w:val="single" w:color="auto" w:sz="4" w:space="0"/>
              <w:left w:val="single" w:color="auto" w:sz="4" w:space="0"/>
              <w:bottom w:val="single" w:color="auto" w:sz="4" w:space="0"/>
              <w:right w:val="single" w:color="auto" w:sz="4" w:space="0"/>
            </w:tcBorders>
            <w:noWrap w:val="0"/>
            <w:vAlign w:val="center"/>
          </w:tcPr>
          <w:p w14:paraId="67FDEA01">
            <w:pPr>
              <w:keepNext w:val="0"/>
              <w:keepLines w:val="0"/>
              <w:pageBreakBefore w:val="0"/>
              <w:kinsoku/>
              <w:wordWrap/>
              <w:overflowPunct/>
              <w:topLinePunct w:val="0"/>
              <w:autoSpaceDE/>
              <w:autoSpaceDN/>
              <w:bidi w:val="0"/>
              <w:adjustRightInd/>
              <w:snapToGrid/>
              <w:spacing w:beforeAutospacing="0" w:afterAutospacing="0" w:line="240" w:lineRule="exact"/>
              <w:textAlignment w:val="auto"/>
              <w:rPr>
                <w:rFonts w:hint="eastAsia" w:ascii="仿宋_GB2312" w:hAnsi="仿宋_GB2312" w:eastAsia="仿宋_GB2312" w:cs="仿宋_GB2312"/>
                <w:color w:val="auto"/>
                <w:sz w:val="24"/>
                <w:szCs w:val="24"/>
                <w:u w:val="none"/>
              </w:rPr>
            </w:pPr>
          </w:p>
        </w:tc>
        <w:tc>
          <w:tcPr>
            <w:tcW w:w="1060" w:type="dxa"/>
            <w:gridSpan w:val="2"/>
            <w:tcBorders>
              <w:top w:val="single" w:color="auto" w:sz="4" w:space="0"/>
              <w:left w:val="single" w:color="auto" w:sz="4" w:space="0"/>
              <w:bottom w:val="single" w:color="auto" w:sz="4" w:space="0"/>
              <w:right w:val="single" w:color="auto" w:sz="4" w:space="0"/>
            </w:tcBorders>
            <w:noWrap w:val="0"/>
            <w:vAlign w:val="center"/>
          </w:tcPr>
          <w:p w14:paraId="76ADC649">
            <w:pPr>
              <w:keepNext w:val="0"/>
              <w:keepLines w:val="0"/>
              <w:pageBreakBefore w:val="0"/>
              <w:widowControl w:val="0"/>
              <w:kinsoku/>
              <w:wordWrap/>
              <w:overflowPunct/>
              <w:topLinePunct w:val="0"/>
              <w:autoSpaceDE/>
              <w:autoSpaceDN/>
              <w:bidi w:val="0"/>
              <w:adjustRightInd/>
              <w:snapToGrid/>
              <w:spacing w:beforeAutospacing="0" w:afterAutospacing="0" w:line="240" w:lineRule="exact"/>
              <w:jc w:val="center"/>
              <w:textAlignment w:val="auto"/>
              <w:rPr>
                <w:rFonts w:hint="eastAsia" w:ascii="仿宋_GB2312" w:hAnsi="仿宋_GB2312" w:eastAsia="仿宋_GB2312" w:cs="仿宋_GB2312"/>
                <w:color w:val="auto"/>
                <w:sz w:val="24"/>
                <w:szCs w:val="24"/>
                <w:u w:val="none"/>
                <w:lang w:eastAsia="zh-CN"/>
              </w:rPr>
            </w:pPr>
            <w:r>
              <w:rPr>
                <w:rFonts w:hint="eastAsia" w:ascii="仿宋_GB2312" w:hAnsi="仿宋_GB2312" w:eastAsia="仿宋_GB2312" w:cs="仿宋_GB2312"/>
                <w:color w:val="auto"/>
                <w:sz w:val="24"/>
                <w:szCs w:val="24"/>
                <w:u w:val="none"/>
                <w:lang w:eastAsia="zh-CN"/>
              </w:rPr>
              <w:t>身份证号</w:t>
            </w:r>
          </w:p>
        </w:tc>
        <w:tc>
          <w:tcPr>
            <w:tcW w:w="1959" w:type="dxa"/>
            <w:gridSpan w:val="3"/>
            <w:tcBorders>
              <w:top w:val="single" w:color="auto" w:sz="4" w:space="0"/>
              <w:left w:val="single" w:color="auto" w:sz="4" w:space="0"/>
              <w:bottom w:val="single" w:color="auto" w:sz="4" w:space="0"/>
              <w:right w:val="single" w:color="auto" w:sz="4" w:space="0"/>
            </w:tcBorders>
            <w:noWrap w:val="0"/>
            <w:vAlign w:val="center"/>
          </w:tcPr>
          <w:p w14:paraId="2A777D7F">
            <w:pPr>
              <w:keepNext w:val="0"/>
              <w:keepLines w:val="0"/>
              <w:pageBreakBefore w:val="0"/>
              <w:widowControl w:val="0"/>
              <w:kinsoku/>
              <w:wordWrap/>
              <w:overflowPunct/>
              <w:topLinePunct w:val="0"/>
              <w:autoSpaceDE/>
              <w:autoSpaceDN/>
              <w:bidi w:val="0"/>
              <w:adjustRightInd/>
              <w:snapToGrid/>
              <w:spacing w:beforeAutospacing="0" w:afterAutospacing="0" w:line="240" w:lineRule="exact"/>
              <w:textAlignment w:val="auto"/>
              <w:rPr>
                <w:rFonts w:hint="eastAsia" w:ascii="仿宋_GB2312" w:hAnsi="仿宋_GB2312" w:eastAsia="仿宋_GB2312" w:cs="仿宋_GB2312"/>
                <w:color w:val="auto"/>
                <w:sz w:val="24"/>
                <w:szCs w:val="24"/>
                <w:u w:val="none"/>
              </w:rPr>
            </w:pPr>
          </w:p>
        </w:tc>
        <w:tc>
          <w:tcPr>
            <w:tcW w:w="1304" w:type="dxa"/>
            <w:gridSpan w:val="3"/>
            <w:tcBorders>
              <w:top w:val="single" w:color="auto" w:sz="4" w:space="0"/>
              <w:left w:val="single" w:color="auto" w:sz="4" w:space="0"/>
              <w:bottom w:val="single" w:color="auto" w:sz="4" w:space="0"/>
              <w:right w:val="single" w:color="auto" w:sz="4" w:space="0"/>
            </w:tcBorders>
            <w:noWrap w:val="0"/>
            <w:vAlign w:val="center"/>
          </w:tcPr>
          <w:p w14:paraId="213D551D">
            <w:pPr>
              <w:keepNext w:val="0"/>
              <w:keepLines w:val="0"/>
              <w:pageBreakBefore w:val="0"/>
              <w:widowControl w:val="0"/>
              <w:kinsoku/>
              <w:wordWrap/>
              <w:overflowPunct/>
              <w:topLinePunct w:val="0"/>
              <w:autoSpaceDE/>
              <w:autoSpaceDN/>
              <w:bidi w:val="0"/>
              <w:adjustRightInd/>
              <w:snapToGrid/>
              <w:spacing w:beforeAutospacing="0" w:afterAutospacing="0" w:line="240" w:lineRule="exact"/>
              <w:jc w:val="center"/>
              <w:textAlignment w:val="auto"/>
              <w:rPr>
                <w:rFonts w:hint="eastAsia" w:ascii="仿宋_GB2312" w:hAnsi="仿宋_GB2312" w:eastAsia="仿宋_GB2312" w:cs="仿宋_GB2312"/>
                <w:color w:val="auto"/>
                <w:sz w:val="24"/>
                <w:szCs w:val="24"/>
                <w:u w:val="none"/>
                <w:lang w:eastAsia="zh-CN"/>
              </w:rPr>
            </w:pPr>
            <w:r>
              <w:rPr>
                <w:rFonts w:hint="eastAsia" w:ascii="仿宋_GB2312" w:hAnsi="仿宋_GB2312" w:eastAsia="仿宋_GB2312" w:cs="仿宋_GB2312"/>
                <w:color w:val="auto"/>
                <w:sz w:val="24"/>
                <w:szCs w:val="24"/>
                <w:u w:val="none"/>
                <w:lang w:eastAsia="zh-CN"/>
              </w:rPr>
              <w:t>联系电话</w:t>
            </w:r>
          </w:p>
        </w:tc>
        <w:tc>
          <w:tcPr>
            <w:tcW w:w="1476" w:type="dxa"/>
            <w:gridSpan w:val="3"/>
            <w:tcBorders>
              <w:top w:val="single" w:color="auto" w:sz="4" w:space="0"/>
              <w:left w:val="single" w:color="auto" w:sz="4" w:space="0"/>
              <w:bottom w:val="single" w:color="auto" w:sz="4" w:space="0"/>
              <w:right w:val="single" w:color="auto" w:sz="4" w:space="0"/>
            </w:tcBorders>
            <w:noWrap w:val="0"/>
            <w:vAlign w:val="center"/>
          </w:tcPr>
          <w:p w14:paraId="0A2CF5E8">
            <w:pPr>
              <w:keepNext w:val="0"/>
              <w:keepLines w:val="0"/>
              <w:pageBreakBefore w:val="0"/>
              <w:widowControl w:val="0"/>
              <w:kinsoku/>
              <w:wordWrap/>
              <w:overflowPunct/>
              <w:topLinePunct w:val="0"/>
              <w:autoSpaceDE/>
              <w:autoSpaceDN/>
              <w:bidi w:val="0"/>
              <w:adjustRightInd/>
              <w:snapToGrid/>
              <w:spacing w:beforeAutospacing="0" w:afterAutospacing="0" w:line="240" w:lineRule="exact"/>
              <w:textAlignment w:val="auto"/>
              <w:rPr>
                <w:rFonts w:hint="eastAsia" w:ascii="仿宋_GB2312" w:hAnsi="仿宋_GB2312" w:eastAsia="仿宋_GB2312" w:cs="仿宋_GB2312"/>
                <w:color w:val="auto"/>
                <w:sz w:val="24"/>
                <w:szCs w:val="24"/>
                <w:u w:val="none"/>
              </w:rPr>
            </w:pPr>
          </w:p>
        </w:tc>
      </w:tr>
      <w:tr w14:paraId="1C16E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exact"/>
          <w:jc w:val="center"/>
        </w:trPr>
        <w:tc>
          <w:tcPr>
            <w:tcW w:w="1984" w:type="dxa"/>
            <w:tcBorders>
              <w:top w:val="single" w:color="auto" w:sz="4" w:space="0"/>
              <w:left w:val="single" w:color="auto" w:sz="4" w:space="0"/>
              <w:bottom w:val="single" w:color="auto" w:sz="4" w:space="0"/>
              <w:right w:val="single" w:color="auto" w:sz="4" w:space="0"/>
            </w:tcBorders>
            <w:noWrap w:val="0"/>
            <w:vAlign w:val="center"/>
          </w:tcPr>
          <w:p w14:paraId="5458F16E">
            <w:pPr>
              <w:keepNext w:val="0"/>
              <w:keepLines w:val="0"/>
              <w:pageBreakBefore w:val="0"/>
              <w:kinsoku/>
              <w:wordWrap/>
              <w:overflowPunct/>
              <w:topLinePunct w:val="0"/>
              <w:autoSpaceDE/>
              <w:autoSpaceDN/>
              <w:bidi w:val="0"/>
              <w:adjustRightInd/>
              <w:snapToGrid/>
              <w:spacing w:beforeAutospacing="0" w:afterAutospacing="0" w:line="240" w:lineRule="exact"/>
              <w:jc w:val="center"/>
              <w:textAlignment w:val="auto"/>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联系人</w:t>
            </w:r>
          </w:p>
        </w:tc>
        <w:tc>
          <w:tcPr>
            <w:tcW w:w="4587" w:type="dxa"/>
            <w:gridSpan w:val="7"/>
            <w:tcBorders>
              <w:top w:val="single" w:color="auto" w:sz="4" w:space="0"/>
              <w:left w:val="single" w:color="auto" w:sz="4" w:space="0"/>
              <w:bottom w:val="single" w:color="auto" w:sz="4" w:space="0"/>
              <w:right w:val="single" w:color="auto" w:sz="4" w:space="0"/>
            </w:tcBorders>
            <w:noWrap w:val="0"/>
            <w:vAlign w:val="center"/>
          </w:tcPr>
          <w:p w14:paraId="5F8B0559">
            <w:pPr>
              <w:keepNext w:val="0"/>
              <w:keepLines w:val="0"/>
              <w:pageBreakBefore w:val="0"/>
              <w:widowControl w:val="0"/>
              <w:kinsoku/>
              <w:wordWrap/>
              <w:overflowPunct/>
              <w:topLinePunct w:val="0"/>
              <w:autoSpaceDE/>
              <w:autoSpaceDN/>
              <w:bidi w:val="0"/>
              <w:adjustRightInd/>
              <w:snapToGrid/>
              <w:spacing w:beforeAutospacing="0" w:afterAutospacing="0" w:line="240" w:lineRule="exact"/>
              <w:textAlignment w:val="auto"/>
              <w:rPr>
                <w:rFonts w:hint="eastAsia" w:ascii="仿宋_GB2312" w:hAnsi="仿宋_GB2312" w:eastAsia="仿宋_GB2312" w:cs="仿宋_GB2312"/>
                <w:color w:val="auto"/>
                <w:sz w:val="24"/>
                <w:szCs w:val="24"/>
                <w:u w:val="none"/>
              </w:rPr>
            </w:pPr>
          </w:p>
        </w:tc>
        <w:tc>
          <w:tcPr>
            <w:tcW w:w="1304" w:type="dxa"/>
            <w:gridSpan w:val="3"/>
            <w:tcBorders>
              <w:top w:val="single" w:color="auto" w:sz="4" w:space="0"/>
              <w:left w:val="single" w:color="auto" w:sz="4" w:space="0"/>
              <w:bottom w:val="single" w:color="auto" w:sz="4" w:space="0"/>
              <w:right w:val="single" w:color="auto" w:sz="4" w:space="0"/>
            </w:tcBorders>
            <w:noWrap w:val="0"/>
            <w:vAlign w:val="center"/>
          </w:tcPr>
          <w:p w14:paraId="2EC798C5">
            <w:pPr>
              <w:keepNext w:val="0"/>
              <w:keepLines w:val="0"/>
              <w:pageBreakBefore w:val="0"/>
              <w:widowControl w:val="0"/>
              <w:kinsoku/>
              <w:wordWrap/>
              <w:overflowPunct/>
              <w:topLinePunct w:val="0"/>
              <w:autoSpaceDE/>
              <w:autoSpaceDN/>
              <w:bidi w:val="0"/>
              <w:adjustRightInd/>
              <w:snapToGrid/>
              <w:spacing w:beforeAutospacing="0" w:afterAutospacing="0" w:line="240" w:lineRule="exact"/>
              <w:jc w:val="center"/>
              <w:textAlignment w:val="auto"/>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联系电话</w:t>
            </w:r>
          </w:p>
        </w:tc>
        <w:tc>
          <w:tcPr>
            <w:tcW w:w="1476" w:type="dxa"/>
            <w:gridSpan w:val="3"/>
            <w:tcBorders>
              <w:top w:val="single" w:color="auto" w:sz="4" w:space="0"/>
              <w:left w:val="single" w:color="auto" w:sz="4" w:space="0"/>
              <w:bottom w:val="single" w:color="auto" w:sz="4" w:space="0"/>
              <w:right w:val="single" w:color="auto" w:sz="4" w:space="0"/>
            </w:tcBorders>
            <w:noWrap w:val="0"/>
            <w:vAlign w:val="center"/>
          </w:tcPr>
          <w:p w14:paraId="7EF90DE1">
            <w:pPr>
              <w:keepNext w:val="0"/>
              <w:keepLines w:val="0"/>
              <w:pageBreakBefore w:val="0"/>
              <w:widowControl w:val="0"/>
              <w:kinsoku/>
              <w:wordWrap/>
              <w:overflowPunct/>
              <w:topLinePunct w:val="0"/>
              <w:autoSpaceDE/>
              <w:autoSpaceDN/>
              <w:bidi w:val="0"/>
              <w:adjustRightInd/>
              <w:snapToGrid/>
              <w:spacing w:beforeAutospacing="0" w:afterAutospacing="0" w:line="240" w:lineRule="exact"/>
              <w:textAlignment w:val="auto"/>
              <w:rPr>
                <w:rFonts w:hint="eastAsia" w:ascii="仿宋_GB2312" w:hAnsi="仿宋_GB2312" w:eastAsia="仿宋_GB2312" w:cs="仿宋_GB2312"/>
                <w:color w:val="auto"/>
                <w:sz w:val="24"/>
                <w:szCs w:val="24"/>
                <w:u w:val="none"/>
              </w:rPr>
            </w:pPr>
          </w:p>
        </w:tc>
      </w:tr>
      <w:tr w14:paraId="60A17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5" w:hRule="exact"/>
          <w:jc w:val="center"/>
        </w:trPr>
        <w:tc>
          <w:tcPr>
            <w:tcW w:w="1984" w:type="dxa"/>
            <w:noWrap w:val="0"/>
            <w:vAlign w:val="center"/>
          </w:tcPr>
          <w:p w14:paraId="3F366CAE">
            <w:pPr>
              <w:keepNext w:val="0"/>
              <w:keepLines w:val="0"/>
              <w:pageBreakBefore w:val="0"/>
              <w:kinsoku/>
              <w:wordWrap/>
              <w:overflowPunct/>
              <w:topLinePunct w:val="0"/>
              <w:autoSpaceDE/>
              <w:autoSpaceDN/>
              <w:bidi w:val="0"/>
              <w:adjustRightInd/>
              <w:snapToGrid/>
              <w:spacing w:beforeAutospacing="0" w:afterAutospacing="0" w:line="240" w:lineRule="exact"/>
              <w:jc w:val="center"/>
              <w:textAlignment w:val="auto"/>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机构类型</w:t>
            </w:r>
          </w:p>
        </w:tc>
        <w:tc>
          <w:tcPr>
            <w:tcW w:w="7367" w:type="dxa"/>
            <w:gridSpan w:val="13"/>
            <w:noWrap w:val="0"/>
            <w:vAlign w:val="center"/>
          </w:tcPr>
          <w:p w14:paraId="31D3B5C3">
            <w:pPr>
              <w:keepNext w:val="0"/>
              <w:keepLines w:val="0"/>
              <w:pageBreakBefore w:val="0"/>
              <w:kinsoku/>
              <w:wordWrap/>
              <w:overflowPunct/>
              <w:topLinePunct w:val="0"/>
              <w:autoSpaceDE/>
              <w:autoSpaceDN/>
              <w:bidi w:val="0"/>
              <w:adjustRightInd/>
              <w:snapToGrid/>
              <w:spacing w:beforeAutospacing="0" w:afterAutospacing="0" w:line="240" w:lineRule="exact"/>
              <w:jc w:val="left"/>
              <w:textAlignment w:val="auto"/>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lang w:eastAsia="zh-CN"/>
              </w:rPr>
              <w:t>□</w:t>
            </w:r>
            <w:r>
              <w:rPr>
                <w:rFonts w:hint="eastAsia" w:ascii="仿宋_GB2312" w:hAnsi="仿宋_GB2312" w:eastAsia="仿宋_GB2312" w:cs="仿宋_GB2312"/>
                <w:color w:val="auto"/>
                <w:sz w:val="24"/>
                <w:szCs w:val="24"/>
                <w:u w:val="none"/>
              </w:rPr>
              <w:t>医疗机构</w:t>
            </w:r>
            <w:r>
              <w:rPr>
                <w:rFonts w:hint="eastAsia" w:ascii="仿宋_GB2312" w:hAnsi="仿宋_GB2312" w:eastAsia="仿宋_GB2312" w:cs="仿宋_GB2312"/>
                <w:color w:val="auto"/>
                <w:sz w:val="24"/>
                <w:szCs w:val="24"/>
                <w:u w:val="none"/>
                <w:lang w:val="en-US" w:eastAsia="zh-CN"/>
              </w:rPr>
              <w:t xml:space="preserve">  </w:t>
            </w:r>
            <w:r>
              <w:rPr>
                <w:rFonts w:hint="eastAsia" w:ascii="仿宋_GB2312" w:hAnsi="仿宋_GB2312" w:eastAsia="仿宋_GB2312" w:cs="仿宋_GB2312"/>
                <w:color w:val="auto"/>
                <w:sz w:val="24"/>
                <w:szCs w:val="24"/>
                <w:u w:val="none"/>
                <w:lang w:eastAsia="zh-CN"/>
              </w:rPr>
              <w:t>□</w:t>
            </w:r>
            <w:r>
              <w:rPr>
                <w:rFonts w:hint="eastAsia" w:ascii="仿宋_GB2312" w:hAnsi="仿宋_GB2312" w:eastAsia="仿宋_GB2312" w:cs="仿宋_GB2312"/>
                <w:color w:val="auto"/>
                <w:sz w:val="24"/>
                <w:szCs w:val="24"/>
                <w:u w:val="none"/>
              </w:rPr>
              <w:t>养老机构</w:t>
            </w:r>
            <w:r>
              <w:rPr>
                <w:rFonts w:hint="eastAsia" w:ascii="仿宋_GB2312" w:hAnsi="仿宋_GB2312" w:eastAsia="仿宋_GB2312" w:cs="仿宋_GB2312"/>
                <w:color w:val="auto"/>
                <w:sz w:val="24"/>
                <w:szCs w:val="24"/>
                <w:u w:val="none"/>
                <w:lang w:val="en-US" w:eastAsia="zh-CN"/>
              </w:rPr>
              <w:t xml:space="preserve">  </w:t>
            </w:r>
            <w:r>
              <w:rPr>
                <w:rFonts w:hint="eastAsia" w:ascii="仿宋_GB2312" w:hAnsi="仿宋_GB2312" w:eastAsia="仿宋_GB2312" w:cs="仿宋_GB2312"/>
                <w:color w:val="auto"/>
                <w:sz w:val="24"/>
                <w:szCs w:val="24"/>
                <w:u w:val="none"/>
                <w:lang w:eastAsia="zh-CN"/>
              </w:rPr>
              <w:t>□</w:t>
            </w:r>
            <w:r>
              <w:rPr>
                <w:rFonts w:hint="eastAsia" w:ascii="仿宋_GB2312" w:hAnsi="仿宋_GB2312" w:eastAsia="仿宋_GB2312" w:cs="仿宋_GB2312"/>
                <w:color w:val="auto"/>
                <w:sz w:val="24"/>
                <w:szCs w:val="24"/>
                <w:u w:val="none"/>
              </w:rPr>
              <w:t>其他企业或社会组织</w:t>
            </w:r>
          </w:p>
          <w:p w14:paraId="26827D5C">
            <w:pPr>
              <w:keepNext w:val="0"/>
              <w:keepLines w:val="0"/>
              <w:pageBreakBefore w:val="0"/>
              <w:kinsoku/>
              <w:wordWrap/>
              <w:overflowPunct/>
              <w:topLinePunct w:val="0"/>
              <w:autoSpaceDE/>
              <w:autoSpaceDN/>
              <w:bidi w:val="0"/>
              <w:adjustRightInd/>
              <w:snapToGrid/>
              <w:spacing w:beforeAutospacing="0" w:afterAutospacing="0" w:line="240" w:lineRule="exact"/>
              <w:jc w:val="left"/>
              <w:textAlignment w:val="auto"/>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lang w:eastAsia="zh-CN"/>
              </w:rPr>
              <w:t>□公办机构</w:t>
            </w:r>
            <w:r>
              <w:rPr>
                <w:rFonts w:hint="eastAsia" w:ascii="仿宋_GB2312" w:hAnsi="仿宋_GB2312" w:eastAsia="仿宋_GB2312" w:cs="仿宋_GB2312"/>
                <w:color w:val="auto"/>
                <w:sz w:val="24"/>
                <w:szCs w:val="24"/>
                <w:u w:val="none"/>
                <w:lang w:val="en-US" w:eastAsia="zh-CN"/>
              </w:rPr>
              <w:t xml:space="preserve">  </w:t>
            </w:r>
            <w:r>
              <w:rPr>
                <w:rFonts w:hint="eastAsia" w:ascii="仿宋_GB2312" w:hAnsi="仿宋_GB2312" w:eastAsia="仿宋_GB2312" w:cs="仿宋_GB2312"/>
                <w:color w:val="auto"/>
                <w:sz w:val="24"/>
                <w:szCs w:val="24"/>
                <w:u w:val="none"/>
                <w:lang w:eastAsia="zh-CN"/>
              </w:rPr>
              <w:t>□民营</w:t>
            </w:r>
            <w:r>
              <w:rPr>
                <w:rFonts w:hint="eastAsia" w:ascii="仿宋_GB2312" w:hAnsi="仿宋_GB2312" w:eastAsia="仿宋_GB2312" w:cs="仿宋_GB2312"/>
                <w:color w:val="auto"/>
                <w:sz w:val="24"/>
                <w:szCs w:val="24"/>
                <w:u w:val="none"/>
              </w:rPr>
              <w:t>机构</w:t>
            </w:r>
            <w:r>
              <w:rPr>
                <w:rFonts w:hint="eastAsia" w:ascii="仿宋_GB2312" w:hAnsi="仿宋_GB2312" w:eastAsia="仿宋_GB2312" w:cs="仿宋_GB2312"/>
                <w:color w:val="auto"/>
                <w:sz w:val="24"/>
                <w:szCs w:val="24"/>
                <w:u w:val="none"/>
                <w:lang w:val="en-US" w:eastAsia="zh-CN"/>
              </w:rPr>
              <w:t xml:space="preserve">  </w:t>
            </w:r>
            <w:r>
              <w:rPr>
                <w:rFonts w:hint="eastAsia" w:ascii="仿宋_GB2312" w:hAnsi="仿宋_GB2312" w:eastAsia="仿宋_GB2312" w:cs="仿宋_GB2312"/>
                <w:color w:val="auto"/>
                <w:sz w:val="24"/>
                <w:szCs w:val="24"/>
                <w:u w:val="none"/>
                <w:lang w:eastAsia="zh-CN"/>
              </w:rPr>
              <w:t>□国有资本参资</w:t>
            </w:r>
            <w:r>
              <w:rPr>
                <w:rFonts w:hint="eastAsia" w:ascii="仿宋_GB2312" w:hAnsi="仿宋_GB2312" w:eastAsia="仿宋_GB2312" w:cs="仿宋_GB2312"/>
                <w:color w:val="auto"/>
                <w:sz w:val="24"/>
                <w:szCs w:val="24"/>
                <w:u w:val="none"/>
              </w:rPr>
              <w:t>机构</w:t>
            </w:r>
            <w:r>
              <w:rPr>
                <w:rFonts w:hint="eastAsia" w:ascii="仿宋_GB2312" w:hAnsi="仿宋_GB2312" w:eastAsia="仿宋_GB2312" w:cs="仿宋_GB2312"/>
                <w:color w:val="auto"/>
                <w:sz w:val="24"/>
                <w:szCs w:val="24"/>
                <w:u w:val="none"/>
                <w:lang w:val="en-US" w:eastAsia="zh-CN"/>
              </w:rPr>
              <w:t xml:space="preserve">  </w:t>
            </w:r>
          </w:p>
          <w:p w14:paraId="6521CFE4">
            <w:pPr>
              <w:keepNext w:val="0"/>
              <w:keepLines w:val="0"/>
              <w:pageBreakBefore w:val="0"/>
              <w:kinsoku/>
              <w:wordWrap/>
              <w:overflowPunct/>
              <w:topLinePunct w:val="0"/>
              <w:autoSpaceDE/>
              <w:autoSpaceDN/>
              <w:bidi w:val="0"/>
              <w:adjustRightInd/>
              <w:snapToGrid/>
              <w:spacing w:beforeAutospacing="0" w:afterAutospacing="0" w:line="240" w:lineRule="exact"/>
              <w:jc w:val="left"/>
              <w:textAlignment w:val="auto"/>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lang w:eastAsia="zh-CN"/>
              </w:rPr>
              <w:t>□非营利性机构</w:t>
            </w:r>
            <w:r>
              <w:rPr>
                <w:rFonts w:hint="eastAsia" w:ascii="仿宋_GB2312" w:hAnsi="仿宋_GB2312" w:eastAsia="仿宋_GB2312" w:cs="仿宋_GB2312"/>
                <w:color w:val="auto"/>
                <w:sz w:val="24"/>
                <w:szCs w:val="24"/>
                <w:u w:val="none"/>
                <w:lang w:val="en-US" w:eastAsia="zh-CN"/>
              </w:rPr>
              <w:t xml:space="preserve">  </w:t>
            </w:r>
            <w:r>
              <w:rPr>
                <w:rFonts w:hint="eastAsia" w:ascii="仿宋_GB2312" w:hAnsi="仿宋_GB2312" w:eastAsia="仿宋_GB2312" w:cs="仿宋_GB2312"/>
                <w:color w:val="auto"/>
                <w:sz w:val="24"/>
                <w:szCs w:val="24"/>
                <w:u w:val="none"/>
                <w:lang w:eastAsia="zh-CN"/>
              </w:rPr>
              <w:t>□营利性</w:t>
            </w:r>
            <w:r>
              <w:rPr>
                <w:rFonts w:hint="eastAsia" w:ascii="仿宋_GB2312" w:hAnsi="仿宋_GB2312" w:eastAsia="仿宋_GB2312" w:cs="仿宋_GB2312"/>
                <w:color w:val="auto"/>
                <w:sz w:val="24"/>
                <w:szCs w:val="24"/>
                <w:u w:val="none"/>
              </w:rPr>
              <w:t>机构</w:t>
            </w:r>
          </w:p>
        </w:tc>
      </w:tr>
      <w:tr w14:paraId="7AB11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26" w:hRule="exact"/>
          <w:jc w:val="center"/>
        </w:trPr>
        <w:tc>
          <w:tcPr>
            <w:tcW w:w="1984" w:type="dxa"/>
            <w:tcBorders>
              <w:top w:val="single" w:color="auto" w:sz="4" w:space="0"/>
              <w:left w:val="single" w:color="auto" w:sz="4" w:space="0"/>
              <w:bottom w:val="single" w:color="auto" w:sz="4" w:space="0"/>
              <w:right w:val="single" w:color="auto" w:sz="4" w:space="0"/>
              <w:tl2br w:val="single" w:color="auto" w:sz="4" w:space="0"/>
            </w:tcBorders>
            <w:noWrap w:val="0"/>
            <w:vAlign w:val="center"/>
          </w:tcPr>
          <w:p w14:paraId="173C5180">
            <w:pPr>
              <w:keepNext w:val="0"/>
              <w:keepLines w:val="0"/>
              <w:pageBreakBefore w:val="0"/>
              <w:kinsoku/>
              <w:wordWrap/>
              <w:overflowPunct/>
              <w:topLinePunct w:val="0"/>
              <w:autoSpaceDE/>
              <w:autoSpaceDN/>
              <w:bidi w:val="0"/>
              <w:adjustRightInd/>
              <w:snapToGrid/>
              <w:spacing w:beforeAutospacing="0" w:afterAutospacing="0" w:line="240" w:lineRule="exact"/>
              <w:jc w:val="center"/>
              <w:textAlignment w:val="auto"/>
              <w:rPr>
                <w:rFonts w:hint="eastAsia" w:ascii="仿宋_GB2312" w:hAnsi="仿宋_GB2312" w:eastAsia="仿宋_GB2312" w:cs="仿宋_GB2312"/>
                <w:b w:val="0"/>
                <w:bCs w:val="0"/>
                <w:color w:val="auto"/>
                <w:sz w:val="24"/>
                <w:szCs w:val="24"/>
                <w:u w:val="none"/>
                <w:lang w:eastAsia="zh-CN"/>
              </w:rPr>
            </w:pPr>
          </w:p>
        </w:tc>
        <w:tc>
          <w:tcPr>
            <w:tcW w:w="918" w:type="dxa"/>
            <w:tcBorders>
              <w:top w:val="single" w:color="auto" w:sz="4" w:space="0"/>
              <w:left w:val="single" w:color="auto" w:sz="4" w:space="0"/>
              <w:bottom w:val="single" w:color="auto" w:sz="4" w:space="0"/>
              <w:right w:val="single" w:color="auto" w:sz="4" w:space="0"/>
            </w:tcBorders>
            <w:noWrap w:val="0"/>
            <w:vAlign w:val="center"/>
          </w:tcPr>
          <w:p w14:paraId="321592E8">
            <w:pPr>
              <w:keepNext w:val="0"/>
              <w:keepLines w:val="0"/>
              <w:pageBreakBefore w:val="0"/>
              <w:widowControl w:val="0"/>
              <w:kinsoku/>
              <w:wordWrap/>
              <w:overflowPunct/>
              <w:topLinePunct w:val="0"/>
              <w:autoSpaceDE/>
              <w:autoSpaceDN/>
              <w:bidi w:val="0"/>
              <w:adjustRightInd/>
              <w:snapToGrid/>
              <w:spacing w:beforeAutospacing="0" w:afterAutospacing="0" w:line="240" w:lineRule="exact"/>
              <w:jc w:val="center"/>
              <w:textAlignment w:val="auto"/>
              <w:rPr>
                <w:rFonts w:hint="eastAsia" w:ascii="仿宋_GB2312" w:hAnsi="仿宋_GB2312" w:eastAsia="仿宋_GB2312" w:cs="仿宋_GB2312"/>
                <w:b w:val="0"/>
                <w:bCs w:val="0"/>
                <w:color w:val="auto"/>
                <w:sz w:val="24"/>
                <w:szCs w:val="24"/>
                <w:u w:val="none"/>
                <w:lang w:eastAsia="zh-CN"/>
              </w:rPr>
            </w:pPr>
            <w:r>
              <w:rPr>
                <w:rFonts w:hint="eastAsia" w:ascii="仿宋_GB2312" w:hAnsi="仿宋_GB2312" w:eastAsia="仿宋_GB2312" w:cs="仿宋_GB2312"/>
                <w:b w:val="0"/>
                <w:bCs w:val="0"/>
                <w:color w:val="auto"/>
                <w:sz w:val="24"/>
                <w:szCs w:val="24"/>
                <w:u w:val="none"/>
                <w:lang w:eastAsia="zh-CN"/>
              </w:rPr>
              <w:t>总人数</w:t>
            </w:r>
          </w:p>
        </w:tc>
        <w:tc>
          <w:tcPr>
            <w:tcW w:w="873" w:type="dxa"/>
            <w:gridSpan w:val="2"/>
            <w:tcBorders>
              <w:top w:val="single" w:color="auto" w:sz="4" w:space="0"/>
              <w:left w:val="single" w:color="auto" w:sz="4" w:space="0"/>
              <w:bottom w:val="single" w:color="auto" w:sz="4" w:space="0"/>
              <w:right w:val="single" w:color="auto" w:sz="4" w:space="0"/>
            </w:tcBorders>
            <w:noWrap w:val="0"/>
            <w:vAlign w:val="center"/>
          </w:tcPr>
          <w:p w14:paraId="648C1CCE">
            <w:pPr>
              <w:keepNext w:val="0"/>
              <w:keepLines w:val="0"/>
              <w:pageBreakBefore w:val="0"/>
              <w:widowControl w:val="0"/>
              <w:kinsoku/>
              <w:wordWrap/>
              <w:overflowPunct/>
              <w:topLinePunct w:val="0"/>
              <w:autoSpaceDE/>
              <w:autoSpaceDN/>
              <w:bidi w:val="0"/>
              <w:adjustRightInd/>
              <w:snapToGrid/>
              <w:spacing w:beforeAutospacing="0" w:afterAutospacing="0" w:line="240" w:lineRule="exact"/>
              <w:jc w:val="center"/>
              <w:textAlignment w:val="auto"/>
              <w:rPr>
                <w:rFonts w:hint="eastAsia" w:ascii="仿宋_GB2312" w:hAnsi="仿宋_GB2312" w:eastAsia="仿宋_GB2312" w:cs="仿宋_GB2312"/>
                <w:b w:val="0"/>
                <w:bCs w:val="0"/>
                <w:color w:val="auto"/>
                <w:sz w:val="24"/>
                <w:szCs w:val="24"/>
                <w:u w:val="none"/>
                <w:lang w:val="en-US" w:eastAsia="zh-CN"/>
              </w:rPr>
            </w:pPr>
            <w:r>
              <w:rPr>
                <w:rFonts w:hint="eastAsia" w:ascii="仿宋_GB2312" w:hAnsi="仿宋_GB2312" w:eastAsia="仿宋_GB2312" w:cs="仿宋_GB2312"/>
                <w:b w:val="0"/>
                <w:bCs w:val="0"/>
                <w:color w:val="auto"/>
                <w:sz w:val="24"/>
                <w:szCs w:val="24"/>
                <w:u w:val="none"/>
                <w:lang w:eastAsia="zh-CN"/>
              </w:rPr>
              <w:t>评估人员</w:t>
            </w:r>
          </w:p>
        </w:tc>
        <w:tc>
          <w:tcPr>
            <w:tcW w:w="2055" w:type="dxa"/>
            <w:gridSpan w:val="3"/>
            <w:tcBorders>
              <w:top w:val="single" w:color="auto" w:sz="4" w:space="0"/>
              <w:left w:val="single" w:color="auto" w:sz="4" w:space="0"/>
              <w:bottom w:val="single" w:color="auto" w:sz="4" w:space="0"/>
              <w:right w:val="single" w:color="auto" w:sz="4" w:space="0"/>
            </w:tcBorders>
            <w:noWrap w:val="0"/>
            <w:vAlign w:val="center"/>
          </w:tcPr>
          <w:p w14:paraId="3C956AB1">
            <w:pPr>
              <w:keepNext w:val="0"/>
              <w:keepLines w:val="0"/>
              <w:pageBreakBefore w:val="0"/>
              <w:widowControl w:val="0"/>
              <w:kinsoku/>
              <w:wordWrap/>
              <w:overflowPunct/>
              <w:topLinePunct w:val="0"/>
              <w:autoSpaceDE/>
              <w:autoSpaceDN/>
              <w:bidi w:val="0"/>
              <w:adjustRightInd/>
              <w:snapToGrid/>
              <w:spacing w:beforeAutospacing="0" w:afterAutospacing="0" w:line="240" w:lineRule="exact"/>
              <w:jc w:val="center"/>
              <w:textAlignment w:val="auto"/>
              <w:rPr>
                <w:rFonts w:hint="eastAsia" w:ascii="仿宋_GB2312" w:hAnsi="仿宋_GB2312" w:eastAsia="仿宋_GB2312" w:cs="仿宋_GB2312"/>
                <w:b w:val="0"/>
                <w:bCs w:val="0"/>
                <w:color w:val="auto"/>
                <w:sz w:val="24"/>
                <w:szCs w:val="24"/>
                <w:u w:val="none"/>
                <w:lang w:eastAsia="zh-CN"/>
              </w:rPr>
            </w:pPr>
            <w:r>
              <w:rPr>
                <w:rFonts w:hint="eastAsia" w:ascii="仿宋_GB2312" w:hAnsi="仿宋_GB2312" w:eastAsia="仿宋_GB2312" w:cs="仿宋_GB2312"/>
                <w:b w:val="0"/>
                <w:bCs w:val="0"/>
                <w:color w:val="auto"/>
                <w:sz w:val="24"/>
                <w:szCs w:val="24"/>
                <w:u w:val="none"/>
                <w:lang w:eastAsia="zh-CN"/>
              </w:rPr>
              <w:t>其中具有医学、护理、康复、心理、长期照护或养老服务与管理等相关专业背景且具备2年以上相关工作经验人员</w:t>
            </w:r>
          </w:p>
        </w:tc>
        <w:tc>
          <w:tcPr>
            <w:tcW w:w="1935" w:type="dxa"/>
            <w:gridSpan w:val="3"/>
            <w:tcBorders>
              <w:top w:val="single" w:color="auto" w:sz="4" w:space="0"/>
              <w:left w:val="single" w:color="auto" w:sz="4" w:space="0"/>
              <w:bottom w:val="single" w:color="auto" w:sz="4" w:space="0"/>
              <w:right w:val="single" w:color="auto" w:sz="4" w:space="0"/>
            </w:tcBorders>
            <w:noWrap w:val="0"/>
            <w:vAlign w:val="center"/>
          </w:tcPr>
          <w:p w14:paraId="28720180">
            <w:pPr>
              <w:keepNext w:val="0"/>
              <w:keepLines w:val="0"/>
              <w:pageBreakBefore w:val="0"/>
              <w:widowControl w:val="0"/>
              <w:kinsoku/>
              <w:wordWrap/>
              <w:overflowPunct/>
              <w:topLinePunct w:val="0"/>
              <w:autoSpaceDE/>
              <w:autoSpaceDN/>
              <w:bidi w:val="0"/>
              <w:adjustRightInd/>
              <w:snapToGrid/>
              <w:spacing w:beforeAutospacing="0" w:afterAutospacing="0" w:line="240" w:lineRule="exact"/>
              <w:jc w:val="center"/>
              <w:textAlignment w:val="auto"/>
              <w:rPr>
                <w:rFonts w:hint="eastAsia" w:ascii="仿宋_GB2312" w:hAnsi="仿宋_GB2312" w:eastAsia="仿宋_GB2312" w:cs="仿宋_GB2312"/>
                <w:b w:val="0"/>
                <w:bCs w:val="0"/>
                <w:color w:val="auto"/>
                <w:sz w:val="24"/>
                <w:szCs w:val="24"/>
                <w:u w:val="none"/>
                <w:lang w:eastAsia="zh-CN"/>
              </w:rPr>
            </w:pPr>
            <w:r>
              <w:rPr>
                <w:rFonts w:hint="eastAsia" w:ascii="仿宋_GB2312" w:hAnsi="仿宋_GB2312" w:eastAsia="仿宋_GB2312" w:cs="仿宋_GB2312"/>
                <w:b w:val="0"/>
                <w:bCs w:val="0"/>
                <w:color w:val="auto"/>
                <w:sz w:val="24"/>
                <w:szCs w:val="24"/>
                <w:u w:val="none"/>
                <w:lang w:val="en-US" w:eastAsia="zh-CN"/>
              </w:rPr>
              <w:t>具有临床医学、护理、康复、精神心理等领域中级及以上职称和2年（含）以上相关工作经历的</w:t>
            </w:r>
            <w:r>
              <w:rPr>
                <w:rFonts w:hint="eastAsia" w:ascii="仿宋_GB2312" w:hAnsi="仿宋_GB2312" w:eastAsia="仿宋_GB2312" w:cs="仿宋_GB2312"/>
                <w:b w:val="0"/>
                <w:bCs w:val="0"/>
                <w:color w:val="auto"/>
                <w:sz w:val="24"/>
                <w:szCs w:val="24"/>
                <w:u w:val="none"/>
                <w:lang w:eastAsia="zh-CN"/>
              </w:rPr>
              <w:t>评估专家</w:t>
            </w:r>
          </w:p>
        </w:tc>
        <w:tc>
          <w:tcPr>
            <w:tcW w:w="750" w:type="dxa"/>
            <w:gridSpan w:val="3"/>
            <w:tcBorders>
              <w:top w:val="single" w:color="auto" w:sz="4" w:space="0"/>
              <w:left w:val="single" w:color="auto" w:sz="4" w:space="0"/>
              <w:bottom w:val="single" w:color="auto" w:sz="4" w:space="0"/>
              <w:right w:val="single" w:color="auto" w:sz="4" w:space="0"/>
            </w:tcBorders>
            <w:noWrap w:val="0"/>
            <w:vAlign w:val="center"/>
          </w:tcPr>
          <w:p w14:paraId="4787A8A0">
            <w:pPr>
              <w:keepNext w:val="0"/>
              <w:keepLines w:val="0"/>
              <w:pageBreakBefore w:val="0"/>
              <w:widowControl w:val="0"/>
              <w:kinsoku/>
              <w:wordWrap/>
              <w:overflowPunct/>
              <w:topLinePunct w:val="0"/>
              <w:autoSpaceDE/>
              <w:autoSpaceDN/>
              <w:bidi w:val="0"/>
              <w:adjustRightInd/>
              <w:snapToGrid/>
              <w:spacing w:beforeAutospacing="0" w:afterAutospacing="0" w:line="240" w:lineRule="exact"/>
              <w:jc w:val="center"/>
              <w:textAlignment w:val="auto"/>
              <w:rPr>
                <w:rFonts w:hint="eastAsia" w:ascii="仿宋_GB2312" w:hAnsi="仿宋_GB2312" w:eastAsia="仿宋_GB2312" w:cs="仿宋_GB2312"/>
                <w:b w:val="0"/>
                <w:bCs w:val="0"/>
                <w:color w:val="auto"/>
                <w:sz w:val="24"/>
                <w:szCs w:val="24"/>
                <w:u w:val="none"/>
                <w:lang w:eastAsia="zh-CN"/>
              </w:rPr>
            </w:pPr>
            <w:r>
              <w:rPr>
                <w:rFonts w:hint="eastAsia" w:ascii="仿宋_GB2312" w:hAnsi="仿宋_GB2312" w:eastAsia="仿宋_GB2312" w:cs="仿宋_GB2312"/>
                <w:b w:val="0"/>
                <w:bCs w:val="0"/>
                <w:color w:val="auto"/>
                <w:sz w:val="24"/>
                <w:szCs w:val="24"/>
                <w:u w:val="none"/>
                <w:lang w:eastAsia="zh-CN"/>
              </w:rPr>
              <w:t>专职管理人员</w:t>
            </w:r>
          </w:p>
        </w:tc>
        <w:tc>
          <w:tcPr>
            <w:tcW w:w="836" w:type="dxa"/>
            <w:tcBorders>
              <w:top w:val="single" w:color="auto" w:sz="4" w:space="0"/>
              <w:left w:val="single" w:color="auto" w:sz="4" w:space="0"/>
              <w:bottom w:val="single" w:color="auto" w:sz="4" w:space="0"/>
              <w:right w:val="single" w:color="auto" w:sz="4" w:space="0"/>
            </w:tcBorders>
            <w:noWrap w:val="0"/>
            <w:vAlign w:val="center"/>
          </w:tcPr>
          <w:p w14:paraId="453A5437">
            <w:pPr>
              <w:keepNext w:val="0"/>
              <w:keepLines w:val="0"/>
              <w:pageBreakBefore w:val="0"/>
              <w:widowControl w:val="0"/>
              <w:kinsoku/>
              <w:wordWrap/>
              <w:overflowPunct/>
              <w:topLinePunct w:val="0"/>
              <w:autoSpaceDE/>
              <w:autoSpaceDN/>
              <w:bidi w:val="0"/>
              <w:adjustRightInd/>
              <w:snapToGrid/>
              <w:spacing w:beforeAutospacing="0" w:afterAutospacing="0" w:line="240" w:lineRule="exact"/>
              <w:jc w:val="center"/>
              <w:textAlignment w:val="auto"/>
              <w:rPr>
                <w:rFonts w:hint="eastAsia" w:ascii="仿宋_GB2312" w:hAnsi="仿宋_GB2312" w:eastAsia="仿宋_GB2312" w:cs="仿宋_GB2312"/>
                <w:b w:val="0"/>
                <w:bCs w:val="0"/>
                <w:color w:val="auto"/>
                <w:sz w:val="24"/>
                <w:szCs w:val="24"/>
                <w:u w:val="none"/>
                <w:lang w:val="en-US" w:eastAsia="zh-CN"/>
              </w:rPr>
            </w:pPr>
            <w:r>
              <w:rPr>
                <w:rFonts w:hint="eastAsia" w:ascii="仿宋_GB2312" w:hAnsi="仿宋_GB2312" w:eastAsia="仿宋_GB2312" w:cs="仿宋_GB2312"/>
                <w:b w:val="0"/>
                <w:bCs w:val="0"/>
                <w:color w:val="auto"/>
                <w:sz w:val="24"/>
                <w:szCs w:val="24"/>
                <w:u w:val="none"/>
                <w:lang w:eastAsia="zh-CN"/>
              </w:rPr>
              <w:t>信息技术管理维护人员</w:t>
            </w:r>
          </w:p>
        </w:tc>
      </w:tr>
      <w:tr w14:paraId="26478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1" w:hRule="exact"/>
          <w:jc w:val="center"/>
        </w:trPr>
        <w:tc>
          <w:tcPr>
            <w:tcW w:w="1984" w:type="dxa"/>
            <w:tcBorders>
              <w:top w:val="single" w:color="auto" w:sz="4" w:space="0"/>
              <w:left w:val="single" w:color="auto" w:sz="4" w:space="0"/>
              <w:bottom w:val="single" w:color="auto" w:sz="4" w:space="0"/>
              <w:right w:val="single" w:color="auto" w:sz="4" w:space="0"/>
            </w:tcBorders>
            <w:noWrap w:val="0"/>
            <w:vAlign w:val="center"/>
          </w:tcPr>
          <w:p w14:paraId="381F1CBC">
            <w:pPr>
              <w:keepNext w:val="0"/>
              <w:keepLines w:val="0"/>
              <w:pageBreakBefore w:val="0"/>
              <w:kinsoku/>
              <w:wordWrap/>
              <w:overflowPunct/>
              <w:topLinePunct w:val="0"/>
              <w:autoSpaceDE/>
              <w:autoSpaceDN/>
              <w:bidi w:val="0"/>
              <w:adjustRightInd/>
              <w:snapToGrid/>
              <w:spacing w:beforeAutospacing="0" w:afterAutospacing="0" w:line="240" w:lineRule="exact"/>
              <w:jc w:val="center"/>
              <w:textAlignment w:val="auto"/>
              <w:rPr>
                <w:rFonts w:hint="eastAsia" w:ascii="仿宋_GB2312" w:hAnsi="仿宋_GB2312" w:eastAsia="仿宋_GB2312" w:cs="仿宋_GB2312"/>
                <w:b w:val="0"/>
                <w:bCs w:val="0"/>
                <w:color w:val="auto"/>
                <w:sz w:val="24"/>
                <w:szCs w:val="24"/>
                <w:u w:val="none"/>
                <w:lang w:eastAsia="zh-CN"/>
              </w:rPr>
            </w:pPr>
            <w:r>
              <w:rPr>
                <w:rFonts w:hint="eastAsia" w:ascii="仿宋_GB2312" w:hAnsi="仿宋_GB2312" w:eastAsia="仿宋_GB2312" w:cs="仿宋_GB2312"/>
                <w:b w:val="0"/>
                <w:bCs w:val="0"/>
                <w:color w:val="auto"/>
                <w:sz w:val="24"/>
                <w:szCs w:val="24"/>
                <w:u w:val="none"/>
                <w:lang w:eastAsia="zh-CN"/>
              </w:rPr>
              <w:t>现有人员构成</w:t>
            </w:r>
          </w:p>
        </w:tc>
        <w:tc>
          <w:tcPr>
            <w:tcW w:w="918" w:type="dxa"/>
            <w:tcBorders>
              <w:top w:val="single" w:color="auto" w:sz="4" w:space="0"/>
              <w:left w:val="single" w:color="auto" w:sz="4" w:space="0"/>
              <w:bottom w:val="single" w:color="auto" w:sz="4" w:space="0"/>
              <w:right w:val="single" w:color="auto" w:sz="4" w:space="0"/>
            </w:tcBorders>
            <w:noWrap w:val="0"/>
            <w:vAlign w:val="center"/>
          </w:tcPr>
          <w:p w14:paraId="4913788C">
            <w:pPr>
              <w:keepNext w:val="0"/>
              <w:keepLines w:val="0"/>
              <w:pageBreakBefore w:val="0"/>
              <w:kinsoku/>
              <w:wordWrap/>
              <w:overflowPunct/>
              <w:topLinePunct w:val="0"/>
              <w:autoSpaceDE/>
              <w:autoSpaceDN/>
              <w:bidi w:val="0"/>
              <w:adjustRightInd/>
              <w:snapToGrid/>
              <w:spacing w:beforeAutospacing="0" w:afterAutospacing="0" w:line="240" w:lineRule="exact"/>
              <w:jc w:val="center"/>
              <w:textAlignment w:val="auto"/>
              <w:rPr>
                <w:rFonts w:hint="eastAsia" w:ascii="仿宋_GB2312" w:hAnsi="仿宋_GB2312" w:eastAsia="仿宋_GB2312" w:cs="仿宋_GB2312"/>
                <w:b w:val="0"/>
                <w:bCs w:val="0"/>
                <w:color w:val="auto"/>
                <w:sz w:val="24"/>
                <w:szCs w:val="24"/>
                <w:u w:val="none"/>
                <w:lang w:eastAsia="zh-CN"/>
              </w:rPr>
            </w:pPr>
          </w:p>
        </w:tc>
        <w:tc>
          <w:tcPr>
            <w:tcW w:w="873" w:type="dxa"/>
            <w:gridSpan w:val="2"/>
            <w:tcBorders>
              <w:top w:val="single" w:color="auto" w:sz="4" w:space="0"/>
              <w:left w:val="single" w:color="auto" w:sz="4" w:space="0"/>
              <w:bottom w:val="single" w:color="auto" w:sz="4" w:space="0"/>
              <w:right w:val="single" w:color="auto" w:sz="4" w:space="0"/>
            </w:tcBorders>
            <w:noWrap w:val="0"/>
            <w:vAlign w:val="center"/>
          </w:tcPr>
          <w:p w14:paraId="4D3EFB1E">
            <w:pPr>
              <w:keepNext w:val="0"/>
              <w:keepLines w:val="0"/>
              <w:pageBreakBefore w:val="0"/>
              <w:kinsoku/>
              <w:wordWrap/>
              <w:overflowPunct/>
              <w:topLinePunct w:val="0"/>
              <w:autoSpaceDE/>
              <w:autoSpaceDN/>
              <w:bidi w:val="0"/>
              <w:adjustRightInd/>
              <w:snapToGrid/>
              <w:spacing w:beforeAutospacing="0" w:afterAutospacing="0" w:line="240" w:lineRule="exact"/>
              <w:jc w:val="center"/>
              <w:textAlignment w:val="auto"/>
              <w:rPr>
                <w:rFonts w:hint="eastAsia" w:ascii="仿宋_GB2312" w:hAnsi="仿宋_GB2312" w:eastAsia="仿宋_GB2312" w:cs="仿宋_GB2312"/>
                <w:b w:val="0"/>
                <w:bCs w:val="0"/>
                <w:color w:val="auto"/>
                <w:sz w:val="24"/>
                <w:szCs w:val="24"/>
                <w:u w:val="none"/>
                <w:lang w:eastAsia="zh-CN"/>
              </w:rPr>
            </w:pPr>
          </w:p>
        </w:tc>
        <w:tc>
          <w:tcPr>
            <w:tcW w:w="2055" w:type="dxa"/>
            <w:gridSpan w:val="3"/>
            <w:tcBorders>
              <w:top w:val="single" w:color="auto" w:sz="4" w:space="0"/>
              <w:left w:val="single" w:color="auto" w:sz="4" w:space="0"/>
              <w:bottom w:val="single" w:color="auto" w:sz="4" w:space="0"/>
              <w:right w:val="single" w:color="auto" w:sz="4" w:space="0"/>
            </w:tcBorders>
            <w:noWrap w:val="0"/>
            <w:vAlign w:val="center"/>
          </w:tcPr>
          <w:p w14:paraId="5851D00C">
            <w:pPr>
              <w:keepNext w:val="0"/>
              <w:keepLines w:val="0"/>
              <w:pageBreakBefore w:val="0"/>
              <w:kinsoku/>
              <w:wordWrap/>
              <w:overflowPunct/>
              <w:topLinePunct w:val="0"/>
              <w:autoSpaceDE/>
              <w:autoSpaceDN/>
              <w:bidi w:val="0"/>
              <w:adjustRightInd/>
              <w:snapToGrid/>
              <w:spacing w:beforeAutospacing="0" w:afterAutospacing="0" w:line="240" w:lineRule="exact"/>
              <w:jc w:val="center"/>
              <w:textAlignment w:val="auto"/>
              <w:rPr>
                <w:rFonts w:hint="eastAsia" w:ascii="仿宋_GB2312" w:hAnsi="仿宋_GB2312" w:eastAsia="仿宋_GB2312" w:cs="仿宋_GB2312"/>
                <w:b w:val="0"/>
                <w:bCs w:val="0"/>
                <w:color w:val="auto"/>
                <w:sz w:val="24"/>
                <w:szCs w:val="24"/>
                <w:u w:val="none"/>
                <w:lang w:eastAsia="zh-CN"/>
              </w:rPr>
            </w:pPr>
          </w:p>
        </w:tc>
        <w:tc>
          <w:tcPr>
            <w:tcW w:w="1935" w:type="dxa"/>
            <w:gridSpan w:val="3"/>
            <w:tcBorders>
              <w:top w:val="single" w:color="auto" w:sz="4" w:space="0"/>
              <w:left w:val="single" w:color="auto" w:sz="4" w:space="0"/>
              <w:bottom w:val="single" w:color="auto" w:sz="4" w:space="0"/>
              <w:right w:val="single" w:color="auto" w:sz="4" w:space="0"/>
            </w:tcBorders>
            <w:noWrap w:val="0"/>
            <w:vAlign w:val="center"/>
          </w:tcPr>
          <w:p w14:paraId="60F0D1F1">
            <w:pPr>
              <w:keepNext w:val="0"/>
              <w:keepLines w:val="0"/>
              <w:pageBreakBefore w:val="0"/>
              <w:kinsoku/>
              <w:wordWrap/>
              <w:overflowPunct/>
              <w:topLinePunct w:val="0"/>
              <w:autoSpaceDE/>
              <w:autoSpaceDN/>
              <w:bidi w:val="0"/>
              <w:adjustRightInd/>
              <w:snapToGrid/>
              <w:spacing w:beforeAutospacing="0" w:afterAutospacing="0" w:line="240" w:lineRule="exact"/>
              <w:jc w:val="center"/>
              <w:textAlignment w:val="auto"/>
              <w:rPr>
                <w:rFonts w:hint="eastAsia" w:ascii="仿宋_GB2312" w:hAnsi="仿宋_GB2312" w:eastAsia="仿宋_GB2312" w:cs="仿宋_GB2312"/>
                <w:b w:val="0"/>
                <w:bCs w:val="0"/>
                <w:color w:val="auto"/>
                <w:sz w:val="24"/>
                <w:szCs w:val="24"/>
                <w:u w:val="none"/>
                <w:lang w:eastAsia="zh-CN"/>
              </w:rPr>
            </w:pPr>
          </w:p>
        </w:tc>
        <w:tc>
          <w:tcPr>
            <w:tcW w:w="750" w:type="dxa"/>
            <w:gridSpan w:val="3"/>
            <w:tcBorders>
              <w:top w:val="single" w:color="auto" w:sz="4" w:space="0"/>
              <w:left w:val="single" w:color="auto" w:sz="4" w:space="0"/>
              <w:bottom w:val="single" w:color="auto" w:sz="4" w:space="0"/>
              <w:right w:val="single" w:color="auto" w:sz="4" w:space="0"/>
            </w:tcBorders>
            <w:noWrap w:val="0"/>
            <w:vAlign w:val="center"/>
          </w:tcPr>
          <w:p w14:paraId="09A8BB96">
            <w:pPr>
              <w:keepNext w:val="0"/>
              <w:keepLines w:val="0"/>
              <w:pageBreakBefore w:val="0"/>
              <w:kinsoku/>
              <w:wordWrap/>
              <w:overflowPunct/>
              <w:topLinePunct w:val="0"/>
              <w:autoSpaceDE/>
              <w:autoSpaceDN/>
              <w:bidi w:val="0"/>
              <w:adjustRightInd/>
              <w:snapToGrid/>
              <w:spacing w:beforeAutospacing="0" w:afterAutospacing="0" w:line="240" w:lineRule="exact"/>
              <w:jc w:val="center"/>
              <w:textAlignment w:val="auto"/>
              <w:rPr>
                <w:rFonts w:hint="eastAsia" w:ascii="仿宋_GB2312" w:hAnsi="仿宋_GB2312" w:eastAsia="仿宋_GB2312" w:cs="仿宋_GB2312"/>
                <w:b w:val="0"/>
                <w:bCs w:val="0"/>
                <w:color w:val="auto"/>
                <w:sz w:val="24"/>
                <w:szCs w:val="24"/>
                <w:u w:val="none"/>
                <w:lang w:eastAsia="zh-CN"/>
              </w:rPr>
            </w:pPr>
          </w:p>
        </w:tc>
        <w:tc>
          <w:tcPr>
            <w:tcW w:w="836" w:type="dxa"/>
            <w:tcBorders>
              <w:top w:val="single" w:color="auto" w:sz="4" w:space="0"/>
              <w:left w:val="single" w:color="auto" w:sz="4" w:space="0"/>
              <w:bottom w:val="single" w:color="auto" w:sz="4" w:space="0"/>
              <w:right w:val="single" w:color="auto" w:sz="4" w:space="0"/>
            </w:tcBorders>
            <w:noWrap w:val="0"/>
            <w:vAlign w:val="center"/>
          </w:tcPr>
          <w:p w14:paraId="191D7F54">
            <w:pPr>
              <w:keepNext w:val="0"/>
              <w:keepLines w:val="0"/>
              <w:pageBreakBefore w:val="0"/>
              <w:kinsoku/>
              <w:wordWrap/>
              <w:overflowPunct/>
              <w:topLinePunct w:val="0"/>
              <w:autoSpaceDE/>
              <w:autoSpaceDN/>
              <w:bidi w:val="0"/>
              <w:adjustRightInd/>
              <w:snapToGrid/>
              <w:spacing w:beforeAutospacing="0" w:afterAutospacing="0" w:line="240" w:lineRule="exact"/>
              <w:jc w:val="center"/>
              <w:textAlignment w:val="auto"/>
              <w:rPr>
                <w:rFonts w:hint="eastAsia" w:ascii="仿宋_GB2312" w:hAnsi="仿宋_GB2312" w:eastAsia="仿宋_GB2312" w:cs="仿宋_GB2312"/>
                <w:b w:val="0"/>
                <w:bCs w:val="0"/>
                <w:color w:val="auto"/>
                <w:sz w:val="24"/>
                <w:szCs w:val="24"/>
                <w:u w:val="none"/>
                <w:lang w:eastAsia="zh-CN"/>
              </w:rPr>
            </w:pPr>
          </w:p>
        </w:tc>
      </w:tr>
      <w:tr w14:paraId="0639D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75" w:hRule="exact"/>
          <w:jc w:val="center"/>
        </w:trPr>
        <w:tc>
          <w:tcPr>
            <w:tcW w:w="1984" w:type="dxa"/>
            <w:tcBorders>
              <w:top w:val="single" w:color="auto" w:sz="4" w:space="0"/>
              <w:left w:val="single" w:color="auto" w:sz="4" w:space="0"/>
              <w:bottom w:val="single" w:color="auto" w:sz="4" w:space="0"/>
              <w:right w:val="single" w:color="auto" w:sz="4" w:space="0"/>
            </w:tcBorders>
            <w:noWrap w:val="0"/>
            <w:vAlign w:val="center"/>
          </w:tcPr>
          <w:p w14:paraId="08A95A45">
            <w:pPr>
              <w:keepNext w:val="0"/>
              <w:keepLines w:val="0"/>
              <w:pageBreakBefore w:val="0"/>
              <w:kinsoku/>
              <w:wordWrap/>
              <w:overflowPunct/>
              <w:topLinePunct w:val="0"/>
              <w:autoSpaceDE/>
              <w:autoSpaceDN/>
              <w:bidi w:val="0"/>
              <w:adjustRightInd/>
              <w:snapToGrid/>
              <w:spacing w:beforeAutospacing="0" w:afterAutospacing="0" w:line="240" w:lineRule="exact"/>
              <w:jc w:val="center"/>
              <w:textAlignment w:val="auto"/>
              <w:rPr>
                <w:rFonts w:hint="eastAsia" w:ascii="仿宋_GB2312" w:hAnsi="仿宋_GB2312" w:eastAsia="仿宋_GB2312" w:cs="仿宋_GB2312"/>
                <w:b w:val="0"/>
                <w:bCs w:val="0"/>
                <w:color w:val="auto"/>
                <w:sz w:val="24"/>
                <w:szCs w:val="24"/>
                <w:u w:val="none"/>
                <w:lang w:eastAsia="zh-CN"/>
              </w:rPr>
            </w:pPr>
            <w:r>
              <w:rPr>
                <w:rFonts w:hint="eastAsia" w:ascii="仿宋_GB2312" w:hAnsi="仿宋_GB2312" w:eastAsia="仿宋_GB2312" w:cs="仿宋_GB2312"/>
                <w:b w:val="0"/>
                <w:bCs w:val="0"/>
                <w:color w:val="auto"/>
                <w:sz w:val="24"/>
                <w:szCs w:val="24"/>
                <w:u w:val="none"/>
                <w:lang w:eastAsia="zh-CN"/>
              </w:rPr>
              <w:t>拟配备人员</w:t>
            </w:r>
          </w:p>
        </w:tc>
        <w:tc>
          <w:tcPr>
            <w:tcW w:w="918" w:type="dxa"/>
            <w:tcBorders>
              <w:top w:val="single" w:color="auto" w:sz="4" w:space="0"/>
              <w:left w:val="single" w:color="auto" w:sz="4" w:space="0"/>
              <w:bottom w:val="single" w:color="auto" w:sz="4" w:space="0"/>
              <w:right w:val="single" w:color="auto" w:sz="4" w:space="0"/>
            </w:tcBorders>
            <w:noWrap w:val="0"/>
            <w:vAlign w:val="center"/>
          </w:tcPr>
          <w:p w14:paraId="65FC1F87">
            <w:pPr>
              <w:keepNext w:val="0"/>
              <w:keepLines w:val="0"/>
              <w:pageBreakBefore w:val="0"/>
              <w:kinsoku/>
              <w:wordWrap/>
              <w:overflowPunct/>
              <w:topLinePunct w:val="0"/>
              <w:autoSpaceDE/>
              <w:autoSpaceDN/>
              <w:bidi w:val="0"/>
              <w:adjustRightInd/>
              <w:snapToGrid/>
              <w:spacing w:beforeAutospacing="0" w:afterAutospacing="0" w:line="240" w:lineRule="exact"/>
              <w:jc w:val="center"/>
              <w:textAlignment w:val="auto"/>
              <w:rPr>
                <w:rFonts w:hint="eastAsia" w:ascii="仿宋_GB2312" w:hAnsi="仿宋_GB2312" w:eastAsia="仿宋_GB2312" w:cs="仿宋_GB2312"/>
                <w:b w:val="0"/>
                <w:bCs w:val="0"/>
                <w:color w:val="auto"/>
                <w:sz w:val="24"/>
                <w:szCs w:val="24"/>
                <w:u w:val="none"/>
                <w:lang w:eastAsia="zh-CN"/>
              </w:rPr>
            </w:pPr>
          </w:p>
        </w:tc>
        <w:tc>
          <w:tcPr>
            <w:tcW w:w="873" w:type="dxa"/>
            <w:gridSpan w:val="2"/>
            <w:tcBorders>
              <w:top w:val="single" w:color="auto" w:sz="4" w:space="0"/>
              <w:left w:val="single" w:color="auto" w:sz="4" w:space="0"/>
              <w:bottom w:val="single" w:color="auto" w:sz="4" w:space="0"/>
              <w:right w:val="single" w:color="auto" w:sz="4" w:space="0"/>
            </w:tcBorders>
            <w:noWrap w:val="0"/>
            <w:vAlign w:val="center"/>
          </w:tcPr>
          <w:p w14:paraId="32E2A789">
            <w:pPr>
              <w:keepNext w:val="0"/>
              <w:keepLines w:val="0"/>
              <w:pageBreakBefore w:val="0"/>
              <w:kinsoku/>
              <w:wordWrap/>
              <w:overflowPunct/>
              <w:topLinePunct w:val="0"/>
              <w:autoSpaceDE/>
              <w:autoSpaceDN/>
              <w:bidi w:val="0"/>
              <w:adjustRightInd/>
              <w:snapToGrid/>
              <w:spacing w:beforeAutospacing="0" w:afterAutospacing="0" w:line="240" w:lineRule="exact"/>
              <w:jc w:val="center"/>
              <w:textAlignment w:val="auto"/>
              <w:rPr>
                <w:rFonts w:hint="eastAsia" w:ascii="仿宋_GB2312" w:hAnsi="仿宋_GB2312" w:eastAsia="仿宋_GB2312" w:cs="仿宋_GB2312"/>
                <w:b w:val="0"/>
                <w:bCs w:val="0"/>
                <w:color w:val="auto"/>
                <w:sz w:val="24"/>
                <w:szCs w:val="24"/>
                <w:u w:val="none"/>
                <w:lang w:eastAsia="zh-CN"/>
              </w:rPr>
            </w:pPr>
          </w:p>
        </w:tc>
        <w:tc>
          <w:tcPr>
            <w:tcW w:w="2055" w:type="dxa"/>
            <w:gridSpan w:val="3"/>
            <w:tcBorders>
              <w:top w:val="single" w:color="auto" w:sz="4" w:space="0"/>
              <w:left w:val="single" w:color="auto" w:sz="4" w:space="0"/>
              <w:bottom w:val="single" w:color="auto" w:sz="4" w:space="0"/>
              <w:right w:val="single" w:color="auto" w:sz="4" w:space="0"/>
            </w:tcBorders>
            <w:noWrap w:val="0"/>
            <w:vAlign w:val="center"/>
          </w:tcPr>
          <w:p w14:paraId="4BF43B87">
            <w:pPr>
              <w:keepNext w:val="0"/>
              <w:keepLines w:val="0"/>
              <w:pageBreakBefore w:val="0"/>
              <w:kinsoku/>
              <w:wordWrap/>
              <w:overflowPunct/>
              <w:topLinePunct w:val="0"/>
              <w:autoSpaceDE/>
              <w:autoSpaceDN/>
              <w:bidi w:val="0"/>
              <w:adjustRightInd/>
              <w:snapToGrid/>
              <w:spacing w:beforeAutospacing="0" w:afterAutospacing="0" w:line="240" w:lineRule="exact"/>
              <w:jc w:val="center"/>
              <w:textAlignment w:val="auto"/>
              <w:rPr>
                <w:rFonts w:hint="eastAsia" w:ascii="仿宋_GB2312" w:hAnsi="仿宋_GB2312" w:eastAsia="仿宋_GB2312" w:cs="仿宋_GB2312"/>
                <w:b w:val="0"/>
                <w:bCs w:val="0"/>
                <w:color w:val="auto"/>
                <w:sz w:val="24"/>
                <w:szCs w:val="24"/>
                <w:u w:val="none"/>
                <w:lang w:eastAsia="zh-CN"/>
              </w:rPr>
            </w:pPr>
          </w:p>
        </w:tc>
        <w:tc>
          <w:tcPr>
            <w:tcW w:w="1935" w:type="dxa"/>
            <w:gridSpan w:val="3"/>
            <w:tcBorders>
              <w:top w:val="single" w:color="auto" w:sz="4" w:space="0"/>
              <w:left w:val="single" w:color="auto" w:sz="4" w:space="0"/>
              <w:bottom w:val="single" w:color="auto" w:sz="4" w:space="0"/>
              <w:right w:val="single" w:color="auto" w:sz="4" w:space="0"/>
            </w:tcBorders>
            <w:noWrap w:val="0"/>
            <w:vAlign w:val="center"/>
          </w:tcPr>
          <w:p w14:paraId="0C90417A">
            <w:pPr>
              <w:keepNext w:val="0"/>
              <w:keepLines w:val="0"/>
              <w:pageBreakBefore w:val="0"/>
              <w:kinsoku/>
              <w:wordWrap/>
              <w:overflowPunct/>
              <w:topLinePunct w:val="0"/>
              <w:autoSpaceDE/>
              <w:autoSpaceDN/>
              <w:bidi w:val="0"/>
              <w:adjustRightInd/>
              <w:snapToGrid/>
              <w:spacing w:beforeAutospacing="0" w:afterAutospacing="0" w:line="240" w:lineRule="exact"/>
              <w:jc w:val="center"/>
              <w:textAlignment w:val="auto"/>
              <w:rPr>
                <w:rFonts w:hint="eastAsia" w:ascii="仿宋_GB2312" w:hAnsi="仿宋_GB2312" w:eastAsia="仿宋_GB2312" w:cs="仿宋_GB2312"/>
                <w:b w:val="0"/>
                <w:bCs w:val="0"/>
                <w:color w:val="auto"/>
                <w:sz w:val="24"/>
                <w:szCs w:val="24"/>
                <w:u w:val="none"/>
                <w:lang w:eastAsia="zh-CN"/>
              </w:rPr>
            </w:pPr>
          </w:p>
        </w:tc>
        <w:tc>
          <w:tcPr>
            <w:tcW w:w="750" w:type="dxa"/>
            <w:gridSpan w:val="3"/>
            <w:tcBorders>
              <w:top w:val="single" w:color="auto" w:sz="4" w:space="0"/>
              <w:left w:val="single" w:color="auto" w:sz="4" w:space="0"/>
              <w:bottom w:val="single" w:color="auto" w:sz="4" w:space="0"/>
              <w:right w:val="single" w:color="auto" w:sz="4" w:space="0"/>
            </w:tcBorders>
            <w:noWrap w:val="0"/>
            <w:vAlign w:val="center"/>
          </w:tcPr>
          <w:p w14:paraId="18633C31">
            <w:pPr>
              <w:keepNext w:val="0"/>
              <w:keepLines w:val="0"/>
              <w:pageBreakBefore w:val="0"/>
              <w:kinsoku/>
              <w:wordWrap/>
              <w:overflowPunct/>
              <w:topLinePunct w:val="0"/>
              <w:autoSpaceDE/>
              <w:autoSpaceDN/>
              <w:bidi w:val="0"/>
              <w:adjustRightInd/>
              <w:snapToGrid/>
              <w:spacing w:beforeAutospacing="0" w:afterAutospacing="0" w:line="240" w:lineRule="exact"/>
              <w:jc w:val="center"/>
              <w:textAlignment w:val="auto"/>
              <w:rPr>
                <w:rFonts w:hint="eastAsia" w:ascii="仿宋_GB2312" w:hAnsi="仿宋_GB2312" w:eastAsia="仿宋_GB2312" w:cs="仿宋_GB2312"/>
                <w:b w:val="0"/>
                <w:bCs w:val="0"/>
                <w:color w:val="auto"/>
                <w:sz w:val="24"/>
                <w:szCs w:val="24"/>
                <w:u w:val="none"/>
                <w:lang w:eastAsia="zh-CN"/>
              </w:rPr>
            </w:pPr>
          </w:p>
        </w:tc>
        <w:tc>
          <w:tcPr>
            <w:tcW w:w="836" w:type="dxa"/>
            <w:tcBorders>
              <w:top w:val="single" w:color="auto" w:sz="4" w:space="0"/>
              <w:left w:val="single" w:color="auto" w:sz="4" w:space="0"/>
              <w:bottom w:val="single" w:color="auto" w:sz="4" w:space="0"/>
              <w:right w:val="single" w:color="auto" w:sz="4" w:space="0"/>
            </w:tcBorders>
            <w:noWrap w:val="0"/>
            <w:vAlign w:val="center"/>
          </w:tcPr>
          <w:p w14:paraId="55D1C8D5">
            <w:pPr>
              <w:keepNext w:val="0"/>
              <w:keepLines w:val="0"/>
              <w:pageBreakBefore w:val="0"/>
              <w:kinsoku/>
              <w:wordWrap/>
              <w:overflowPunct/>
              <w:topLinePunct w:val="0"/>
              <w:autoSpaceDE/>
              <w:autoSpaceDN/>
              <w:bidi w:val="0"/>
              <w:adjustRightInd/>
              <w:snapToGrid/>
              <w:spacing w:beforeAutospacing="0" w:afterAutospacing="0" w:line="240" w:lineRule="exact"/>
              <w:jc w:val="center"/>
              <w:textAlignment w:val="auto"/>
              <w:rPr>
                <w:rFonts w:hint="eastAsia" w:ascii="仿宋_GB2312" w:hAnsi="仿宋_GB2312" w:eastAsia="仿宋_GB2312" w:cs="仿宋_GB2312"/>
                <w:b w:val="0"/>
                <w:bCs w:val="0"/>
                <w:color w:val="auto"/>
                <w:sz w:val="24"/>
                <w:szCs w:val="24"/>
                <w:u w:val="none"/>
                <w:lang w:eastAsia="zh-CN"/>
              </w:rPr>
            </w:pPr>
          </w:p>
        </w:tc>
      </w:tr>
    </w:tbl>
    <w:p w14:paraId="597584B2">
      <w:pPr>
        <w:keepNext w:val="0"/>
        <w:keepLines w:val="0"/>
        <w:pageBreakBefore w:val="0"/>
        <w:widowControl w:val="0"/>
        <w:kinsoku/>
        <w:wordWrap/>
        <w:overflowPunct/>
        <w:topLinePunct w:val="0"/>
        <w:autoSpaceDE/>
        <w:autoSpaceDN/>
        <w:bidi w:val="0"/>
        <w:adjustRightInd/>
        <w:snapToGrid/>
        <w:spacing w:beforeAutospacing="0" w:afterAutospacing="0" w:line="240" w:lineRule="exact"/>
        <w:textAlignment w:val="auto"/>
        <w:rPr>
          <w:rStyle w:val="9"/>
          <w:rFonts w:hint="eastAsia" w:ascii="仿宋_GB2312" w:hAnsi="仿宋_GB2312" w:eastAsia="仿宋_GB2312" w:cs="仿宋_GB2312"/>
          <w:b w:val="0"/>
          <w:bCs/>
          <w:color w:val="auto"/>
          <w:sz w:val="32"/>
          <w:szCs w:val="32"/>
          <w:highlight w:val="none"/>
          <w:u w:val="none"/>
          <w:lang w:val="en-US" w:eastAsia="zh-CN"/>
        </w:rPr>
      </w:pPr>
    </w:p>
    <w:sectPr>
      <w:footerReference r:id="rId3" w:type="default"/>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90AF3A">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D0C29A4">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D0C29A4">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A73D87"/>
    <w:rsid w:val="0204742C"/>
    <w:rsid w:val="06712BB6"/>
    <w:rsid w:val="070326EC"/>
    <w:rsid w:val="0A981059"/>
    <w:rsid w:val="0E4A4418"/>
    <w:rsid w:val="0FA91612"/>
    <w:rsid w:val="142851FC"/>
    <w:rsid w:val="14294AD0"/>
    <w:rsid w:val="168801D3"/>
    <w:rsid w:val="17485073"/>
    <w:rsid w:val="18756535"/>
    <w:rsid w:val="19E25BCB"/>
    <w:rsid w:val="1B6D7998"/>
    <w:rsid w:val="1BCF2401"/>
    <w:rsid w:val="1D1852A7"/>
    <w:rsid w:val="1E3B1FCF"/>
    <w:rsid w:val="20135495"/>
    <w:rsid w:val="20DB35F6"/>
    <w:rsid w:val="232E62E1"/>
    <w:rsid w:val="24877D1C"/>
    <w:rsid w:val="261C26E6"/>
    <w:rsid w:val="269465AE"/>
    <w:rsid w:val="28A30E9D"/>
    <w:rsid w:val="294D17D9"/>
    <w:rsid w:val="2AAF3B29"/>
    <w:rsid w:val="2DDC7EA0"/>
    <w:rsid w:val="2F101F2F"/>
    <w:rsid w:val="2F46748A"/>
    <w:rsid w:val="2F61116A"/>
    <w:rsid w:val="2FD91648"/>
    <w:rsid w:val="310821E5"/>
    <w:rsid w:val="32B36180"/>
    <w:rsid w:val="33997124"/>
    <w:rsid w:val="35A65B28"/>
    <w:rsid w:val="35F00919"/>
    <w:rsid w:val="3A620DC8"/>
    <w:rsid w:val="3BC74A4B"/>
    <w:rsid w:val="3BF07AFD"/>
    <w:rsid w:val="3E7F3645"/>
    <w:rsid w:val="4070745F"/>
    <w:rsid w:val="413C5593"/>
    <w:rsid w:val="41B91D97"/>
    <w:rsid w:val="426B28C3"/>
    <w:rsid w:val="42CD2946"/>
    <w:rsid w:val="43A22025"/>
    <w:rsid w:val="45294F13"/>
    <w:rsid w:val="483671E0"/>
    <w:rsid w:val="4A605142"/>
    <w:rsid w:val="4B726781"/>
    <w:rsid w:val="4CFF4AD5"/>
    <w:rsid w:val="4D28781E"/>
    <w:rsid w:val="4D783DF7"/>
    <w:rsid w:val="4EA45BEB"/>
    <w:rsid w:val="516E3547"/>
    <w:rsid w:val="53BF452D"/>
    <w:rsid w:val="547C241E"/>
    <w:rsid w:val="5559450E"/>
    <w:rsid w:val="555C60DD"/>
    <w:rsid w:val="572A7F10"/>
    <w:rsid w:val="58E467E4"/>
    <w:rsid w:val="5EF915CC"/>
    <w:rsid w:val="5F814D8D"/>
    <w:rsid w:val="6023524B"/>
    <w:rsid w:val="62214605"/>
    <w:rsid w:val="62546789"/>
    <w:rsid w:val="64116879"/>
    <w:rsid w:val="6AD93CCF"/>
    <w:rsid w:val="6E513084"/>
    <w:rsid w:val="6EED5F9B"/>
    <w:rsid w:val="6F7A7103"/>
    <w:rsid w:val="70E231B1"/>
    <w:rsid w:val="73F2195D"/>
    <w:rsid w:val="74324450"/>
    <w:rsid w:val="7535379C"/>
    <w:rsid w:val="77925931"/>
    <w:rsid w:val="77A1107B"/>
    <w:rsid w:val="77B832EE"/>
    <w:rsid w:val="77D575CC"/>
    <w:rsid w:val="78C3659F"/>
    <w:rsid w:val="79370055"/>
    <w:rsid w:val="79B5061B"/>
    <w:rsid w:val="7C2D3E7B"/>
    <w:rsid w:val="7F076C05"/>
    <w:rsid w:val="7FE174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9">
    <w:name w:val="Strong"/>
    <w:basedOn w:val="8"/>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5372</Words>
  <Characters>5384</Characters>
  <Lines>0</Lines>
  <Paragraphs>0</Paragraphs>
  <TotalTime>53</TotalTime>
  <ScaleCrop>false</ScaleCrop>
  <LinksUpToDate>false</LinksUpToDate>
  <CharactersWithSpaces>5451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2026-06-06T03:01:00Z</dcterms:created>
  <dc:creator>月月鸟</dc:creator>
  <cp:lastModifiedBy>月月鸟买瓷器加13319389808</cp:lastModifiedBy>
  <dcterms:modified xsi:type="dcterms:W3CDTF">2026-07-06T01:30:13Z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eyJoZGlkIjoiMmI2MTY0MGRiM2EzM2ZjYzZkZGI3NTkxOTg0ODdiMGMiLCJ1c2VySWQiOiI1OTE0ODY0MTcifQ==</vt:lpwstr>
  </property>
  <property fmtid="{D5CDD505-2E9C-101B-9397-08002B2CF9AE}" pid="4" name="ICV">
    <vt:lpwstr>C88713483C014B698AA9DAF22A8870ED_12</vt:lpwstr>
  </property>
</Properties>
</file>