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38C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2026年景德镇市医疗保险基金预算公开</w:t>
      </w:r>
    </w:p>
    <w:p w14:paraId="6581481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9CFABE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为切实保障医保基金安全可持续运行，根据《社会保险法》等法律法规及国家医保基金预算管理相关规定，结合本地经济社会发展水平及医保基金运行实际，按照“以收定支、收支平衡、略有结余”的原则，编制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景德镇</w:t>
      </w:r>
      <w:r>
        <w:rPr>
          <w:rFonts w:hint="eastAsia" w:ascii="仿宋_GB2312" w:hAnsi="仿宋_GB2312" w:eastAsia="仿宋_GB2312" w:cs="仿宋_GB2312"/>
          <w:sz w:val="32"/>
          <w:szCs w:val="32"/>
        </w:rPr>
        <w:t>市2026年度基本医疗保险基金预算，现将预算情况公开如下：</w:t>
      </w:r>
    </w:p>
    <w:p w14:paraId="4BD26F16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职工基本医疗保险基金：2026年预算收入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合计14.57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亿元（其中统筹基金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10.27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亿元；个人账户基金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亿元），预算支出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合计12.09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亿元（其中统筹基金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9.26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亿元，个人账户基金2.8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预计累计结余17.11亿元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（其中统筹基金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8.71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亿元，个人账户基金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8.40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亿元）。</w:t>
      </w:r>
    </w:p>
    <w:p w14:paraId="29D07B8F">
      <w:p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城乡居民基本医疗保险基金：2026年预算收入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合计13.75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合计12.96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预计累计结余10.29亿元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6387A"/>
    <w:rsid w:val="0E9B4C87"/>
    <w:rsid w:val="1496387A"/>
    <w:rsid w:val="1AE46AEB"/>
    <w:rsid w:val="4FD9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346</Characters>
  <Lines>0</Lines>
  <Paragraphs>0</Paragraphs>
  <TotalTime>1</TotalTime>
  <ScaleCrop>false</ScaleCrop>
  <LinksUpToDate>false</LinksUpToDate>
  <CharactersWithSpaces>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2026-02-11T06:16:00Z</dcterms:created>
  <dc:creator>CLF</dc:creator>
  <cp:lastModifiedBy>CLF</cp:lastModifiedBy>
  <dcterms:modified xsi:type="dcterms:W3CDTF">2026-03-19T08:46:44Z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BB58C09B3D9840E1AEEEC9D0439E30F7_11</vt:lpwstr>
  </property>
  <property fmtid="{D5CDD505-2E9C-101B-9397-08002B2CF9AE}" pid="4" name="KSOTemplateDocerSaveRecord">
    <vt:lpwstr>eyJoZGlkIjoiNGZlYWZjZThkMjEwNmRhOGE0MTRiYjUzNDIwZTNjYWIiLCJ1c2VySWQiOiIxNzY0NjY2ODE1In0=</vt:lpwstr>
  </property>
</Properties>
</file>