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江西省</w:t>
      </w:r>
    </w:p>
    <w:p>
      <w:pPr>
        <w:jc w:val="center"/>
        <w:rPr>
          <w:rFonts w:ascii="黑体" w:hAnsi="黑体" w:eastAsia="黑体"/>
          <w:sz w:val="44"/>
          <w:szCs w:val="44"/>
        </w:rPr>
      </w:pPr>
      <w:r>
        <w:rPr>
          <w:rFonts w:hint="eastAsia" w:ascii="黑体" w:hAnsi="黑体" w:eastAsia="黑体"/>
          <w:sz w:val="44"/>
          <w:szCs w:val="44"/>
          <w:lang w:val="en-US" w:eastAsia="zh-CN"/>
        </w:rPr>
        <w:t>乐平</w:t>
      </w:r>
      <w:r>
        <w:rPr>
          <w:rFonts w:hint="eastAsia" w:ascii="黑体" w:hAnsi="黑体" w:eastAsia="黑体"/>
          <w:sz w:val="44"/>
          <w:szCs w:val="44"/>
        </w:rPr>
        <w:t>市</w:t>
      </w:r>
      <w:r>
        <w:rPr>
          <w:rFonts w:hint="eastAsia" w:ascii="黑体" w:hAnsi="黑体" w:eastAsia="黑体"/>
          <w:bCs/>
          <w:sz w:val="44"/>
          <w:szCs w:val="44"/>
        </w:rPr>
        <w:t>烟草制品零售点合理布局规定</w:t>
      </w:r>
    </w:p>
    <w:p>
      <w:pPr>
        <w:jc w:val="center"/>
        <w:rPr>
          <w:rFonts w:ascii="黑体" w:hAnsi="黑体" w:eastAsia="黑体"/>
          <w:bCs/>
          <w:sz w:val="44"/>
          <w:szCs w:val="44"/>
        </w:rPr>
      </w:pPr>
    </w:p>
    <w:p>
      <w:pPr>
        <w:jc w:val="center"/>
        <w:rPr>
          <w:rFonts w:ascii="黑体" w:hAnsi="黑体" w:eastAsia="黑体"/>
          <w:bCs/>
          <w:sz w:val="44"/>
          <w:szCs w:val="44"/>
        </w:rPr>
      </w:pPr>
    </w:p>
    <w:p>
      <w:pPr>
        <w:spacing w:line="580" w:lineRule="exact"/>
        <w:jc w:val="center"/>
        <w:rPr>
          <w:rFonts w:ascii="黑体" w:hAnsi="黑体" w:eastAsia="黑体"/>
          <w:bCs/>
          <w:sz w:val="32"/>
          <w:szCs w:val="32"/>
        </w:rPr>
      </w:pPr>
      <w:r>
        <w:rPr>
          <w:rFonts w:ascii="黑体" w:hAnsi="黑体" w:eastAsia="黑体"/>
          <w:bCs/>
          <w:sz w:val="32"/>
          <w:szCs w:val="32"/>
        </w:rPr>
        <w:t>第一章</w:t>
      </w:r>
      <w:r>
        <w:rPr>
          <w:rFonts w:hint="eastAsia" w:ascii="黑体" w:hAnsi="黑体" w:eastAsia="黑体"/>
          <w:bCs/>
          <w:sz w:val="32"/>
          <w:szCs w:val="32"/>
        </w:rPr>
        <w:t xml:space="preserve"> 总则</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 xml:space="preserve">第一条 </w:t>
      </w:r>
      <w:r>
        <w:rPr>
          <w:rFonts w:hint="eastAsia" w:eastAsia="仿宋_GB2312"/>
          <w:sz w:val="32"/>
          <w:szCs w:val="32"/>
        </w:rPr>
        <w:t>为加强烟草制品零售点布局管理，</w:t>
      </w:r>
      <w:r>
        <w:rPr>
          <w:rFonts w:eastAsia="仿宋_GB2312"/>
          <w:sz w:val="32"/>
          <w:szCs w:val="32"/>
        </w:rPr>
        <w:t>合理配置烟草市场资源，</w:t>
      </w:r>
      <w:r>
        <w:rPr>
          <w:rFonts w:hint="eastAsia" w:eastAsia="仿宋_GB2312"/>
          <w:sz w:val="32"/>
          <w:szCs w:val="32"/>
        </w:rPr>
        <w:t>更加规范管理烟草制品零售市场秩序，保护烟草制品经营者和消费者的合法权益，根据《中华人民共和国行政许可法》《中华人民共和国烟草专卖法》《中华人民共和国烟草专卖法实施条例》《烟草专卖许可证管理办法》</w:t>
      </w:r>
      <w:r>
        <w:rPr>
          <w:rFonts w:eastAsia="仿宋_GB2312"/>
          <w:sz w:val="32"/>
          <w:szCs w:val="32"/>
        </w:rPr>
        <w:t>《烟草专卖许可证管理办法实施细则》</w:t>
      </w:r>
      <w:r>
        <w:rPr>
          <w:rFonts w:hint="eastAsia" w:eastAsia="仿宋_GB2312"/>
          <w:sz w:val="32"/>
          <w:szCs w:val="32"/>
        </w:rPr>
        <w:t>等法律、法规、规章和规定，结合</w:t>
      </w:r>
      <w:r>
        <w:rPr>
          <w:rFonts w:hint="eastAsia" w:eastAsia="仿宋_GB2312"/>
          <w:sz w:val="32"/>
          <w:szCs w:val="32"/>
          <w:lang w:val="en-US" w:eastAsia="zh-CN"/>
        </w:rPr>
        <w:t>乐平</w:t>
      </w:r>
      <w:r>
        <w:rPr>
          <w:rFonts w:hint="eastAsia" w:eastAsia="仿宋_GB2312"/>
          <w:sz w:val="32"/>
          <w:szCs w:val="32"/>
        </w:rPr>
        <w:t>市实际，制定本规定。</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第二条 </w:t>
      </w:r>
      <w:r>
        <w:rPr>
          <w:rFonts w:hint="eastAsia" w:eastAsia="仿宋_GB2312"/>
          <w:sz w:val="32"/>
          <w:szCs w:val="32"/>
        </w:rPr>
        <w:t>本规定适用于</w:t>
      </w:r>
      <w:r>
        <w:rPr>
          <w:rFonts w:hint="eastAsia" w:eastAsia="仿宋_GB2312"/>
          <w:sz w:val="32"/>
          <w:szCs w:val="32"/>
          <w:lang w:val="en-US" w:eastAsia="zh-CN"/>
        </w:rPr>
        <w:t>乐平</w:t>
      </w:r>
      <w:r>
        <w:rPr>
          <w:rFonts w:hint="eastAsia" w:eastAsia="仿宋_GB2312"/>
          <w:sz w:val="32"/>
          <w:szCs w:val="32"/>
        </w:rPr>
        <w:t>市行政区域内烟草制品零售点的布局规定。</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 xml:space="preserve">第三条 </w:t>
      </w:r>
      <w:r>
        <w:rPr>
          <w:rFonts w:hint="eastAsia" w:eastAsia="仿宋_GB2312"/>
          <w:sz w:val="32"/>
          <w:szCs w:val="32"/>
        </w:rPr>
        <w:t>本规定所指烟草制品零售点（以下简称零售点）是指依法取得烟草专卖零售许可证从事烟草制品零售业务的公民、法人及其他组织开展烟草制品零售业务的经营场所。</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 xml:space="preserve">第四条 </w:t>
      </w:r>
      <w:r>
        <w:rPr>
          <w:rFonts w:hint="eastAsia" w:ascii="仿宋_GB2312" w:hAnsi="宋体" w:eastAsia="仿宋_GB2312"/>
          <w:sz w:val="32"/>
          <w:szCs w:val="32"/>
          <w:lang w:val="en-US" w:eastAsia="zh-CN"/>
        </w:rPr>
        <w:t>乐平</w:t>
      </w:r>
      <w:r>
        <w:rPr>
          <w:rFonts w:hint="eastAsia" w:ascii="仿宋_GB2312" w:hAnsi="宋体" w:eastAsia="仿宋_GB2312"/>
          <w:sz w:val="32"/>
          <w:szCs w:val="32"/>
        </w:rPr>
        <w:t>市行政区域内烟草专卖零售许可证的新办申请、延续申请、变更申请、停业申请、恢复营业申请均应当符合本规定。</w:t>
      </w:r>
    </w:p>
    <w:p>
      <w:pPr>
        <w:adjustRightInd w:val="0"/>
        <w:snapToGrid w:val="0"/>
        <w:spacing w:line="580" w:lineRule="exact"/>
        <w:ind w:firstLine="640" w:firstLineChars="200"/>
        <w:rPr>
          <w:rFonts w:ascii="仿宋_GB2312" w:hAnsi="宋体" w:eastAsia="仿宋_GB2312"/>
          <w:sz w:val="32"/>
          <w:szCs w:val="32"/>
        </w:rPr>
      </w:pPr>
      <w:r>
        <w:rPr>
          <w:rFonts w:hint="eastAsia" w:ascii="黑体" w:hAnsi="黑体" w:eastAsia="黑体"/>
          <w:sz w:val="32"/>
          <w:szCs w:val="32"/>
        </w:rPr>
        <w:t>第五条</w:t>
      </w:r>
      <w:r>
        <w:rPr>
          <w:rFonts w:hint="eastAsia" w:ascii="仿宋_GB2312" w:hAnsi="宋体" w:eastAsia="仿宋_GB2312"/>
          <w:b/>
          <w:bCs/>
          <w:sz w:val="32"/>
          <w:szCs w:val="32"/>
        </w:rPr>
        <w:t xml:space="preserve"> </w:t>
      </w:r>
      <w:r>
        <w:rPr>
          <w:rFonts w:hint="eastAsia" w:ascii="仿宋_GB2312" w:hAnsi="宋体" w:eastAsia="仿宋_GB2312"/>
          <w:sz w:val="32"/>
          <w:szCs w:val="32"/>
          <w:lang w:val="en-US" w:eastAsia="zh-CN"/>
        </w:rPr>
        <w:t>乐平</w:t>
      </w:r>
      <w:r>
        <w:rPr>
          <w:rFonts w:hint="eastAsia" w:ascii="仿宋_GB2312" w:hAnsi="宋体" w:eastAsia="仿宋_GB2312"/>
          <w:sz w:val="32"/>
          <w:szCs w:val="32"/>
        </w:rPr>
        <w:t>市烟草专卖局应当依照法定的权限、范围、条件、程序审批和发放烟草专卖零售许可证，并依法实施后续监督管理。</w:t>
      </w:r>
    </w:p>
    <w:p>
      <w:pPr>
        <w:adjustRightInd w:val="0"/>
        <w:snapToGrid w:val="0"/>
        <w:spacing w:line="580" w:lineRule="exact"/>
        <w:ind w:firstLine="640" w:firstLineChars="200"/>
        <w:rPr>
          <w:rFonts w:ascii="仿宋_GB2312" w:hAnsi="宋体" w:eastAsia="仿宋_GB2312"/>
          <w:sz w:val="32"/>
          <w:szCs w:val="32"/>
        </w:rPr>
      </w:pPr>
      <w:r>
        <w:rPr>
          <w:rFonts w:hint="eastAsia" w:ascii="黑体" w:hAnsi="黑体" w:eastAsia="黑体"/>
          <w:sz w:val="32"/>
          <w:szCs w:val="32"/>
        </w:rPr>
        <w:t xml:space="preserve">第六条 </w:t>
      </w:r>
      <w:r>
        <w:rPr>
          <w:rFonts w:ascii="仿宋_GB2312" w:hAnsi="宋体" w:eastAsia="仿宋_GB2312"/>
          <w:sz w:val="32"/>
          <w:szCs w:val="32"/>
        </w:rPr>
        <w:t>本规定所称的合理布局是指综合考虑辖区内人口数量、交通、经济发展水平、消费能力等因素，对区域</w:t>
      </w:r>
      <w:r>
        <w:rPr>
          <w:rFonts w:hint="eastAsia" w:ascii="仿宋_GB2312" w:hAnsi="宋体" w:eastAsia="仿宋_GB2312"/>
          <w:sz w:val="32"/>
          <w:szCs w:val="32"/>
          <w:lang w:val="en-US" w:eastAsia="zh-CN"/>
        </w:rPr>
        <w:t>类型内</w:t>
      </w:r>
      <w:r>
        <w:rPr>
          <w:rFonts w:ascii="仿宋_GB2312" w:hAnsi="宋体" w:eastAsia="仿宋_GB2312"/>
          <w:sz w:val="32"/>
          <w:szCs w:val="32"/>
        </w:rPr>
        <w:t>零售点进行规划布局。</w:t>
      </w:r>
    </w:p>
    <w:p>
      <w:pPr>
        <w:adjustRightInd w:val="0"/>
        <w:snapToGrid w:val="0"/>
        <w:spacing w:line="58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七</w:t>
      </w:r>
      <w:r>
        <w:rPr>
          <w:rFonts w:ascii="黑体" w:hAnsi="黑体" w:eastAsia="黑体"/>
          <w:sz w:val="32"/>
          <w:szCs w:val="32"/>
        </w:rPr>
        <w:t>条</w:t>
      </w:r>
      <w:r>
        <w:rPr>
          <w:rFonts w:hint="eastAsia" w:ascii="仿宋_GB2312" w:hAnsi="宋体" w:eastAsia="仿宋_GB2312"/>
          <w:sz w:val="32"/>
          <w:szCs w:val="32"/>
        </w:rPr>
        <w:t xml:space="preserve"> </w:t>
      </w:r>
      <w:r>
        <w:rPr>
          <w:rFonts w:ascii="仿宋_GB2312" w:hAnsi="宋体" w:eastAsia="仿宋_GB2312"/>
          <w:sz w:val="32"/>
          <w:szCs w:val="32"/>
        </w:rPr>
        <w:t>烟草专卖局根据受理时间的先后顺序审批发放烟草专卖零售许可证。对符合申请烟草专卖零售许可证法定条件的申请人，按申请受理时间的先后顺序进行登记备案。</w:t>
      </w:r>
    </w:p>
    <w:p>
      <w:pPr>
        <w:adjustRightInd w:val="0"/>
        <w:snapToGrid w:val="0"/>
        <w:spacing w:line="58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八</w:t>
      </w:r>
      <w:r>
        <w:rPr>
          <w:rFonts w:ascii="黑体" w:hAnsi="黑体" w:eastAsia="黑体"/>
          <w:sz w:val="32"/>
          <w:szCs w:val="32"/>
        </w:rPr>
        <w:t>条</w:t>
      </w:r>
      <w:r>
        <w:rPr>
          <w:rFonts w:hint="eastAsia" w:ascii="黑体" w:hAnsi="黑体" w:eastAsia="黑体"/>
          <w:sz w:val="32"/>
          <w:szCs w:val="32"/>
        </w:rPr>
        <w:t xml:space="preserve"> </w:t>
      </w:r>
      <w:r>
        <w:rPr>
          <w:rFonts w:ascii="仿宋_GB2312" w:hAnsi="宋体" w:eastAsia="仿宋_GB2312"/>
          <w:sz w:val="32"/>
          <w:szCs w:val="32"/>
        </w:rPr>
        <w:t>烟草专卖许可证有效期内，企业名称、个体经营户名称、法定代表人或其他组织负责人、经营者姓名以及经营地址名称等登记事项发生改变，持证人应当及时提出变更申请。变更许可范围的，持证人应当提前提出变更申请。</w:t>
      </w:r>
    </w:p>
    <w:p>
      <w:pPr>
        <w:adjustRightInd w:val="0"/>
        <w:snapToGrid w:val="0"/>
        <w:spacing w:line="580" w:lineRule="exact"/>
        <w:ind w:firstLine="640" w:firstLineChars="200"/>
        <w:rPr>
          <w:rFonts w:ascii="仿宋_GB2312" w:hAnsi="宋体" w:eastAsia="仿宋_GB2312"/>
          <w:sz w:val="32"/>
          <w:szCs w:val="32"/>
        </w:rPr>
      </w:pPr>
      <w:r>
        <w:rPr>
          <w:rFonts w:ascii="仿宋_GB2312" w:hAnsi="宋体" w:eastAsia="仿宋_GB2312"/>
          <w:sz w:val="32"/>
          <w:szCs w:val="32"/>
        </w:rPr>
        <w:t>家庭经营的个体户，持证人在家庭成员间变化的，可以申请变更烟草专卖零售许可证。</w:t>
      </w:r>
    </w:p>
    <w:p>
      <w:pPr>
        <w:adjustRightInd w:val="0"/>
        <w:snapToGrid w:val="0"/>
        <w:spacing w:line="580" w:lineRule="exact"/>
        <w:ind w:firstLine="640" w:firstLineChars="200"/>
        <w:rPr>
          <w:rFonts w:ascii="仿宋_GB2312" w:hAnsi="宋体" w:eastAsia="仿宋_GB2312"/>
          <w:sz w:val="32"/>
          <w:szCs w:val="32"/>
        </w:rPr>
      </w:pPr>
      <w:r>
        <w:rPr>
          <w:rFonts w:ascii="黑体" w:hAnsi="黑体" w:eastAsia="黑体"/>
          <w:sz w:val="32"/>
          <w:szCs w:val="32"/>
        </w:rPr>
        <w:t>第</w:t>
      </w:r>
      <w:r>
        <w:rPr>
          <w:rFonts w:hint="eastAsia" w:ascii="黑体" w:hAnsi="黑体" w:eastAsia="黑体"/>
          <w:sz w:val="32"/>
          <w:szCs w:val="32"/>
        </w:rPr>
        <w:t>九</w:t>
      </w:r>
      <w:r>
        <w:rPr>
          <w:rFonts w:ascii="黑体" w:hAnsi="黑体" w:eastAsia="黑体"/>
          <w:sz w:val="32"/>
          <w:szCs w:val="32"/>
        </w:rPr>
        <w:t>条</w:t>
      </w:r>
      <w:r>
        <w:rPr>
          <w:rFonts w:hint="eastAsia" w:ascii="仿宋_GB2312" w:hAnsi="宋体" w:eastAsia="仿宋_GB2312"/>
          <w:sz w:val="32"/>
          <w:szCs w:val="32"/>
        </w:rPr>
        <w:t xml:space="preserve"> </w:t>
      </w:r>
      <w:r>
        <w:rPr>
          <w:rFonts w:hint="eastAsia" w:ascii="黑体" w:hAnsi="黑体" w:eastAsia="黑体"/>
          <w:sz w:val="32"/>
          <w:szCs w:val="32"/>
        </w:rPr>
        <w:t xml:space="preserve"> </w:t>
      </w:r>
      <w:r>
        <w:rPr>
          <w:rFonts w:ascii="仿宋_GB2312" w:hAnsi="宋体" w:eastAsia="仿宋_GB2312"/>
          <w:sz w:val="32"/>
          <w:szCs w:val="32"/>
        </w:rPr>
        <w:t>烟草制品零售点合理布局实行定期评价、动态管理。根据社会形势的变化，</w:t>
      </w:r>
      <w:r>
        <w:rPr>
          <w:rFonts w:hint="eastAsia" w:ascii="仿宋_GB2312" w:hAnsi="宋体" w:eastAsia="仿宋_GB2312"/>
          <w:sz w:val="32"/>
          <w:szCs w:val="32"/>
          <w:lang w:val="en-US" w:eastAsia="zh-CN"/>
        </w:rPr>
        <w:t>乐平</w:t>
      </w:r>
      <w:r>
        <w:rPr>
          <w:rFonts w:hint="eastAsia" w:ascii="仿宋_GB2312" w:hAnsi="宋体" w:eastAsia="仿宋_GB2312"/>
          <w:sz w:val="32"/>
          <w:szCs w:val="32"/>
        </w:rPr>
        <w:t>市烟草专卖局</w:t>
      </w:r>
      <w:r>
        <w:rPr>
          <w:rFonts w:ascii="仿宋_GB2312" w:hAnsi="宋体" w:eastAsia="仿宋_GB2312"/>
          <w:sz w:val="32"/>
          <w:szCs w:val="32"/>
        </w:rPr>
        <w:t>可对</w:t>
      </w:r>
      <w:r>
        <w:rPr>
          <w:rFonts w:hint="eastAsia" w:ascii="仿宋_GB2312" w:hAnsi="宋体" w:eastAsia="仿宋_GB2312"/>
          <w:sz w:val="32"/>
          <w:szCs w:val="32"/>
          <w:lang w:val="en-US" w:eastAsia="zh-CN"/>
        </w:rPr>
        <w:t>本</w:t>
      </w:r>
      <w:r>
        <w:rPr>
          <w:rFonts w:ascii="仿宋_GB2312" w:hAnsi="宋体" w:eastAsia="仿宋_GB2312"/>
          <w:sz w:val="32"/>
          <w:szCs w:val="32"/>
        </w:rPr>
        <w:t>区域零售点布局数量进行调整，并公告实施。</w:t>
      </w:r>
    </w:p>
    <w:p>
      <w:pPr>
        <w:spacing w:line="580" w:lineRule="exact"/>
        <w:ind w:firstLine="630"/>
        <w:jc w:val="left"/>
        <w:rPr>
          <w:rFonts w:ascii="仿宋" w:hAnsi="仿宋" w:eastAsia="仿宋"/>
          <w:sz w:val="32"/>
          <w:szCs w:val="36"/>
        </w:rPr>
      </w:pPr>
    </w:p>
    <w:p>
      <w:pPr>
        <w:spacing w:line="580" w:lineRule="exact"/>
        <w:jc w:val="center"/>
        <w:rPr>
          <w:rFonts w:eastAsia="黑体"/>
          <w:sz w:val="32"/>
          <w:szCs w:val="32"/>
        </w:rPr>
      </w:pPr>
      <w:r>
        <w:rPr>
          <w:rFonts w:eastAsia="黑体"/>
          <w:sz w:val="32"/>
          <w:szCs w:val="32"/>
        </w:rPr>
        <w:t>第二章 基本原则</w:t>
      </w:r>
    </w:p>
    <w:p>
      <w:pPr>
        <w:spacing w:line="580" w:lineRule="exact"/>
        <w:ind w:firstLine="643" w:firstLineChars="200"/>
        <w:rPr>
          <w:rFonts w:eastAsia="仿宋_GB2312"/>
          <w:sz w:val="32"/>
          <w:szCs w:val="32"/>
        </w:rPr>
      </w:pPr>
      <w:r>
        <w:rPr>
          <w:rFonts w:ascii="黑体" w:hAnsi="黑体" w:eastAsia="黑体"/>
          <w:b/>
          <w:sz w:val="32"/>
          <w:szCs w:val="32"/>
        </w:rPr>
        <w:t>第</w:t>
      </w:r>
      <w:r>
        <w:rPr>
          <w:rFonts w:hint="eastAsia" w:ascii="黑体" w:hAnsi="黑体" w:eastAsia="黑体"/>
          <w:b/>
          <w:sz w:val="32"/>
          <w:szCs w:val="32"/>
        </w:rPr>
        <w:t>十</w:t>
      </w:r>
      <w:r>
        <w:rPr>
          <w:rFonts w:ascii="黑体" w:hAnsi="黑体" w:eastAsia="黑体"/>
          <w:b/>
          <w:sz w:val="32"/>
          <w:szCs w:val="32"/>
        </w:rPr>
        <w:t>条</w:t>
      </w:r>
      <w:r>
        <w:rPr>
          <w:rFonts w:hint="eastAsia" w:ascii="黑体" w:hAnsi="黑体" w:eastAsia="黑体"/>
          <w:b/>
          <w:sz w:val="32"/>
          <w:szCs w:val="32"/>
        </w:rPr>
        <w:t xml:space="preserve"> </w:t>
      </w:r>
      <w:r>
        <w:rPr>
          <w:rFonts w:eastAsia="仿宋_GB2312"/>
          <w:sz w:val="32"/>
          <w:szCs w:val="32"/>
        </w:rPr>
        <w:t>零售点合理布局遵循以下基本原则：</w:t>
      </w:r>
    </w:p>
    <w:p>
      <w:pPr>
        <w:spacing w:line="580" w:lineRule="exact"/>
        <w:ind w:firstLine="480" w:firstLineChars="150"/>
        <w:rPr>
          <w:rFonts w:eastAsia="仿宋_GB2312"/>
          <w:sz w:val="32"/>
          <w:szCs w:val="32"/>
        </w:rPr>
      </w:pPr>
      <w:r>
        <w:rPr>
          <w:rFonts w:eastAsia="仿宋_GB2312"/>
          <w:sz w:val="32"/>
          <w:szCs w:val="32"/>
        </w:rPr>
        <w:t>（一）公开、</w:t>
      </w:r>
      <w:r>
        <w:rPr>
          <w:rFonts w:hint="eastAsia" w:eastAsia="仿宋_GB2312"/>
          <w:sz w:val="32"/>
          <w:szCs w:val="32"/>
        </w:rPr>
        <w:t>公平、公正</w:t>
      </w:r>
      <w:r>
        <w:rPr>
          <w:rFonts w:eastAsia="仿宋_GB2312"/>
          <w:sz w:val="32"/>
          <w:szCs w:val="32"/>
        </w:rPr>
        <w:t>原则</w:t>
      </w:r>
    </w:p>
    <w:p>
      <w:pPr>
        <w:spacing w:line="580" w:lineRule="exact"/>
        <w:rPr>
          <w:rFonts w:eastAsia="仿宋_GB2312"/>
          <w:sz w:val="32"/>
          <w:szCs w:val="32"/>
        </w:rPr>
      </w:pPr>
      <w:r>
        <w:rPr>
          <w:rFonts w:eastAsia="仿宋_GB2312"/>
          <w:sz w:val="32"/>
          <w:szCs w:val="32"/>
        </w:rPr>
        <w:t>　　</w:t>
      </w:r>
      <w:r>
        <w:rPr>
          <w:rFonts w:hint="eastAsia" w:eastAsia="仿宋_GB2312"/>
          <w:sz w:val="32"/>
          <w:szCs w:val="32"/>
        </w:rPr>
        <w:t>烟草制品</w:t>
      </w:r>
      <w:r>
        <w:rPr>
          <w:rFonts w:eastAsia="仿宋_GB2312"/>
          <w:sz w:val="32"/>
          <w:szCs w:val="32"/>
        </w:rPr>
        <w:t>零售点合理布局规定</w:t>
      </w:r>
      <w:r>
        <w:rPr>
          <w:rFonts w:hint="eastAsia" w:eastAsia="仿宋_GB2312"/>
          <w:sz w:val="32"/>
          <w:szCs w:val="32"/>
        </w:rPr>
        <w:t>、</w:t>
      </w:r>
      <w:r>
        <w:rPr>
          <w:rFonts w:eastAsia="仿宋_GB2312"/>
          <w:sz w:val="32"/>
          <w:szCs w:val="32"/>
        </w:rPr>
        <w:t>烟草专卖零售许可证申办程序向社会公布，</w:t>
      </w:r>
      <w:r>
        <w:rPr>
          <w:rFonts w:hint="eastAsia" w:eastAsia="仿宋_GB2312"/>
          <w:sz w:val="32"/>
          <w:szCs w:val="32"/>
        </w:rPr>
        <w:t>其执行情况</w:t>
      </w:r>
      <w:r>
        <w:rPr>
          <w:rFonts w:eastAsia="仿宋_GB2312"/>
          <w:sz w:val="32"/>
          <w:szCs w:val="32"/>
        </w:rPr>
        <w:t>接受社会的监督；符合法定条件、标准的申请人有依法取得烟草专卖零售许可证的平等权利。</w:t>
      </w:r>
    </w:p>
    <w:p>
      <w:pPr>
        <w:spacing w:line="580" w:lineRule="exact"/>
        <w:ind w:firstLine="480" w:firstLineChars="150"/>
        <w:rPr>
          <w:rFonts w:eastAsia="仿宋_GB2312"/>
          <w:sz w:val="32"/>
          <w:szCs w:val="32"/>
        </w:rPr>
      </w:pPr>
      <w:r>
        <w:rPr>
          <w:rFonts w:eastAsia="仿宋_GB2312"/>
          <w:sz w:val="32"/>
          <w:szCs w:val="32"/>
        </w:rPr>
        <w:t>（二）便民原则</w:t>
      </w:r>
    </w:p>
    <w:p>
      <w:pPr>
        <w:spacing w:line="580" w:lineRule="exact"/>
        <w:ind w:firstLine="615"/>
        <w:rPr>
          <w:rFonts w:ascii="仿宋_GB2312" w:hAnsi="宋体" w:eastAsia="仿宋_GB2312"/>
          <w:sz w:val="32"/>
          <w:szCs w:val="32"/>
        </w:rPr>
      </w:pPr>
      <w:r>
        <w:rPr>
          <w:rFonts w:hint="eastAsia" w:ascii="仿宋_GB2312" w:hAnsi="宋体" w:eastAsia="仿宋_GB2312"/>
          <w:sz w:val="32"/>
          <w:szCs w:val="32"/>
        </w:rPr>
        <w:t>制定卷烟零售点合理布局标准，充分考虑到地区经济发展水平，交通状况、人口数量、消费能力，卷烟社会需求等方面，既方便消费者购买，又限制卷烟零售户之间不当竞争，保证卷烟消费需求。</w:t>
      </w:r>
    </w:p>
    <w:p>
      <w:pPr>
        <w:widowControl/>
        <w:snapToGrid w:val="0"/>
        <w:spacing w:line="580" w:lineRule="exact"/>
        <w:ind w:firstLine="640" w:firstLineChars="200"/>
        <w:jc w:val="left"/>
        <w:rPr>
          <w:rFonts w:eastAsia="仿宋_GB2312"/>
          <w:sz w:val="32"/>
          <w:szCs w:val="32"/>
        </w:rPr>
      </w:pPr>
      <w:r>
        <w:rPr>
          <w:rFonts w:eastAsia="仿宋_GB2312"/>
          <w:sz w:val="32"/>
          <w:szCs w:val="32"/>
        </w:rPr>
        <w:t>（三）受理在先原则</w:t>
      </w:r>
    </w:p>
    <w:p>
      <w:pPr>
        <w:spacing w:line="580" w:lineRule="exact"/>
        <w:ind w:firstLine="480" w:firstLineChars="150"/>
        <w:rPr>
          <w:rFonts w:ascii="仿宋_GB2312" w:hAnsi="宋体" w:eastAsia="仿宋_GB2312"/>
          <w:sz w:val="32"/>
          <w:szCs w:val="32"/>
        </w:rPr>
      </w:pPr>
      <w:r>
        <w:rPr>
          <w:rFonts w:hint="eastAsia" w:ascii="仿宋_GB2312" w:hAnsi="宋体" w:eastAsia="仿宋_GB2312" w:cs="宋体"/>
          <w:kern w:val="0"/>
          <w:sz w:val="32"/>
          <w:szCs w:val="32"/>
        </w:rPr>
        <w:t>对符合法定条件的申请人，</w:t>
      </w:r>
      <w:r>
        <w:rPr>
          <w:rFonts w:hint="eastAsia" w:ascii="仿宋_GB2312" w:eastAsia="仿宋_GB2312"/>
          <w:sz w:val="32"/>
          <w:szCs w:val="32"/>
        </w:rPr>
        <w:t>在有多人申请的情况下，要严格按照合理化布局标准的规定，</w:t>
      </w:r>
      <w:r>
        <w:rPr>
          <w:rFonts w:hint="eastAsia" w:ascii="仿宋_GB2312" w:hAnsi="宋体" w:eastAsia="仿宋_GB2312" w:cs="宋体"/>
          <w:kern w:val="0"/>
          <w:sz w:val="32"/>
          <w:szCs w:val="32"/>
        </w:rPr>
        <w:t>根据受理时间的先后顺序审核发放烟草专卖零售许可证。</w:t>
      </w:r>
    </w:p>
    <w:p>
      <w:pPr>
        <w:spacing w:line="580" w:lineRule="exact"/>
        <w:ind w:firstLine="480" w:firstLineChars="150"/>
        <w:rPr>
          <w:rFonts w:eastAsia="仿宋_GB2312"/>
          <w:sz w:val="32"/>
          <w:szCs w:val="32"/>
        </w:rPr>
      </w:pPr>
      <w:r>
        <w:rPr>
          <w:rFonts w:eastAsia="仿宋_GB2312"/>
          <w:sz w:val="32"/>
          <w:szCs w:val="32"/>
        </w:rPr>
        <w:t>（四）</w:t>
      </w:r>
      <w:r>
        <w:rPr>
          <w:rFonts w:hint="eastAsia" w:eastAsia="仿宋_GB2312"/>
          <w:sz w:val="32"/>
          <w:szCs w:val="32"/>
        </w:rPr>
        <w:t>适当</w:t>
      </w:r>
      <w:r>
        <w:rPr>
          <w:rFonts w:eastAsia="仿宋_GB2312"/>
          <w:sz w:val="32"/>
          <w:szCs w:val="32"/>
        </w:rPr>
        <w:t>照顾弱势群体原则</w:t>
      </w:r>
    </w:p>
    <w:p>
      <w:pPr>
        <w:widowControl/>
        <w:snapToGrid w:val="0"/>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sz w:val="32"/>
          <w:szCs w:val="32"/>
        </w:rPr>
        <w:t>对具有完全民事行为能力的残疾人、军烈属、低保户等社会弱势群体，申办烟草专卖零售许可证时，经核查确为本人经营，且为唯一店面的，在同等条件下，可予以优先受理。</w:t>
      </w:r>
    </w:p>
    <w:p>
      <w:pPr>
        <w:autoSpaceDE w:val="0"/>
        <w:autoSpaceDN w:val="0"/>
        <w:adjustRightInd w:val="0"/>
        <w:spacing w:line="580" w:lineRule="exact"/>
        <w:ind w:firstLine="66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）集体讨论原</w:t>
      </w:r>
      <w:r>
        <w:rPr>
          <w:rFonts w:hint="eastAsia" w:eastAsia="仿宋_GB2312"/>
          <w:sz w:val="32"/>
          <w:szCs w:val="32"/>
        </w:rPr>
        <w:t>则</w:t>
      </w:r>
    </w:p>
    <w:p>
      <w:pPr>
        <w:autoSpaceDE w:val="0"/>
        <w:autoSpaceDN w:val="0"/>
        <w:adjustRightInd w:val="0"/>
        <w:spacing w:line="580" w:lineRule="exact"/>
        <w:ind w:firstLine="660"/>
        <w:rPr>
          <w:rFonts w:eastAsia="仿宋_GB2312"/>
          <w:sz w:val="32"/>
          <w:szCs w:val="32"/>
        </w:rPr>
      </w:pPr>
      <w:r>
        <w:rPr>
          <w:rFonts w:hint="eastAsia" w:eastAsia="仿宋_GB2312"/>
          <w:sz w:val="32"/>
          <w:szCs w:val="32"/>
        </w:rPr>
        <w:t>为确保本规定的广泛适用性，对于因不可预测因素造成的特殊情况（如政府统一规划、建制改革等），且本规定无法及时修订时，为确保申请人的合法权益，对于出现的特殊情况在征求利害关系人的意见后，经烟草专卖行政管理部门集体讨论研究决定，讨论及决定过程的会议记录，由</w:t>
      </w:r>
      <w:r>
        <w:rPr>
          <w:rFonts w:hint="eastAsia" w:eastAsia="仿宋_GB2312"/>
          <w:sz w:val="32"/>
          <w:szCs w:val="32"/>
          <w:lang w:val="en-US" w:eastAsia="zh-CN"/>
        </w:rPr>
        <w:t>乐平</w:t>
      </w:r>
      <w:r>
        <w:rPr>
          <w:rFonts w:hint="eastAsia" w:eastAsia="仿宋_GB2312"/>
          <w:sz w:val="32"/>
          <w:szCs w:val="32"/>
        </w:rPr>
        <w:t>市烟草专卖局存档备查，并对外公开依申请查询。</w:t>
      </w:r>
    </w:p>
    <w:p>
      <w:pPr>
        <w:autoSpaceDE w:val="0"/>
        <w:autoSpaceDN w:val="0"/>
        <w:adjustRightInd w:val="0"/>
        <w:spacing w:line="580" w:lineRule="exact"/>
        <w:ind w:firstLine="660"/>
        <w:rPr>
          <w:rFonts w:eastAsia="仿宋_GB2312"/>
          <w:sz w:val="32"/>
          <w:szCs w:val="32"/>
        </w:rPr>
      </w:pPr>
      <w:r>
        <w:rPr>
          <w:rFonts w:hint="eastAsia" w:eastAsia="仿宋_GB2312"/>
          <w:sz w:val="32"/>
          <w:szCs w:val="32"/>
        </w:rPr>
        <w:t>（六）适宜经营卷烟原则</w:t>
      </w:r>
    </w:p>
    <w:p>
      <w:pPr>
        <w:spacing w:line="580" w:lineRule="exact"/>
        <w:jc w:val="center"/>
        <w:rPr>
          <w:rFonts w:eastAsia="仿宋_GB2312"/>
          <w:sz w:val="32"/>
          <w:szCs w:val="32"/>
        </w:rPr>
      </w:pPr>
      <w:r>
        <w:rPr>
          <w:rFonts w:hint="eastAsia" w:eastAsia="仿宋_GB2312"/>
          <w:sz w:val="32"/>
          <w:szCs w:val="32"/>
        </w:rPr>
        <w:t xml:space="preserve">    一般情况下，申请人经营的店面性质、商品类别应当与从事烟草专卖零售业务相关联，经营范围以日用百货、烟酒糖茶为主，零售业态原则上应在国家烟草专卖局《烟草零售业态分类标准》</w:t>
      </w:r>
      <w:r>
        <w:rPr>
          <w:rFonts w:hint="eastAsia" w:ascii="仿宋_GB2312" w:eastAsia="仿宋_GB2312"/>
          <w:sz w:val="32"/>
          <w:szCs w:val="32"/>
        </w:rPr>
        <w:t>(</w:t>
      </w:r>
      <w:r>
        <w:rPr>
          <w:rFonts w:hint="eastAsia" w:eastAsia="仿宋_GB2312"/>
          <w:sz w:val="32"/>
          <w:szCs w:val="32"/>
        </w:rPr>
        <w:t>国烟法〔2005</w:t>
      </w:r>
      <w:r>
        <w:rPr>
          <w:rFonts w:eastAsia="仿宋_GB2312"/>
          <w:sz w:val="32"/>
          <w:szCs w:val="32"/>
        </w:rPr>
        <w:t>〕</w:t>
      </w:r>
      <w:r>
        <w:rPr>
          <w:rFonts w:hint="eastAsia" w:eastAsia="仿宋_GB2312"/>
          <w:sz w:val="32"/>
          <w:szCs w:val="32"/>
        </w:rPr>
        <w:t>845号</w:t>
      </w:r>
      <w:r>
        <w:rPr>
          <w:rFonts w:hint="eastAsia" w:ascii="仿宋_GB2312" w:eastAsia="仿宋_GB2312"/>
          <w:sz w:val="32"/>
          <w:szCs w:val="32"/>
        </w:rPr>
        <w:t>)</w:t>
      </w:r>
      <w:r>
        <w:rPr>
          <w:rFonts w:hint="eastAsia" w:eastAsia="仿宋_GB2312"/>
          <w:sz w:val="32"/>
          <w:szCs w:val="32"/>
        </w:rPr>
        <w:t>中明确的</w:t>
      </w:r>
      <w:r>
        <w:rPr>
          <w:rFonts w:hint="eastAsia" w:ascii="仿宋_GB2312" w:eastAsia="仿宋_GB2312"/>
          <w:sz w:val="32"/>
          <w:szCs w:val="32"/>
        </w:rPr>
        <w:t>类别之内</w:t>
      </w:r>
      <w:r>
        <w:rPr>
          <w:rFonts w:hint="eastAsia" w:eastAsia="仿宋_GB2312"/>
          <w:sz w:val="32"/>
          <w:szCs w:val="32"/>
        </w:rPr>
        <w:t>。</w:t>
      </w:r>
    </w:p>
    <w:p>
      <w:pPr>
        <w:spacing w:line="580" w:lineRule="exact"/>
        <w:jc w:val="center"/>
        <w:rPr>
          <w:rFonts w:ascii="仿宋" w:hAnsi="仿宋" w:eastAsia="仿宋"/>
          <w:sz w:val="32"/>
          <w:szCs w:val="36"/>
        </w:rPr>
      </w:pPr>
    </w:p>
    <w:p>
      <w:pPr>
        <w:spacing w:line="580" w:lineRule="exact"/>
        <w:jc w:val="center"/>
        <w:rPr>
          <w:rFonts w:ascii="仿宋" w:hAnsi="仿宋" w:eastAsia="仿宋"/>
          <w:sz w:val="32"/>
          <w:szCs w:val="36"/>
        </w:rPr>
      </w:pPr>
      <w:r>
        <w:rPr>
          <w:rFonts w:eastAsia="黑体"/>
          <w:sz w:val="32"/>
          <w:szCs w:val="32"/>
        </w:rPr>
        <w:t>第三章 合理布局</w:t>
      </w:r>
      <w:r>
        <w:rPr>
          <w:rFonts w:hint="eastAsia" w:eastAsia="黑体"/>
          <w:sz w:val="32"/>
          <w:szCs w:val="32"/>
        </w:rPr>
        <w:t>规划</w:t>
      </w:r>
      <w:r>
        <w:rPr>
          <w:rFonts w:eastAsia="黑体"/>
          <w:sz w:val="32"/>
          <w:szCs w:val="32"/>
        </w:rPr>
        <w:t>标准</w:t>
      </w:r>
    </w:p>
    <w:p>
      <w:pPr>
        <w:ind w:firstLine="640" w:firstLineChars="200"/>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一</w:t>
      </w:r>
      <w:r>
        <w:rPr>
          <w:rFonts w:hint="eastAsia" w:ascii="黑体" w:hAnsi="黑体" w:eastAsia="黑体"/>
          <w:sz w:val="32"/>
          <w:szCs w:val="32"/>
        </w:rPr>
        <w:t xml:space="preserve">条 </w:t>
      </w:r>
      <w:r>
        <w:rPr>
          <w:rFonts w:hint="eastAsia" w:ascii="仿宋_GB2312" w:eastAsia="仿宋_GB2312"/>
          <w:sz w:val="32"/>
          <w:szCs w:val="32"/>
        </w:rPr>
        <w:t>依据</w:t>
      </w:r>
      <w:r>
        <w:rPr>
          <w:rFonts w:hint="eastAsia" w:ascii="仿宋_GB2312" w:eastAsia="仿宋_GB2312"/>
          <w:sz w:val="32"/>
          <w:szCs w:val="32"/>
          <w:lang w:val="en-US" w:eastAsia="zh-CN"/>
        </w:rPr>
        <w:t>乐平</w:t>
      </w:r>
      <w:r>
        <w:rPr>
          <w:rFonts w:hint="eastAsia" w:ascii="仿宋_GB2312" w:eastAsia="仿宋_GB2312"/>
          <w:sz w:val="32"/>
          <w:szCs w:val="32"/>
        </w:rPr>
        <w:t>市城镇居民居住区域特点，结合城乡建设规划、市场类型等因素，将烟草制品零售市场划分为城区；乡(镇)所在地(含墟场</w:t>
      </w:r>
      <w:r>
        <w:rPr>
          <w:rFonts w:ascii="仿宋_GB2312" w:eastAsia="仿宋_GB2312"/>
          <w:sz w:val="32"/>
          <w:szCs w:val="32"/>
        </w:rPr>
        <w:t>&lt;</w:t>
      </w:r>
      <w:r>
        <w:rPr>
          <w:rFonts w:hint="eastAsia" w:ascii="仿宋_GB2312" w:eastAsia="仿宋_GB2312"/>
          <w:sz w:val="32"/>
          <w:szCs w:val="32"/>
        </w:rPr>
        <w:t>集镇、市集等</w:t>
      </w:r>
      <w:r>
        <w:rPr>
          <w:rFonts w:ascii="仿宋_GB2312" w:eastAsia="仿宋_GB2312"/>
          <w:sz w:val="32"/>
          <w:szCs w:val="32"/>
        </w:rPr>
        <w:t>&gt;</w:t>
      </w:r>
      <w:r>
        <w:rPr>
          <w:rFonts w:hint="eastAsia" w:ascii="仿宋_GB2312" w:eastAsia="仿宋_GB2312"/>
          <w:sz w:val="32"/>
          <w:szCs w:val="32"/>
        </w:rPr>
        <w:t>所在地建制村)、建制村(含自然村)三种区域类型。</w:t>
      </w:r>
    </w:p>
    <w:p>
      <w:pPr>
        <w:ind w:firstLine="640" w:firstLineChars="200"/>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二</w:t>
      </w:r>
      <w:r>
        <w:rPr>
          <w:rFonts w:hint="eastAsia" w:ascii="黑体" w:hAnsi="黑体" w:eastAsia="黑体"/>
          <w:sz w:val="32"/>
          <w:szCs w:val="32"/>
        </w:rPr>
        <w:t xml:space="preserve">条 </w:t>
      </w:r>
      <w:r>
        <w:rPr>
          <w:rFonts w:hint="eastAsia" w:ascii="仿宋_GB2312" w:eastAsia="仿宋_GB2312"/>
          <w:sz w:val="32"/>
          <w:szCs w:val="32"/>
          <w:lang w:val="en-US" w:eastAsia="zh-CN"/>
        </w:rPr>
        <w:t>根据我市区域类型内的人口、经济发展水平、交通状况和消费能力等因素，遵循合理配置、先后有序、便于消费的原则，做到布局合理</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（一）城</w:t>
      </w:r>
      <w:r>
        <w:rPr>
          <w:rFonts w:hint="eastAsia" w:ascii="仿宋_GB2312" w:eastAsia="仿宋_GB2312"/>
          <w:sz w:val="32"/>
          <w:szCs w:val="32"/>
          <w:lang w:val="en-US" w:eastAsia="zh-CN"/>
        </w:rPr>
        <w:t>区内</w:t>
      </w:r>
      <w:r>
        <w:rPr>
          <w:rFonts w:hint="eastAsia" w:ascii="仿宋_GB2312" w:eastAsia="仿宋_GB2312"/>
          <w:sz w:val="32"/>
          <w:szCs w:val="32"/>
        </w:rPr>
        <w:t>交通道路周边零售点之间距离不少于20米（含）。</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以集中交易商品为主的各类综合商品批发市场、专业市场和集贸市场，按照固定摊位户数设置零售点。100户以下的不超过3个；100户（含）以上200户以下的不超过6个；200户以上每增加100户增设1个，但总数控制在14户以内，且不得集中经营，即各零售点之间距离须相隔3个（含）以上的门铺或间距10米（含）以上。</w:t>
      </w:r>
    </w:p>
    <w:p>
      <w:pPr>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）城乡开发商住居民小区的规划。按200户(套)内规划1个烟草制品零售点，每增加150户增设1户零售点，零售点之间须相隔</w:t>
      </w:r>
      <w:r>
        <w:rPr>
          <w:rFonts w:ascii="仿宋_GB2312" w:eastAsia="仿宋_GB2312"/>
          <w:sz w:val="32"/>
          <w:szCs w:val="32"/>
        </w:rPr>
        <w:t>3</w:t>
      </w:r>
      <w:r>
        <w:rPr>
          <w:rFonts w:hint="eastAsia" w:ascii="仿宋_GB2312" w:eastAsia="仿宋_GB2312"/>
          <w:sz w:val="32"/>
          <w:szCs w:val="32"/>
        </w:rPr>
        <w:t>个（含）以上的门铺或间距</w:t>
      </w:r>
      <w:r>
        <w:rPr>
          <w:rFonts w:ascii="仿宋_GB2312" w:eastAsia="仿宋_GB2312"/>
          <w:sz w:val="32"/>
          <w:szCs w:val="32"/>
        </w:rPr>
        <w:t>10</w:t>
      </w:r>
      <w:r>
        <w:rPr>
          <w:rFonts w:hint="eastAsia" w:ascii="仿宋_GB2312" w:eastAsia="仿宋_GB2312"/>
          <w:sz w:val="32"/>
          <w:szCs w:val="32"/>
        </w:rPr>
        <w:t>米（含）以上。</w:t>
      </w:r>
    </w:p>
    <w:p>
      <w:pPr>
        <w:ind w:firstLine="640" w:firstLineChars="200"/>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）乡(镇)所在地(含墟场&lt;集镇、市集等&gt;所在地建制村)</w:t>
      </w:r>
      <w:r>
        <w:rPr>
          <w:rFonts w:hint="eastAsia" w:ascii="仿宋_GB2312" w:eastAsia="仿宋_GB2312"/>
          <w:sz w:val="32"/>
          <w:szCs w:val="32"/>
          <w:lang w:val="en-US" w:eastAsia="zh-CN"/>
        </w:rPr>
        <w:t>零售点之间间距不少于10米</w:t>
      </w:r>
      <w:r>
        <w:rPr>
          <w:rFonts w:hint="eastAsia" w:ascii="仿宋_GB2312" w:eastAsia="仿宋_GB2312"/>
          <w:sz w:val="32"/>
          <w:szCs w:val="32"/>
        </w:rPr>
        <w:t>（含）。</w:t>
      </w:r>
    </w:p>
    <w:p>
      <w:pPr>
        <w:ind w:firstLine="640" w:firstLineChars="200"/>
        <w:rPr>
          <w:rFonts w:ascii="仿宋_GB2312" w:eastAsia="仿宋_GB2312"/>
          <w:b/>
          <w:bCs/>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rPr>
        <w:t>墟场所在地以外的建制村可设置1个零售点。零售点之间间距</w:t>
      </w:r>
      <w:r>
        <w:rPr>
          <w:rFonts w:hint="eastAsia" w:ascii="仿宋_GB2312" w:eastAsia="仿宋_GB2312"/>
          <w:sz w:val="32"/>
          <w:szCs w:val="32"/>
          <w:lang w:val="en-US" w:eastAsia="zh-CN"/>
        </w:rPr>
        <w:t>不少于</w:t>
      </w:r>
      <w:r>
        <w:rPr>
          <w:rFonts w:hint="eastAsia" w:ascii="仿宋_GB2312" w:eastAsia="仿宋_GB2312"/>
          <w:sz w:val="32"/>
          <w:szCs w:val="32"/>
        </w:rPr>
        <w:t>10米（含）。人口较多(100户以上)或交通要道旁的建制村(含自然村)，可依据方便消费的原则和实际销量情况，适当增设。</w:t>
      </w:r>
    </w:p>
    <w:p>
      <w:pPr>
        <w:ind w:firstLine="640"/>
        <w:jc w:val="left"/>
        <w:rPr>
          <w:rFonts w:hint="eastAsia"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三</w:t>
      </w:r>
      <w:r>
        <w:rPr>
          <w:rFonts w:hint="eastAsia" w:ascii="黑体" w:hAnsi="黑体" w:eastAsia="黑体"/>
          <w:sz w:val="32"/>
          <w:szCs w:val="32"/>
        </w:rPr>
        <w:t xml:space="preserve">条 </w:t>
      </w:r>
      <w:r>
        <w:rPr>
          <w:rFonts w:hint="eastAsia" w:ascii="仿宋_GB2312" w:eastAsia="仿宋_GB2312"/>
          <w:sz w:val="32"/>
          <w:szCs w:val="32"/>
        </w:rPr>
        <w:t>属于下列情形之一，具有一定零售消费需求，内部设立有固定的专柜</w:t>
      </w:r>
      <w:r>
        <w:rPr>
          <w:rFonts w:hint="eastAsia" w:ascii="仿宋_GB2312" w:eastAsia="仿宋_GB2312"/>
          <w:sz w:val="32"/>
          <w:szCs w:val="32"/>
          <w:lang w:eastAsia="zh-CN"/>
        </w:rPr>
        <w:t>、</w:t>
      </w:r>
      <w:r>
        <w:rPr>
          <w:rFonts w:hint="eastAsia" w:ascii="仿宋_GB2312" w:eastAsia="仿宋_GB2312"/>
          <w:sz w:val="32"/>
          <w:szCs w:val="32"/>
          <w:lang w:val="en-US" w:eastAsia="zh-CN"/>
        </w:rPr>
        <w:t>背柜</w:t>
      </w:r>
      <w:r>
        <w:rPr>
          <w:rFonts w:hint="eastAsia" w:ascii="仿宋_GB2312" w:eastAsia="仿宋_GB2312"/>
          <w:sz w:val="32"/>
          <w:szCs w:val="32"/>
        </w:rPr>
        <w:t>销售、专人负责、一证一点、亮证经营、明码标价，便于烟草专卖局日常监督管理和营销服务的，可不受零售点间距要求的限制：</w:t>
      </w:r>
    </w:p>
    <w:p>
      <w:pPr>
        <w:ind w:firstLine="640" w:firstLineChars="200"/>
        <w:rPr>
          <w:rFonts w:ascii="仿宋_GB2312" w:eastAsia="仿宋_GB2312"/>
          <w:sz w:val="32"/>
          <w:szCs w:val="32"/>
        </w:rPr>
      </w:pPr>
      <w:r>
        <w:rPr>
          <w:rFonts w:hint="eastAsia" w:ascii="仿宋_GB2312" w:eastAsia="仿宋_GB2312"/>
          <w:sz w:val="32"/>
          <w:szCs w:val="32"/>
        </w:rPr>
        <w:t>（一）营业面积在</w:t>
      </w:r>
      <w:r>
        <w:rPr>
          <w:rFonts w:hint="eastAsia" w:ascii="仿宋_GB2312" w:eastAsia="仿宋_GB2312"/>
          <w:sz w:val="32"/>
          <w:szCs w:val="32"/>
          <w:lang w:val="en-US" w:eastAsia="zh-CN"/>
        </w:rPr>
        <w:t>20</w:t>
      </w:r>
      <w:r>
        <w:rPr>
          <w:rFonts w:hint="eastAsia" w:ascii="仿宋_GB2312" w:eastAsia="仿宋_GB2312"/>
          <w:sz w:val="32"/>
          <w:szCs w:val="32"/>
        </w:rPr>
        <w:t>00平方米以上的酒店、宾馆、KTV</w:t>
      </w:r>
      <w:r>
        <w:rPr>
          <w:rFonts w:hint="eastAsia" w:ascii="仿宋_GB2312" w:eastAsia="仿宋_GB2312"/>
          <w:sz w:val="32"/>
          <w:szCs w:val="32"/>
          <w:lang w:eastAsia="zh-CN"/>
        </w:rPr>
        <w:t>、</w:t>
      </w:r>
      <w:r>
        <w:rPr>
          <w:rFonts w:hint="eastAsia" w:ascii="仿宋_GB2312" w:eastAsia="仿宋_GB2312"/>
          <w:sz w:val="32"/>
          <w:szCs w:val="32"/>
          <w:lang w:val="en-US" w:eastAsia="zh-CN"/>
        </w:rPr>
        <w:t>茶座、网吧</w:t>
      </w:r>
      <w:r>
        <w:rPr>
          <w:rFonts w:hint="eastAsia" w:ascii="仿宋_GB2312" w:eastAsia="仿宋_GB2312"/>
          <w:sz w:val="32"/>
          <w:szCs w:val="32"/>
        </w:rPr>
        <w:t>等消费性场所；营业面积在</w:t>
      </w:r>
      <w:r>
        <w:rPr>
          <w:rFonts w:ascii="仿宋_GB2312" w:eastAsia="仿宋_GB2312"/>
          <w:sz w:val="32"/>
          <w:szCs w:val="32"/>
        </w:rPr>
        <w:t>2</w:t>
      </w:r>
      <w:r>
        <w:rPr>
          <w:rFonts w:hint="eastAsia" w:ascii="仿宋_GB2312" w:eastAsia="仿宋_GB2312"/>
          <w:sz w:val="32"/>
          <w:szCs w:val="32"/>
        </w:rPr>
        <w:t>00平方米以上的食品商场、超市、便利店，且具备网上订货、扫码销售条件的。</w:t>
      </w:r>
    </w:p>
    <w:p>
      <w:pPr>
        <w:ind w:firstLine="640" w:firstLineChars="200"/>
        <w:rPr>
          <w:rFonts w:eastAsia="仿宋_GB2312"/>
          <w:sz w:val="32"/>
          <w:szCs w:val="32"/>
        </w:rPr>
      </w:pPr>
      <w:r>
        <w:rPr>
          <w:rFonts w:hint="eastAsia" w:ascii="仿宋_GB2312" w:eastAsia="仿宋_GB2312"/>
          <w:sz w:val="32"/>
          <w:szCs w:val="32"/>
        </w:rPr>
        <w:t>（二）有</w:t>
      </w:r>
      <w:r>
        <w:rPr>
          <w:rFonts w:hint="eastAsia" w:eastAsia="仿宋_GB2312"/>
          <w:sz w:val="32"/>
          <w:szCs w:val="32"/>
        </w:rPr>
        <w:t>合法资质、管理正规的建筑工地内根据施工人员数量和消费需求设置零售点，施工期限在一年以上、施工人员数量在200人以上，能够有效保障烟草执法人员后续监督检查工作安全的，可设置1个零售点。施工期结束后，应当及时办理歇业、注销手续。</w:t>
      </w:r>
    </w:p>
    <w:p>
      <w:pPr>
        <w:ind w:firstLine="640" w:firstLineChars="200"/>
        <w:rPr>
          <w:rFonts w:eastAsia="仿宋_GB2312"/>
          <w:sz w:val="32"/>
          <w:szCs w:val="32"/>
        </w:rPr>
      </w:pPr>
      <w:r>
        <w:rPr>
          <w:rFonts w:hint="eastAsia" w:eastAsia="仿宋_GB2312"/>
          <w:sz w:val="32"/>
          <w:szCs w:val="32"/>
        </w:rPr>
        <w:t>资质合法的封闭式建筑工地建筑工期长短、建筑施工人员数量等以规划设计部门和承建部门提供的相关数据为准。</w:t>
      </w:r>
    </w:p>
    <w:p>
      <w:pPr>
        <w:ind w:firstLine="640" w:firstLineChars="200"/>
        <w:rPr>
          <w:rFonts w:ascii="仿宋_GB2312" w:eastAsia="仿宋_GB2312"/>
          <w:sz w:val="32"/>
          <w:szCs w:val="32"/>
        </w:rPr>
      </w:pPr>
      <w:r>
        <w:rPr>
          <w:rFonts w:hint="eastAsia" w:ascii="仿宋_GB2312" w:eastAsia="仿宋_GB2312"/>
          <w:sz w:val="32"/>
          <w:szCs w:val="32"/>
        </w:rPr>
        <w:t>（三）因道路规划、城市建设等客观原因造成经营地址变化，持证人提出变更申请的经营场所。</w:t>
      </w:r>
    </w:p>
    <w:p>
      <w:pPr>
        <w:ind w:firstLine="640" w:firstLineChars="200"/>
        <w:rPr>
          <w:rFonts w:ascii="仿宋_GB2312" w:eastAsia="仿宋_GB2312"/>
          <w:sz w:val="32"/>
          <w:szCs w:val="32"/>
        </w:rPr>
      </w:pPr>
      <w:r>
        <w:rPr>
          <w:rFonts w:hint="eastAsia" w:ascii="仿宋_GB2312" w:eastAsia="仿宋_GB2312"/>
          <w:sz w:val="32"/>
          <w:szCs w:val="32"/>
        </w:rPr>
        <w:t>（四）非家庭经营的持证个体户，因原持证人死亡或丧失民事行为能持证人内部家庭成员(具有完全民事行为能力的配偶、父母或子女)需在原经营地址继续经营的，应重新申领办证。</w:t>
      </w:r>
    </w:p>
    <w:p>
      <w:pPr>
        <w:ind w:firstLine="640" w:firstLineChars="200"/>
        <w:rPr>
          <w:rFonts w:eastAsia="仿宋_GB2312"/>
          <w:sz w:val="32"/>
          <w:szCs w:val="32"/>
        </w:rPr>
      </w:pPr>
      <w:r>
        <w:rPr>
          <w:rFonts w:hint="eastAsia" w:ascii="仿宋_GB2312" w:eastAsia="仿宋_GB2312"/>
          <w:sz w:val="32"/>
          <w:szCs w:val="32"/>
        </w:rPr>
        <w:t>（五）</w:t>
      </w:r>
      <w:r>
        <w:rPr>
          <w:rFonts w:hint="eastAsia" w:ascii="仿宋" w:hAnsi="仿宋" w:eastAsia="仿宋"/>
          <w:sz w:val="32"/>
          <w:szCs w:val="32"/>
        </w:rPr>
        <w:t>火车站、汽车站、飞机场内</w:t>
      </w:r>
      <w:r>
        <w:rPr>
          <w:rFonts w:hint="eastAsia" w:eastAsia="仿宋_GB2312"/>
          <w:sz w:val="32"/>
          <w:szCs w:val="32"/>
        </w:rPr>
        <w:t>候车（机）室（厅）内设置卷烟零售点的，零售点总数不超过5个。</w:t>
      </w:r>
    </w:p>
    <w:p>
      <w:pPr>
        <w:ind w:firstLine="640" w:firstLineChars="200"/>
        <w:rPr>
          <w:rFonts w:ascii="仿宋_GB2312" w:eastAsia="仿宋_GB2312"/>
          <w:sz w:val="32"/>
          <w:szCs w:val="32"/>
        </w:rPr>
      </w:pPr>
      <w:r>
        <w:rPr>
          <w:rFonts w:hint="eastAsia" w:eastAsia="仿宋_GB2312"/>
          <w:sz w:val="32"/>
          <w:szCs w:val="32"/>
        </w:rPr>
        <w:t>（六）高速公路服务区、看守所等相对封闭以满足本区域内人群消费的区域内，可设1个零售点。</w:t>
      </w:r>
    </w:p>
    <w:p>
      <w:pPr>
        <w:ind w:firstLine="640" w:firstLineChars="200"/>
        <w:rPr>
          <w:rFonts w:ascii="仿宋_GB2312" w:eastAsia="仿宋_GB2312"/>
          <w:sz w:val="32"/>
          <w:szCs w:val="32"/>
        </w:rPr>
      </w:pPr>
      <w:r>
        <w:rPr>
          <w:rFonts w:hint="eastAsia" w:ascii="仿宋_GB2312" w:eastAsia="仿宋_GB2312"/>
          <w:sz w:val="32"/>
          <w:szCs w:val="32"/>
        </w:rPr>
        <w:t>（七）需从事烟草制品零售业务的具备安全保障措施的加油站、点内设置的便利店。</w:t>
      </w:r>
    </w:p>
    <w:p>
      <w:pPr>
        <w:adjustRightInd w:val="0"/>
        <w:snapToGrid w:val="0"/>
        <w:spacing w:line="580" w:lineRule="exact"/>
        <w:ind w:firstLine="640" w:firstLineChars="200"/>
        <w:rPr>
          <w:rFonts w:eastAsia="仿宋_GB2312"/>
          <w:sz w:val="32"/>
          <w:szCs w:val="32"/>
        </w:rPr>
      </w:pPr>
      <w:r>
        <w:rPr>
          <w:rFonts w:hint="eastAsia" w:eastAsia="仿宋_GB2312"/>
          <w:sz w:val="32"/>
          <w:szCs w:val="32"/>
        </w:rPr>
        <w:t>（八）连锁经营企业在申请烟草专卖零售许可证时，应当根据“一店一证”的原则由各个分店向所属地烟草专卖局分别提出申请。</w:t>
      </w:r>
    </w:p>
    <w:p>
      <w:pPr>
        <w:ind w:firstLine="640" w:firstLineChars="200"/>
        <w:rPr>
          <w:rFonts w:ascii="仿宋_GB2312" w:eastAsia="仿宋_GB2312"/>
          <w:sz w:val="32"/>
          <w:szCs w:val="32"/>
        </w:rPr>
      </w:pPr>
      <w:r>
        <w:rPr>
          <w:rFonts w:hint="eastAsia" w:ascii="黑体" w:hAnsi="黑体" w:eastAsia="黑体"/>
          <w:sz w:val="32"/>
          <w:szCs w:val="32"/>
          <w:lang w:val="en-US" w:eastAsia="zh-CN"/>
        </w:rPr>
        <w:t>第十四条</w:t>
      </w:r>
      <w:r>
        <w:rPr>
          <w:rFonts w:hint="eastAsia" w:ascii="仿宋_GB2312" w:eastAsia="仿宋_GB2312"/>
          <w:sz w:val="32"/>
          <w:szCs w:val="32"/>
          <w:lang w:val="en-US" w:eastAsia="zh-CN"/>
        </w:rPr>
        <w:t xml:space="preserve"> </w:t>
      </w:r>
      <w:r>
        <w:rPr>
          <w:rFonts w:hint="eastAsia" w:ascii="仿宋_GB2312" w:eastAsia="仿宋_GB2312"/>
          <w:sz w:val="32"/>
          <w:szCs w:val="32"/>
        </w:rPr>
        <w:t>已合法持有烟草专卖零售许可证的零售户，在许可证有效期内不受烟草制品零售点合理布局规划调整的影响。</w:t>
      </w:r>
    </w:p>
    <w:p>
      <w:pPr>
        <w:ind w:firstLine="640" w:firstLineChars="200"/>
        <w:rPr>
          <w:rFonts w:ascii="仿宋_GB2312" w:eastAsia="仿宋_GB2312"/>
          <w:sz w:val="32"/>
          <w:szCs w:val="32"/>
        </w:rPr>
      </w:pPr>
      <w:r>
        <w:rPr>
          <w:rFonts w:hint="eastAsia" w:ascii="仿宋_GB2312" w:eastAsia="仿宋_GB2312"/>
          <w:sz w:val="32"/>
          <w:szCs w:val="32"/>
        </w:rPr>
        <w:t>持证人办理延续申请，除经营场所的安全要求和中小学、幼儿园周围的限制规定外，不受烟草制品零售点合理布局规划其他规定调整的影响。</w:t>
      </w:r>
    </w:p>
    <w:p>
      <w:pPr>
        <w:autoSpaceDE w:val="0"/>
        <w:autoSpaceDN w:val="0"/>
        <w:adjustRightInd w:val="0"/>
        <w:spacing w:line="580" w:lineRule="exact"/>
        <w:ind w:firstLine="640"/>
        <w:rPr>
          <w:rFonts w:ascii="仿宋_GB2312" w:hAnsi="仿宋"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hAnsi="黑体" w:eastAsia="仿宋_GB2312"/>
          <w:sz w:val="32"/>
          <w:szCs w:val="32"/>
        </w:rPr>
        <w:t xml:space="preserve"> </w:t>
      </w:r>
      <w:r>
        <w:rPr>
          <w:rFonts w:hint="eastAsia" w:ascii="仿宋_GB2312" w:hAnsi="仿宋" w:eastAsia="仿宋_GB2312"/>
          <w:sz w:val="32"/>
          <w:szCs w:val="32"/>
        </w:rPr>
        <w:t>具有下列情形之一的，不予设置零售点：</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（一）无固定经营场所的；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（二）未领取</w:t>
      </w:r>
      <w:r>
        <w:rPr>
          <w:rFonts w:hint="eastAsia" w:ascii="仿宋_GB2312" w:eastAsia="仿宋_GB2312"/>
          <w:sz w:val="32"/>
          <w:szCs w:val="32"/>
        </w:rPr>
        <w:t>营业执照</w:t>
      </w:r>
      <w:r>
        <w:rPr>
          <w:rFonts w:hint="eastAsia" w:ascii="仿宋_GB2312" w:hAnsi="仿宋" w:eastAsia="仿宋_GB2312"/>
          <w:sz w:val="32"/>
          <w:szCs w:val="32"/>
        </w:rPr>
        <w:t>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（三）经营场所与住所不相独立的；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（四）</w:t>
      </w:r>
      <w:r>
        <w:rPr>
          <w:rFonts w:hint="eastAsia" w:ascii="仿宋_GB2312" w:hAnsi="宋体" w:eastAsia="仿宋_GB2312"/>
          <w:sz w:val="32"/>
          <w:szCs w:val="32"/>
        </w:rPr>
        <w:t>中小学校校门（供学生正常出入的校门）周边50米可行距离范围内的</w:t>
      </w:r>
      <w:r>
        <w:rPr>
          <w:rFonts w:hint="eastAsia" w:ascii="仿宋_GB2312" w:hAnsi="仿宋" w:eastAsia="仿宋_GB2312"/>
          <w:sz w:val="32"/>
          <w:szCs w:val="32"/>
        </w:rPr>
        <w:t>；</w:t>
      </w:r>
    </w:p>
    <w:p>
      <w:pPr>
        <w:adjustRightInd w:val="0"/>
        <w:snapToGrid w:val="0"/>
        <w:spacing w:line="580" w:lineRule="exact"/>
        <w:ind w:firstLine="640" w:firstLineChars="200"/>
        <w:rPr>
          <w:rFonts w:ascii="仿宋_GB2312" w:hAnsi="宋体" w:eastAsia="仿宋_GB2312"/>
          <w:sz w:val="32"/>
          <w:szCs w:val="32"/>
        </w:rPr>
      </w:pPr>
      <w:r>
        <w:rPr>
          <w:rFonts w:hint="eastAsia" w:ascii="仿宋_GB2312" w:hAnsi="仿宋" w:eastAsia="仿宋_GB2312"/>
          <w:sz w:val="32"/>
          <w:szCs w:val="32"/>
        </w:rPr>
        <w:t>（五）具备合法资质的</w:t>
      </w:r>
      <w:r>
        <w:rPr>
          <w:rFonts w:hint="eastAsia" w:ascii="仿宋_GB2312" w:hAnsi="宋体" w:eastAsia="仿宋_GB2312"/>
          <w:sz w:val="32"/>
          <w:szCs w:val="32"/>
        </w:rPr>
        <w:t>幼儿园（供学生正常出入的校门</w:t>
      </w:r>
      <w:r>
        <w:rPr>
          <w:rFonts w:hint="eastAsia" w:ascii="仿宋_GB2312" w:hAnsi="仿宋" w:eastAsia="仿宋_GB2312"/>
          <w:sz w:val="32"/>
          <w:szCs w:val="32"/>
        </w:rPr>
        <w:t>）周边：城区20米内、乡镇农村30米内可</w:t>
      </w:r>
      <w:r>
        <w:rPr>
          <w:rFonts w:hint="eastAsia" w:ascii="仿宋_GB2312" w:hAnsi="宋体" w:eastAsia="仿宋_GB2312"/>
          <w:sz w:val="32"/>
          <w:szCs w:val="32"/>
        </w:rPr>
        <w:t>行距离范围的；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宋体" w:eastAsia="仿宋_GB2312"/>
          <w:sz w:val="32"/>
          <w:szCs w:val="32"/>
        </w:rPr>
        <w:t>（</w:t>
      </w:r>
      <w:r>
        <w:rPr>
          <w:rFonts w:hint="eastAsia" w:ascii="仿宋_GB2312" w:hAnsi="仿宋" w:eastAsia="仿宋_GB2312"/>
          <w:sz w:val="32"/>
          <w:szCs w:val="32"/>
        </w:rPr>
        <w:t>六</w:t>
      </w:r>
      <w:r>
        <w:rPr>
          <w:rFonts w:hint="eastAsia" w:ascii="仿宋_GB2312" w:hAnsi="宋体" w:eastAsia="仿宋_GB2312"/>
          <w:sz w:val="32"/>
          <w:szCs w:val="32"/>
        </w:rPr>
        <w:t>）经营场</w:t>
      </w:r>
      <w:r>
        <w:rPr>
          <w:rFonts w:hint="eastAsia" w:ascii="仿宋_GB2312" w:hAnsi="仿宋" w:eastAsia="仿宋_GB2312"/>
          <w:sz w:val="32"/>
          <w:szCs w:val="32"/>
        </w:rPr>
        <w:t>所存在安全隐患，且不具备安全措施保障，不适宜经营卷烟的；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（七）</w:t>
      </w:r>
      <w:r>
        <w:rPr>
          <w:rFonts w:hint="eastAsia" w:ascii="仿宋_GB2312" w:hAnsi="宋体" w:eastAsia="仿宋_GB2312"/>
          <w:sz w:val="32"/>
          <w:szCs w:val="32"/>
        </w:rPr>
        <w:t>经营场所生产、经营、储存有毒有害、易燃易爆、易挥发类物质，不符合食品安全标准，容易造成烟草制品污染的；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（八）利用</w:t>
      </w:r>
      <w:bookmarkStart w:id="0" w:name="_Hlk64883098"/>
      <w:r>
        <w:rPr>
          <w:rFonts w:hint="eastAsia" w:ascii="仿宋_GB2312" w:hAnsi="仿宋" w:eastAsia="仿宋_GB2312"/>
          <w:sz w:val="32"/>
          <w:szCs w:val="32"/>
        </w:rPr>
        <w:t>信息网络、自动售货机（柜）或其他自动售货形式销售或变相销售烟草制品</w:t>
      </w:r>
      <w:bookmarkEnd w:id="0"/>
      <w:r>
        <w:rPr>
          <w:rFonts w:hint="eastAsia" w:ascii="仿宋_GB2312" w:hAnsi="仿宋" w:eastAsia="仿宋_GB2312"/>
          <w:sz w:val="32"/>
          <w:szCs w:val="32"/>
        </w:rPr>
        <w:t>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（九）已被政府纳入征收规划、</w:t>
      </w:r>
      <w:r>
        <w:rPr>
          <w:rFonts w:hint="eastAsia" w:ascii="仿宋_GB2312" w:eastAsia="仿宋_GB2312"/>
          <w:sz w:val="32"/>
          <w:szCs w:val="32"/>
        </w:rPr>
        <w:t>违章建筑或一年内待拆迁建筑以及危房、城市规划拆迁地段等</w:t>
      </w:r>
      <w:r>
        <w:rPr>
          <w:rFonts w:hint="eastAsia" w:ascii="仿宋_GB2312" w:hAnsi="仿宋" w:eastAsia="仿宋_GB2312"/>
          <w:sz w:val="32"/>
          <w:szCs w:val="32"/>
        </w:rPr>
        <w:t>政府明令禁止办理烟草专卖零售许可证的区域；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（十）一个经营地址已办理烟草专卖零售许可证且许可证还在有效期内的；</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（十一）党政机关内部、无烟医疗卫生机构所属区域等政府、所属行业行政主管部门明令禁止经营烟草制品的区域；</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（十二）未形成食杂店、便利店、超市、商场、烟酒商店、娱乐服务场所等实际商品展卖场所的商用楼宇内；</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（十三）住宅小区除平层全开放式门店外的其他场所；</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（十四）申请人属于失信被执行人；</w:t>
      </w:r>
    </w:p>
    <w:p>
      <w:pPr>
        <w:adjustRightInd w:val="0"/>
        <w:snapToGrid w:val="0"/>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（十五）不符合本规定第十三条、第十四条设置标准的；</w:t>
      </w:r>
    </w:p>
    <w:p>
      <w:pPr>
        <w:adjustRightInd w:val="0"/>
        <w:snapToGrid w:val="0"/>
        <w:spacing w:line="580" w:lineRule="exact"/>
        <w:ind w:firstLine="640" w:firstLineChars="200"/>
        <w:rPr>
          <w:rFonts w:ascii="仿宋_GB2312" w:eastAsia="仿宋_GB2312"/>
          <w:sz w:val="32"/>
          <w:szCs w:val="32"/>
        </w:rPr>
      </w:pPr>
      <w:r>
        <w:rPr>
          <w:rFonts w:hint="eastAsia" w:ascii="仿宋_GB2312" w:hAnsi="仿宋" w:eastAsia="仿宋_GB2312"/>
          <w:sz w:val="32"/>
          <w:szCs w:val="32"/>
        </w:rPr>
        <w:t>（十六）其他不符合法律法规及国家相关政策规定情形的。</w:t>
      </w:r>
    </w:p>
    <w:p>
      <w:pPr>
        <w:autoSpaceDE w:val="0"/>
        <w:autoSpaceDN w:val="0"/>
        <w:adjustRightInd w:val="0"/>
        <w:spacing w:line="580" w:lineRule="exact"/>
        <w:ind w:firstLine="640"/>
        <w:rPr>
          <w:rFonts w:ascii="仿宋" w:hAnsi="仿宋" w:eastAsia="仿宋"/>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六</w:t>
      </w:r>
      <w:r>
        <w:rPr>
          <w:rFonts w:hint="eastAsia" w:ascii="黑体" w:hAnsi="黑体" w:eastAsia="黑体"/>
          <w:sz w:val="32"/>
          <w:szCs w:val="32"/>
        </w:rPr>
        <w:t xml:space="preserve">条 </w:t>
      </w:r>
      <w:r>
        <w:rPr>
          <w:rFonts w:hint="eastAsia" w:eastAsia="仿宋_GB2312"/>
          <w:sz w:val="32"/>
          <w:szCs w:val="32"/>
        </w:rPr>
        <w:t>烟草制品零售点之间的间距是指实际可通行距离，以申请人的经营门面为中心，向四周可通行距离顺延测量</w:t>
      </w:r>
      <w:r>
        <w:rPr>
          <w:rFonts w:hint="eastAsia" w:ascii="仿宋" w:hAnsi="仿宋" w:eastAsia="仿宋"/>
          <w:sz w:val="32"/>
          <w:szCs w:val="32"/>
        </w:rPr>
        <w:t>。</w:t>
      </w:r>
    </w:p>
    <w:p>
      <w:pPr>
        <w:autoSpaceDE w:val="0"/>
        <w:autoSpaceDN w:val="0"/>
        <w:adjustRightInd w:val="0"/>
        <w:spacing w:line="580" w:lineRule="exact"/>
        <w:ind w:firstLine="640"/>
        <w:rPr>
          <w:rFonts w:ascii="仿宋" w:hAnsi="仿宋" w:eastAsia="仿宋"/>
          <w:sz w:val="32"/>
          <w:szCs w:val="32"/>
        </w:rPr>
      </w:pPr>
      <w:r>
        <w:rPr>
          <w:rFonts w:hint="eastAsia" w:ascii="仿宋" w:hAnsi="仿宋" w:eastAsia="仿宋"/>
          <w:sz w:val="32"/>
          <w:szCs w:val="32"/>
        </w:rPr>
        <w:t>中小学、幼儿园周边间距测量以</w:t>
      </w:r>
      <w:r>
        <w:rPr>
          <w:rFonts w:hint="eastAsia" w:ascii="仿宋_GB2312" w:hAnsi="宋体" w:eastAsia="仿宋_GB2312"/>
          <w:sz w:val="32"/>
          <w:szCs w:val="32"/>
        </w:rPr>
        <w:t>供未成年人正常出入的校门中线位置向四周</w:t>
      </w:r>
      <w:r>
        <w:rPr>
          <w:rFonts w:hint="eastAsia" w:eastAsia="仿宋_GB2312"/>
          <w:sz w:val="32"/>
          <w:szCs w:val="32"/>
        </w:rPr>
        <w:t>可通行距离顺延测量</w:t>
      </w:r>
      <w:r>
        <w:rPr>
          <w:rFonts w:hint="eastAsia" w:ascii="仿宋" w:hAnsi="仿宋" w:eastAsia="仿宋"/>
          <w:sz w:val="32"/>
          <w:szCs w:val="32"/>
        </w:rPr>
        <w:t>。</w:t>
      </w:r>
    </w:p>
    <w:p>
      <w:pPr>
        <w:adjustRightInd w:val="0"/>
        <w:snapToGrid w:val="0"/>
        <w:spacing w:line="580" w:lineRule="exact"/>
        <w:ind w:firstLine="640" w:firstLineChars="200"/>
        <w:rPr>
          <w:rFonts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eastAsia="仿宋_GB2312"/>
          <w:sz w:val="32"/>
          <w:szCs w:val="32"/>
        </w:rPr>
        <w:t xml:space="preserve"> 与食品、食杂等服务业无关的经营场所原则上不予设置零售点。</w:t>
      </w:r>
    </w:p>
    <w:p>
      <w:pPr>
        <w:adjustRightInd w:val="0"/>
        <w:snapToGrid w:val="0"/>
        <w:spacing w:line="580" w:lineRule="exact"/>
        <w:ind w:firstLine="640" w:firstLineChars="200"/>
        <w:rPr>
          <w:rFonts w:eastAsia="仿宋_GB2312"/>
          <w:sz w:val="32"/>
          <w:szCs w:val="32"/>
        </w:rPr>
      </w:pPr>
    </w:p>
    <w:p>
      <w:pPr>
        <w:adjustRightInd w:val="0"/>
        <w:snapToGrid w:val="0"/>
        <w:spacing w:line="580" w:lineRule="exact"/>
        <w:jc w:val="center"/>
        <w:rPr>
          <w:rFonts w:ascii="黑体" w:hAnsi="黑体" w:eastAsia="黑体"/>
          <w:sz w:val="32"/>
          <w:szCs w:val="32"/>
        </w:rPr>
      </w:pPr>
      <w:r>
        <w:rPr>
          <w:rFonts w:eastAsia="黑体"/>
          <w:sz w:val="32"/>
          <w:szCs w:val="32"/>
        </w:rPr>
        <w:t>第</w:t>
      </w:r>
      <w:r>
        <w:rPr>
          <w:rFonts w:hint="eastAsia" w:eastAsia="黑体"/>
          <w:sz w:val="32"/>
          <w:szCs w:val="32"/>
        </w:rPr>
        <w:t>四</w:t>
      </w:r>
      <w:r>
        <w:rPr>
          <w:rFonts w:eastAsia="黑体"/>
          <w:sz w:val="32"/>
          <w:szCs w:val="32"/>
        </w:rPr>
        <w:t xml:space="preserve">章 </w:t>
      </w:r>
      <w:r>
        <w:rPr>
          <w:rFonts w:hint="eastAsia" w:eastAsia="黑体"/>
          <w:sz w:val="32"/>
          <w:szCs w:val="32"/>
        </w:rPr>
        <w:t>附则</w:t>
      </w:r>
    </w:p>
    <w:p>
      <w:pPr>
        <w:ind w:firstLine="640" w:firstLineChars="200"/>
        <w:rPr>
          <w:rFonts w:eastAsia="仿宋_GB2312"/>
          <w:sz w:val="32"/>
          <w:szCs w:val="32"/>
        </w:rPr>
      </w:pPr>
      <w:r>
        <w:rPr>
          <w:rFonts w:hint="eastAsia" w:ascii="黑体" w:hAnsi="黑体" w:eastAsia="黑体"/>
          <w:sz w:val="32"/>
          <w:szCs w:val="32"/>
        </w:rPr>
        <w:t>第十</w:t>
      </w:r>
      <w:r>
        <w:rPr>
          <w:rFonts w:hint="eastAsia" w:ascii="黑体" w:hAnsi="黑体" w:eastAsia="黑体"/>
          <w:sz w:val="32"/>
          <w:szCs w:val="32"/>
          <w:lang w:val="en-US" w:eastAsia="zh-CN"/>
        </w:rPr>
        <w:t>八</w:t>
      </w:r>
      <w:r>
        <w:rPr>
          <w:rFonts w:hint="eastAsia" w:ascii="黑体" w:hAnsi="黑体" w:eastAsia="黑体"/>
          <w:sz w:val="32"/>
          <w:szCs w:val="32"/>
        </w:rPr>
        <w:t xml:space="preserve">条 </w:t>
      </w:r>
      <w:bookmarkStart w:id="1" w:name="_Hlk64883008"/>
      <w:r>
        <w:rPr>
          <w:rFonts w:hint="eastAsia" w:eastAsia="仿宋_GB2312"/>
          <w:sz w:val="32"/>
          <w:szCs w:val="32"/>
        </w:rPr>
        <w:t>本规定中的“在同等条件下”，是指在同一天内申请，均符合法定办证条件，同一天申请又同属特殊群体的，则按申请受理登记时间的先后顺序优先办理（申请人与实际经营人必须为同一人，营业执照登记的负责人与实际经营人必须为同一人，在优先取得有效许可证的情况下，不得在</w:t>
      </w:r>
      <w:r>
        <w:rPr>
          <w:rFonts w:hint="eastAsia" w:eastAsia="仿宋_GB2312"/>
          <w:sz w:val="32"/>
          <w:szCs w:val="32"/>
          <w:lang w:val="en-US" w:eastAsia="zh-CN"/>
        </w:rPr>
        <w:t>乐平</w:t>
      </w:r>
      <w:bookmarkStart w:id="2" w:name="_GoBack"/>
      <w:bookmarkEnd w:id="2"/>
      <w:r>
        <w:rPr>
          <w:rFonts w:hint="eastAsia" w:eastAsia="仿宋_GB2312"/>
          <w:sz w:val="32"/>
          <w:szCs w:val="32"/>
        </w:rPr>
        <w:t>市范围内再次行使优先权）。</w:t>
      </w:r>
    </w:p>
    <w:bookmarkEnd w:id="1"/>
    <w:p>
      <w:pPr>
        <w:ind w:firstLine="640" w:firstLineChars="200"/>
        <w:rPr>
          <w:rFonts w:eastAsia="仿宋_GB2312"/>
          <w:sz w:val="32"/>
          <w:szCs w:val="32"/>
        </w:rPr>
      </w:pPr>
      <w:r>
        <w:rPr>
          <w:rFonts w:hint="eastAsia" w:ascii="黑体" w:hAnsi="黑体" w:eastAsia="黑体"/>
          <w:sz w:val="32"/>
          <w:szCs w:val="32"/>
        </w:rPr>
        <w:t>第</w:t>
      </w:r>
      <w:r>
        <w:rPr>
          <w:rFonts w:hint="eastAsia" w:ascii="黑体" w:hAnsi="黑体" w:eastAsia="黑体"/>
          <w:sz w:val="32"/>
          <w:szCs w:val="32"/>
          <w:lang w:val="en-US" w:eastAsia="zh-CN"/>
        </w:rPr>
        <w:t>十九</w:t>
      </w:r>
      <w:r>
        <w:rPr>
          <w:rFonts w:hint="eastAsia" w:ascii="黑体" w:hAnsi="黑体" w:eastAsia="黑体"/>
          <w:sz w:val="32"/>
          <w:szCs w:val="32"/>
        </w:rPr>
        <w:t xml:space="preserve">条 </w:t>
      </w:r>
      <w:r>
        <w:rPr>
          <w:rFonts w:hint="eastAsia" w:eastAsia="仿宋_GB2312"/>
          <w:sz w:val="32"/>
          <w:szCs w:val="32"/>
        </w:rPr>
        <w:t>本规定中的“中、小学”，是指以未成年人为教育对象，实施中等和初等教育的学校，包括普通小学、普通中学和其他以未成年人为教育对象的实施中等和初等教育的各类学校，如职业中学、中等专业学校等。</w:t>
      </w:r>
    </w:p>
    <w:p>
      <w:pPr>
        <w:ind w:firstLine="640" w:firstLineChars="200"/>
        <w:rPr>
          <w:rFonts w:eastAsia="仿宋_GB2312"/>
          <w:sz w:val="32"/>
          <w:szCs w:val="32"/>
        </w:rPr>
      </w:pPr>
      <w:r>
        <w:rPr>
          <w:rFonts w:hint="eastAsia" w:ascii="黑体" w:hAnsi="黑体" w:eastAsia="黑体"/>
          <w:sz w:val="32"/>
          <w:szCs w:val="32"/>
        </w:rPr>
        <w:t>第二十条</w:t>
      </w:r>
      <w:r>
        <w:rPr>
          <w:rFonts w:hint="eastAsia" w:eastAsia="仿宋_GB2312"/>
          <w:sz w:val="32"/>
          <w:szCs w:val="32"/>
        </w:rPr>
        <w:t xml:space="preserve"> 本规定中的“有毒有害、易燃易爆</w:t>
      </w:r>
      <w:r>
        <w:rPr>
          <w:rFonts w:hint="eastAsia" w:ascii="仿宋_GB2312" w:hAnsi="宋体" w:eastAsia="仿宋_GB2312"/>
          <w:sz w:val="32"/>
          <w:szCs w:val="32"/>
        </w:rPr>
        <w:t>、易挥发类物质</w:t>
      </w:r>
      <w:r>
        <w:rPr>
          <w:rFonts w:hint="eastAsia" w:eastAsia="仿宋_GB2312"/>
          <w:sz w:val="32"/>
          <w:szCs w:val="32"/>
        </w:rPr>
        <w:t>”，是指农药、化肥、化工、油漆、汽油、炸药、鞭炮等物品。</w:t>
      </w:r>
    </w:p>
    <w:p>
      <w:pPr>
        <w:ind w:firstLine="640" w:firstLineChars="200"/>
        <w:rPr>
          <w:rFonts w:ascii="黑体" w:hAnsi="黑体" w:eastAsia="黑体"/>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一</w:t>
      </w:r>
      <w:r>
        <w:rPr>
          <w:rFonts w:hint="eastAsia" w:ascii="黑体" w:hAnsi="黑体" w:eastAsia="黑体"/>
          <w:sz w:val="32"/>
          <w:szCs w:val="32"/>
        </w:rPr>
        <w:t xml:space="preserve">条 </w:t>
      </w:r>
      <w:r>
        <w:rPr>
          <w:rFonts w:hint="eastAsia" w:eastAsia="仿宋_GB2312"/>
          <w:sz w:val="32"/>
          <w:szCs w:val="32"/>
        </w:rPr>
        <w:t>本规定中的“</w:t>
      </w:r>
      <w:r>
        <w:rPr>
          <w:rFonts w:hint="eastAsia" w:ascii="仿宋" w:hAnsi="仿宋" w:eastAsia="仿宋"/>
          <w:sz w:val="32"/>
          <w:szCs w:val="32"/>
        </w:rPr>
        <w:t>信息网络或自动售货机（柜）销售烟草制品</w:t>
      </w:r>
      <w:r>
        <w:rPr>
          <w:rFonts w:hint="eastAsia" w:eastAsia="仿宋_GB2312"/>
          <w:sz w:val="32"/>
          <w:szCs w:val="32"/>
        </w:rPr>
        <w:t>”中的“信息网络”，是指淘宝店铺、微店、QQ、陌陌、微信等自媒体信息网络渠道销售商品的平台。</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二</w:t>
      </w:r>
      <w:r>
        <w:rPr>
          <w:rFonts w:hint="eastAsia" w:ascii="黑体" w:hAnsi="黑体" w:eastAsia="黑体"/>
          <w:sz w:val="32"/>
          <w:szCs w:val="32"/>
        </w:rPr>
        <w:t>条</w:t>
      </w:r>
      <w:r>
        <w:rPr>
          <w:rFonts w:hint="eastAsia" w:eastAsia="仿宋_GB2312"/>
          <w:sz w:val="32"/>
          <w:szCs w:val="32"/>
        </w:rPr>
        <w:t xml:space="preserve"> </w:t>
      </w:r>
      <w:r>
        <w:rPr>
          <w:rFonts w:hint="eastAsia" w:ascii="仿宋" w:hAnsi="仿宋" w:eastAsia="仿宋"/>
          <w:sz w:val="32"/>
          <w:szCs w:val="32"/>
        </w:rPr>
        <w:t>本规定由</w:t>
      </w:r>
      <w:r>
        <w:rPr>
          <w:rFonts w:hint="eastAsia" w:ascii="仿宋" w:hAnsi="仿宋" w:eastAsia="仿宋"/>
          <w:sz w:val="32"/>
          <w:szCs w:val="32"/>
          <w:lang w:val="en-US" w:eastAsia="zh-CN"/>
        </w:rPr>
        <w:t>乐平</w:t>
      </w:r>
      <w:r>
        <w:rPr>
          <w:rFonts w:hint="eastAsia" w:ascii="仿宋" w:hAnsi="仿宋" w:eastAsia="仿宋"/>
          <w:sz w:val="32"/>
          <w:szCs w:val="32"/>
        </w:rPr>
        <w:t>市烟草专卖局负责解释。</w:t>
      </w:r>
    </w:p>
    <w:p>
      <w:pPr>
        <w:adjustRightInd w:val="0"/>
        <w:snapToGrid w:val="0"/>
        <w:spacing w:line="580" w:lineRule="exact"/>
        <w:ind w:firstLine="640" w:firstLineChars="200"/>
        <w:rPr>
          <w:rFonts w:ascii="仿宋" w:hAnsi="仿宋" w:eastAsia="仿宋"/>
          <w:sz w:val="32"/>
          <w:szCs w:val="32"/>
        </w:rPr>
      </w:pPr>
      <w:r>
        <w:rPr>
          <w:rFonts w:hint="eastAsia" w:ascii="黑体" w:hAnsi="黑体" w:eastAsia="黑体"/>
          <w:sz w:val="32"/>
          <w:szCs w:val="32"/>
        </w:rPr>
        <w:t>第二十</w:t>
      </w:r>
      <w:r>
        <w:rPr>
          <w:rFonts w:hint="eastAsia" w:ascii="黑体" w:hAnsi="黑体" w:eastAsia="黑体"/>
          <w:sz w:val="32"/>
          <w:szCs w:val="32"/>
          <w:lang w:val="en-US" w:eastAsia="zh-CN"/>
        </w:rPr>
        <w:t>三</w:t>
      </w:r>
      <w:r>
        <w:rPr>
          <w:rFonts w:hint="eastAsia" w:ascii="黑体" w:hAnsi="黑体" w:eastAsia="黑体"/>
          <w:sz w:val="32"/>
          <w:szCs w:val="32"/>
        </w:rPr>
        <w:t xml:space="preserve">条 </w:t>
      </w:r>
      <w:r>
        <w:rPr>
          <w:rFonts w:hint="eastAsia" w:ascii="仿宋_GB2312" w:hAnsi="仿宋" w:eastAsia="仿宋_GB2312"/>
          <w:sz w:val="32"/>
          <w:szCs w:val="32"/>
        </w:rPr>
        <w:t>本规定自</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 xml:space="preserve">  </w:t>
      </w:r>
      <w:r>
        <w:rPr>
          <w:rFonts w:hint="eastAsia" w:ascii="仿宋_GB2312" w:hAnsi="仿宋" w:eastAsia="仿宋_GB2312"/>
          <w:sz w:val="32"/>
          <w:szCs w:val="32"/>
        </w:rPr>
        <w:t>月</w:t>
      </w:r>
      <w:r>
        <w:rPr>
          <w:rFonts w:ascii="仿宋_GB2312" w:hAnsi="仿宋" w:eastAsia="仿宋_GB2312"/>
          <w:sz w:val="32"/>
          <w:szCs w:val="32"/>
        </w:rPr>
        <w:t xml:space="preserve">  </w:t>
      </w:r>
      <w:r>
        <w:rPr>
          <w:rFonts w:hint="eastAsia" w:ascii="仿宋_GB2312" w:hAnsi="仿宋" w:eastAsia="仿宋_GB2312"/>
          <w:sz w:val="32"/>
          <w:szCs w:val="32"/>
        </w:rPr>
        <w:t>日起施行。原</w:t>
      </w:r>
      <w:r>
        <w:rPr>
          <w:rFonts w:eastAsia="仿宋_GB2312"/>
          <w:sz w:val="32"/>
          <w:szCs w:val="32"/>
        </w:rPr>
        <w:t>《</w:t>
      </w:r>
      <w:r>
        <w:rPr>
          <w:rFonts w:hint="eastAsia" w:eastAsia="仿宋_GB2312"/>
          <w:sz w:val="32"/>
          <w:szCs w:val="32"/>
        </w:rPr>
        <w:t>景德镇</w:t>
      </w:r>
      <w:r>
        <w:rPr>
          <w:rFonts w:eastAsia="仿宋_GB2312"/>
          <w:sz w:val="32"/>
          <w:szCs w:val="32"/>
        </w:rPr>
        <w:t>市烟草制品零售点合理化布局规定》（</w:t>
      </w:r>
      <w:r>
        <w:rPr>
          <w:rFonts w:hint="eastAsia" w:eastAsia="仿宋_GB2312"/>
          <w:sz w:val="32"/>
          <w:szCs w:val="32"/>
        </w:rPr>
        <w:t>景</w:t>
      </w:r>
      <w:r>
        <w:rPr>
          <w:rFonts w:eastAsia="仿宋_GB2312"/>
          <w:sz w:val="32"/>
          <w:szCs w:val="32"/>
        </w:rPr>
        <w:t>烟专〔2</w:t>
      </w:r>
      <w:r>
        <w:rPr>
          <w:rFonts w:hint="eastAsia" w:eastAsia="仿宋_GB2312"/>
          <w:sz w:val="32"/>
          <w:szCs w:val="32"/>
        </w:rPr>
        <w:t>0</w:t>
      </w:r>
      <w:r>
        <w:rPr>
          <w:rFonts w:eastAsia="仿宋_GB2312"/>
          <w:sz w:val="32"/>
          <w:szCs w:val="32"/>
        </w:rPr>
        <w:t>19〕8号）同时废止</w:t>
      </w:r>
      <w:r>
        <w:rPr>
          <w:rFonts w:hint="eastAsia" w:ascii="仿宋" w:hAnsi="仿宋" w:eastAsia="仿宋"/>
          <w:sz w:val="32"/>
          <w:szCs w:val="32"/>
        </w:rPr>
        <w:t>。</w:t>
      </w:r>
      <w:r>
        <w:rPr>
          <w:rFonts w:hint="eastAsia" w:eastAsia="仿宋_GB2312"/>
          <w:sz w:val="32"/>
          <w:szCs w:val="32"/>
        </w:rPr>
        <w:t>本规定实施期间，根据</w:t>
      </w:r>
      <w:r>
        <w:rPr>
          <w:rFonts w:hint="eastAsia" w:eastAsia="仿宋_GB2312"/>
          <w:sz w:val="32"/>
          <w:szCs w:val="32"/>
          <w:lang w:val="en-US" w:eastAsia="zh-CN"/>
        </w:rPr>
        <w:t>乐平</w:t>
      </w:r>
      <w:r>
        <w:rPr>
          <w:rFonts w:hint="eastAsia" w:eastAsia="仿宋_GB2312"/>
          <w:sz w:val="32"/>
          <w:szCs w:val="32"/>
        </w:rPr>
        <w:t>市经济发展状况及相关法律法规的规定需要调整的，以补充规定的形式经法定程序后予以发布实施。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534579"/>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C64936"/>
    <w:rsid w:val="00042A72"/>
    <w:rsid w:val="00047D54"/>
    <w:rsid w:val="00070253"/>
    <w:rsid w:val="000840BD"/>
    <w:rsid w:val="0009076E"/>
    <w:rsid w:val="000B4726"/>
    <w:rsid w:val="00100EBD"/>
    <w:rsid w:val="00102342"/>
    <w:rsid w:val="001251DF"/>
    <w:rsid w:val="001256C7"/>
    <w:rsid w:val="00134865"/>
    <w:rsid w:val="00134F69"/>
    <w:rsid w:val="0013750B"/>
    <w:rsid w:val="0015163C"/>
    <w:rsid w:val="0017610F"/>
    <w:rsid w:val="00177784"/>
    <w:rsid w:val="00191A21"/>
    <w:rsid w:val="00194754"/>
    <w:rsid w:val="001E677C"/>
    <w:rsid w:val="002161FA"/>
    <w:rsid w:val="00246288"/>
    <w:rsid w:val="00261EE6"/>
    <w:rsid w:val="0029039E"/>
    <w:rsid w:val="002B71E0"/>
    <w:rsid w:val="002C1F0E"/>
    <w:rsid w:val="002C4D36"/>
    <w:rsid w:val="002C5322"/>
    <w:rsid w:val="002F4EE1"/>
    <w:rsid w:val="003035B6"/>
    <w:rsid w:val="003115AD"/>
    <w:rsid w:val="00341EE6"/>
    <w:rsid w:val="00350EF7"/>
    <w:rsid w:val="003512B5"/>
    <w:rsid w:val="003712B3"/>
    <w:rsid w:val="0038399C"/>
    <w:rsid w:val="00384C64"/>
    <w:rsid w:val="003C4BBC"/>
    <w:rsid w:val="003E54CD"/>
    <w:rsid w:val="003F20FF"/>
    <w:rsid w:val="00404A0D"/>
    <w:rsid w:val="00404E0F"/>
    <w:rsid w:val="00430892"/>
    <w:rsid w:val="00464CF9"/>
    <w:rsid w:val="0047593A"/>
    <w:rsid w:val="00486480"/>
    <w:rsid w:val="004D376A"/>
    <w:rsid w:val="004E28A3"/>
    <w:rsid w:val="00502A6A"/>
    <w:rsid w:val="0050477E"/>
    <w:rsid w:val="00525FEF"/>
    <w:rsid w:val="00542EAF"/>
    <w:rsid w:val="0055202D"/>
    <w:rsid w:val="005A1BFC"/>
    <w:rsid w:val="005A5567"/>
    <w:rsid w:val="005D3AEC"/>
    <w:rsid w:val="005D5162"/>
    <w:rsid w:val="00605594"/>
    <w:rsid w:val="00636445"/>
    <w:rsid w:val="00677FF1"/>
    <w:rsid w:val="0068406B"/>
    <w:rsid w:val="006964AB"/>
    <w:rsid w:val="006E1521"/>
    <w:rsid w:val="007531B2"/>
    <w:rsid w:val="00762F31"/>
    <w:rsid w:val="00765451"/>
    <w:rsid w:val="00772EA0"/>
    <w:rsid w:val="0078337B"/>
    <w:rsid w:val="007B1B77"/>
    <w:rsid w:val="007F02A4"/>
    <w:rsid w:val="007F2FDF"/>
    <w:rsid w:val="007F3FC1"/>
    <w:rsid w:val="00807E47"/>
    <w:rsid w:val="00861042"/>
    <w:rsid w:val="0086116A"/>
    <w:rsid w:val="008838AA"/>
    <w:rsid w:val="008844A8"/>
    <w:rsid w:val="008A50BA"/>
    <w:rsid w:val="008C1416"/>
    <w:rsid w:val="008D3B0F"/>
    <w:rsid w:val="00921CA5"/>
    <w:rsid w:val="00932BF2"/>
    <w:rsid w:val="00936184"/>
    <w:rsid w:val="00942AEF"/>
    <w:rsid w:val="0094759C"/>
    <w:rsid w:val="009922AA"/>
    <w:rsid w:val="009A2484"/>
    <w:rsid w:val="009B7B34"/>
    <w:rsid w:val="009F7017"/>
    <w:rsid w:val="00A010AC"/>
    <w:rsid w:val="00A03257"/>
    <w:rsid w:val="00A140E2"/>
    <w:rsid w:val="00A31756"/>
    <w:rsid w:val="00A50E59"/>
    <w:rsid w:val="00A6193C"/>
    <w:rsid w:val="00A87CDA"/>
    <w:rsid w:val="00AA01EF"/>
    <w:rsid w:val="00AA1849"/>
    <w:rsid w:val="00AB0211"/>
    <w:rsid w:val="00AB0B76"/>
    <w:rsid w:val="00AD094D"/>
    <w:rsid w:val="00AD2718"/>
    <w:rsid w:val="00AD714F"/>
    <w:rsid w:val="00AE3B09"/>
    <w:rsid w:val="00AF1DD8"/>
    <w:rsid w:val="00B03F2A"/>
    <w:rsid w:val="00B2465F"/>
    <w:rsid w:val="00B3489B"/>
    <w:rsid w:val="00B362DB"/>
    <w:rsid w:val="00B44C50"/>
    <w:rsid w:val="00B55784"/>
    <w:rsid w:val="00B73F17"/>
    <w:rsid w:val="00B7767E"/>
    <w:rsid w:val="00B818EB"/>
    <w:rsid w:val="00BD57CE"/>
    <w:rsid w:val="00C1202B"/>
    <w:rsid w:val="00C17A33"/>
    <w:rsid w:val="00C23255"/>
    <w:rsid w:val="00C33692"/>
    <w:rsid w:val="00C64936"/>
    <w:rsid w:val="00C918F7"/>
    <w:rsid w:val="00CB22D5"/>
    <w:rsid w:val="00CE4E31"/>
    <w:rsid w:val="00CF4CC1"/>
    <w:rsid w:val="00D23B79"/>
    <w:rsid w:val="00D27FDC"/>
    <w:rsid w:val="00D3407E"/>
    <w:rsid w:val="00D342FA"/>
    <w:rsid w:val="00D75E93"/>
    <w:rsid w:val="00D76565"/>
    <w:rsid w:val="00D933BC"/>
    <w:rsid w:val="00DB0CA8"/>
    <w:rsid w:val="00DE2DC8"/>
    <w:rsid w:val="00DE719A"/>
    <w:rsid w:val="00E114BF"/>
    <w:rsid w:val="00E41B6C"/>
    <w:rsid w:val="00E4517A"/>
    <w:rsid w:val="00E5036F"/>
    <w:rsid w:val="00E54DD6"/>
    <w:rsid w:val="00E70678"/>
    <w:rsid w:val="00E72BDF"/>
    <w:rsid w:val="00E92A85"/>
    <w:rsid w:val="00E971B4"/>
    <w:rsid w:val="00EB740E"/>
    <w:rsid w:val="00ED35E6"/>
    <w:rsid w:val="00EF57F8"/>
    <w:rsid w:val="00F0777B"/>
    <w:rsid w:val="00F15C0E"/>
    <w:rsid w:val="00F67CCD"/>
    <w:rsid w:val="00F858DB"/>
    <w:rsid w:val="00F91946"/>
    <w:rsid w:val="00FC40B9"/>
    <w:rsid w:val="00FC759E"/>
    <w:rsid w:val="013F4C06"/>
    <w:rsid w:val="04964587"/>
    <w:rsid w:val="20353F90"/>
    <w:rsid w:val="2C034394"/>
    <w:rsid w:val="2CD22760"/>
    <w:rsid w:val="43E751D5"/>
    <w:rsid w:val="473F5AA8"/>
    <w:rsid w:val="52AC0869"/>
    <w:rsid w:val="57CC2601"/>
    <w:rsid w:val="620216C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semiHidden/>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paragraph" w:styleId="9">
    <w:name w:val="List Paragraph"/>
    <w:basedOn w:val="1"/>
    <w:qFormat/>
    <w:uiPriority w:val="99"/>
    <w:pPr>
      <w:ind w:firstLine="420" w:firstLineChars="200"/>
    </w:pPr>
  </w:style>
  <w:style w:type="character" w:customStyle="1" w:styleId="10">
    <w:name w:val="批注框文本 Char"/>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4A896-3602-4E68-B061-4232E5CAFCB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9</Pages>
  <Words>612</Words>
  <Characters>3491</Characters>
  <Lines>29</Lines>
  <Paragraphs>8</Paragraphs>
  <TotalTime>34</TotalTime>
  <ScaleCrop>false</ScaleCrop>
  <LinksUpToDate>false</LinksUpToDate>
  <CharactersWithSpaces>4095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2021-02-22T00:36:00Z</dcterms:created>
  <dc:creator>admin</dc:creator>
  <cp:lastModifiedBy>Administrator</cp:lastModifiedBy>
  <cp:lastPrinted>2019-04-28T12:25:00Z</cp:lastPrinted>
  <dcterms:modified xsi:type="dcterms:W3CDTF">2021-03-12T07:06:08Z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78FBF624C1CC47148B401B5674DF117D</vt:lpwstr>
  </property>
</Properties>
</file>